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E249D" w:rsidRPr="00A350F4">
        <w:trPr>
          <w:trHeight w:hRule="exact" w:val="1417"/>
          <w:jc w:val="center"/>
        </w:trPr>
        <w:tc>
          <w:tcPr>
            <w:tcW w:w="6804" w:type="dxa"/>
            <w:tcBorders>
              <w:top w:val="nil"/>
              <w:left w:val="nil"/>
              <w:bottom w:val="nil"/>
              <w:right w:val="nil"/>
            </w:tcBorders>
            <w:vAlign w:val="center"/>
          </w:tcPr>
          <w:p w:rsidR="000E249D" w:rsidRPr="00A350F4" w:rsidRDefault="00015689">
            <w:pPr>
              <w:pStyle w:val="EPName"/>
            </w:pPr>
            <w:bookmarkStart w:id="0" w:name="_GoBack"/>
            <w:bookmarkEnd w:id="0"/>
            <w:r w:rsidRPr="00A350F4">
              <w:t>Euroopan parlamentti</w:t>
            </w:r>
          </w:p>
          <w:p w:rsidR="000E249D" w:rsidRPr="00A350F4" w:rsidRDefault="00015689">
            <w:pPr>
              <w:pStyle w:val="EPTerm"/>
            </w:pPr>
            <w:r w:rsidRPr="00A350F4">
              <w:t>2024-2029</w:t>
            </w:r>
          </w:p>
        </w:tc>
        <w:tc>
          <w:tcPr>
            <w:tcW w:w="2268" w:type="dxa"/>
            <w:tcBorders>
              <w:top w:val="nil"/>
              <w:left w:val="nil"/>
              <w:bottom w:val="nil"/>
              <w:right w:val="nil"/>
            </w:tcBorders>
          </w:tcPr>
          <w:p w:rsidR="000E249D" w:rsidRPr="00A350F4" w:rsidRDefault="00A350F4">
            <w:pPr>
              <w:pStyle w:val="EPLogo"/>
            </w:pPr>
            <w:r w:rsidRPr="00A350F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9" o:title=""/>
                </v:shape>
              </w:pict>
            </w:r>
          </w:p>
        </w:tc>
      </w:tr>
    </w:tbl>
    <w:p w:rsidR="000E249D" w:rsidRPr="00A350F4" w:rsidRDefault="00015689">
      <w:pPr>
        <w:pStyle w:val="LineTop"/>
      </w:pPr>
      <w:r w:rsidRPr="00A350F4">
        <w:t xml:space="preserve"> </w:t>
      </w:r>
    </w:p>
    <w:p w:rsidR="000E249D" w:rsidRPr="00A350F4" w:rsidRDefault="00015689">
      <w:pPr>
        <w:pStyle w:val="EPBody"/>
      </w:pPr>
      <w:r w:rsidRPr="00A350F4">
        <w:rPr>
          <w:rStyle w:val="HideTWBExt"/>
        </w:rPr>
        <w:t>&lt;Commission&gt;</w:t>
      </w:r>
      <w:r w:rsidRPr="00A350F4">
        <w:rPr>
          <w:rStyle w:val="HideTWBInt"/>
        </w:rPr>
        <w:t>{CONT}</w:t>
      </w:r>
      <w:r w:rsidRPr="00A350F4">
        <w:t>Talousarvion valvontavaliokunta</w:t>
      </w:r>
      <w:r w:rsidRPr="00A350F4">
        <w:rPr>
          <w:rStyle w:val="HideTWBExt"/>
        </w:rPr>
        <w:t>&lt;/Commission&gt;</w:t>
      </w:r>
    </w:p>
    <w:p w:rsidR="000E249D" w:rsidRPr="00A350F4" w:rsidRDefault="00015689">
      <w:pPr>
        <w:pStyle w:val="LineBottom"/>
      </w:pPr>
      <w:r w:rsidRPr="00A350F4">
        <w:t xml:space="preserve"> </w:t>
      </w:r>
    </w:p>
    <w:p w:rsidR="000E249D" w:rsidRPr="00A350F4" w:rsidRDefault="00015689">
      <w:pPr>
        <w:pStyle w:val="CoverReference"/>
      </w:pPr>
      <w:r w:rsidRPr="00A350F4">
        <w:rPr>
          <w:rStyle w:val="HideTWBExt"/>
        </w:rPr>
        <w:t>&lt;RefProc&gt;</w:t>
      </w:r>
      <w:r w:rsidRPr="00A350F4">
        <w:t>2024/2025</w:t>
      </w:r>
      <w:r w:rsidRPr="00A350F4">
        <w:rPr>
          <w:rStyle w:val="HideTWBExt"/>
        </w:rPr>
        <w:t>&lt;/RefProc&gt;&lt;RefTypeProc&gt;</w:t>
      </w:r>
      <w:r w:rsidRPr="00A350F4">
        <w:t>(DEC)</w:t>
      </w:r>
      <w:r w:rsidRPr="00A350F4">
        <w:rPr>
          <w:rStyle w:val="HideTWBExt"/>
        </w:rPr>
        <w:t>&lt;/RefTypeProc&gt;</w:t>
      </w:r>
    </w:p>
    <w:p w:rsidR="000E249D" w:rsidRPr="00A350F4" w:rsidRDefault="00015689">
      <w:pPr>
        <w:pStyle w:val="CoverDate"/>
      </w:pPr>
      <w:r w:rsidRPr="00A350F4">
        <w:rPr>
          <w:rStyle w:val="HideTWBExt"/>
        </w:rPr>
        <w:t>&lt;Date&gt;</w:t>
      </w:r>
      <w:r w:rsidRPr="00A350F4">
        <w:rPr>
          <w:rStyle w:val="HideTWBInt"/>
        </w:rPr>
        <w:t>{10/02/2025}</w:t>
      </w:r>
      <w:r w:rsidRPr="00A350F4">
        <w:t>10.2.2025</w:t>
      </w:r>
      <w:r w:rsidRPr="00A350F4">
        <w:rPr>
          <w:rStyle w:val="HideTWBExt"/>
        </w:rPr>
        <w:t>&lt;/Date&gt;</w:t>
      </w:r>
    </w:p>
    <w:p w:rsidR="000E249D" w:rsidRPr="00A350F4" w:rsidRDefault="00015689">
      <w:pPr>
        <w:pStyle w:val="CoverDocType"/>
      </w:pPr>
      <w:r w:rsidRPr="00A350F4">
        <w:rPr>
          <w:rStyle w:val="HideTWBExt"/>
        </w:rPr>
        <w:t>&lt;TypeAM&gt;</w:t>
      </w:r>
      <w:r w:rsidRPr="00A350F4">
        <w:t>TARKISTUKSET</w:t>
      </w:r>
      <w:r w:rsidRPr="00A350F4">
        <w:rPr>
          <w:rStyle w:val="HideTWBExt"/>
        </w:rPr>
        <w:t>&lt;/TypeAM&gt;</w:t>
      </w:r>
    </w:p>
    <w:p w:rsidR="000E249D" w:rsidRPr="00A350F4" w:rsidRDefault="00015689">
      <w:pPr>
        <w:pStyle w:val="CoverDocType24a"/>
      </w:pPr>
      <w:r w:rsidRPr="00A350F4">
        <w:rPr>
          <w:rStyle w:val="HideTWBExt"/>
        </w:rPr>
        <w:t>&lt;RangeAM&gt;</w:t>
      </w:r>
      <w:r w:rsidRPr="00A350F4">
        <w:t>1 - 55</w:t>
      </w:r>
      <w:r w:rsidRPr="00A350F4">
        <w:rPr>
          <w:rStyle w:val="HideTWBExt"/>
        </w:rPr>
        <w:t>&lt;/RangeAM&gt;</w:t>
      </w:r>
    </w:p>
    <w:p w:rsidR="000E249D" w:rsidRPr="00A350F4" w:rsidRDefault="00015689">
      <w:pPr>
        <w:pStyle w:val="CoverBold"/>
      </w:pPr>
      <w:r w:rsidRPr="00A350F4">
        <w:rPr>
          <w:rStyle w:val="HideTWBExt"/>
        </w:rPr>
        <w:t>&lt;TitreType&gt;</w:t>
      </w:r>
      <w:r w:rsidRPr="00A350F4">
        <w:t>Mietintöluonnos</w:t>
      </w:r>
      <w:r w:rsidRPr="00A350F4">
        <w:rPr>
          <w:rStyle w:val="HideTWBExt"/>
        </w:rPr>
        <w:t>&lt;/TitreType&gt;</w:t>
      </w:r>
    </w:p>
    <w:p w:rsidR="000E249D" w:rsidRPr="00A350F4" w:rsidRDefault="00015689">
      <w:pPr>
        <w:pStyle w:val="CoverBold"/>
      </w:pPr>
      <w:r w:rsidRPr="00A350F4">
        <w:rPr>
          <w:rStyle w:val="HideTWBExt"/>
        </w:rPr>
        <w:t>&lt;Rapporteur&gt;</w:t>
      </w:r>
      <w:r w:rsidRPr="00A350F4">
        <w:t>Joachim Stanisław Brudziński</w:t>
      </w:r>
      <w:r w:rsidRPr="00A350F4">
        <w:rPr>
          <w:rStyle w:val="HideTWBExt"/>
        </w:rPr>
        <w:t>&lt;/Rapporteur&gt;</w:t>
      </w:r>
    </w:p>
    <w:p w:rsidR="000E249D" w:rsidRPr="00A350F4" w:rsidRDefault="00015689">
      <w:pPr>
        <w:pStyle w:val="CoverNormal24a"/>
      </w:pPr>
      <w:r w:rsidRPr="00A350F4">
        <w:rPr>
          <w:rStyle w:val="HideTWBExt"/>
        </w:rPr>
        <w:t>&lt;DocRefPE&gt;</w:t>
      </w:r>
      <w:r w:rsidRPr="00A350F4">
        <w:t>(PE764.993v02-00)</w:t>
      </w:r>
      <w:r w:rsidRPr="00A350F4">
        <w:rPr>
          <w:rStyle w:val="HideTWBExt"/>
        </w:rPr>
        <w:t>&lt;/DocRefPE&gt;</w:t>
      </w:r>
    </w:p>
    <w:p w:rsidR="000E249D" w:rsidRPr="00A350F4" w:rsidRDefault="00015689">
      <w:pPr>
        <w:pStyle w:val="CoverNormal"/>
      </w:pPr>
      <w:r w:rsidRPr="00A350F4">
        <w:rPr>
          <w:rStyle w:val="HideTWBExt"/>
        </w:rPr>
        <w:t>&lt;Titre&gt;</w:t>
      </w:r>
      <w:r w:rsidRPr="00A350F4">
        <w:t>Vastuuvapauden myöntäminen Euroopan unionin yleisen talousarvion toteuttamisesta varainhoitovuonna 2023, pääluokka VI – Talous- ja sosiaalikomitea</w:t>
      </w:r>
      <w:r w:rsidRPr="00A350F4">
        <w:rPr>
          <w:rStyle w:val="HideTWBExt"/>
        </w:rPr>
        <w:t>&lt;/Titre&gt;</w:t>
      </w:r>
    </w:p>
    <w:p w:rsidR="000E249D" w:rsidRPr="00A350F4" w:rsidRDefault="00015689">
      <w:pPr>
        <w:pStyle w:val="CoverNormal24a"/>
      </w:pPr>
      <w:r w:rsidRPr="00A350F4">
        <w:rPr>
          <w:rStyle w:val="HideTWBExt"/>
        </w:rPr>
        <w:t>&lt;DocRef&gt;</w:t>
      </w:r>
      <w:r w:rsidRPr="00A350F4">
        <w:t>(2024/2025(DEC))</w:t>
      </w:r>
      <w:r w:rsidRPr="00A350F4">
        <w:rPr>
          <w:rStyle w:val="HideTWBExt"/>
        </w:rPr>
        <w:t>&lt;/DocRef&gt;</w:t>
      </w:r>
    </w:p>
    <w:p w:rsidR="000E249D" w:rsidRPr="00A350F4" w:rsidRDefault="00015689">
      <w:r w:rsidRPr="00A350F4">
        <w:br w:type="page"/>
      </w:r>
      <w:r w:rsidRPr="00A350F4">
        <w:lastRenderedPageBreak/>
        <w:t>AM_Com_NonLegReport</w:t>
      </w:r>
    </w:p>
    <w:p w:rsidR="00750688" w:rsidRPr="00A350F4" w:rsidRDefault="00015689" w:rsidP="00750688">
      <w:pPr>
        <w:pStyle w:val="AmNumberTabs"/>
      </w:pPr>
      <w:r w:rsidRPr="00A350F4">
        <w:br w:type="page"/>
      </w:r>
      <w:r w:rsidR="00750688" w:rsidRPr="00A350F4">
        <w:rPr>
          <w:rStyle w:val="HideTWBExt"/>
          <w:b w:val="0"/>
        </w:rPr>
        <w:lastRenderedPageBreak/>
        <w:t>&lt;RepeatBlock-Amend&gt;</w:t>
      </w:r>
      <w:r w:rsidR="00750688" w:rsidRPr="00A350F4">
        <w:rPr>
          <w:rStyle w:val="HideTWBExt"/>
        </w:rPr>
        <w:t>&lt;Amend&gt;</w:t>
      </w:r>
      <w:r w:rsidR="00750688" w:rsidRPr="00A350F4">
        <w:t>Tarkistus</w:t>
      </w:r>
      <w:r w:rsidR="00750688" w:rsidRPr="00A350F4">
        <w:tab/>
      </w:r>
      <w:r w:rsidR="00750688" w:rsidRPr="00A350F4">
        <w:tab/>
      </w:r>
      <w:r w:rsidR="00750688" w:rsidRPr="00A350F4">
        <w:rPr>
          <w:rStyle w:val="HideTWBExt"/>
        </w:rPr>
        <w:t>&lt;NumAm&gt;</w:t>
      </w:r>
      <w:r w:rsidR="00750688" w:rsidRPr="00A350F4">
        <w:t>1</w:t>
      </w:r>
      <w:r w:rsidR="00750688"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Tamás Deutsch, Ondřej Knotek</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3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3 a.</w:t>
            </w:r>
            <w:r w:rsidRPr="00A350F4">
              <w:tab/>
            </w:r>
            <w:r w:rsidRPr="00A350F4">
              <w:rPr>
                <w:b/>
                <w:i/>
              </w:rPr>
              <w:t>muistuttaa, että Budapestin julistuksessa uudesta Euroopan kilpailukykyohjelmasta on esitetty suunnitelma Euroopan osaamispotentiaalin hyödyntämisestä ja osaamiseen investoimisesta laadukkaiden työpaikkojen edistämiseksi kaikkialla unionissa, jotta voidaan vahvistaa työmarkkinaosapuolten vuoropuhelua, ylläpitää yhtäläisiä mahdollisuuksia ja vähentää eriarvoisuutta Euroopan sosiaalisten oikeuksien pilarin mukaisesti;</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2</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Tamás Deutsch, Ondřej Knotek</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3 b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3 b.</w:t>
            </w:r>
            <w:r w:rsidRPr="00A350F4">
              <w:tab/>
            </w:r>
            <w:r w:rsidRPr="00A350F4">
              <w:rPr>
                <w:b/>
                <w:i/>
              </w:rPr>
              <w:t>muistuttaa, että Euroopan unionista tehdyn sopimuksen mukaan EU:n ja sen toimielinten päämääränä on edistää rauhaa, omia arvojaan ja kansojensa hyvinvointia, säilyttää rauha, estää konfliktit ja lujittaa kansainvälistä turvallisuutta;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3</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Tamás Deutsch, Ondřej Knotek, Virginie Joron, Julien Sanchez</w:t>
      </w:r>
      <w:r w:rsidRPr="00A350F4">
        <w:rPr>
          <w:rStyle w:val="HideTWBExt"/>
          <w:b w:val="0"/>
        </w:rPr>
        <w:t>&lt;/Members&gt;</w:t>
      </w:r>
    </w:p>
    <w:p w:rsidR="00750688" w:rsidRPr="00A350F4" w:rsidRDefault="00750688" w:rsidP="00750688">
      <w:pPr>
        <w:pStyle w:val="NormalBold"/>
      </w:pPr>
      <w:r w:rsidRPr="00A350F4">
        <w:rPr>
          <w:rStyle w:val="HideTWBExt"/>
          <w:b w:val="0"/>
        </w:rPr>
        <w:lastRenderedPageBreak/>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3 c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3 c.</w:t>
            </w:r>
            <w:r w:rsidRPr="00A350F4">
              <w:tab/>
            </w:r>
            <w:r w:rsidRPr="00A350F4">
              <w:rPr>
                <w:b/>
                <w:i/>
              </w:rPr>
              <w:t>kehottaa toimielintä omistautumaan täysipainoisesti ja maksimoimaan ponnistelunsa kaikilla käytettävissä olevilla toimenpiteillään ja voimavaroillaan rauhan edistämiseksi ja Ukrainan sodan lopettamiseksi mahdollisimman pian sekä rauhan säilyttämiseksi ja Euroopan turvallisuuden vahvistamiseksi;</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4</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Tamás Deutsch</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3 d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3 d.</w:t>
            </w:r>
            <w:r w:rsidRPr="00A350F4">
              <w:tab/>
            </w:r>
            <w:r w:rsidRPr="00A350F4">
              <w:rPr>
                <w:b/>
                <w:i/>
              </w:rPr>
              <w:t>muistuttaa, että Euroopan unionista tehdyn sopimuksen mukaan EU ja sen toimielimet kunnioittavat jäsenvaltioiden tasa-arvoa perussopimuksia sovellettaessa sekä niiden kansallista identiteettiä, joka on olennainen osa niiden poliittisia ja valtiosäännön rakenteita, myös alueellisen ja paikallisen itsehallinnon osalta;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5</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Tamás Deutsch, Ondřej Knotek, Virginie Joron, Julien Sanchez</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3 e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3 e.</w:t>
            </w:r>
            <w:r w:rsidRPr="00A350F4">
              <w:tab/>
            </w:r>
            <w:r w:rsidRPr="00A350F4">
              <w:rPr>
                <w:b/>
                <w:i/>
              </w:rPr>
              <w:t>kehottaa toimielintä aina kunnioittamaan jäsenvaltioiden tasa-arvoa ja kohtelemaan kaikkia jäsenvaltioita yhdenvertaisesti sekä kunnioittamaan niiden suvereniteettia ja kansallista identiteettiä, joka on olennainen osa niiden poliittisia ja valtiosäännön rakenteita, myös alueellisen ja paikallisen itsehallinnon osalta;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6</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Virginie Joron, Tamás Deutsch, Julien Sanchez</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4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4.</w:t>
            </w:r>
            <w:r w:rsidRPr="00A350F4">
              <w:tab/>
              <w:t>toteaa, että komitean lopullinen hyväksytty talousarvio vuodeksi 2023 oli 158 767 970 euroa, mikä merkitsee 4,1 prosentin lisäystä vuoteen 2022 verrattuna; panee merkille talousarvion valvontavaliokunnan komitealle lähettämästä vuoden 2023 talousarvion vastuuvapautta koskevasta kyselystä (jäljempänä ’kysely’) ja komitean vuotta 2023 koskevasta vuotuisesta toimintakertomuksesta (jäljempänä ’vuosikertomus’), että palkkoja ja palkanlisiä koskeva budjettikohta (komitean henkilöstön ja jäsenten kulut) kasvoi inflaation seurauksena 8,4 prosenttia vuosien 2022 ja 2023 välillä; panee kyselyn perusteella merkille, että ohjelmistojärjestelmien käyttöön, kehittämiseen ja ylläpitoon tarkoitetun ulkoisen avun määrärahat lisääntyivät 33,7 prosenttia vuosien 2022 ja 2023 välillä, koska komitea asetti vuosien 2024–</w:t>
            </w:r>
            <w:r w:rsidRPr="00A350F4">
              <w:lastRenderedPageBreak/>
              <w:t>2026 digitaalistrategiansa täytäntöönpanon vuoden 2023 painopisteeksi; panee merkille, että muilta osin määrärahojen jakautuminen budjettikohdittain komitean vuoden 2023 talousarviossa pysyi aiempia vuosia vastaavana;</w:t>
            </w:r>
          </w:p>
        </w:tc>
        <w:tc>
          <w:tcPr>
            <w:tcW w:w="4876" w:type="dxa"/>
            <w:tcBorders>
              <w:top w:val="nil"/>
              <w:left w:val="nil"/>
              <w:bottom w:val="nil"/>
              <w:right w:val="nil"/>
            </w:tcBorders>
          </w:tcPr>
          <w:p w:rsidR="00750688" w:rsidRPr="00A350F4" w:rsidRDefault="00750688" w:rsidP="001A544B">
            <w:pPr>
              <w:pStyle w:val="Normal6a"/>
            </w:pPr>
            <w:r w:rsidRPr="00A350F4">
              <w:lastRenderedPageBreak/>
              <w:t>4.</w:t>
            </w:r>
            <w:r w:rsidRPr="00A350F4">
              <w:tab/>
              <w:t xml:space="preserve">toteaa, että komitean lopullinen hyväksytty talousarvio vuodeksi 2023 oli 158 767 970 euroa, mikä </w:t>
            </w:r>
            <w:r w:rsidRPr="00A350F4">
              <w:rPr>
                <w:b/>
                <w:i/>
              </w:rPr>
              <w:t>on suuri talousarvio ja</w:t>
            </w:r>
            <w:r w:rsidRPr="00A350F4">
              <w:t xml:space="preserve"> merkitsee 4,1 prosentin lisäystä vuoteen 2022 verrattuna; panee merkille talousarvion valvontavaliokunnan komitealle lähettämästä vuoden 2023 talousarvion vastuuvapautta koskevasta kyselystä (jäljempänä ’kysely’) ja komitean vuotta 2023 koskevasta vuotuisesta toimintakertomuksesta (jäljempänä ’vuosikertomus’), että palkkoja ja palkanlisiä koskeva budjettikohta (komitean henkilöstön ja jäsenten kulut) kasvoi inflaation seurauksena 8,4 prosenttia vuosien 2022 ja 2023 välillä; panee kyselyn perusteella merkille, että ohjelmistojärjestelmien käyttöön, kehittämiseen ja ylläpitoon tarkoitetun ulkoisen avun määrärahat lisääntyivät 33,7 prosenttia vuosien 2022 ja 2023 välillä, koska komitea asetti </w:t>
            </w:r>
            <w:r w:rsidRPr="00A350F4">
              <w:lastRenderedPageBreak/>
              <w:t>vuosien 2024–2026 digitaalistrategiansa täytäntöönpanon vuoden 2023 painopisteeksi; panee merkille, että muilta osin määrärahojen jakautuminen budjettikohdittain komitean vuoden 2023 talousarviossa pysyi aiempia vuosia vastaavana;</w:t>
            </w:r>
          </w:p>
        </w:tc>
      </w:tr>
    </w:tbl>
    <w:p w:rsidR="00750688" w:rsidRPr="00A350F4" w:rsidRDefault="00750688" w:rsidP="00750688">
      <w:pPr>
        <w:pStyle w:val="AmOrLang"/>
      </w:pPr>
      <w:r w:rsidRPr="00A350F4">
        <w:lastRenderedPageBreak/>
        <w:t xml:space="preserve">Or. </w:t>
      </w:r>
      <w:r w:rsidRPr="00A350F4">
        <w:rPr>
          <w:rStyle w:val="HideTWBExt"/>
        </w:rPr>
        <w:t>&lt;Original&gt;</w:t>
      </w:r>
      <w:r w:rsidRPr="00A350F4">
        <w:rPr>
          <w:rStyle w:val="HideTWBInt"/>
        </w:rPr>
        <w:t>{FR}</w:t>
      </w:r>
      <w:r w:rsidRPr="00A350F4">
        <w:t>fr</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7</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Tomáš Zdechovský</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6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6.</w:t>
            </w:r>
            <w:r w:rsidRPr="00A350F4">
              <w:tab/>
              <w:t>panee merkille, että vuodelta 2023 vuodelle 2024 siirrettyjä määrärahoja oli 13 827 713 euroa (eli noin 8,7 prosenttia komitean vuoden 2023 talousarviosta), mikä merkitsee vähennystä edellisen vuoden tasosta, jolloin siirrettiin 20 162 518 euroa (eli noin 13 prosenttia komitean vuoden 2022 talousarviosta); panee lisäksi tyytyväisenä merkille, että vuodelta 2022 vuodelle 2023 siirrettyjen määrärahojen käyttöaste oli 86,76 prosenttia vuonna 2023, kun se vuonna 2022 oli 76,91 prosenttia;</w:t>
            </w:r>
          </w:p>
        </w:tc>
        <w:tc>
          <w:tcPr>
            <w:tcW w:w="4876" w:type="dxa"/>
            <w:tcBorders>
              <w:top w:val="nil"/>
              <w:left w:val="nil"/>
              <w:bottom w:val="nil"/>
              <w:right w:val="nil"/>
            </w:tcBorders>
          </w:tcPr>
          <w:p w:rsidR="00750688" w:rsidRPr="00A350F4" w:rsidRDefault="00750688" w:rsidP="001A544B">
            <w:pPr>
              <w:pStyle w:val="Normal6a"/>
            </w:pPr>
            <w:r w:rsidRPr="00A350F4">
              <w:t>6.</w:t>
            </w:r>
            <w:r w:rsidRPr="00A350F4">
              <w:tab/>
              <w:t xml:space="preserve">panee merkille, että vuodelta 2023 vuodelle 2024 siirrettyjä määrärahoja oli 13 827 713 euroa (eli noin 8,7 prosenttia komitean vuoden 2023 talousarviosta), mikä merkitsee vähennystä edellisen vuoden tasosta, jolloin siirrettiin 20 162 518 euroa (eli noin 13 prosenttia komitean vuoden 2022 talousarviosta); panee lisäksi tyytyväisenä merkille, että vuodelta 2022 vuodelle 2023 siirrettyjen määrärahojen käyttöaste oli 86,76 prosenttia vuonna 2023, kun se vuonna 2022 oli 76,91 prosenttia; </w:t>
            </w:r>
            <w:r w:rsidRPr="00A350F4">
              <w:rPr>
                <w:b/>
                <w:i/>
              </w:rPr>
              <w:t>kannustaa komiteaa jatkamaan myönnettyjen varojen tehokasta käyttöä;</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8</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Pasquale Tridico</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9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lastRenderedPageBreak/>
              <w:t>9.</w:t>
            </w:r>
            <w:r w:rsidRPr="00A350F4">
              <w:tab/>
              <w:t>muistuttaa, että 25. toukokuuta 2023 tehdyssä neuvoston päätöksessä vahvistettiin komitean jäsenten etäkokouspäivärahaksi muissa kuin sääntömääräisissä kokouksissa 145 euroa päivää kohden, mikä on 50 prosenttia vuonna 2023 maksetusta lähikokouspäivärahasta; panee tyytyväisenä merkille komitean seurantakertomuksesta (jäljempänä ’seurantakertomus’), joka on laadittu vastauksena parlamentin päätöslauselmaan talousarvion toteuttamisesta vuonna 2022, että kyseisen päätöksen soveltaminen on jo tuottanut 1 677 000 euron säästöt talousarviossa, koska matkakustannukset ja maksetut korvaukset ovat alentuneet, sekä noin 553,66 hiilidioksiditonnin ympäristösäästöt, mikä on tulosta matkustamisen vähenemisestä vuonna 2023; panee vuosikertomuksesta merkille, että vuonna 2023 korvattavien etäkokouspäivien määrä oli 2 006 (6 259 vuonna 2022) ja että etäkokousten keskimääräinen kesto oli kolme tuntia ja niiden kokonaiskustannukset olivat 294 930 euroa (922 925 euroa vuonna 2022); pitää myönteisenä, että komitea suorittaa useita tarkistuksia varmistaakseen jäsenten etäosallistumisen ennen korvauksen maksamista;</w:t>
            </w:r>
          </w:p>
        </w:tc>
        <w:tc>
          <w:tcPr>
            <w:tcW w:w="4876" w:type="dxa"/>
            <w:tcBorders>
              <w:top w:val="nil"/>
              <w:left w:val="nil"/>
              <w:bottom w:val="nil"/>
              <w:right w:val="nil"/>
            </w:tcBorders>
          </w:tcPr>
          <w:p w:rsidR="00750688" w:rsidRPr="00A350F4" w:rsidRDefault="00750688" w:rsidP="001A544B">
            <w:pPr>
              <w:pStyle w:val="Normal6a"/>
            </w:pPr>
            <w:r w:rsidRPr="00A350F4">
              <w:t>9.</w:t>
            </w:r>
            <w:r w:rsidRPr="00A350F4">
              <w:tab/>
              <w:t>muistuttaa, että 25. toukokuuta 2023 tehdyssä neuvoston päätöksessä vahvistettiin komitean jäsenten etäkokouspäivärahaksi muissa kuin sääntömääräisissä kokouksissa 145 euroa päivää kohden, mikä on 50 prosenttia vuonna 2023 maksetusta lähikokouspäivärahasta</w:t>
            </w:r>
            <w:r w:rsidRPr="00A350F4">
              <w:rPr>
                <w:b/>
                <w:i/>
              </w:rPr>
              <w:t>; katsoo, että vaikka etäosallistuminen on tärkeä väline nykyaikaisille toimielimille, koska se muun muassa vähentää kokouskustannuksia ja mahdollistaa laajemman osallistumisen, etäkokouspäivärahan myöntämistä, vaikka sitä olisi vähennetty ja se olisi tarkoitettu vain tietyntyyppisiin tapahtumiin, on kansalaisten kannalta vaikea ymmärtää, varsinkin kun otetaan huomioon komitean jäsenille ja alueiden komitean jäsenille etäosallistumisesta maksettava ero</w:t>
            </w:r>
            <w:r w:rsidRPr="00A350F4">
              <w:t>; panee tyytyväisenä merkille komitean seurantakertomuksesta (jäljempänä ’seurantakertomus’), joka on laadittu vastauksena parlamentin päätöslauselmaan talousarvion toteuttamisesta vuonna 2022, että kyseisen päätöksen soveltaminen on jo tuottanut 1 677 000 euron säästöt talousarviossa, koska matkakustannukset ja maksetut korvaukset ovat alentuneet, sekä noin 553,66 hiilidioksiditonnin ympäristösäästöt, mikä on tulosta matkustamisen vähenemisestä vuonna 2023; panee vuosikertomuksesta merkille, että vuonna 2023 korvattavien etäkokouspäivien määrä oli 2 006 (6 259 vuonna 2022) ja että etäkokousten keskimääräinen kesto oli kolme tuntia ja niiden kokonaiskustannukset olivat 294 930 euroa (922 925 euroa vuonna 2022); pitää myönteisenä, että komitea suorittaa useita tarkistuksia varmistaakseen jäsenten etäosallistumisen ennen korvauksen maksamista;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lastRenderedPageBreak/>
        <w:t>&lt;Amend&gt;</w:t>
      </w:r>
      <w:r w:rsidRPr="00A350F4">
        <w:t>Tarkistus</w:t>
      </w:r>
      <w:r w:rsidRPr="00A350F4">
        <w:tab/>
      </w:r>
      <w:r w:rsidRPr="00A350F4">
        <w:tab/>
      </w:r>
      <w:r w:rsidRPr="00A350F4">
        <w:rPr>
          <w:rStyle w:val="HideTWBExt"/>
        </w:rPr>
        <w:t>&lt;NumAm&gt;</w:t>
      </w:r>
      <w:r w:rsidRPr="00A350F4">
        <w:t>9</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Virginie Joron, Tamás Deutsch</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11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11.</w:t>
            </w:r>
            <w:r w:rsidRPr="00A350F4">
              <w:tab/>
              <w:t xml:space="preserve">panee merkille, että budjettikohdan 1004 (jäsenten matkakulut, mukaan lukien oleskelu- ja kokouspäivärahat) kuluvan vuoden määrärahat olivat </w:t>
            </w:r>
            <w:r w:rsidRPr="00A350F4">
              <w:rPr>
                <w:b/>
                <w:i/>
              </w:rPr>
              <w:t>19 790 miljoonaa</w:t>
            </w:r>
            <w:r w:rsidRPr="00A350F4">
              <w:t xml:space="preserve"> euroa (josta </w:t>
            </w:r>
            <w:r w:rsidRPr="00A350F4">
              <w:rPr>
                <w:b/>
                <w:i/>
              </w:rPr>
              <w:t>15 895 miljoonaa</w:t>
            </w:r>
            <w:r w:rsidRPr="00A350F4">
              <w:t xml:space="preserve"> euroa maksettiin) vuonna 2022 ja vähenivät </w:t>
            </w:r>
            <w:r w:rsidRPr="00A350F4">
              <w:rPr>
                <w:b/>
                <w:i/>
              </w:rPr>
              <w:t>19 761 miljoonaan</w:t>
            </w:r>
            <w:r w:rsidRPr="00A350F4">
              <w:t xml:space="preserve"> euroon (josta </w:t>
            </w:r>
            <w:r w:rsidRPr="00A350F4">
              <w:rPr>
                <w:b/>
                <w:i/>
              </w:rPr>
              <w:t>18 344 miljoonaa</w:t>
            </w:r>
            <w:r w:rsidRPr="00A350F4">
              <w:t xml:space="preserve"> euroa maksettiin) vuonna 2023; panee tyytyväisenä merkille, että C8-määrärahojen käyttöaste on parantunut vuosien 2022 ja 2023 välillä ja noussut 80,31 prosentista 92,83 prosenttiin; </w:t>
            </w:r>
            <w:r w:rsidRPr="00A350F4">
              <w:rPr>
                <w:b/>
                <w:i/>
              </w:rPr>
              <w:t>panee merkille</w:t>
            </w:r>
            <w:r w:rsidRPr="00A350F4">
              <w:t>, että komitean puheenjohtaja teki 35 virkamatkaa, joiden kulut vuonna 2023 olivat yhteensä 71 926 euroa, kun vuonna 2022 virkamatkoja oli 26 ja niiden kulut olivat 38 042 euroa;</w:t>
            </w:r>
          </w:p>
        </w:tc>
        <w:tc>
          <w:tcPr>
            <w:tcW w:w="4876" w:type="dxa"/>
            <w:tcBorders>
              <w:top w:val="nil"/>
              <w:left w:val="nil"/>
              <w:bottom w:val="nil"/>
              <w:right w:val="nil"/>
            </w:tcBorders>
          </w:tcPr>
          <w:p w:rsidR="00750688" w:rsidRPr="00A350F4" w:rsidRDefault="00750688" w:rsidP="001A544B">
            <w:pPr>
              <w:pStyle w:val="Normal6a"/>
            </w:pPr>
            <w:r w:rsidRPr="00A350F4">
              <w:t>11.</w:t>
            </w:r>
            <w:r w:rsidRPr="00A350F4">
              <w:tab/>
              <w:t xml:space="preserve">panee merkille, että budjettikohdan 1004 (jäsenten matkakulut, mukaan lukien oleskelu- ja kokouspäivärahat) kuluvan vuoden määrärahat olivat </w:t>
            </w:r>
            <w:r w:rsidRPr="00A350F4">
              <w:rPr>
                <w:b/>
                <w:i/>
              </w:rPr>
              <w:t>19 790 000</w:t>
            </w:r>
            <w:r w:rsidRPr="00A350F4">
              <w:t xml:space="preserve"> euroa (josta </w:t>
            </w:r>
            <w:r w:rsidRPr="00A350F4">
              <w:rPr>
                <w:b/>
                <w:i/>
              </w:rPr>
              <w:t>15 895 000</w:t>
            </w:r>
            <w:r w:rsidRPr="00A350F4">
              <w:t xml:space="preserve"> euroa maksettiin) vuonna 2022 ja vähenivät </w:t>
            </w:r>
            <w:r w:rsidRPr="00A350F4">
              <w:rPr>
                <w:b/>
                <w:i/>
              </w:rPr>
              <w:t>19 761 000</w:t>
            </w:r>
            <w:r w:rsidRPr="00A350F4">
              <w:t xml:space="preserve"> euroon (josta </w:t>
            </w:r>
            <w:r w:rsidRPr="00A350F4">
              <w:rPr>
                <w:b/>
                <w:i/>
              </w:rPr>
              <w:t>18 344 000</w:t>
            </w:r>
            <w:r w:rsidRPr="00A350F4">
              <w:t xml:space="preserve"> euroa maksettiin) vuonna 2023; </w:t>
            </w:r>
            <w:r w:rsidRPr="00A350F4">
              <w:rPr>
                <w:b/>
                <w:i/>
              </w:rPr>
              <w:t>toteaa, että tämä väheneminen oli liian maltillista;</w:t>
            </w:r>
            <w:r w:rsidRPr="00A350F4">
              <w:t xml:space="preserve"> panee tyytyväisenä merkille, että C8-määrärahojen käyttöaste on parantunut vuosien 2022 ja 2023 välillä ja noussut 80,31 prosentista 92,83 prosenttiin; </w:t>
            </w:r>
            <w:r w:rsidRPr="00A350F4">
              <w:rPr>
                <w:b/>
                <w:i/>
              </w:rPr>
              <w:t>pitää yllättävänä</w:t>
            </w:r>
            <w:r w:rsidRPr="00A350F4">
              <w:t>, että komitean puheenjohtaja teki 35 virkamatkaa, joiden kulut vuonna 2023 olivat yhteensä 71 926 euroa, kun vuonna 2022 virkamatkoja oli 26 ja niiden kulut olivat 38 042 euroa;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{FR}</w:t>
      </w:r>
      <w:r w:rsidRPr="00A350F4">
        <w:t>fr</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10</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Tomáš Zdechovský</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12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12.</w:t>
            </w:r>
            <w:r w:rsidRPr="00A350F4">
              <w:tab/>
              <w:t xml:space="preserve">panee kyselyn perusteella merkille, että komitean ja AK:n yhteinen innovoinnin ja tietotekniikan osasto osoittaa noin kolme prosenttia tietotekniikkabudjetistaan kyberturvallisuuteen, mikä on kaukana asiaa koskevassa lainsäädännössä säädetystä 10 prosentin tavoitteesta; kehottaa lainsäätäjiä ja komissiota </w:t>
            </w:r>
            <w:r w:rsidRPr="00A350F4">
              <w:lastRenderedPageBreak/>
              <w:t>ottamaan tämän huomioon vuotuisessa talousarviomenettelyssä;</w:t>
            </w:r>
          </w:p>
        </w:tc>
        <w:tc>
          <w:tcPr>
            <w:tcW w:w="4876" w:type="dxa"/>
            <w:tcBorders>
              <w:top w:val="nil"/>
              <w:left w:val="nil"/>
              <w:bottom w:val="nil"/>
              <w:right w:val="nil"/>
            </w:tcBorders>
          </w:tcPr>
          <w:p w:rsidR="00750688" w:rsidRPr="00A350F4" w:rsidRDefault="00750688" w:rsidP="001A544B">
            <w:pPr>
              <w:pStyle w:val="Normal6a"/>
            </w:pPr>
            <w:r w:rsidRPr="00A350F4">
              <w:rPr>
                <w:i/>
                <w:iCs/>
              </w:rPr>
              <w:lastRenderedPageBreak/>
              <w:t>(Tarkistus ei vaikuta suomenkieliseen versioon.)</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11</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Tamás Deutsch</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13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13 a.</w:t>
            </w:r>
            <w:r w:rsidRPr="00A350F4">
              <w:tab/>
            </w:r>
            <w:r w:rsidRPr="00A350F4">
              <w:rPr>
                <w:b/>
                <w:i/>
              </w:rPr>
              <w:t>kehottaa toimielintä arvioimaan, miten korruption ja petosten torjuntaa koskeva Euroopan parlamentin sääntelykehys on epäonnistunut ja miten on mahdollista, että Euroopan parlamentin jäsenet ovat useiden vuosien ajan paljastumatta osallistuneet korruptiota ja rahanpesua harjoittavan mafiankaltaisen verkoston toimintaan;</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12</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Tamás Deutsch</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13 b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13 b.</w:t>
            </w:r>
            <w:r w:rsidRPr="00A350F4">
              <w:tab/>
            </w:r>
            <w:r w:rsidRPr="00A350F4">
              <w:rPr>
                <w:b/>
                <w:i/>
              </w:rPr>
              <w:t>kehottaa toimielintä hankkimaan kokemuksia ja tekemään johtopäätöksiä omien sisäisten sääntöjensä ja menettelyjensä kohdalla ottaen huomioon parlamentin työjärjestyksen ja käytännesääntöjen uudelleentarkastelun syyskuussa 2023; suosittelee kuitenkin, että toimielin kehittää lisää ja tehokkaampia tapoja torjua petoksia ja suojella kaikilta osin EU:n taloudellisia etuja;</w:t>
            </w:r>
          </w:p>
        </w:tc>
      </w:tr>
    </w:tbl>
    <w:p w:rsidR="00750688" w:rsidRPr="00A350F4" w:rsidRDefault="00750688" w:rsidP="00750688">
      <w:pPr>
        <w:pStyle w:val="AmOrLang"/>
      </w:pPr>
      <w:r w:rsidRPr="00A350F4">
        <w:lastRenderedPageBreak/>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13</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Virginie Joron, Tamás Deutsch, Julien Sanchez</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15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15 a.</w:t>
            </w:r>
            <w:r w:rsidRPr="00A350F4">
              <w:tab/>
            </w:r>
            <w:r w:rsidRPr="00A350F4">
              <w:rPr>
                <w:b/>
                <w:i/>
              </w:rPr>
              <w:t>kehottaa Euroopan parlamentin sihteeristöä asettamaan talous- ja sosiaalikomitean kertomukset parlamentin jäsenten ja yleisön saataville Euroopan parlamentissa käytäviä keskusteluja ja eCommittee-sovelluksella toteutettavia äänestyksiä varten;</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{FR}</w:t>
      </w:r>
      <w:r w:rsidRPr="00A350F4">
        <w:t>fr</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14</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Csaba Molnár, Claudiu Manda</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15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15 a.</w:t>
            </w:r>
            <w:r w:rsidRPr="00A350F4">
              <w:tab/>
            </w:r>
            <w:r w:rsidRPr="00A350F4">
              <w:rPr>
                <w:b/>
                <w:i/>
              </w:rPr>
              <w:t>kiittää komiteaa toteutetuista aloitteista, joilla pyritään edistämään nuorten aktiivista osallistumista päätöksentekoprosessiin;</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15</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Caterina Chinnici</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18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18 a.</w:t>
            </w:r>
            <w:r w:rsidRPr="00A350F4">
              <w:tab/>
            </w:r>
            <w:r w:rsidRPr="00A350F4">
              <w:rPr>
                <w:b/>
                <w:i/>
              </w:rPr>
              <w:t>panee merkille, että vuonna 2023 toteutettiin sisäisen tarkastuksen uudelleenjärjestäminen, jonka yhteydessä vahvistettiin sen kansainvälisten tarkastusstandardien vaatimusten mukaisuutta sekä virtaviivaistettiin ja dokumentoitiin kaikki sen prosessit;</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16</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Tamás Deutsch</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21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21 a.</w:t>
            </w:r>
            <w:r w:rsidRPr="00A350F4">
              <w:tab/>
            </w:r>
            <w:r w:rsidRPr="00A350F4">
              <w:rPr>
                <w:b/>
                <w:i/>
              </w:rPr>
              <w:t>muistuttaa, että Euroopan unionista tehdyn sopimuksen mukaan EU ja sen toimielimet edistävät yhteisvastuuta sekä naisten ja miesten tasa-arvoa;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17</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Tomáš Zdechovský</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22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22.</w:t>
            </w:r>
            <w:r w:rsidRPr="00A350F4">
              <w:tab/>
              <w:t xml:space="preserve">pitää myönteisenä komitean jatkuvia pyrkimyksiä parantaa henkilöstöhallinnon kehystään, jotta siitä tulisi houkutteleva työnantaja ja </w:t>
            </w:r>
            <w:r w:rsidRPr="00A350F4">
              <w:rPr>
                <w:b/>
                <w:i/>
              </w:rPr>
              <w:t>se tarjoaisi täysin osallistavan työympäristön</w:t>
            </w:r>
            <w:r w:rsidRPr="00A350F4">
              <w:t xml:space="preserve">, jossa jokaista yksilöä arvostetaan ja jokainen voi kehittää potentiaaliaan täysimääräisesti; panee merkille, että pannessaan vuosien 2023–2025 henkilöstöstrategiaansa täytäntöön komitea saavutti vuonna 2023 useita </w:t>
            </w:r>
            <w:r w:rsidRPr="00A350F4">
              <w:lastRenderedPageBreak/>
              <w:t>keskeisiä välitavoitteita ja hyväksyi uusia päätöksiä muun muassa työoloista (hybridityö, ylityö, erityisloma), monimuotoisuutta ja osallisuutta koskevasta strategiasta ja toimintasuunnitelmasta vuosiksi 2023–2027, henkilöstön liikkuvuudesta ja erityistä luotettavuutta edellyttäviä tehtäviä koskevasta metodologiasta sekä henkilöstön arviointi- ja ylennysjärjestelmästä; panee tyytyväisenä merkille toukokuussa 2023 julkaistun henkilöstön tyytyväisyyskyselyn myönteiset tulokset, joissa sekä henkilöstö että johtajat ilmaisivat olevansa erittäin tyytyväisiä henkilöstöhallinnon alaan kuuluviin eri alueisiin, erityisesti työjärjestelyihin, ja toteaa, että komitea on saanut tältä osin asiat täydelliseen tasapainoon;</w:t>
            </w:r>
          </w:p>
        </w:tc>
        <w:tc>
          <w:tcPr>
            <w:tcW w:w="4876" w:type="dxa"/>
            <w:tcBorders>
              <w:top w:val="nil"/>
              <w:left w:val="nil"/>
              <w:bottom w:val="nil"/>
              <w:right w:val="nil"/>
            </w:tcBorders>
          </w:tcPr>
          <w:p w:rsidR="00750688" w:rsidRPr="00A350F4" w:rsidRDefault="00750688" w:rsidP="001A544B">
            <w:pPr>
              <w:pStyle w:val="Normal6a"/>
            </w:pPr>
            <w:r w:rsidRPr="00A350F4">
              <w:lastRenderedPageBreak/>
              <w:t>22.</w:t>
            </w:r>
            <w:r w:rsidRPr="00A350F4">
              <w:tab/>
              <w:t xml:space="preserve">pitää myönteisenä komitean jatkuvia pyrkimyksiä parantaa henkilöstöhallinnon kehystään, jotta siitä tulisi houkutteleva työnantaja ja </w:t>
            </w:r>
            <w:r w:rsidRPr="00A350F4">
              <w:rPr>
                <w:b/>
                <w:bCs/>
                <w:i/>
                <w:iCs/>
              </w:rPr>
              <w:t>työympäristö</w:t>
            </w:r>
            <w:r w:rsidRPr="00A350F4">
              <w:t xml:space="preserve">, jossa jokaista yksilöä arvostetaan ja jokainen voi kehittää potentiaaliaan täysimääräisesti; panee merkille, että pannessaan vuosien 2023–2025 henkilöstöstrategiaansa täytäntöön komitea saavutti vuonna 2023 useita keskeisiä välitavoitteita ja hyväksyi uusia </w:t>
            </w:r>
            <w:r w:rsidRPr="00A350F4">
              <w:lastRenderedPageBreak/>
              <w:t>päätöksiä muun muassa työoloista (hybridityö, ylityö, erityisloma), monimuotoisuutta ja osallisuutta koskevasta strategiasta ja toimintasuunnitelmasta vuosiksi 2023–2027, henkilöstön liikkuvuudesta ja erityistä luotettavuutta edellyttäviä tehtäviä koskevasta metodologiasta sekä henkilöstön arviointi- ja ylennysjärjestelmästä; panee tyytyväisenä merkille toukokuussa 2023 julkaistun henkilöstön tyytyväisyyskyselyn myönteiset tulokset, joissa sekä henkilöstö että johtajat ilmaisivat olevansa erittäin tyytyväisiä henkilöstöhallinnon alaan kuuluviin eri alueisiin, erityisesti työjärjestelyihin, ja toteaa, että komitea on saanut tältä osin asiat täydelliseen tasapainoon;</w:t>
            </w:r>
          </w:p>
        </w:tc>
      </w:tr>
    </w:tbl>
    <w:p w:rsidR="00750688" w:rsidRPr="00A350F4" w:rsidRDefault="00750688" w:rsidP="00750688">
      <w:pPr>
        <w:pStyle w:val="AmOrLang"/>
      </w:pPr>
      <w:r w:rsidRPr="00A350F4">
        <w:lastRenderedPageBreak/>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18</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Michal Wiezik, Olivier Chastel, Vlad Vasile-Voiculescu, Gilles Boyer</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23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23.</w:t>
            </w:r>
            <w:r w:rsidRPr="00A350F4">
              <w:tab/>
              <w:t>panee merkille, että komitea rekrytoi jo toisena vuonna peräkkäin merkittävässä määrin osaajia (muista toimielimistä), mikä on tulosta houkuttelevuuden lisäämiseen ja osaajien säilyttämiseen keskittyvän kohdennetun suunnitelman täytäntöönpanosta; panee kuitenkin merkille jatkuvat haasteet, jotka johtuvat tukeutumisesta väliaikaisten toimihenkilöiden rekrytointiin siksi, että EPSOn varallaololuetteloja ei ole saatavilla, sillä tämä vaarantaa asiantuntemuksen säilyttämisen;</w:t>
            </w:r>
          </w:p>
        </w:tc>
        <w:tc>
          <w:tcPr>
            <w:tcW w:w="4876" w:type="dxa"/>
            <w:tcBorders>
              <w:top w:val="nil"/>
              <w:left w:val="nil"/>
              <w:bottom w:val="nil"/>
              <w:right w:val="nil"/>
            </w:tcBorders>
          </w:tcPr>
          <w:p w:rsidR="00750688" w:rsidRPr="00A350F4" w:rsidRDefault="00750688" w:rsidP="001A544B">
            <w:pPr>
              <w:pStyle w:val="Normal6a"/>
            </w:pPr>
            <w:r w:rsidRPr="00A350F4">
              <w:t>23.</w:t>
            </w:r>
            <w:r w:rsidRPr="00A350F4">
              <w:tab/>
              <w:t xml:space="preserve">panee merkille, että komitea rekrytoi jo toisena vuonna peräkkäin merkittävässä määrin osaajia (muista toimielimistä), mikä on tulosta houkuttelevuuden lisäämiseen ja osaajien säilyttämiseen keskittyvän kohdennetun suunnitelman täytäntöönpanosta; panee kuitenkin merkille jatkuvat haasteet, jotka johtuvat tukeutumisesta väliaikaisten toimihenkilöiden rekrytointiin siksi, että EPSOn varallaololuetteloja ei ole saatavilla, sillä tämä vaarantaa asiantuntemuksen säilyttämisen; </w:t>
            </w:r>
            <w:r w:rsidRPr="00A350F4">
              <w:rPr>
                <w:b/>
                <w:i/>
              </w:rPr>
              <w:t xml:space="preserve">korostaa vakinaisen henkilöstön merkitystä osaamisen, jatkuvuuden ja tuottavan </w:t>
            </w:r>
            <w:r w:rsidRPr="00A350F4">
              <w:rPr>
                <w:b/>
                <w:i/>
              </w:rPr>
              <w:lastRenderedPageBreak/>
              <w:t>työympäristön ylläpitämisessä; suosittelee komitealle mahdollisia aloitteita näihin haasteisiin vastaamiseksi esimerkiksi järjestämällä sisäisiä kilpailuja;</w:t>
            </w:r>
          </w:p>
        </w:tc>
      </w:tr>
    </w:tbl>
    <w:p w:rsidR="00750688" w:rsidRPr="00A350F4" w:rsidRDefault="00750688" w:rsidP="00750688">
      <w:pPr>
        <w:pStyle w:val="AmOrLang"/>
      </w:pPr>
      <w:r w:rsidRPr="00A350F4">
        <w:lastRenderedPageBreak/>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19</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Csaba Molnár, Claudiu Manda</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24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24.</w:t>
            </w:r>
            <w:r w:rsidRPr="00A350F4">
              <w:tab/>
              <w:t xml:space="preserve">panee merkille, että komitean niukkojen resurssien paremman jakamisen tueksi tilattu ulkoinen henkilöstökartoitustarkastus saatiin päätökseen vuonna 2023; panee merkille, että tarkastuksen tulokset vahvistivat, että monissa komitean eri yksiköissä työmäärä on erittäin suuri, mikä vaarantaa komitean tehtävän ja velvoitteiden täyttämisen; kehottaa komiteaa panemaan kyseisen tarkastuksen suositukset täytäntöön </w:t>
            </w:r>
            <w:r w:rsidRPr="00A350F4">
              <w:rPr>
                <w:b/>
                <w:i/>
              </w:rPr>
              <w:t>ja</w:t>
            </w:r>
            <w:r w:rsidRPr="00A350F4">
              <w:t xml:space="preserve"> jatkamaan </w:t>
            </w:r>
            <w:r w:rsidRPr="00A350F4">
              <w:rPr>
                <w:b/>
                <w:i/>
              </w:rPr>
              <w:t>kustannustehokkuus- ja optimointitoimiaan</w:t>
            </w:r>
            <w:r w:rsidRPr="00A350F4">
              <w:t>;</w:t>
            </w:r>
          </w:p>
        </w:tc>
        <w:tc>
          <w:tcPr>
            <w:tcW w:w="4876" w:type="dxa"/>
            <w:tcBorders>
              <w:top w:val="nil"/>
              <w:left w:val="nil"/>
              <w:bottom w:val="nil"/>
              <w:right w:val="nil"/>
            </w:tcBorders>
          </w:tcPr>
          <w:p w:rsidR="00750688" w:rsidRPr="00A350F4" w:rsidRDefault="00750688" w:rsidP="001A544B">
            <w:pPr>
              <w:pStyle w:val="Normal6a"/>
            </w:pPr>
            <w:r w:rsidRPr="00A350F4">
              <w:t>24.</w:t>
            </w:r>
            <w:r w:rsidRPr="00A350F4">
              <w:tab/>
              <w:t xml:space="preserve">panee merkille, että komitean niukkojen resurssien paremman jakamisen tueksi tilattu ulkoinen henkilöstökartoitustarkastus saatiin päätökseen vuonna 2023; panee </w:t>
            </w:r>
            <w:r w:rsidRPr="00A350F4">
              <w:rPr>
                <w:b/>
                <w:i/>
              </w:rPr>
              <w:t>huolestuneena</w:t>
            </w:r>
            <w:r w:rsidRPr="00A350F4">
              <w:t xml:space="preserve"> merkille, että tarkastuksen tulokset vahvistivat, että monissa komitean eri yksiköissä työmäärä on erittäin suuri, mikä vaarantaa komitean tehtävän ja velvoitteiden täyttämisen; kehottaa komiteaa panemaan kyseisen tarkastuksen suositukset täytäntöön</w:t>
            </w:r>
            <w:r w:rsidRPr="00A350F4">
              <w:rPr>
                <w:b/>
                <w:i/>
              </w:rPr>
              <w:t>, mukaan lukien suorituksenarviointijärjestelmän tarkistaminen vuoteen 2025 mennessä, uuden työoloja koskevan päätöksen hyväksyminen ja henkilöstön osallistumisen säännöllinen seuranta; korostaa strategisen työvoimasuunnittelun merkitystä resurssien kohdentamisen optimoinnissa ja yhdenmukaisuuden varmistamisessa poliittisten viranomaisten määrittämien korkean tason painopisteiden kanssa; kehottaa komiteaa</w:t>
            </w:r>
            <w:r w:rsidRPr="00A350F4">
              <w:t xml:space="preserve"> jatkamaan </w:t>
            </w:r>
            <w:r w:rsidRPr="00A350F4">
              <w:rPr>
                <w:b/>
                <w:i/>
              </w:rPr>
              <w:t>kustannustehokkuustoimiaan</w:t>
            </w:r>
            <w:r w:rsidRPr="00A350F4">
              <w:t>;</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20</w:t>
      </w:r>
      <w:r w:rsidRPr="00A350F4">
        <w:rPr>
          <w:rStyle w:val="HideTWBExt"/>
        </w:rPr>
        <w:t>&lt;/NumAm&gt;</w:t>
      </w:r>
    </w:p>
    <w:p w:rsidR="00750688" w:rsidRPr="00A350F4" w:rsidRDefault="00750688" w:rsidP="00750688">
      <w:pPr>
        <w:pStyle w:val="NormalBold"/>
      </w:pPr>
      <w:r w:rsidRPr="00A350F4">
        <w:rPr>
          <w:rStyle w:val="HideTWBExt"/>
          <w:b w:val="0"/>
        </w:rPr>
        <w:lastRenderedPageBreak/>
        <w:t>&lt;RepeatBlock-By&gt;&lt;Members&gt;</w:t>
      </w:r>
      <w:r w:rsidRPr="00A350F4">
        <w:t>Csaba Molnár, Claudiu Manda</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25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25 a.</w:t>
            </w:r>
            <w:r w:rsidRPr="00A350F4">
              <w:tab/>
            </w:r>
            <w:r w:rsidRPr="00A350F4">
              <w:rPr>
                <w:b/>
                <w:i/>
              </w:rPr>
              <w:t>muistuttaa, että komitea teki 1. tammikuuta 2024 voimaan tulleen päätöksen 282/23A, jolla luotiin joustava, luottamukseen perustuva hybridityöpolitiikka, jolla mahdollistetaan henkilöstölle parempi työ- ja yksityiselämän tasapaino ja parannetaan sopeutuvuutta ja tehokkuutta; pyytää komiteaa ilmoittamaan hyvissä ajoin vastuuvapauden myöntävälle viranomaiselle tässä asiassa tapahtuvasta kehityksestä;</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21</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Csaba Molnár, Claudiu Manda, Marit Maij</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25 b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25 b.</w:t>
            </w:r>
            <w:r w:rsidRPr="00A350F4">
              <w:tab/>
            </w:r>
            <w:r w:rsidRPr="00A350F4">
              <w:rPr>
                <w:b/>
                <w:i/>
              </w:rPr>
              <w:t xml:space="preserve">suhtautuu myönteisesti naispuolisen pääsihteerin nimittämiseen tammikuussa 2024 myönteisenä askeleena kohti sukupuolten tasapuolisen edustuksen saavuttamista; panee kuitenkin huolestuneena merkille, että vain yksi seitsemästä ylemmästä johtajasta on tällä hetkellä naisia, mikä merkitsee laskua vuoteen 2022 verrattuna; korostaa, että on kiireellisesti tehostettava toimia sukupuolten tasa-arvon edistämiseksi komitean korkeimmilla tasoilla ja varmistettava sukupuolten tasapuolinen edustus toimielimen monimuotoisuutta ja osallisuutta koskevien sitoumusten </w:t>
            </w:r>
            <w:r w:rsidRPr="00A350F4">
              <w:rPr>
                <w:b/>
                <w:i/>
              </w:rPr>
              <w:lastRenderedPageBreak/>
              <w:t>mukaisesti;</w:t>
            </w:r>
          </w:p>
        </w:tc>
      </w:tr>
    </w:tbl>
    <w:p w:rsidR="00750688" w:rsidRPr="00A350F4" w:rsidRDefault="00750688" w:rsidP="00750688">
      <w:pPr>
        <w:pStyle w:val="AmOrLang"/>
      </w:pPr>
      <w:r w:rsidRPr="00A350F4">
        <w:lastRenderedPageBreak/>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22</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Pasquale Tridico</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26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26 a.</w:t>
            </w:r>
            <w:r w:rsidRPr="00A350F4">
              <w:tab/>
            </w:r>
            <w:r w:rsidRPr="00A350F4">
              <w:rPr>
                <w:b/>
                <w:i/>
              </w:rPr>
              <w:t>pitää valitettavana, että naisten prosenttiosuus ylimmässä johdossa oli vuonna 2023 edelleen alhainen, ja vaikka nainen nimitettiin pääsihteerin tehtävään vuoden 2024 alussa, osuus oli edelleen vain 40 prosenttia; suhtautuu kuitenkin myönteisesti siihen, että komitea pitää henkilöstönsä ja erityisesti ylemmän johdon sukupuolijakaumaa tärkeänä tekijänä, ja kehottaa komiteaa parantamaan tilannetta;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23</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Csaba Molnár, Claudiu Manda, Marit Maij</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27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27 a.</w:t>
            </w:r>
            <w:r w:rsidRPr="00A350F4">
              <w:tab/>
            </w:r>
            <w:r w:rsidRPr="00A350F4">
              <w:rPr>
                <w:b/>
                <w:i/>
              </w:rPr>
              <w:t xml:space="preserve">pitää valitettavana, että komitea ei kyennyt vuonna 2023 tarjoamaan tietoja työuupumustapauksista; ymmärtää tietosuojaan liittyvät rajoitteet, mutta korostaa anonymisoitujen tilastotietojen merkitystä tietoon perustuvien johtopäätösten tukena; panee huolestuneena merkille havainnot, joissa korostetaan raskasta työtaakkaa useissa yksiköissä rajallisten henkilöresurssien </w:t>
            </w:r>
            <w:r w:rsidRPr="00A350F4">
              <w:rPr>
                <w:b/>
                <w:i/>
              </w:rPr>
              <w:lastRenderedPageBreak/>
              <w:t>vuoksi; suhtautuu myönteisesti uusien työjärjestelyjen käyttöönottoon myönteisenä askeleena, mutta kannustaa komiteaa toteuttamaan lisätoimia varmistaakseen työuupumustapauksia koskevien anonymisoitujen tietojen julkaisemisen;</w:t>
            </w:r>
          </w:p>
        </w:tc>
      </w:tr>
    </w:tbl>
    <w:p w:rsidR="00750688" w:rsidRPr="00A350F4" w:rsidRDefault="00750688" w:rsidP="00750688">
      <w:pPr>
        <w:pStyle w:val="AmOrLang"/>
      </w:pPr>
      <w:r w:rsidRPr="00A350F4">
        <w:lastRenderedPageBreak/>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24</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Pasquale Tridico</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27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27 a.</w:t>
            </w:r>
            <w:r w:rsidRPr="00A350F4">
              <w:tab/>
            </w:r>
            <w:r w:rsidRPr="00A350F4">
              <w:rPr>
                <w:b/>
                <w:i/>
              </w:rPr>
              <w:t>ilmaisee huolensa komitean seurantakertomuksessa antamasta vastauksesta työuupumustapauksia koskien ja hylkää kannan, jonka mukaan työuupumus ei sinänsä ole tunnustettu lääketieteellinen diagnoosi ja että työuupumus voi johtua monista eri syistä; muistuttaa työuupumusta koskevien tilastotietojen tärkeydestä, sillä ne auttavat määrittelemään henkilöstön hyvinvointia koskevia päätöksiä, joiden olisi perustuttava myös aiempiin hyvin valitettaviin kokemuksiin ja nykyisen kehyksen ulkoisiin arviointeihin; </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25</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Csaba Molnár, Claudiu Manda, Marit Maij</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27 b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27 b.</w:t>
            </w:r>
            <w:r w:rsidRPr="00A350F4">
              <w:tab/>
            </w:r>
            <w:r w:rsidRPr="00A350F4">
              <w:rPr>
                <w:b/>
                <w:i/>
              </w:rPr>
              <w:t xml:space="preserve">suhtautuu myönteisesti vuoteen </w:t>
            </w:r>
            <w:r w:rsidRPr="00A350F4">
              <w:rPr>
                <w:b/>
                <w:i/>
              </w:rPr>
              <w:lastRenderedPageBreak/>
              <w:t>2027 ulottuvan uuden monimuotoisuutta ja osallisuutta koskevan strategian hyväksymiseen; on tyytyväinen vuoden 2024 alussa toteutettuihin vammaisuutta koskeviin erityisiin tiedotustoimiin; panee tyytyväisenä merkille, että monimuotoisuutta ja osallisuutta koskeva koulutus on edelleen pakollista johtajille ja suositeltua henkilöstölle; panee merkille komitean vahvan sitoutumisen täysin osallistavan työympäristön edistämiseen; kannustaa komiteaa toteuttamaan lisätoimia vammaisten työntekijöiden edustuksen seuraamiseksi ja tätä koskevien anonymisoitujen tietojen julkaisemisen varmistamiseksi;</w:t>
            </w:r>
          </w:p>
        </w:tc>
      </w:tr>
    </w:tbl>
    <w:p w:rsidR="00750688" w:rsidRPr="00A350F4" w:rsidRDefault="00750688" w:rsidP="00750688">
      <w:pPr>
        <w:pStyle w:val="AmOrLang"/>
      </w:pPr>
      <w:r w:rsidRPr="00A350F4">
        <w:lastRenderedPageBreak/>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26</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Csaba Molnár, Claudiu Manda</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28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28.</w:t>
            </w:r>
            <w:r w:rsidRPr="00A350F4">
              <w:tab/>
              <w:t xml:space="preserve">panee merkille, että komitea jatkoi sisäistä uudistusprosessiaan antamalla vuonna 2023 päätöksen hallinnollisia tutkimuksia koskevista yleisistä täytäntöönpanosäännöksistä ja kurinpitomenettelyjä koskevista täytäntöönpanosäännöistä; antaa komitealle kiitosta tämän viimeisen askeleen ottamisesta, jotta komitean eettisten puitteiden vahvistamista koskevat toimenpiteet pannaan kokonaisuudessaan täytäntöön; panee seurantakertomuksesta merkille, että komitea ja sisäinen tarkastaja ovat sopineet komitean etiikkaa ja lahjomattomuutta koskevaan tarkastukseen liittyvästä toimintasuunnitelmasta, johon kuuluvista suosituksista kahdeksan on pantu täytäntöön ja saatettu päätökseen ja joista kaksi olisi pantava täytäntöön </w:t>
            </w:r>
            <w:r w:rsidRPr="00A350F4">
              <w:lastRenderedPageBreak/>
              <w:t>maaliskuuhun 2025 mennessä; kehottaa komiteaa tiedottamaan vastuuvapauden myöntävälle viranomaiselle asiassa saavutetusta edistyksestä;</w:t>
            </w:r>
          </w:p>
        </w:tc>
        <w:tc>
          <w:tcPr>
            <w:tcW w:w="4876" w:type="dxa"/>
            <w:tcBorders>
              <w:top w:val="nil"/>
              <w:left w:val="nil"/>
              <w:bottom w:val="nil"/>
              <w:right w:val="nil"/>
            </w:tcBorders>
          </w:tcPr>
          <w:p w:rsidR="00750688" w:rsidRPr="00A350F4" w:rsidRDefault="00750688" w:rsidP="00A350F4">
            <w:pPr>
              <w:pStyle w:val="Normal6a"/>
            </w:pPr>
            <w:r w:rsidRPr="00A350F4">
              <w:rPr>
                <w:i/>
                <w:iCs/>
              </w:rPr>
              <w:lastRenderedPageBreak/>
              <w:t>(Tarkistus ei vaikuta suomenkieliseen versioon.)</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27</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Damian Boeselager</w:t>
      </w:r>
      <w:r w:rsidRPr="00A350F4">
        <w:rPr>
          <w:rStyle w:val="HideTWBExt"/>
          <w:b w:val="0"/>
        </w:rPr>
        <w:t>&lt;/Members&gt;</w:t>
      </w:r>
    </w:p>
    <w:p w:rsidR="00750688" w:rsidRPr="00A350F4" w:rsidRDefault="00750688" w:rsidP="00750688">
      <w:r w:rsidRPr="00A350F4">
        <w:rPr>
          <w:rStyle w:val="HideTWBExt"/>
        </w:rPr>
        <w:t>&lt;AuNomDe&gt;</w:t>
      </w:r>
      <w:r w:rsidRPr="00A350F4">
        <w:rPr>
          <w:rStyle w:val="HideTWBInt"/>
        </w:rPr>
        <w:t>{Greens/EFA}</w:t>
      </w:r>
      <w:r w:rsidRPr="00A350F4">
        <w:t>Verts/ALE-ryhmän puolesta</w:t>
      </w:r>
      <w:r w:rsidRPr="00A350F4">
        <w:rPr>
          <w:rStyle w:val="HideTWBExt"/>
        </w:rPr>
        <w:t>&lt;/AuNomDe&gt;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30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30.</w:t>
            </w:r>
            <w:r w:rsidRPr="00A350F4">
              <w:tab/>
              <w:t>panee merkille, että vuonna 2023 raportoitiin yhdestä häirintää koskevasta kantelusta, jonka komitea tutki samana vuonna ja jonka käsittely päätettiin sovittelun tuloksena ilman seuraamuksia; palauttaa mieliin, että komitea on asianomistaja vireillä olevassa oikeudenkäynnissä, jonka Belgian kansalliset viranomaiset ovat käynnistäneet väärinkäytöksistä syytettyä entistä jäsentä vastaan, ja että belgialaiset tuomioistuimet käsittelevät asiaa parhaillaan; pyytää komiteaa tiedottamaan parlamentille asian etenemisestä;</w:t>
            </w:r>
          </w:p>
        </w:tc>
        <w:tc>
          <w:tcPr>
            <w:tcW w:w="4876" w:type="dxa"/>
            <w:tcBorders>
              <w:top w:val="nil"/>
              <w:left w:val="nil"/>
              <w:bottom w:val="nil"/>
              <w:right w:val="nil"/>
            </w:tcBorders>
          </w:tcPr>
          <w:p w:rsidR="00750688" w:rsidRPr="00A350F4" w:rsidRDefault="00750688" w:rsidP="001A544B">
            <w:pPr>
              <w:pStyle w:val="Normal6a"/>
            </w:pPr>
            <w:r w:rsidRPr="00A350F4">
              <w:t>30.</w:t>
            </w:r>
            <w:r w:rsidRPr="00A350F4">
              <w:tab/>
              <w:t xml:space="preserve">panee merkille, että vuonna 2023 raportoitiin yhdestä häirintää koskevasta kantelusta, jonka komitea tutki samana vuonna ja jonka käsittely päätettiin sovittelun tuloksena ilman seuraamuksia; palauttaa mieliin, että komitea on asianomistaja vireillä olevassa oikeudenkäynnissä, jonka Belgian kansalliset viranomaiset ovat käynnistäneet väärinkäytöksistä syytettyä entistä jäsentä vastaan, ja että belgialaiset tuomioistuimet käsittelevät asiaa parhaillaan; pyytää komiteaa tiedottamaan parlamentille asian etenemisestä; </w:t>
            </w:r>
            <w:r w:rsidRPr="00A350F4">
              <w:rPr>
                <w:b/>
                <w:i/>
              </w:rPr>
              <w:t>kehottaa perustamaan ETSK:n yhteyteen riippumattoman valvontaelimen valvomaan häirinnän vastaisten toimintaperiaatteiden toteutumista, suorittamaan raportoitujen tapausten vuosittaisia arviointeja ja julkaisemaan vuosikertomuksen työympäristön lahjomattomuudesta;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28</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Csaba Molnár, Claudiu Manda, Marit Maij</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lastRenderedPageBreak/>
        <w:t>&lt;Article&gt;</w:t>
      </w:r>
      <w:r w:rsidRPr="00A350F4">
        <w:t>30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30.</w:t>
            </w:r>
            <w:r w:rsidRPr="00A350F4">
              <w:tab/>
              <w:t>panee merkille, että vuonna 2023 raportoitiin yhdestä häirintää koskevasta kantelusta, jonka komitea tutki samana vuonna ja jonka käsittely päätettiin sovittelun tuloksena ilman seuraamuksia; palauttaa mieliin, että komitea on asianomistaja vireillä olevassa oikeudenkäynnissä, jonka Belgian kansalliset viranomaiset ovat käynnistäneet väärinkäytöksistä syytettyä entistä jäsentä vastaan, ja että belgialaiset tuomioistuimet käsittelevät asiaa parhaillaan; pyytää komiteaa tiedottamaan parlamentille asian etenemisestä;</w:t>
            </w:r>
          </w:p>
        </w:tc>
        <w:tc>
          <w:tcPr>
            <w:tcW w:w="4876" w:type="dxa"/>
            <w:tcBorders>
              <w:top w:val="nil"/>
              <w:left w:val="nil"/>
              <w:bottom w:val="nil"/>
              <w:right w:val="nil"/>
            </w:tcBorders>
          </w:tcPr>
          <w:p w:rsidR="00750688" w:rsidRPr="00A350F4" w:rsidRDefault="00750688" w:rsidP="001A544B">
            <w:pPr>
              <w:pStyle w:val="Normal6a"/>
            </w:pPr>
            <w:r w:rsidRPr="00A350F4">
              <w:t>30.</w:t>
            </w:r>
            <w:r w:rsidRPr="00A350F4">
              <w:tab/>
              <w:t xml:space="preserve">panee merkille, että vuonna 2023 raportoitiin yhdestä häirintää koskevasta kantelusta, jonka komitea tutki samana vuonna ja jonka käsittely päätettiin sovittelun tuloksena ilman seuraamuksia; palauttaa mieliin, että komitea on asianomistaja vireillä olevassa oikeudenkäynnissä, jonka Belgian kansalliset viranomaiset ovat käynnistäneet väärinkäytöksistä syytettyä entistä jäsentä vastaan, ja että belgialaiset tuomioistuimet käsittelevät asiaa parhaillaan; pyytää komiteaa tiedottamaan parlamentille asian etenemisestä; </w:t>
            </w:r>
            <w:r w:rsidRPr="00A350F4">
              <w:rPr>
                <w:b/>
                <w:i/>
              </w:rPr>
              <w:t>katsoo, että kunnioituksen ja ihmisarvoisen kohtelun kulttuurin edistäminen, jota tuetaan nollatoleranssilinjalla häirinnän suhteen, on ratkaisevan tärkeää, jotta voidaan ehkäistä tulevia syytöksiä ja varmistaa turvallinen ja osallistava työympäristö komiteassa;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29</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Pasquale Tridico</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30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30 a.</w:t>
            </w:r>
            <w:r w:rsidRPr="00A350F4">
              <w:tab/>
            </w:r>
            <w:r w:rsidRPr="00A350F4">
              <w:rPr>
                <w:b/>
                <w:i/>
              </w:rPr>
              <w:t xml:space="preserve">muistuttaa, että henkilöstön hyvinvoinnin suojelemiseksi tarvitaan nollatoleranssilinja häirinnän suhteen ja että se on kaikkien työnantajien velvollisuus; muistuttaa, että häirintäsyytösten käsittelyssä olisi omaksuttava kokemuksiin perustuva lähestymistapa mahdollisten väärinkäytösten välttämiseksi; katsoo edelleen, että oikeudellisen menettelyn </w:t>
            </w:r>
            <w:r w:rsidRPr="00A350F4">
              <w:rPr>
                <w:b/>
                <w:i/>
              </w:rPr>
              <w:lastRenderedPageBreak/>
              <w:t>kohteena olevan tapauksen ulkoinen ja riippumaton tutkinta olisi hyödyllinen, koska sen avulla voidaan parantaa komitean reagointia samankaltaisiin tapauksiin;</w:t>
            </w:r>
          </w:p>
        </w:tc>
      </w:tr>
    </w:tbl>
    <w:p w:rsidR="00750688" w:rsidRPr="00A350F4" w:rsidRDefault="00750688" w:rsidP="00750688">
      <w:pPr>
        <w:pStyle w:val="AmOrLang"/>
      </w:pPr>
      <w:r w:rsidRPr="00A350F4">
        <w:lastRenderedPageBreak/>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30</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Csaba Molnár, Claudiu Manda</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31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31.</w:t>
            </w:r>
            <w:r w:rsidRPr="00A350F4">
              <w:tab/>
              <w:t>panee merkille, että vuonna 2023 OLAF avasi käsittelyn kahdesta tapauksesta, joista molemmat hylättiin samana vuonna, sillä toisessa tapauksessa näyttöä ei ollut riittävästi ja toinen tapauksista siirrettiin komitean käsiteltäväksi jatkotoimia varten; kehottaa komiteaa tiedottamaan vastuuvapauden myöntävälle viranomaiselle jälkimmäisessä tapauksessa saavutetusta edistyksestä; panee lisäksi merkille, että oikeusasiamies käynnisti vuonna 2023 tutkimuksen siitä, kuinka komitea käsitteli työntekijän väitettyä häirintää; pyytää komiteaa tiedottamaan vastuuvapauden myöntävälle viranomaiselle tutkimuksen tuloksista;</w:t>
            </w:r>
          </w:p>
        </w:tc>
        <w:tc>
          <w:tcPr>
            <w:tcW w:w="4876" w:type="dxa"/>
            <w:tcBorders>
              <w:top w:val="nil"/>
              <w:left w:val="nil"/>
              <w:bottom w:val="nil"/>
              <w:right w:val="nil"/>
            </w:tcBorders>
          </w:tcPr>
          <w:p w:rsidR="00750688" w:rsidRPr="00A350F4" w:rsidRDefault="00750688" w:rsidP="001A544B">
            <w:pPr>
              <w:pStyle w:val="Normal6a"/>
            </w:pPr>
            <w:r w:rsidRPr="00A350F4">
              <w:t>31.</w:t>
            </w:r>
            <w:r w:rsidRPr="00A350F4">
              <w:tab/>
            </w:r>
            <w:r w:rsidRPr="00A350F4">
              <w:rPr>
                <w:b/>
                <w:i/>
              </w:rPr>
              <w:t>arvostaa komitean valmiutta tehdä yhteistyötä unionin tutkintaelinten eli Euroopan petostentorjuntaviraston (OLAF), Euroopan syyttäjänviraston (EPPO) ja oikeusasiamiehen kanssa;</w:t>
            </w:r>
            <w:r w:rsidRPr="00A350F4">
              <w:t xml:space="preserve"> panee merkille, että vuonna 2023 OLAF avasi käsittelyn kahdesta tapauksesta, joista molemmat hylättiin samana vuonna, sillä toisessa tapauksessa näyttöä ei ollut riittävästi ja toinen tapauksista siirrettiin komitean käsiteltäväksi jatkotoimia varten; kehottaa komiteaa tiedottamaan vastuuvapauden myöntävälle viranomaiselle jälkimmäisessä tapauksessa saavutetusta edistyksestä; panee lisäksi merkille, että oikeusasiamies käynnisti vuonna 2023 tutkimuksen siitä, kuinka komitea käsitteli työntekijän väitettyä häirintää; pyytää komiteaa tiedottamaan vastuuvapauden myöntävälle viranomaiselle tutkimuksen tuloksista;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31</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Damian Boeselager</w:t>
      </w:r>
      <w:r w:rsidRPr="00A350F4">
        <w:rPr>
          <w:rStyle w:val="HideTWBExt"/>
          <w:b w:val="0"/>
        </w:rPr>
        <w:t>&lt;/Members&gt;</w:t>
      </w:r>
    </w:p>
    <w:p w:rsidR="00750688" w:rsidRPr="00A350F4" w:rsidRDefault="00750688" w:rsidP="00750688">
      <w:r w:rsidRPr="00A350F4">
        <w:rPr>
          <w:rStyle w:val="HideTWBExt"/>
        </w:rPr>
        <w:t>&lt;AuNomDe&gt;</w:t>
      </w:r>
      <w:r w:rsidRPr="00A350F4">
        <w:rPr>
          <w:rStyle w:val="HideTWBInt"/>
        </w:rPr>
        <w:t>{Greens/EFA}</w:t>
      </w:r>
      <w:r w:rsidRPr="00A350F4">
        <w:t>Verts/ALE-ryhmän puolesta</w:t>
      </w:r>
      <w:r w:rsidRPr="00A350F4">
        <w:rPr>
          <w:rStyle w:val="HideTWBExt"/>
        </w:rPr>
        <w:t>&lt;/AuNomDe&gt;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lastRenderedPageBreak/>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32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32.</w:t>
            </w:r>
            <w:r w:rsidRPr="00A350F4">
              <w:tab/>
              <w:t>panee tyytyväisenä merkille komitean vuonna 2023 tekemän työn sen toiminnan avoimuuden lisäämiseksi; panee tässä yhteydessä merkille päätöksen, jolla laajennetaan avoimuusrekisterin kautta verkossa saatavilla olevien asiakirjojen valikoimaa, kuten komitean kokouspöytäkirjat ja läsnäololuettelot, sekä päätöksen, jossa komitean jäseniä pyydetään tapaamaan vain rekisteröityjä sidosryhmiä, julkaisemaan kokousluettelonsa ja sisällyttämään lausuntoihinsa nk. lainsäädännöllisen jalanjälkensä; antaa arvoa sille, että komitea julkaisee verkossa tietoja vuotuisesta talousarviostaan, tulosindikaattoreistaan, menoistaan ja julkisista hankinnoistaan;</w:t>
            </w:r>
          </w:p>
        </w:tc>
        <w:tc>
          <w:tcPr>
            <w:tcW w:w="4876" w:type="dxa"/>
            <w:tcBorders>
              <w:top w:val="nil"/>
              <w:left w:val="nil"/>
              <w:bottom w:val="nil"/>
              <w:right w:val="nil"/>
            </w:tcBorders>
          </w:tcPr>
          <w:p w:rsidR="00750688" w:rsidRPr="00A350F4" w:rsidRDefault="00750688" w:rsidP="001A544B">
            <w:pPr>
              <w:pStyle w:val="Normal6a"/>
            </w:pPr>
            <w:r w:rsidRPr="00A350F4">
              <w:t>32.</w:t>
            </w:r>
            <w:r w:rsidRPr="00A350F4">
              <w:tab/>
              <w:t xml:space="preserve">panee tyytyväisenä merkille komitean vuonna 2023 tekemän työn sen toiminnan avoimuuden lisäämiseksi; panee tässä yhteydessä merkille päätöksen, jolla laajennetaan avoimuusrekisterin kautta verkossa saatavilla olevien asiakirjojen valikoimaa, kuten komitean kokouspöytäkirjat ja läsnäololuettelot, sekä päätöksen, jossa komitean jäseniä pyydetään tapaamaan vain rekisteröityjä sidosryhmiä, julkaisemaan kokousluettelonsa ja sisällyttämään lausuntoihinsa nk. lainsäädännöllisen jalanjälkensä; antaa arvoa sille, että komitea julkaisee verkossa tietoja vuotuisesta talousarviostaan, tulosindikaattoreistaan, menoistaan ja julkisista hankinnoistaan; </w:t>
            </w:r>
            <w:r w:rsidRPr="00A350F4">
              <w:rPr>
                <w:b/>
                <w:i/>
              </w:rPr>
              <w:t>kehottaa julkaisemaan kaikki ETSK:n jäsenten kolmansien osapuolten kanssa pitämät kokoukset;</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32</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Caterina Chinnici</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33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33 a.</w:t>
            </w:r>
            <w:r w:rsidRPr="00A350F4">
              <w:tab/>
            </w:r>
            <w:r w:rsidRPr="00A350F4">
              <w:rPr>
                <w:b/>
                <w:i/>
              </w:rPr>
              <w:t xml:space="preserve">panee merkille, että komitean työvaliokunta hyväksyi 21. maaliskuuta 2023 useita avoimuustoimenpiteitä EU:n avoimuusrekisterin osalta vahvistettujen periaatteiden mukaisesti, kuten suosituksen luottamustehtävissä oleville jäsenille tavata ainoastaan rekisteröityneitä sidosryhmiä, luottamustehtävissä olevien jäsenten </w:t>
            </w:r>
            <w:r w:rsidRPr="00A350F4">
              <w:rPr>
                <w:b/>
                <w:i/>
              </w:rPr>
              <w:lastRenderedPageBreak/>
              <w:t>velvollisuuden julkaista luettelo kokouksistaan ja vapaaehtoisen lainsäädäntöjalanjäljen esittelijöille; panee merkille, että työvaliokunnan päätöksen täytäntöönpanemiseksi toteutettiin useita toimia, muun muassa annettiin palveluilmoitus, jossa vahvistetaan päätöksen täytäntöönpanoa koskevat yksityiskohtaiset säännöt, järjestettiin valistuskoulutuskampanja ja määrättiin viestimalleista, jotka on sisällytettävä komitean jäsenten ja ulkoisten sidosryhmien väliseen kirjeenvaihtoon, jossa sidosryhmiä kannustetaan liittymään EU:n avoimuusrekisteriin (soveltuvissa tapauksissa);</w:t>
            </w:r>
          </w:p>
        </w:tc>
      </w:tr>
    </w:tbl>
    <w:p w:rsidR="00750688" w:rsidRPr="00A350F4" w:rsidRDefault="00750688" w:rsidP="00750688">
      <w:pPr>
        <w:pStyle w:val="AmOrLang"/>
      </w:pPr>
      <w:r w:rsidRPr="00A350F4">
        <w:lastRenderedPageBreak/>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33</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Damian Boeselager</w:t>
      </w:r>
      <w:r w:rsidRPr="00A350F4">
        <w:rPr>
          <w:rStyle w:val="HideTWBExt"/>
          <w:b w:val="0"/>
        </w:rPr>
        <w:t>&lt;/Members&gt;</w:t>
      </w:r>
    </w:p>
    <w:p w:rsidR="00750688" w:rsidRPr="00A350F4" w:rsidRDefault="00750688" w:rsidP="00750688">
      <w:r w:rsidRPr="00A350F4">
        <w:rPr>
          <w:rStyle w:val="HideTWBExt"/>
        </w:rPr>
        <w:t>&lt;AuNomDe&gt;</w:t>
      </w:r>
      <w:r w:rsidRPr="00A350F4">
        <w:rPr>
          <w:rStyle w:val="HideTWBInt"/>
        </w:rPr>
        <w:t>{Greens/EFA}</w:t>
      </w:r>
      <w:r w:rsidRPr="00A350F4">
        <w:t>Verts/ALE-ryhmän puolesta</w:t>
      </w:r>
      <w:r w:rsidRPr="00A350F4">
        <w:rPr>
          <w:rStyle w:val="HideTWBExt"/>
        </w:rPr>
        <w:t>&lt;/AuNomDe&gt;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33 b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33 b.</w:t>
            </w:r>
            <w:r w:rsidRPr="00A350F4">
              <w:tab/>
            </w:r>
            <w:r w:rsidRPr="00A350F4">
              <w:rPr>
                <w:b/>
                <w:i/>
              </w:rPr>
              <w:t>kehottaa ETSK:ta seuraamaan ilmoitettuja eturistiriitoja reaaliaikaisesti ja vaatimaan kaikkia jäseniä ja ylempiä toimihenkilöitä julkistamaan vuosittain taloudelliset edut, varat ja ulkoiset sidonnaisuudet, jotta voidaan estää asiaton vaikutus päätöksentekoon;</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34</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Damian Boeselager</w:t>
      </w:r>
      <w:r w:rsidRPr="00A350F4">
        <w:rPr>
          <w:rStyle w:val="HideTWBExt"/>
          <w:b w:val="0"/>
        </w:rPr>
        <w:t>&lt;/Members&gt;</w:t>
      </w:r>
    </w:p>
    <w:p w:rsidR="00750688" w:rsidRPr="00A350F4" w:rsidRDefault="00750688" w:rsidP="00750688">
      <w:r w:rsidRPr="00A350F4">
        <w:rPr>
          <w:rStyle w:val="HideTWBExt"/>
        </w:rPr>
        <w:t>&lt;AuNomDe&gt;</w:t>
      </w:r>
      <w:r w:rsidRPr="00A350F4">
        <w:rPr>
          <w:rStyle w:val="HideTWBInt"/>
        </w:rPr>
        <w:t>{Greens/EFA}</w:t>
      </w:r>
      <w:r w:rsidRPr="00A350F4">
        <w:t>Verts/ALE-ryhmän puolesta</w:t>
      </w:r>
      <w:r w:rsidRPr="00A350F4">
        <w:rPr>
          <w:rStyle w:val="HideTWBExt"/>
        </w:rPr>
        <w:t>&lt;/AuNomDe&gt;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lastRenderedPageBreak/>
        <w:t>&lt;Article&gt;</w:t>
      </w:r>
      <w:r w:rsidRPr="00A350F4">
        <w:t>33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33 a.</w:t>
            </w:r>
            <w:r w:rsidRPr="00A350F4">
              <w:tab/>
            </w:r>
            <w:r w:rsidRPr="00A350F4">
              <w:rPr>
                <w:b/>
                <w:i/>
              </w:rPr>
              <w:t>kehottaa ottamaan käyttöön pakollisen kahden vuoden karenssiajan entisille ETSK:n jäsenille, ennen kuin he voivat osallistua EU:n päätöksentekoon liittyviin lobbaus-, konsultointi- tai neuvontatehtäviin, jotta voidaan varmistaa vahvemmat suojatoimet eturistiriitojen varalta;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35</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Pasquale Tridico</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34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34.</w:t>
            </w:r>
            <w:r w:rsidRPr="00A350F4">
              <w:tab/>
              <w:t>panee merkille, että vuonna 2023 ei ilmoitettu petos-, eturistiriita- ja väärinkäytösten paljastamistapauksista; panee merkille, että komitean petostentorjuntatoimenpiteiden vaikuttavuutta tarkasteltiin, jotta voidaan kehittää petostentorjuntastrategia, johon sisältyy toimia yleisen petostentorjuntajärjestelmän parantamiseksi; kehottaa komiteaa tiedottamaan vastuuvapauden myöntävälle viranomaiselle näiden toimien tuloksista;</w:t>
            </w:r>
          </w:p>
        </w:tc>
        <w:tc>
          <w:tcPr>
            <w:tcW w:w="4876" w:type="dxa"/>
            <w:tcBorders>
              <w:top w:val="nil"/>
              <w:left w:val="nil"/>
              <w:bottom w:val="nil"/>
              <w:right w:val="nil"/>
            </w:tcBorders>
          </w:tcPr>
          <w:p w:rsidR="00750688" w:rsidRPr="00A350F4" w:rsidRDefault="00750688" w:rsidP="001A544B">
            <w:pPr>
              <w:pStyle w:val="Normal6a"/>
            </w:pPr>
            <w:r w:rsidRPr="00A350F4">
              <w:t>34.</w:t>
            </w:r>
            <w:r w:rsidRPr="00A350F4">
              <w:tab/>
              <w:t xml:space="preserve">panee merkille, että vuonna 2023 ei ilmoitettu petos-, eturistiriita- ja väärinkäytösten paljastamistapauksista; panee merkille, että komitean petostentorjuntatoimenpiteiden vaikuttavuutta tarkasteltiin, jotta voidaan kehittää petostentorjuntastrategia, </w:t>
            </w:r>
            <w:r w:rsidRPr="00A350F4">
              <w:rPr>
                <w:b/>
                <w:i/>
              </w:rPr>
              <w:t>jota ei edelleenkään ole huolimatta parlamentin vastuuvapauspäätöslauselmissaan esittämistä useista pyynnöistä ja</w:t>
            </w:r>
            <w:r w:rsidRPr="00A350F4">
              <w:t xml:space="preserve"> johon sisältyy toimia yleisen petostentorjuntajärjestelmän parantamiseksi;</w:t>
            </w:r>
            <w:r w:rsidRPr="00A350F4">
              <w:rPr>
                <w:b/>
                <w:i/>
              </w:rPr>
              <w:t xml:space="preserve"> muistuttaa kattavan petostentorjuntastrategian tärkeydestä ja </w:t>
            </w:r>
            <w:r w:rsidRPr="00A350F4">
              <w:t>kehottaa komiteaa tiedottamaan vastuuvapauden myöntävälle viranomaiselle näiden toimien</w:t>
            </w:r>
            <w:r w:rsidRPr="00A350F4">
              <w:rPr>
                <w:b/>
                <w:i/>
              </w:rPr>
              <w:t>, joiden olisi pitänyt huipentua petostentorjuntastrategian hyväksymiseen vuonna 2024,</w:t>
            </w:r>
            <w:r w:rsidRPr="00A350F4">
              <w:t xml:space="preserve"> tuloksista;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lastRenderedPageBreak/>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36</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Csaba Molnár, Claudiu Manda</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34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34.</w:t>
            </w:r>
            <w:r w:rsidRPr="00A350F4">
              <w:tab/>
              <w:t>panee merkille, että vuonna 2023 ei ilmoitettu petos-, eturistiriita- ja väärinkäytösten paljastamistapauksista; panee merkille, että komitean petostentorjuntatoimenpiteiden vaikuttavuutta tarkasteltiin, jotta voidaan kehittää petostentorjuntastrategia, johon sisältyy toimia yleisen petostentorjuntajärjestelmän parantamiseksi; kehottaa komiteaa tiedottamaan vastuuvapauden myöntävälle viranomaiselle näiden toimien tuloksista;</w:t>
            </w:r>
          </w:p>
        </w:tc>
        <w:tc>
          <w:tcPr>
            <w:tcW w:w="4876" w:type="dxa"/>
            <w:tcBorders>
              <w:top w:val="nil"/>
              <w:left w:val="nil"/>
              <w:bottom w:val="nil"/>
              <w:right w:val="nil"/>
            </w:tcBorders>
          </w:tcPr>
          <w:p w:rsidR="00750688" w:rsidRPr="00A350F4" w:rsidRDefault="00750688" w:rsidP="001A544B">
            <w:pPr>
              <w:pStyle w:val="Normal6a"/>
            </w:pPr>
            <w:r w:rsidRPr="00A350F4">
              <w:t>34.</w:t>
            </w:r>
            <w:r w:rsidRPr="00A350F4">
              <w:tab/>
              <w:t xml:space="preserve">panee merkille, että vuonna 2023 ei ilmoitettu petos-, eturistiriita- ja väärinkäytösten paljastamistapauksista; panee merkille, että komitean petostentorjuntatoimenpiteiden vaikuttavuutta tarkasteltiin, jotta voidaan kehittää petostentorjuntastrategia, johon sisältyy toimia yleisen petostentorjuntajärjestelmän parantamiseksi; kehottaa </w:t>
            </w:r>
            <w:r w:rsidRPr="00A350F4">
              <w:rPr>
                <w:b/>
                <w:i/>
              </w:rPr>
              <w:t>hyväksymään tämän strategian nopeasti ja</w:t>
            </w:r>
            <w:r w:rsidRPr="00A350F4">
              <w:t xml:space="preserve"> komiteaa tiedottamaan vastuuvapauden myöntävälle viranomaiselle näiden toimien tuloksista;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37</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Caterina Chinnici</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39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39 a.</w:t>
            </w:r>
            <w:r w:rsidRPr="00A350F4">
              <w:tab/>
            </w:r>
            <w:r w:rsidRPr="00A350F4">
              <w:rPr>
                <w:b/>
                <w:i/>
              </w:rPr>
              <w:t>panee merkille, että lokakuussa 2023 hyväksyttiin tekoälyn käyttöä koskevat ohjeet henkilöstön jäsenille, että kaikille henkilöstön jäsenille järjestettiin tiedotustilaisuus, jossa korostettiin mahdollisuuksia ja haasteita, ja että henkilöstön jäsenille tarjottiin lisätietoa komitean intranetissä tietoon perustuvien artikkeleiden avulla tietoisuuden lisäämiseksi; </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lastRenderedPageBreak/>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38</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Damian Boeselager</w:t>
      </w:r>
      <w:r w:rsidRPr="00A350F4">
        <w:rPr>
          <w:rStyle w:val="HideTWBExt"/>
          <w:b w:val="0"/>
        </w:rPr>
        <w:t>&lt;/Members&gt;</w:t>
      </w:r>
    </w:p>
    <w:p w:rsidR="00750688" w:rsidRPr="00A350F4" w:rsidRDefault="00750688" w:rsidP="00750688">
      <w:r w:rsidRPr="00A350F4">
        <w:rPr>
          <w:rStyle w:val="HideTWBExt"/>
        </w:rPr>
        <w:t>&lt;AuNomDe&gt;</w:t>
      </w:r>
      <w:r w:rsidRPr="00A350F4">
        <w:rPr>
          <w:rStyle w:val="HideTWBInt"/>
        </w:rPr>
        <w:t>{Greens/EFA}</w:t>
      </w:r>
      <w:r w:rsidRPr="00A350F4">
        <w:t>Verts/ALE-ryhmän puolesta</w:t>
      </w:r>
      <w:r w:rsidRPr="00A350F4">
        <w:rPr>
          <w:rStyle w:val="HideTWBExt"/>
        </w:rPr>
        <w:t>&lt;/AuNomDe&gt;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40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40 a.</w:t>
            </w:r>
            <w:r w:rsidRPr="00A350F4">
              <w:tab/>
            </w:r>
            <w:r w:rsidRPr="00A350F4">
              <w:rPr>
                <w:b/>
                <w:i/>
              </w:rPr>
              <w:t>kehottaa ETSK:ta lisäämään kyberturvallisuusmäärärahojaan vähintään kymmeneen prosenttiin kaikista tietotekniikkamenoistaan EU:n kyberturvallisuusdirektiivien mukaisesti, jotta voidaan varmistaa, että kyberuhkilta suojaudutaan paremmin, erityisesti toimintapolitiikkaan ja talousarvioon liittyvien arkaluonteisten tietojen osalta;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39</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Caterina Chinnici</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41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41.</w:t>
            </w:r>
            <w:r w:rsidRPr="00A350F4">
              <w:tab/>
              <w:t xml:space="preserve">ilmoittaa vastaanottaneensa komitean 3. kesäkuuta 2024 päivätyn kertomuksen, jossa vastuuvapauden myöntävälle viranomaiselle ilmoitetaan komitean kiinteistöpolitiikasta unionin varainhoitoasetuksen 266 artiklan 1 kohdan mukaisesti; panee tyytyväisenä merkille, että komitea saavutti yhdessä AK:n kanssa yhden vuoden 2017 kiinteistöstrategiansa tärkeimmistä tavoitteista, joka koski rakennusten maantieteellistä keskittämistä; panee lisäksi merkille, että tämä on jo saanut aikaan säästöjä, koska koko VMA-rakennuksen vuokraaminen on ollut edullisempaa kuin aiemmin vuokrattujen </w:t>
            </w:r>
            <w:r w:rsidRPr="00A350F4">
              <w:lastRenderedPageBreak/>
              <w:t>kolmen rakennuksen vuokrakustannukset; on siinä käsityksessä, että nämä säästöt ovat noin 1,8 miljoonaa euroa, mikä vastaa kyseisen kertomuksen mukaan B100-rakennuksesta maksettua vuokraa;</w:t>
            </w:r>
          </w:p>
        </w:tc>
        <w:tc>
          <w:tcPr>
            <w:tcW w:w="4876" w:type="dxa"/>
            <w:tcBorders>
              <w:top w:val="nil"/>
              <w:left w:val="nil"/>
              <w:bottom w:val="nil"/>
              <w:right w:val="nil"/>
            </w:tcBorders>
          </w:tcPr>
          <w:p w:rsidR="00750688" w:rsidRPr="00A350F4" w:rsidRDefault="00750688" w:rsidP="001A544B">
            <w:pPr>
              <w:pStyle w:val="Normal6a"/>
            </w:pPr>
            <w:r w:rsidRPr="00A350F4">
              <w:lastRenderedPageBreak/>
              <w:t>41.</w:t>
            </w:r>
            <w:r w:rsidRPr="00A350F4">
              <w:tab/>
              <w:t xml:space="preserve">ilmoittaa vastaanottaneensa komitean 3. kesäkuuta 2024 päivätyn kertomuksen, jossa vastuuvapauden myöntävälle viranomaiselle ilmoitetaan komitean kiinteistöpolitiikasta unionin varainhoitoasetuksen 266 artiklan 1 kohdan mukaisesti; panee tyytyväisenä merkille, että komitea saavutti yhdessä AK:n kanssa yhden vuoden 2017 kiinteistöstrategiansa tärkeimmistä tavoitteista, joka koski rakennusten maantieteellistä keskittämistä; panee lisäksi merkille, että tämä on jo saanut aikaan säästöjä, koska koko VMA-rakennuksen vuokraaminen on ollut edullisempaa kuin aiemmin vuokrattujen </w:t>
            </w:r>
            <w:r w:rsidRPr="00A350F4">
              <w:lastRenderedPageBreak/>
              <w:t xml:space="preserve">kolmen rakennuksen vuokrakustannukset; on siinä käsityksessä, että nämä säästöt ovat noin 1,8 miljoonaa euroa, mikä vastaa kyseisen kertomuksen mukaan B100-rakennuksesta maksettua vuokraa; </w:t>
            </w:r>
            <w:r w:rsidRPr="00A350F4">
              <w:rPr>
                <w:b/>
                <w:i/>
              </w:rPr>
              <w:t>panee merkille, että komitea valmistelee parhaillaan vuoden 2017 pitkän aikavälin kiinteistöstrategiansa päivittämistä ja että tämä työ on määrä saattaa päätökseen vuoden 2025 loppuun mennessä; kehottaa komiteaa tiedottamaan vastuuvapauden myöntävälle viranomaiselle näiden toimien tuloksista;</w:t>
            </w:r>
          </w:p>
        </w:tc>
      </w:tr>
    </w:tbl>
    <w:p w:rsidR="00750688" w:rsidRPr="00A350F4" w:rsidRDefault="00750688" w:rsidP="00750688">
      <w:pPr>
        <w:pStyle w:val="AmOrLang"/>
      </w:pPr>
      <w:r w:rsidRPr="00A350F4">
        <w:lastRenderedPageBreak/>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40</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Damian Boeselager</w:t>
      </w:r>
      <w:r w:rsidRPr="00A350F4">
        <w:rPr>
          <w:rStyle w:val="HideTWBExt"/>
          <w:b w:val="0"/>
        </w:rPr>
        <w:t>&lt;/Members&gt;</w:t>
      </w:r>
    </w:p>
    <w:p w:rsidR="00750688" w:rsidRPr="00A350F4" w:rsidRDefault="00750688" w:rsidP="00750688">
      <w:r w:rsidRPr="00A350F4">
        <w:rPr>
          <w:rStyle w:val="HideTWBExt"/>
        </w:rPr>
        <w:t>&lt;AuNomDe&gt;</w:t>
      </w:r>
      <w:r w:rsidRPr="00A350F4">
        <w:rPr>
          <w:rStyle w:val="HideTWBInt"/>
        </w:rPr>
        <w:t>{Greens/EFA}</w:t>
      </w:r>
      <w:r w:rsidRPr="00A350F4">
        <w:t>Verts/ALE-ryhmän puolesta</w:t>
      </w:r>
      <w:r w:rsidRPr="00A350F4">
        <w:rPr>
          <w:rStyle w:val="HideTWBExt"/>
        </w:rPr>
        <w:t>&lt;/AuNomDe&gt;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46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46 a.</w:t>
            </w:r>
            <w:r w:rsidRPr="00A350F4">
              <w:tab/>
            </w:r>
            <w:r w:rsidRPr="00A350F4">
              <w:rPr>
                <w:b/>
                <w:i/>
              </w:rPr>
              <w:t>kehottaa ETSK:ta laatimaan sitovan etenemissuunnitelman ilmastoneutraaliuden saavuttamiseksi vuoteen 2035 mennessä, mukaan lukien selkeät tavoitteet, jotka koskevat energiatehokkuutta, matkustamiseen liittyvien päästöjen vähentämistä ja uusiutuvien energialähteiden käytön lisäämistä rakennuksissaan; kehottaa komiteaa raportoimaan vuosittain edistymisestään hiilijalanjäljen pienentämisessä;</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41</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Damian Boeselager</w:t>
      </w:r>
      <w:r w:rsidRPr="00A350F4">
        <w:rPr>
          <w:rStyle w:val="HideTWBExt"/>
          <w:b w:val="0"/>
        </w:rPr>
        <w:t>&lt;/Members&gt;</w:t>
      </w:r>
    </w:p>
    <w:p w:rsidR="00750688" w:rsidRPr="00A350F4" w:rsidRDefault="00750688" w:rsidP="00750688">
      <w:r w:rsidRPr="00A350F4">
        <w:rPr>
          <w:rStyle w:val="HideTWBExt"/>
        </w:rPr>
        <w:t>&lt;AuNomDe&gt;</w:t>
      </w:r>
      <w:r w:rsidRPr="00A350F4">
        <w:rPr>
          <w:rStyle w:val="HideTWBInt"/>
        </w:rPr>
        <w:t>{Greens/EFA}</w:t>
      </w:r>
      <w:r w:rsidRPr="00A350F4">
        <w:t>Verts/ALE-ryhmän puolesta</w:t>
      </w:r>
      <w:r w:rsidRPr="00A350F4">
        <w:rPr>
          <w:rStyle w:val="HideTWBExt"/>
        </w:rPr>
        <w:t>&lt;/AuNomDe&gt;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lastRenderedPageBreak/>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46 b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46 b.</w:t>
            </w:r>
            <w:r w:rsidRPr="00A350F4">
              <w:tab/>
            </w:r>
            <w:r w:rsidRPr="00A350F4">
              <w:rPr>
                <w:b/>
                <w:i/>
              </w:rPr>
              <w:t>kehottaa ETSK:ta asettamaan sitovia vuotuisia kestävyystavoitteita, jotka ovat yhdenmukaisia Euroopan vihreän kehityksen ohjelman kanssa, mukaan lukien hiilidioksidipäästöjen vähentäminen 50 prosentilla vuoteen 2030 mennessä, vihreiden hankintojen priorisointi ja paperittomien työnkulkujen täysimääräinen käyttöönotto vuoteen 2026 mennessä;</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42</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Damian Boeselager</w:t>
      </w:r>
      <w:r w:rsidRPr="00A350F4">
        <w:rPr>
          <w:rStyle w:val="HideTWBExt"/>
          <w:b w:val="0"/>
        </w:rPr>
        <w:t>&lt;/Members&gt;</w:t>
      </w:r>
    </w:p>
    <w:p w:rsidR="00750688" w:rsidRPr="00A350F4" w:rsidRDefault="00750688" w:rsidP="00750688">
      <w:r w:rsidRPr="00A350F4">
        <w:rPr>
          <w:rStyle w:val="HideTWBExt"/>
        </w:rPr>
        <w:t>&lt;AuNomDe&gt;</w:t>
      </w:r>
      <w:r w:rsidRPr="00A350F4">
        <w:rPr>
          <w:rStyle w:val="HideTWBInt"/>
        </w:rPr>
        <w:t>{Greens/EFA}</w:t>
      </w:r>
      <w:r w:rsidRPr="00A350F4">
        <w:t>Verts/ALE-ryhmän puolesta</w:t>
      </w:r>
      <w:r w:rsidRPr="00A350F4">
        <w:rPr>
          <w:rStyle w:val="HideTWBExt"/>
        </w:rPr>
        <w:t>&lt;/AuNomDe&gt;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48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48 a.</w:t>
            </w:r>
            <w:r w:rsidRPr="00A350F4">
              <w:tab/>
            </w:r>
            <w:r w:rsidRPr="00A350F4">
              <w:rPr>
                <w:b/>
                <w:i/>
              </w:rPr>
              <w:t>kehottaa ETSK:ta luopumaan asteittain fossiilisia polttoaineita käyttävistä lämmitys- ja jäähdytysjärjestelmistä kaikissa rakennuksissaan vuoteen 2028 mennessä, lisäämään pakollisia kestävyyslausekkeita kaikkiin uusiin sopimuksiin ja lisäämään aurinkoenergian ja uusiutuvan energian käytön osuutta tiloissaan vähintään 40 prosenttiin vuoteen 2030 mennessä;</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43</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Damian Boeselager</w:t>
      </w:r>
      <w:r w:rsidRPr="00A350F4">
        <w:rPr>
          <w:rStyle w:val="HideTWBExt"/>
          <w:b w:val="0"/>
        </w:rPr>
        <w:t>&lt;/Members&gt;</w:t>
      </w:r>
    </w:p>
    <w:p w:rsidR="00750688" w:rsidRPr="00A350F4" w:rsidRDefault="00750688" w:rsidP="00750688">
      <w:r w:rsidRPr="00A350F4">
        <w:rPr>
          <w:rStyle w:val="HideTWBExt"/>
        </w:rPr>
        <w:t>&lt;AuNomDe&gt;</w:t>
      </w:r>
      <w:r w:rsidRPr="00A350F4">
        <w:rPr>
          <w:rStyle w:val="HideTWBInt"/>
        </w:rPr>
        <w:t>{Greens/EFA}</w:t>
      </w:r>
      <w:r w:rsidRPr="00A350F4">
        <w:t>Verts/ALE-ryhmän puolesta</w:t>
      </w:r>
      <w:r w:rsidRPr="00A350F4">
        <w:rPr>
          <w:rStyle w:val="HideTWBExt"/>
        </w:rPr>
        <w:t>&lt;/AuNomDe&gt;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lastRenderedPageBreak/>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48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48.</w:t>
            </w:r>
            <w:r w:rsidRPr="00A350F4">
              <w:tab/>
            </w:r>
            <w:r w:rsidRPr="00A350F4">
              <w:rPr>
                <w:b/>
                <w:i/>
              </w:rPr>
              <w:t>panee merkille</w:t>
            </w:r>
            <w:r w:rsidRPr="00A350F4">
              <w:t>, että komitea on hyväksynyt energiansäästöstrategian, johon sisältyy lyhyen, keskipitkän ja pitkän aikavälin toimenpiteitä; panee tässä yhteydessä merkille, että komitea aloitti kaikkien rakennustensa ympäristöauditoinnin määrittääkseen muun muassa nykyisten rakenteiden ja laitteiden energiatehokkuuden tason ja arvioidakseen tarvittavien investointien ekologisen edun verrattuna kokonaiskustannuksiin (kunnossapito, kulutus jne.) 30 vuoden aikana; panee lisäksi merkille, että energiatehokkuustoimenpiteitä koskevia tutkimuksia on suunnitteilla vuosiksi 2024 ja 2025; kehottaa komiteaa tiedottamaan vastuuvapauden myöntävälle viranomaiselle näissä asioissa saavutetusta edistyksestä;</w:t>
            </w:r>
          </w:p>
        </w:tc>
        <w:tc>
          <w:tcPr>
            <w:tcW w:w="4876" w:type="dxa"/>
            <w:tcBorders>
              <w:top w:val="nil"/>
              <w:left w:val="nil"/>
              <w:bottom w:val="nil"/>
              <w:right w:val="nil"/>
            </w:tcBorders>
          </w:tcPr>
          <w:p w:rsidR="00750688" w:rsidRPr="00A350F4" w:rsidRDefault="00750688" w:rsidP="001A544B">
            <w:pPr>
              <w:pStyle w:val="Normal6a"/>
            </w:pPr>
            <w:r w:rsidRPr="00A350F4">
              <w:t>48.</w:t>
            </w:r>
            <w:r w:rsidRPr="00A350F4">
              <w:tab/>
            </w:r>
            <w:r w:rsidRPr="00A350F4">
              <w:rPr>
                <w:b/>
                <w:i/>
              </w:rPr>
              <w:t>pitää myönteisenä</w:t>
            </w:r>
            <w:r w:rsidRPr="00A350F4">
              <w:t>, että komitea on hyväksynyt energiansäästöstrategian, johon sisältyy lyhyen, keskipitkän ja pitkän aikavälin toimenpiteitä; panee tässä yhteydessä merkille, että komitea aloitti kaikkien rakennustensa ympäristöauditoinnin määrittääkseen muun muassa nykyisten rakenteiden ja laitteiden energiatehokkuuden tason ja arvioidakseen tarvittavien investointien ekologisen edun verrattuna kokonaiskustannuksiin (kunnossapito, kulutus jne.) 30 vuoden aikana; panee lisäksi merkille, että energiatehokkuustoimenpiteitä koskevia tutkimuksia on suunnitteilla vuosiksi 2024 ja 2025; kehottaa komiteaa tiedottamaan vastuuvapauden myöntävälle viranomaiselle näissä asioissa saavutetusta edistyksestä;</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44</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Csaba Molnár, Claudiu Manda</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49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49.</w:t>
            </w:r>
            <w:r w:rsidRPr="00A350F4">
              <w:tab/>
              <w:t xml:space="preserve">muistuttaa, että vuonna 2022 komitean aurinkopaneelien sähköntuotto oli 15,5 megawattituntia eli 0,25 prosenttia komitean vuotuisesta kulutuksesta, kun vuonna 2023 määrä laski 5,75 megawattituntiin; </w:t>
            </w:r>
            <w:r w:rsidRPr="00A350F4">
              <w:rPr>
                <w:b/>
                <w:i/>
              </w:rPr>
              <w:t xml:space="preserve">pyytää komiteaa arvioimaan ja ilmoittamaan vastuuvapauden myöntävälle viranomaiselle, johtuuko tämä heikko tulos objektiivisista syistä, kuten aurinkopaneelien riittämättömästä </w:t>
            </w:r>
            <w:r w:rsidRPr="00A350F4">
              <w:rPr>
                <w:b/>
                <w:i/>
              </w:rPr>
              <w:lastRenderedPageBreak/>
              <w:t>määrästä, vai olisiko komitean lopetettava aurinkopaneeleihin investoiminen;</w:t>
            </w:r>
            <w:r w:rsidRPr="00A350F4">
              <w:t xml:space="preserve"> panee kyselyn perusteella tyytyväisenä merkille, että komitea näyttää esimerkkiä kestävää liikkuvuutta edistävissä toimenpiteissä ja toimissa;</w:t>
            </w:r>
          </w:p>
        </w:tc>
        <w:tc>
          <w:tcPr>
            <w:tcW w:w="4876" w:type="dxa"/>
            <w:tcBorders>
              <w:top w:val="nil"/>
              <w:left w:val="nil"/>
              <w:bottom w:val="nil"/>
              <w:right w:val="nil"/>
            </w:tcBorders>
          </w:tcPr>
          <w:p w:rsidR="00750688" w:rsidRPr="00A350F4" w:rsidRDefault="00750688" w:rsidP="001A544B">
            <w:pPr>
              <w:pStyle w:val="Normal6a"/>
            </w:pPr>
            <w:r w:rsidRPr="00A350F4">
              <w:lastRenderedPageBreak/>
              <w:t>49.</w:t>
            </w:r>
            <w:r w:rsidRPr="00A350F4">
              <w:tab/>
              <w:t>muistuttaa, että vuonna 2022 komitean aurinkopaneelien sähköntuotto oli 15,5 megawattituntia eli 0,25 prosenttia komitean vuotuisesta kulutuksesta, kun vuonna 2023 määrä laski 5,75 megawattituntiin; panee kyselyn perusteella tyytyväisenä merkille, että komitea näyttää esimerkkiä kestävää liikkuvuutta edistävissä toimenpiteissä ja toimissa;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45</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Pasquale Tridico</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50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50.</w:t>
            </w:r>
            <w:r w:rsidRPr="00A350F4">
              <w:tab/>
              <w:t>on tyytyväinen komitean ja AK:n väliseen tiiviiseen hallinnolliseen yhteistyöhön, joka perustuu vuonna 2022 allekirjoitettuun uuteen yhteistyösopimukseen komiteoiden yhteisistä toimitiloista ja palveluista kääntämisen, infrastruktuurin, logistiikan, turvallisuuden, hankintojen, varainhoidon ja tietotekniikan aloilla, samalla kun ne säilyttävät täyden institutionaalisen riippumattomuuden; on tyytyväinen vuoden 2023 myönteiseen kehitykseen, kun komiteat sopivat yhteisen viestintäalueen kehittämisestä ja rahoituksesta sekä yhteisistä audiovisuaalitiloista JDE-rakennuksessa; pyytää komiteaa yksilöimään kyseisen sopimuksen ensimmäisen täytäntöönpanovuoden aikana audiovisuaalitoimintojen alalla saavutetut talousarviosäästöt ja tiedottamaan niistä parlamentille;</w:t>
            </w:r>
          </w:p>
        </w:tc>
        <w:tc>
          <w:tcPr>
            <w:tcW w:w="4876" w:type="dxa"/>
            <w:tcBorders>
              <w:top w:val="nil"/>
              <w:left w:val="nil"/>
              <w:bottom w:val="nil"/>
              <w:right w:val="nil"/>
            </w:tcBorders>
          </w:tcPr>
          <w:p w:rsidR="00750688" w:rsidRPr="00A350F4" w:rsidRDefault="00750688" w:rsidP="001A544B">
            <w:pPr>
              <w:pStyle w:val="Normal6a"/>
            </w:pPr>
            <w:r w:rsidRPr="00A350F4">
              <w:t>50.</w:t>
            </w:r>
            <w:r w:rsidRPr="00A350F4">
              <w:tab/>
              <w:t xml:space="preserve">on tyytyväinen komitean ja AK:n väliseen tiiviiseen hallinnolliseen yhteistyöhön, joka perustuu vuonna 2022 allekirjoitettuun uuteen yhteistyösopimukseen komiteoiden yhteisistä toimitiloista ja palveluista kääntämisen, infrastruktuurin, logistiikan, turvallisuuden, hankintojen, varainhoidon ja tietotekniikan aloilla, samalla kun ne säilyttävät täyden institutionaalisen riippumattomuuden; on tyytyväinen vuoden 2023 myönteiseen kehitykseen, kun komiteat sopivat yhteisen viestintäalueen kehittämisestä ja rahoituksesta sekä yhteisistä audiovisuaalitiloista JDE-rakennuksessa; pyytää komiteaa yksilöimään kyseisen sopimuksen ensimmäisen täytäntöönpanovuoden aikana audiovisuaalitoimintojen alalla saavutetut talousarviosäästöt ja tiedottamaan niistä parlamentille; </w:t>
            </w:r>
            <w:r w:rsidRPr="00A350F4">
              <w:rPr>
                <w:b/>
                <w:i/>
              </w:rPr>
              <w:t xml:space="preserve">kehottaa jälleen komiteaa jatkamaan ja laajentamaan tätä yhteistyötä muilla aloilla päällekkäisyyksien välttämiseksi ja komitean ja alueiden komitean yhteisissä tiloissa tarjottavien palvelujen toimintakustannusten järkeistämiseksi edelleen; kehottaa komiteaa ja alueiden </w:t>
            </w:r>
            <w:r w:rsidRPr="00A350F4">
              <w:rPr>
                <w:b/>
                <w:i/>
              </w:rPr>
              <w:lastRenderedPageBreak/>
              <w:t>komiteaa tutkimaan mahdollisuutta perustaa yhteisille yksiköilleen yhteinen hallintorakenne, jossa olisi erilliset osastot tai yksiköt niiden erityisiin ja riippumattomiin toimeksiantoihin liittyville asioille;</w:t>
            </w:r>
          </w:p>
        </w:tc>
      </w:tr>
    </w:tbl>
    <w:p w:rsidR="00750688" w:rsidRPr="00A350F4" w:rsidRDefault="00750688" w:rsidP="00750688">
      <w:pPr>
        <w:pStyle w:val="AmOrLang"/>
      </w:pPr>
      <w:r w:rsidRPr="00A350F4">
        <w:lastRenderedPageBreak/>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46</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Caterina Chinnici</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50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50.</w:t>
            </w:r>
            <w:r w:rsidRPr="00A350F4">
              <w:tab/>
              <w:t>on tyytyväinen komitean ja AK:n väliseen tiiviiseen hallinnolliseen yhteistyöhön, joka perustuu vuonna 2022 allekirjoitettuun uuteen yhteistyösopimukseen komiteoiden yhteisistä toimitiloista ja palveluista kääntämisen, infrastruktuurin, logistiikan, turvallisuuden, hankintojen, varainhoidon ja tietotekniikan aloilla, samalla kun ne säilyttävät täyden institutionaalisen riippumattomuuden; on tyytyväinen vuoden 2023 myönteiseen kehitykseen, kun komiteat sopivat yhteisen viestintäalueen kehittämisestä ja rahoituksesta sekä yhteisistä audiovisuaalitiloista JDE-rakennuksessa; pyytää komiteaa yksilöimään kyseisen sopimuksen ensimmäisen täytäntöönpanovuoden aikana audiovisuaalitoimintojen alalla saavutetut talousarviosäästöt ja tiedottamaan niistä parlamentille;</w:t>
            </w:r>
          </w:p>
        </w:tc>
        <w:tc>
          <w:tcPr>
            <w:tcW w:w="4876" w:type="dxa"/>
            <w:tcBorders>
              <w:top w:val="nil"/>
              <w:left w:val="nil"/>
              <w:bottom w:val="nil"/>
              <w:right w:val="nil"/>
            </w:tcBorders>
          </w:tcPr>
          <w:p w:rsidR="00750688" w:rsidRPr="00A350F4" w:rsidRDefault="00750688" w:rsidP="001A544B">
            <w:pPr>
              <w:pStyle w:val="Normal6a"/>
            </w:pPr>
            <w:r w:rsidRPr="00A350F4">
              <w:t>50.</w:t>
            </w:r>
            <w:r w:rsidRPr="00A350F4">
              <w:tab/>
              <w:t xml:space="preserve">on tyytyväinen komitean ja AK:n väliseen tiiviiseen hallinnolliseen yhteistyöhön, joka perustuu vuonna 2022 allekirjoitettuun uuteen yhteistyösopimukseen komiteoiden yhteisistä toimitiloista ja palveluista kääntämisen, infrastruktuurin, logistiikan, turvallisuuden, hankintojen, varainhoidon ja tietotekniikan aloilla, samalla kun ne säilyttävät täyden institutionaalisen riippumattomuuden; on tyytyväinen vuoden 2023 myönteiseen kehitykseen, kun komiteat sopivat yhteisen viestintäalueen kehittämisestä ja rahoituksesta sekä yhteisistä audiovisuaalitiloista JDE-rakennuksessa; pyytää komiteaa yksilöimään kyseisen sopimuksen ensimmäisen täytäntöönpanovuoden aikana audiovisuaalitoimintojen alalla saavutetut talousarviosäästöt ja tiedottamaan niistä parlamentille; </w:t>
            </w:r>
            <w:r w:rsidRPr="00A350F4">
              <w:rPr>
                <w:b/>
                <w:i/>
              </w:rPr>
              <w:t>kannustaa komiteaa ja alueiden komiteaa jatkamaan ponnistelujaan yhteistyön ja synergioiden kehittämiseksi edelleen;</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lastRenderedPageBreak/>
        <w:t>&lt;Amend&gt;</w:t>
      </w:r>
      <w:r w:rsidRPr="00A350F4">
        <w:t>Tarkistus</w:t>
      </w:r>
      <w:r w:rsidRPr="00A350F4">
        <w:tab/>
      </w:r>
      <w:r w:rsidRPr="00A350F4">
        <w:tab/>
      </w:r>
      <w:r w:rsidRPr="00A350F4">
        <w:rPr>
          <w:rStyle w:val="HideTWBExt"/>
        </w:rPr>
        <w:t>&lt;NumAm&gt;</w:t>
      </w:r>
      <w:r w:rsidRPr="00A350F4">
        <w:t>47</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Tamás Deutsch</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50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50 a.</w:t>
            </w:r>
            <w:r w:rsidRPr="00A350F4">
              <w:tab/>
            </w:r>
            <w:r w:rsidRPr="00A350F4">
              <w:rPr>
                <w:b/>
                <w:i/>
              </w:rPr>
              <w:t>pyytää toimielintä antamaan Euroopan parlamentille ja sen talousarvion valvontavaliokunnalle suosituksia uusista tavoista torjua väärinkäytöksiä ja EU:n varojen väärinkäyttöä omien institutionaalisten kokemustensa ja aiempien tapausten yhteydessä hankkimiensa kokemusten perusteella ja jakamaan parhaita käytäntöjä, koska on näytetty toteen, että Euroopan unionin taloudellisia etuja ei suojeltu Euroopan parlamentissa asianmukaisesti; katsoo, että kuten rikosasian ja tutkimusten yhteydessä on käynyt ilmi, parlamentti voisi hyötyä uudesta näkökulmasta asiaan ja toimielimeltä saadusta panoksesta;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48</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Damian Boeselager</w:t>
      </w:r>
      <w:r w:rsidRPr="00A350F4">
        <w:rPr>
          <w:rStyle w:val="HideTWBExt"/>
          <w:b w:val="0"/>
        </w:rPr>
        <w:t>&lt;/Members&gt;</w:t>
      </w:r>
    </w:p>
    <w:p w:rsidR="00750688" w:rsidRPr="00A350F4" w:rsidRDefault="00750688" w:rsidP="00750688">
      <w:r w:rsidRPr="00A350F4">
        <w:rPr>
          <w:rStyle w:val="HideTWBExt"/>
        </w:rPr>
        <w:t>&lt;AuNomDe&gt;</w:t>
      </w:r>
      <w:r w:rsidRPr="00A350F4">
        <w:rPr>
          <w:rStyle w:val="HideTWBInt"/>
        </w:rPr>
        <w:t>{Greens/EFA}</w:t>
      </w:r>
      <w:r w:rsidRPr="00A350F4">
        <w:t>Verts/ALE-ryhmän puolesta</w:t>
      </w:r>
      <w:r w:rsidRPr="00A350F4">
        <w:rPr>
          <w:rStyle w:val="HideTWBExt"/>
        </w:rPr>
        <w:t>&lt;/AuNomDe&gt;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50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50 a.</w:t>
            </w:r>
            <w:r w:rsidRPr="00A350F4">
              <w:tab/>
            </w:r>
            <w:r w:rsidRPr="00A350F4">
              <w:rPr>
                <w:b/>
                <w:i/>
              </w:rPr>
              <w:t xml:space="preserve">kehottaa ETSK:ta perustamaan Euroopan parlamentin talousarvion valvontavaliokunnan (CONT) ja kansalaisvapauksien sekä oikeus- ja sisäasioiden valiokunnan (LIBE) kanssa virallisen vuotuisen arviointiprosessin, jolla varmistetaan taloudellisen vastuun, eettisten normien ja hallinnon uudistuksia koskevan institutionaalisen </w:t>
            </w:r>
            <w:r w:rsidRPr="00A350F4">
              <w:rPr>
                <w:b/>
                <w:i/>
              </w:rPr>
              <w:lastRenderedPageBreak/>
              <w:t>yhteistyön järjestelmällinen seuranta;</w:t>
            </w:r>
          </w:p>
        </w:tc>
      </w:tr>
    </w:tbl>
    <w:p w:rsidR="00750688" w:rsidRPr="00A350F4" w:rsidRDefault="00750688" w:rsidP="00750688">
      <w:pPr>
        <w:pStyle w:val="AmOrLang"/>
      </w:pPr>
      <w:r w:rsidRPr="00A350F4">
        <w:lastRenderedPageBreak/>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49</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Csaba Molnár, Claudiu Manda</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52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52.</w:t>
            </w:r>
            <w:r w:rsidRPr="00A350F4">
              <w:tab/>
              <w:t>panee tyytyväisenä merkille, että komitea ja parlamentti neuvottelivat uudelleen vuonna 2023 ja allekirjoittivat vuonna 2024 toimielinten välisen sopimuksensa, jonka tavoitteena on parantaa lausuntojen merkityksellisyyttä ja ajoitusta koko lainsäädäntösyklin ajan ja vahvistaa kahdenvälistä yhteistyötä; pitää myönteisenä, että vuonna 2022 allekirjoitettu komitean ja komission välinen uusi yhteistyöpöytäkirja on jo parantanut komitean mahdollisuutta vaikuttaa esimerkiksi lainsäädännön valmisteluvaiheessa valmistelevien lausuntojen avulla;</w:t>
            </w:r>
          </w:p>
        </w:tc>
        <w:tc>
          <w:tcPr>
            <w:tcW w:w="4876" w:type="dxa"/>
            <w:tcBorders>
              <w:top w:val="nil"/>
              <w:left w:val="nil"/>
              <w:bottom w:val="nil"/>
              <w:right w:val="nil"/>
            </w:tcBorders>
          </w:tcPr>
          <w:p w:rsidR="00750688" w:rsidRPr="00A350F4" w:rsidRDefault="00750688" w:rsidP="001A544B">
            <w:pPr>
              <w:pStyle w:val="Normal6a"/>
            </w:pPr>
            <w:r w:rsidRPr="00A350F4">
              <w:t>52.</w:t>
            </w:r>
            <w:r w:rsidRPr="00A350F4">
              <w:tab/>
              <w:t xml:space="preserve">panee tyytyväisenä merkille, että komitea ja parlamentti neuvottelivat uudelleen vuonna 2023 ja allekirjoittivat vuonna 2024 toimielinten välisen sopimuksensa, jonka tavoitteena on parantaa lausuntojen merkityksellisyyttä ja ajoitusta koko lainsäädäntösyklin ajan ja vahvistaa kahdenvälistä yhteistyötä; pitää myönteisenä, että vuonna 2022 allekirjoitettu komitean ja komission välinen uusi yhteistyöpöytäkirja on jo parantanut komitean mahdollisuutta vaikuttaa esimerkiksi lainsäädännön valmisteluvaiheessa valmistelevien lausuntojen avulla; </w:t>
            </w:r>
            <w:r w:rsidRPr="00A350F4">
              <w:rPr>
                <w:b/>
                <w:i/>
              </w:rPr>
              <w:t>kannustaa vahvistamaan edelleen komitean ja parlamentin välisiä poliittisia, lainsäädännöllisiä ja viestintään liittyviä synergioita erityisesti eurooppalaisen kansalaisaloitteen ja eurooppalaisen ohjausjakson yhteydessä;</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50</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Tomáš Zdechovský</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54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lastRenderedPageBreak/>
              <w:t>54.</w:t>
            </w:r>
            <w:r w:rsidRPr="00A350F4">
              <w:tab/>
              <w:t xml:space="preserve">panee merkille, että komitealla on </w:t>
            </w:r>
            <w:r w:rsidRPr="00A350F4">
              <w:rPr>
                <w:b/>
                <w:i/>
              </w:rPr>
              <w:t>keskeinen</w:t>
            </w:r>
            <w:r w:rsidRPr="00A350F4">
              <w:t xml:space="preserve"> tehtävä jäsenvaltioiden kansallisten talous- ja sosiaalineuvostojen yhteyksien vahvistamisessa; panee kyselyn perusteella </w:t>
            </w:r>
            <w:r w:rsidRPr="00A350F4">
              <w:rPr>
                <w:b/>
                <w:i/>
              </w:rPr>
              <w:t>tyytyväisenä</w:t>
            </w:r>
            <w:r w:rsidRPr="00A350F4">
              <w:t xml:space="preserve"> merkille toimenpiteet, joita komitea on toteuttanut vahvistaakseen kansallisten talous- ja sosiaalineuvostojen verkostoa ja sen online-yhteisöä, muun muassa perustamalla yhteisiä työryhmiä ja vaihto-ohjelmia, kehittämällä yhteistyöpohjaisen tietoteknisen alustan ja osallistumalla yhteisiin tapahtumiin;</w:t>
            </w:r>
          </w:p>
        </w:tc>
        <w:tc>
          <w:tcPr>
            <w:tcW w:w="4876" w:type="dxa"/>
            <w:tcBorders>
              <w:top w:val="nil"/>
              <w:left w:val="nil"/>
              <w:bottom w:val="nil"/>
              <w:right w:val="nil"/>
            </w:tcBorders>
          </w:tcPr>
          <w:p w:rsidR="00750688" w:rsidRPr="00A350F4" w:rsidRDefault="00750688" w:rsidP="001A544B">
            <w:pPr>
              <w:pStyle w:val="Normal6a"/>
            </w:pPr>
            <w:r w:rsidRPr="00A350F4">
              <w:t>54.</w:t>
            </w:r>
            <w:r w:rsidRPr="00A350F4">
              <w:tab/>
              <w:t>panee merkille, että komitealla on tehtävä jäsenvaltioiden kansallisten talous- ja sosiaalineuvostojen yhteyksien vahvistamisessa; panee kyselyn perusteella merkille toimenpiteet, joita komitea on toteuttanut vahvistaakseen kansallisten talous- ja sosiaalineuvostojen verkostoa ja sen online-yhteisöä, muun muassa perustamalla yhteisiä työryhmiä ja vaihto-ohjelmia, kehittämällä yhteistyöpohjaisen tietoteknisen alustan ja osallistumalla yhteisiin tapahtumiin;</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51</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Csaba Molnár, Claudiu Manda</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54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54.</w:t>
            </w:r>
            <w:r w:rsidRPr="00A350F4">
              <w:tab/>
              <w:t>panee merkille, että komitealla on keskeinen tehtävä jäsenvaltioiden kansallisten talous- ja sosiaalineuvostojen yhteyksien vahvistamisessa; panee kyselyn perusteella tyytyväisenä merkille toimenpiteet, joita komitea on toteuttanut vahvistaakseen kansallisten talous- ja sosiaalineuvostojen verkostoa ja sen online-yhteisöä, muun muassa perustamalla yhteisiä työryhmiä ja vaihto-ohjelmia, kehittämällä yhteistyöpohjaisen tietoteknisen alustan ja osallistumalla yhteisiin tapahtumiin;</w:t>
            </w:r>
          </w:p>
        </w:tc>
        <w:tc>
          <w:tcPr>
            <w:tcW w:w="4876" w:type="dxa"/>
            <w:tcBorders>
              <w:top w:val="nil"/>
              <w:left w:val="nil"/>
              <w:bottom w:val="nil"/>
              <w:right w:val="nil"/>
            </w:tcBorders>
          </w:tcPr>
          <w:p w:rsidR="00750688" w:rsidRPr="00A350F4" w:rsidRDefault="00750688" w:rsidP="001A544B">
            <w:pPr>
              <w:pStyle w:val="Normal6a"/>
            </w:pPr>
            <w:r w:rsidRPr="00A350F4">
              <w:t>54.</w:t>
            </w:r>
            <w:r w:rsidRPr="00A350F4">
              <w:tab/>
              <w:t xml:space="preserve">panee merkille, että komitealla on keskeinen tehtävä jäsenvaltioiden kansallisten talous- ja sosiaalineuvostojen yhteyksien vahvistamisessa; panee kyselyn perusteella tyytyväisenä merkille toimenpiteet, joita komitea on toteuttanut vahvistaakseen kansallisten talous- ja sosiaalineuvostojen verkostoa ja sen online-yhteisöä, muun muassa perustamalla yhteisiä työryhmiä ja vaihto-ohjelmia, kehittämällä yhteistyöpohjaisen tietoteknisen alustan ja osallistumalla yhteisiin tapahtumiin; </w:t>
            </w:r>
            <w:r w:rsidRPr="00A350F4">
              <w:rPr>
                <w:b/>
                <w:i/>
              </w:rPr>
              <w:t>kehottaa jatkamaan yhteistyötä yhteistä etua koskevissa kysymyksissä ja vaihtamaan hyviä käytäntöjä korostaen kansalaisyhteiskunnan ratkaisevaa tehtävää unionin nykyisiin haasteisiin vastaamisessa;</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lastRenderedPageBreak/>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52</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Virginie Joron, Tamás Deutsch, Julien Sanchez</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55 kohta</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r w:rsidRPr="00A350F4">
              <w:t>55.</w:t>
            </w:r>
            <w:r w:rsidRPr="00A350F4">
              <w:tab/>
            </w:r>
            <w:r w:rsidRPr="00A350F4">
              <w:rPr>
                <w:b/>
                <w:i/>
              </w:rPr>
              <w:t>panee merkille</w:t>
            </w:r>
            <w:r w:rsidRPr="00A350F4">
              <w:t>, että komitean viestinnän kokonaisbudjetti vuonna 2023 oli 2,15 miljoonaa euroa, mikä on enemmän kuin 1,5 miljoonaa euroa vuonna 2022; panee merkille, että määrärahat osoitettiin pääasiassa vuonna 2023 järjestettyihin neljään lippulaivatapahtumaan (eurooppalainen kansalaisaloite, Sinun Eurooppasi, sinun mielipiteesi, EU:n luomupalkintokilpailu ja 14. kansalaisyhteiskuntapalkinto), komitean sosiaalisen median, ulkoisen verkkosivuston ja audiovisuaalisen tuotannon parantamiseen ja/tai uudistamiseen sekä media- ja lehtijulkaisuihin; antaa komitealle tunnustusta sen viestintätoimista, joilla viestittiin keskeisistä aiheista vuonna 2023, kuten sinisen kehityksen ohjelmaa koskevasta aloitteesta, COP28-kokouksesta, demokratiaa koskevasta päätöslauselmasta ja komitean 65:stä vuosipäivästä;</w:t>
            </w:r>
          </w:p>
        </w:tc>
        <w:tc>
          <w:tcPr>
            <w:tcW w:w="4876" w:type="dxa"/>
            <w:tcBorders>
              <w:top w:val="nil"/>
              <w:left w:val="nil"/>
              <w:bottom w:val="nil"/>
              <w:right w:val="nil"/>
            </w:tcBorders>
          </w:tcPr>
          <w:p w:rsidR="00750688" w:rsidRPr="00A350F4" w:rsidRDefault="00750688" w:rsidP="001A544B">
            <w:pPr>
              <w:pStyle w:val="Normal6a"/>
            </w:pPr>
            <w:r w:rsidRPr="00A350F4">
              <w:t>55.</w:t>
            </w:r>
            <w:r w:rsidRPr="00A350F4">
              <w:tab/>
            </w:r>
            <w:r w:rsidRPr="00A350F4">
              <w:rPr>
                <w:b/>
                <w:i/>
              </w:rPr>
              <w:t>pitää valitettavana</w:t>
            </w:r>
            <w:r w:rsidRPr="00A350F4">
              <w:t>, että komitean viestinnän kokonaisbudjetti vuonna 2023 oli 2,15 miljoonaa euroa, mikä on enemmän kuin 1,5 miljoonaa euroa vuonna 2022; panee merkille, että määrärahat osoitettiin pääasiassa vuonna 2023 järjestettyihin neljään lippulaivatapahtumaan (eurooppalainen kansalaisaloite, Sinun Eurooppasi, sinun mielipiteesi, EU:n luomupalkintokilpailu ja 14. kansalaisyhteiskuntapalkinto), komitean sosiaalisen median, ulkoisen verkkosivuston ja audiovisuaalisen tuotannon parantamiseen ja/tai uudistamiseen sekä media- ja lehtijulkaisuihin; antaa komitealle tunnustusta sen viestintätoimista, joilla viestittiin keskeisistä aiheista vuonna 2023, kuten sinisen kehityksen ohjelmaa koskevasta aloitteesta, COP28-kokouksesta, demokratiaa koskevasta päätöslauselmasta ja komitean 65:stä vuosipäivästä;</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{FR}</w:t>
      </w:r>
      <w:r w:rsidRPr="00A350F4">
        <w:t>fr</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53</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Tamás Deutsch</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55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55 a.</w:t>
            </w:r>
            <w:r w:rsidRPr="00A350F4">
              <w:tab/>
            </w:r>
            <w:r w:rsidRPr="00A350F4">
              <w:rPr>
                <w:b/>
                <w:i/>
              </w:rPr>
              <w:t>kehottaa toimielintä pidättäytymään sukupuoli- ja woke-</w:t>
            </w:r>
            <w:r w:rsidRPr="00A350F4">
              <w:rPr>
                <w:b/>
                <w:i/>
              </w:rPr>
              <w:lastRenderedPageBreak/>
              <w:t>ideologian edistämisestä, levittämisestä ja tukemisesta ja kunnioittamaan perustamissopimusta ja sen säännöksiä sekä jäsenvaltioiden kansallisia identiteettejä, jotka ovat olennainen osa niiden perusrakenteita, historiaa, uskontoa ja perinteitä;</w:t>
            </w:r>
          </w:p>
        </w:tc>
      </w:tr>
    </w:tbl>
    <w:p w:rsidR="00750688" w:rsidRPr="00A350F4" w:rsidRDefault="00750688" w:rsidP="00750688">
      <w:pPr>
        <w:pStyle w:val="AmOrLang"/>
      </w:pPr>
      <w:r w:rsidRPr="00A350F4">
        <w:lastRenderedPageBreak/>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54</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Damian Boeselager</w:t>
      </w:r>
      <w:r w:rsidRPr="00A350F4">
        <w:rPr>
          <w:rStyle w:val="HideTWBExt"/>
          <w:b w:val="0"/>
        </w:rPr>
        <w:t>&lt;/Members&gt;</w:t>
      </w:r>
    </w:p>
    <w:p w:rsidR="00750688" w:rsidRPr="00A350F4" w:rsidRDefault="00750688" w:rsidP="00750688">
      <w:r w:rsidRPr="00A350F4">
        <w:rPr>
          <w:rStyle w:val="HideTWBExt"/>
        </w:rPr>
        <w:t>&lt;AuNomDe&gt;</w:t>
      </w:r>
      <w:r w:rsidRPr="00A350F4">
        <w:rPr>
          <w:rStyle w:val="HideTWBInt"/>
        </w:rPr>
        <w:t>{Greens/EFA}</w:t>
      </w:r>
      <w:r w:rsidRPr="00A350F4">
        <w:t>Verts/ALE-ryhmän puolesta</w:t>
      </w:r>
      <w:r w:rsidRPr="00A350F4">
        <w:rPr>
          <w:rStyle w:val="HideTWBExt"/>
        </w:rPr>
        <w:t>&lt;/AuNomDe&gt;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56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56 a.</w:t>
            </w:r>
            <w:r w:rsidRPr="00A350F4">
              <w:tab/>
            </w:r>
            <w:r w:rsidRPr="00A350F4">
              <w:rPr>
                <w:b/>
                <w:i/>
              </w:rPr>
              <w:t>kehottaa ETSK:ta tehostamaan työntekijöiden oikeuksia, sosiaalista osallisuutta ja ihmisoikeusloukkauksia koskevaa seurantaa ja raportointia EU:n rahoittamissa ohjelmissa ja varmistamaan suuremman vastuun neuvoa-antavissa tehtävissään ja poliittisissa suosituksissaan;</w:t>
            </w:r>
          </w:p>
        </w:tc>
      </w:tr>
    </w:tbl>
    <w:p w:rsidR="00750688" w:rsidRPr="00A350F4" w:rsidRDefault="00750688" w:rsidP="00750688">
      <w:pPr>
        <w:pStyle w:val="AmOrLang"/>
      </w:pPr>
      <w:r w:rsidRPr="00A350F4">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w:t>
      </w:r>
    </w:p>
    <w:p w:rsidR="00750688" w:rsidRPr="00A350F4" w:rsidRDefault="00750688" w:rsidP="00750688">
      <w:pPr>
        <w:pStyle w:val="AmNumberTabs"/>
      </w:pPr>
      <w:r w:rsidRPr="00A350F4">
        <w:rPr>
          <w:rStyle w:val="HideTWBExt"/>
        </w:rPr>
        <w:t>&lt;Amend&gt;</w:t>
      </w:r>
      <w:r w:rsidRPr="00A350F4">
        <w:t>Tarkistus</w:t>
      </w:r>
      <w:r w:rsidRPr="00A350F4">
        <w:tab/>
      </w:r>
      <w:r w:rsidRPr="00A350F4">
        <w:tab/>
      </w:r>
      <w:r w:rsidRPr="00A350F4">
        <w:rPr>
          <w:rStyle w:val="HideTWBExt"/>
        </w:rPr>
        <w:t>&lt;NumAm&gt;</w:t>
      </w:r>
      <w:r w:rsidRPr="00A350F4">
        <w:t>55</w:t>
      </w:r>
      <w:r w:rsidRPr="00A350F4">
        <w:rPr>
          <w:rStyle w:val="HideTWBExt"/>
        </w:rPr>
        <w:t>&lt;/NumAm&gt;</w:t>
      </w:r>
    </w:p>
    <w:p w:rsidR="00750688" w:rsidRPr="00A350F4" w:rsidRDefault="00750688" w:rsidP="00750688">
      <w:pPr>
        <w:pStyle w:val="NormalBold"/>
      </w:pPr>
      <w:r w:rsidRPr="00A350F4">
        <w:rPr>
          <w:rStyle w:val="HideTWBExt"/>
          <w:b w:val="0"/>
        </w:rPr>
        <w:t>&lt;RepeatBlock-By&gt;&lt;Members&gt;</w:t>
      </w:r>
      <w:r w:rsidRPr="00A350F4">
        <w:t>Tamás Deutsch</w:t>
      </w:r>
      <w:r w:rsidRPr="00A350F4">
        <w:rPr>
          <w:rStyle w:val="HideTWBExt"/>
          <w:b w:val="0"/>
        </w:rPr>
        <w:t>&lt;/Members&gt;</w:t>
      </w:r>
    </w:p>
    <w:p w:rsidR="00750688" w:rsidRPr="00A350F4" w:rsidRDefault="00750688" w:rsidP="00750688">
      <w:pPr>
        <w:pStyle w:val="NormalBold"/>
      </w:pPr>
      <w:r w:rsidRPr="00A350F4">
        <w:rPr>
          <w:rStyle w:val="HideTWBExt"/>
          <w:b w:val="0"/>
        </w:rPr>
        <w:t>&lt;/RepeatBlock-By&gt;</w:t>
      </w:r>
    </w:p>
    <w:p w:rsidR="00750688" w:rsidRPr="00A350F4" w:rsidRDefault="00750688" w:rsidP="00750688">
      <w:pPr>
        <w:pStyle w:val="NormalBold"/>
      </w:pPr>
      <w:r w:rsidRPr="00A350F4">
        <w:rPr>
          <w:rStyle w:val="HideTWBExt"/>
        </w:rPr>
        <w:t>&lt;DocAmend&gt;</w:t>
      </w:r>
      <w:r w:rsidRPr="00A350F4">
        <w:t>Päätöslauselmaesitys</w:t>
      </w:r>
      <w:r w:rsidRPr="00A350F4">
        <w:rPr>
          <w:rStyle w:val="HideTWBExt"/>
        </w:rPr>
        <w:t>&lt;/DocAmend&gt;</w:t>
      </w:r>
    </w:p>
    <w:p w:rsidR="00750688" w:rsidRPr="00A350F4" w:rsidRDefault="00750688" w:rsidP="00750688">
      <w:pPr>
        <w:pStyle w:val="NormalBold"/>
      </w:pPr>
      <w:r w:rsidRPr="00A350F4">
        <w:rPr>
          <w:rStyle w:val="HideTWBExt"/>
        </w:rPr>
        <w:t>&lt;Article&gt;</w:t>
      </w:r>
      <w:r w:rsidRPr="00A350F4">
        <w:t>58 a kohta (uusi)</w:t>
      </w:r>
      <w:r w:rsidRPr="00A350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688" w:rsidRPr="00A350F4" w:rsidTr="001A544B">
        <w:trPr>
          <w:trHeight w:hRule="exact" w:val="240"/>
          <w:jc w:val="center"/>
        </w:trPr>
        <w:tc>
          <w:tcPr>
            <w:tcW w:w="9752" w:type="dxa"/>
            <w:gridSpan w:val="2"/>
            <w:tcBorders>
              <w:top w:val="nil"/>
              <w:left w:val="nil"/>
              <w:bottom w:val="nil"/>
              <w:right w:val="nil"/>
            </w:tcBorders>
          </w:tcPr>
          <w:p w:rsidR="00750688" w:rsidRPr="00A350F4" w:rsidRDefault="00750688" w:rsidP="001A544B"/>
        </w:tc>
      </w:tr>
      <w:tr w:rsidR="00750688" w:rsidRPr="00A350F4" w:rsidTr="001A544B">
        <w:trPr>
          <w:trHeight w:val="240"/>
          <w:jc w:val="center"/>
        </w:trPr>
        <w:tc>
          <w:tcPr>
            <w:tcW w:w="4876" w:type="dxa"/>
            <w:tcBorders>
              <w:top w:val="nil"/>
              <w:left w:val="nil"/>
              <w:bottom w:val="nil"/>
              <w:right w:val="nil"/>
            </w:tcBorders>
          </w:tcPr>
          <w:p w:rsidR="00750688" w:rsidRPr="00A350F4" w:rsidRDefault="00750688" w:rsidP="001A544B">
            <w:pPr>
              <w:pStyle w:val="AmColumnHeading"/>
            </w:pPr>
            <w:r w:rsidRPr="00A350F4">
              <w:t>Päätöslauselmaesitys</w:t>
            </w:r>
          </w:p>
        </w:tc>
        <w:tc>
          <w:tcPr>
            <w:tcW w:w="4876" w:type="dxa"/>
            <w:tcBorders>
              <w:top w:val="nil"/>
              <w:left w:val="nil"/>
              <w:bottom w:val="nil"/>
              <w:right w:val="nil"/>
            </w:tcBorders>
          </w:tcPr>
          <w:p w:rsidR="00750688" w:rsidRPr="00A350F4" w:rsidRDefault="00750688" w:rsidP="001A544B">
            <w:pPr>
              <w:pStyle w:val="AmColumnHeading"/>
            </w:pPr>
            <w:r w:rsidRPr="00A350F4">
              <w:t>Tarkistus</w:t>
            </w:r>
          </w:p>
        </w:tc>
      </w:tr>
      <w:tr w:rsidR="00750688" w:rsidRPr="00A350F4" w:rsidTr="001A544B">
        <w:trPr>
          <w:jc w:val="center"/>
        </w:trPr>
        <w:tc>
          <w:tcPr>
            <w:tcW w:w="4876" w:type="dxa"/>
            <w:tcBorders>
              <w:top w:val="nil"/>
              <w:left w:val="nil"/>
              <w:bottom w:val="nil"/>
              <w:right w:val="nil"/>
            </w:tcBorders>
          </w:tcPr>
          <w:p w:rsidR="00750688" w:rsidRPr="00A350F4" w:rsidRDefault="00750688" w:rsidP="001A544B">
            <w:pPr>
              <w:pStyle w:val="Normal6a"/>
            </w:pPr>
          </w:p>
        </w:tc>
        <w:tc>
          <w:tcPr>
            <w:tcW w:w="4876" w:type="dxa"/>
            <w:tcBorders>
              <w:top w:val="nil"/>
              <w:left w:val="nil"/>
              <w:bottom w:val="nil"/>
              <w:right w:val="nil"/>
            </w:tcBorders>
          </w:tcPr>
          <w:p w:rsidR="00750688" w:rsidRPr="00A350F4" w:rsidRDefault="00750688" w:rsidP="001A544B">
            <w:pPr>
              <w:pStyle w:val="Normal6a"/>
            </w:pPr>
            <w:r w:rsidRPr="00A350F4">
              <w:rPr>
                <w:b/>
                <w:i/>
              </w:rPr>
              <w:t>58 a.</w:t>
            </w:r>
            <w:r w:rsidRPr="00A350F4">
              <w:tab/>
            </w:r>
            <w:r w:rsidRPr="00A350F4">
              <w:rPr>
                <w:b/>
                <w:i/>
              </w:rPr>
              <w:t xml:space="preserve">ehdottaa Euroopan talous- ja sosiaalikomitean taloudellisen kestävyyden ja riippumattomuuden parantamiseksi, että neuvoa-antava elin siirtyy jäsenmaksuihin perustuvaan itseään ylläpitävään rahoitusmalliin; </w:t>
            </w:r>
            <w:r w:rsidRPr="00A350F4">
              <w:rPr>
                <w:b/>
                <w:i/>
              </w:rPr>
              <w:lastRenderedPageBreak/>
              <w:t>katsoo, että näitä maksuja olisi perittävä useilta sidosryhmiltä, kuten työnantajajärjestöiltä, työntekijäliitoilta, kansalaisjärjestöiltä ja muilta komitean työhön aktiivisesti osallistuvilta yhteisöiltä; katsoo, että maksurakenne olisi porrastettava siten, että hinnat kuvastavat jäseninä olevien yhteisöjen sitoutumisen määrää ja tasoa; katsoo, että saadut tulot olisi käytettävä yksinomaan toimintakustannuksiin ja että varojen käytön avoimuus olisi varmistettava vuositilinpäätöksellä; odottaa, että tämän mallin vaiheittainen täytäntöönpano vähentää vähitellen riippuvuutta EU:n yleisestä talousarviosta ja että täysi omavaraisuus saavutetaan vuoteen 2028 mennessä.</w:t>
            </w:r>
          </w:p>
        </w:tc>
      </w:tr>
    </w:tbl>
    <w:p w:rsidR="00750688" w:rsidRPr="00A350F4" w:rsidRDefault="00750688" w:rsidP="00750688">
      <w:pPr>
        <w:pStyle w:val="AmOrLang"/>
      </w:pPr>
      <w:r w:rsidRPr="00A350F4">
        <w:lastRenderedPageBreak/>
        <w:t xml:space="preserve">Or. </w:t>
      </w:r>
      <w:r w:rsidRPr="00A350F4">
        <w:rPr>
          <w:rStyle w:val="HideTWBExt"/>
        </w:rPr>
        <w:t>&lt;Original&gt;</w:t>
      </w:r>
      <w:r w:rsidRPr="00A350F4">
        <w:rPr>
          <w:rStyle w:val="HideTWBInt"/>
        </w:rPr>
        <w:t>{EN}</w:t>
      </w:r>
      <w:r w:rsidRPr="00A350F4">
        <w:t>en</w:t>
      </w:r>
      <w:r w:rsidRPr="00A350F4">
        <w:rPr>
          <w:rStyle w:val="HideTWBExt"/>
        </w:rPr>
        <w:t>&lt;/Original&gt;</w:t>
      </w:r>
    </w:p>
    <w:p w:rsidR="00750688" w:rsidRPr="00A350F4" w:rsidRDefault="00750688" w:rsidP="00750688">
      <w:r w:rsidRPr="00A350F4">
        <w:rPr>
          <w:rStyle w:val="HideTWBExt"/>
        </w:rPr>
        <w:t>&lt;/Amend&gt;&lt;/RepeatBlock-Amend&gt;</w:t>
      </w:r>
    </w:p>
    <w:p w:rsidR="000E249D" w:rsidRPr="00A350F4" w:rsidRDefault="000E249D" w:rsidP="00750688"/>
    <w:sectPr w:rsidR="000E249D" w:rsidRPr="00A350F4" w:rsidSect="005D64FA">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631" w:rsidRPr="004730FA" w:rsidRDefault="00015689">
      <w:r w:rsidRPr="004730FA">
        <w:separator/>
      </w:r>
    </w:p>
  </w:endnote>
  <w:endnote w:type="continuationSeparator" w:id="0">
    <w:p w:rsidR="00190631" w:rsidRPr="004730FA" w:rsidRDefault="00015689">
      <w:r w:rsidRPr="004730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4FA" w:rsidRPr="00A350F4" w:rsidRDefault="005D64FA" w:rsidP="005D64FA">
    <w:pPr>
      <w:pStyle w:val="EPFooter"/>
      <w:rPr>
        <w:lang w:val="de-DE"/>
      </w:rPr>
    </w:pPr>
    <w:r w:rsidRPr="00A350F4">
      <w:rPr>
        <w:lang w:val="de-DE"/>
      </w:rPr>
      <w:t>PE</w:t>
    </w:r>
    <w:r w:rsidRPr="00A350F4">
      <w:rPr>
        <w:rStyle w:val="HideTWBExt"/>
        <w:lang w:val="de-DE"/>
      </w:rPr>
      <w:t>&lt;NoPE&gt;</w:t>
    </w:r>
    <w:r w:rsidRPr="00A350F4">
      <w:rPr>
        <w:lang w:val="de-DE"/>
      </w:rPr>
      <w:t>768.128</w:t>
    </w:r>
    <w:r w:rsidRPr="00A350F4">
      <w:rPr>
        <w:rStyle w:val="HideTWBExt"/>
        <w:lang w:val="de-DE"/>
      </w:rPr>
      <w:t>&lt;/NoPE&gt;&lt;Version&gt;</w:t>
    </w:r>
    <w:r w:rsidRPr="00A350F4">
      <w:rPr>
        <w:lang w:val="de-DE"/>
      </w:rPr>
      <w:t>v01-00</w:t>
    </w:r>
    <w:r w:rsidRPr="00A350F4">
      <w:rPr>
        <w:rStyle w:val="HideTWBExt"/>
        <w:lang w:val="de-DE"/>
      </w:rPr>
      <w:t>&lt;/Version&gt;</w:t>
    </w:r>
    <w:r w:rsidRPr="00A350F4">
      <w:rPr>
        <w:lang w:val="de-DE"/>
      </w:rPr>
      <w:tab/>
    </w:r>
    <w:r w:rsidRPr="004730FA">
      <w:fldChar w:fldCharType="begin"/>
    </w:r>
    <w:r w:rsidRPr="00A350F4">
      <w:rPr>
        <w:lang w:val="de-DE"/>
      </w:rPr>
      <w:instrText xml:space="preserve"> PAGE  \* MERGEFORMAT </w:instrText>
    </w:r>
    <w:r w:rsidRPr="004730FA">
      <w:fldChar w:fldCharType="separate"/>
    </w:r>
    <w:r w:rsidR="00A350F4">
      <w:rPr>
        <w:noProof/>
        <w:lang w:val="de-DE"/>
      </w:rPr>
      <w:t>2</w:t>
    </w:r>
    <w:r w:rsidRPr="004730FA">
      <w:fldChar w:fldCharType="end"/>
    </w:r>
    <w:r w:rsidRPr="00A350F4">
      <w:rPr>
        <w:lang w:val="de-DE"/>
      </w:rPr>
      <w:t>/</w:t>
    </w:r>
    <w:r w:rsidR="00A350F4">
      <w:fldChar w:fldCharType="begin"/>
    </w:r>
    <w:r w:rsidR="00A350F4" w:rsidRPr="00A350F4">
      <w:rPr>
        <w:lang w:val="de-DE"/>
      </w:rPr>
      <w:instrText xml:space="preserve"> NUMPAGES  \* MERGEFORMAT </w:instrText>
    </w:r>
    <w:r w:rsidR="00A350F4">
      <w:fldChar w:fldCharType="separate"/>
    </w:r>
    <w:r w:rsidR="00A350F4">
      <w:rPr>
        <w:noProof/>
        <w:lang w:val="de-DE"/>
      </w:rPr>
      <w:t>35</w:t>
    </w:r>
    <w:r w:rsidR="00A350F4">
      <w:rPr>
        <w:noProof/>
      </w:rPr>
      <w:fldChar w:fldCharType="end"/>
    </w:r>
    <w:r w:rsidRPr="00A350F4">
      <w:rPr>
        <w:lang w:val="de-DE"/>
      </w:rPr>
      <w:tab/>
    </w:r>
    <w:r w:rsidRPr="00A350F4">
      <w:rPr>
        <w:rStyle w:val="HideTWBExt"/>
        <w:lang w:val="de-DE"/>
      </w:rPr>
      <w:t>&lt;PathFdR&gt;</w:t>
    </w:r>
    <w:r w:rsidR="004730FA" w:rsidRPr="00A350F4">
      <w:rPr>
        <w:lang w:val="de-DE"/>
      </w:rPr>
      <w:t>AM\1314477FI.docx</w:t>
    </w:r>
    <w:r w:rsidRPr="00A350F4">
      <w:rPr>
        <w:rStyle w:val="HideTWBExt"/>
        <w:lang w:val="de-DE"/>
      </w:rPr>
      <w:t>&lt;/PathFdR&gt;</w:t>
    </w:r>
  </w:p>
  <w:p w:rsidR="000E249D" w:rsidRPr="004730FA" w:rsidRDefault="005D64FA" w:rsidP="005D64FA">
    <w:pPr>
      <w:pStyle w:val="EPFooter2"/>
    </w:pPr>
    <w:r w:rsidRPr="004730FA">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4FA" w:rsidRPr="00A350F4" w:rsidRDefault="005D64FA" w:rsidP="005D64FA">
    <w:pPr>
      <w:pStyle w:val="EPFooter"/>
      <w:rPr>
        <w:lang w:val="de-DE"/>
      </w:rPr>
    </w:pPr>
    <w:r w:rsidRPr="00A350F4">
      <w:rPr>
        <w:rStyle w:val="HideTWBExt"/>
        <w:lang w:val="de-DE"/>
      </w:rPr>
      <w:t>&lt;PathFdR&gt;</w:t>
    </w:r>
    <w:r w:rsidR="004730FA" w:rsidRPr="00A350F4">
      <w:rPr>
        <w:lang w:val="de-DE"/>
      </w:rPr>
      <w:t>AM\1314477FI.docx</w:t>
    </w:r>
    <w:r w:rsidRPr="00A350F4">
      <w:rPr>
        <w:rStyle w:val="HideTWBExt"/>
        <w:lang w:val="de-DE"/>
      </w:rPr>
      <w:t>&lt;/PathFdR&gt;</w:t>
    </w:r>
    <w:r w:rsidRPr="00A350F4">
      <w:rPr>
        <w:lang w:val="de-DE"/>
      </w:rPr>
      <w:tab/>
    </w:r>
    <w:r w:rsidRPr="004730FA">
      <w:fldChar w:fldCharType="begin"/>
    </w:r>
    <w:r w:rsidRPr="00A350F4">
      <w:rPr>
        <w:lang w:val="de-DE"/>
      </w:rPr>
      <w:instrText xml:space="preserve"> PAGE  \* MERGEFORMAT </w:instrText>
    </w:r>
    <w:r w:rsidRPr="004730FA">
      <w:fldChar w:fldCharType="separate"/>
    </w:r>
    <w:r w:rsidR="00A350F4" w:rsidRPr="00A350F4">
      <w:rPr>
        <w:noProof/>
        <w:lang w:val="de-DE"/>
      </w:rPr>
      <w:t>35</w:t>
    </w:r>
    <w:r w:rsidRPr="004730FA">
      <w:fldChar w:fldCharType="end"/>
    </w:r>
    <w:r w:rsidRPr="00A350F4">
      <w:rPr>
        <w:lang w:val="de-DE"/>
      </w:rPr>
      <w:t>/</w:t>
    </w:r>
    <w:r w:rsidR="00A350F4">
      <w:fldChar w:fldCharType="begin"/>
    </w:r>
    <w:r w:rsidR="00A350F4" w:rsidRPr="00A350F4">
      <w:rPr>
        <w:lang w:val="de-DE"/>
      </w:rPr>
      <w:instrText xml:space="preserve"> NUMPAGES  \* MERGEFORMAT </w:instrText>
    </w:r>
    <w:r w:rsidR="00A350F4">
      <w:fldChar w:fldCharType="separate"/>
    </w:r>
    <w:r w:rsidR="00A350F4" w:rsidRPr="00A350F4">
      <w:rPr>
        <w:noProof/>
        <w:lang w:val="de-DE"/>
      </w:rPr>
      <w:t>35</w:t>
    </w:r>
    <w:r w:rsidR="00A350F4">
      <w:rPr>
        <w:noProof/>
      </w:rPr>
      <w:fldChar w:fldCharType="end"/>
    </w:r>
    <w:r w:rsidRPr="00A350F4">
      <w:rPr>
        <w:lang w:val="de-DE"/>
      </w:rPr>
      <w:tab/>
      <w:t>PE</w:t>
    </w:r>
    <w:r w:rsidRPr="00A350F4">
      <w:rPr>
        <w:rStyle w:val="HideTWBExt"/>
        <w:lang w:val="de-DE"/>
      </w:rPr>
      <w:t>&lt;NoPE&gt;</w:t>
    </w:r>
    <w:r w:rsidRPr="00A350F4">
      <w:rPr>
        <w:lang w:val="de-DE"/>
      </w:rPr>
      <w:t>768.128</w:t>
    </w:r>
    <w:r w:rsidRPr="00A350F4">
      <w:rPr>
        <w:rStyle w:val="HideTWBExt"/>
        <w:lang w:val="de-DE"/>
      </w:rPr>
      <w:t>&lt;/NoPE&gt;&lt;Version&gt;</w:t>
    </w:r>
    <w:r w:rsidRPr="00A350F4">
      <w:rPr>
        <w:lang w:val="de-DE"/>
      </w:rPr>
      <w:t>v01-00</w:t>
    </w:r>
    <w:r w:rsidRPr="00A350F4">
      <w:rPr>
        <w:rStyle w:val="HideTWBExt"/>
        <w:lang w:val="de-DE"/>
      </w:rPr>
      <w:t>&lt;/Version&gt;</w:t>
    </w:r>
  </w:p>
  <w:p w:rsidR="000E249D" w:rsidRPr="004730FA" w:rsidRDefault="005D64FA" w:rsidP="005D64FA">
    <w:pPr>
      <w:pStyle w:val="EPFooter2"/>
    </w:pPr>
    <w:r w:rsidRPr="00A350F4">
      <w:rPr>
        <w:lang w:val="de-DE"/>
      </w:rPr>
      <w:tab/>
    </w:r>
    <w:r w:rsidRPr="00A350F4">
      <w:rPr>
        <w:lang w:val="de-DE"/>
      </w:rPr>
      <w:tab/>
    </w:r>
    <w:r w:rsidRPr="004730FA">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4FA" w:rsidRPr="00A350F4" w:rsidRDefault="005D64FA" w:rsidP="005D64FA">
    <w:pPr>
      <w:pStyle w:val="EPFooter"/>
      <w:rPr>
        <w:lang w:val="de-DE"/>
      </w:rPr>
    </w:pPr>
    <w:r w:rsidRPr="00A350F4">
      <w:rPr>
        <w:rStyle w:val="HideTWBExt"/>
        <w:lang w:val="de-DE"/>
      </w:rPr>
      <w:t>&lt;PathFdR&gt;</w:t>
    </w:r>
    <w:r w:rsidR="004730FA" w:rsidRPr="00A350F4">
      <w:rPr>
        <w:lang w:val="de-DE"/>
      </w:rPr>
      <w:t>AM\1314477FI.docx</w:t>
    </w:r>
    <w:r w:rsidRPr="00A350F4">
      <w:rPr>
        <w:rStyle w:val="HideTWBExt"/>
        <w:lang w:val="de-DE"/>
      </w:rPr>
      <w:t>&lt;/PathFdR&gt;</w:t>
    </w:r>
    <w:r w:rsidRPr="00A350F4">
      <w:rPr>
        <w:lang w:val="de-DE"/>
      </w:rPr>
      <w:tab/>
    </w:r>
    <w:r w:rsidRPr="00A350F4">
      <w:rPr>
        <w:lang w:val="de-DE"/>
      </w:rPr>
      <w:tab/>
      <w:t>PE</w:t>
    </w:r>
    <w:r w:rsidRPr="00A350F4">
      <w:rPr>
        <w:rStyle w:val="HideTWBExt"/>
        <w:lang w:val="de-DE"/>
      </w:rPr>
      <w:t>&lt;NoPE&gt;</w:t>
    </w:r>
    <w:r w:rsidRPr="00A350F4">
      <w:rPr>
        <w:lang w:val="de-DE"/>
      </w:rPr>
      <w:t>768.128</w:t>
    </w:r>
    <w:r w:rsidRPr="00A350F4">
      <w:rPr>
        <w:rStyle w:val="HideTWBExt"/>
        <w:lang w:val="de-DE"/>
      </w:rPr>
      <w:t>&lt;/NoPE&gt;&lt;Version&gt;</w:t>
    </w:r>
    <w:r w:rsidRPr="00A350F4">
      <w:rPr>
        <w:lang w:val="de-DE"/>
      </w:rPr>
      <w:t>v01-00</w:t>
    </w:r>
    <w:r w:rsidRPr="00A350F4">
      <w:rPr>
        <w:rStyle w:val="HideTWBExt"/>
        <w:lang w:val="de-DE"/>
      </w:rPr>
      <w:t>&lt;/Version&gt;</w:t>
    </w:r>
  </w:p>
  <w:p w:rsidR="000E249D" w:rsidRPr="004730FA" w:rsidRDefault="005D64FA" w:rsidP="005D64FA">
    <w:pPr>
      <w:pStyle w:val="EPFooter2"/>
    </w:pPr>
    <w:r w:rsidRPr="004730FA">
      <w:t>FI</w:t>
    </w:r>
    <w:r w:rsidRPr="004730FA">
      <w:tab/>
    </w:r>
    <w:r w:rsidRPr="004730FA">
      <w:rPr>
        <w:b w:val="0"/>
        <w:i/>
        <w:color w:val="C0C0C0"/>
        <w:sz w:val="22"/>
      </w:rPr>
      <w:t>Moninaisuudessaan yhtenäinen</w:t>
    </w:r>
    <w:r w:rsidRPr="004730FA">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631" w:rsidRPr="004730FA" w:rsidRDefault="00015689">
      <w:r w:rsidRPr="004730FA">
        <w:separator/>
      </w:r>
    </w:p>
  </w:footnote>
  <w:footnote w:type="continuationSeparator" w:id="0">
    <w:p w:rsidR="00190631" w:rsidRPr="004730FA" w:rsidRDefault="00015689">
      <w:r w:rsidRPr="004730F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38E" w:rsidRDefault="006C03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38E" w:rsidRDefault="006C03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38E" w:rsidRDefault="006C03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4"/>
    <w:docVar w:name="TXTLANGUE" w:val="FI"/>
    <w:docVar w:name="TXTLANGUEMIN" w:val="fi"/>
    <w:docVar w:name="TXTNRPE" w:val="768.128"/>
    <w:docVar w:name="TXTPEorAP" w:val="PE"/>
    <w:docVar w:name="TXTROUTE" w:val="AM\1314477FI.docx"/>
    <w:docVar w:name="TXTVERSION" w:val="01-00"/>
  </w:docVars>
  <w:rsids>
    <w:rsidRoot w:val="00A77B3E"/>
    <w:rsid w:val="00015689"/>
    <w:rsid w:val="000E249D"/>
    <w:rsid w:val="00190631"/>
    <w:rsid w:val="00453FB8"/>
    <w:rsid w:val="004730FA"/>
    <w:rsid w:val="004D4280"/>
    <w:rsid w:val="005D64FA"/>
    <w:rsid w:val="006C038E"/>
    <w:rsid w:val="00750688"/>
    <w:rsid w:val="00A350F4"/>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8A1058E"/>
  <w15:docId w15:val="{DE5CE312-4F2B-45C9-8E59-3CCC9B0FA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4D4280"/>
    <w:pPr>
      <w:tabs>
        <w:tab w:val="center" w:pos="4680"/>
        <w:tab w:val="right" w:pos="9360"/>
      </w:tabs>
    </w:pPr>
  </w:style>
  <w:style w:type="character" w:customStyle="1" w:styleId="HeaderChar">
    <w:name w:val="Header Char"/>
    <w:basedOn w:val="DefaultParagraphFont"/>
    <w:link w:val="Header"/>
    <w:rsid w:val="004D4280"/>
    <w:rPr>
      <w:sz w:val="24"/>
      <w:szCs w:val="24"/>
    </w:rPr>
  </w:style>
  <w:style w:type="paragraph" w:styleId="Footer">
    <w:name w:val="footer"/>
    <w:basedOn w:val="Normal"/>
    <w:link w:val="FooterChar"/>
    <w:semiHidden/>
    <w:unhideWhenUsed/>
    <w:rsid w:val="00750688"/>
    <w:pPr>
      <w:tabs>
        <w:tab w:val="center" w:pos="4680"/>
        <w:tab w:val="right" w:pos="9360"/>
      </w:tabs>
    </w:pPr>
  </w:style>
  <w:style w:type="character" w:customStyle="1" w:styleId="FooterChar">
    <w:name w:val="Footer Char"/>
    <w:basedOn w:val="DefaultParagraphFont"/>
    <w:link w:val="Footer"/>
    <w:semiHidden/>
    <w:rsid w:val="0075068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D627958930ED4D9906E43E971747B7" ma:contentTypeVersion="0" ma:contentTypeDescription="Create a new document." ma:contentTypeScope="" ma:versionID="f7a8d689da2adb64ddebbf14bb498b0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531F13-959B-4B73-B524-36794E014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DF7786F-1149-4DFA-B1CE-99ED330083A1}">
  <ds:schemaRefs>
    <ds:schemaRef ds:uri="http://schemas.microsoft.com/office/2006/metadata/properties"/>
  </ds:schemaRefs>
</ds:datastoreItem>
</file>

<file path=customXml/itemProps3.xml><?xml version="1.0" encoding="utf-8"?>
<ds:datastoreItem xmlns:ds="http://schemas.openxmlformats.org/officeDocument/2006/customXml" ds:itemID="{6A79DD1C-237F-4359-AE8C-687990E6E6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5633</Words>
  <Characters>47266</Characters>
  <Application>Microsoft Office Word</Application>
  <DocSecurity>0</DocSecurity>
  <Lines>1889</Lines>
  <Paragraphs>488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52465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COLLIANDER Vilja Alma Maria</cp:lastModifiedBy>
  <cp:revision>2</cp:revision>
  <dcterms:created xsi:type="dcterms:W3CDTF">2025-02-24T08:32:00Z</dcterms:created>
  <dcterms:modified xsi:type="dcterms:W3CDTF">2025-02-24T08:32:00Z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1314477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124674</vt:lpwstr>
  </property>
  <property fmtid="{D5CDD505-2E9C-101B-9397-08002B2CF9AE}" pid="7" name="dmxml.render.traceId">
    <vt:lpwstr>67aa03636f5a4815cf25438ec1f2de1c</vt:lpwstr>
  </property>
  <property fmtid="{D5CDD505-2E9C-101B-9397-08002B2CF9AE}" pid="8" name="FooterPath">
    <vt:lpwstr>AM\1314477FI.docx</vt:lpwstr>
  </property>
  <property fmtid="{D5CDD505-2E9C-101B-9397-08002B2CF9AE}" pid="9" name="PE Number">
    <vt:lpwstr>768.128</vt:lpwstr>
  </property>
  <property fmtid="{D5CDD505-2E9C-101B-9397-08002B2CF9AE}" pid="10" name="UID">
    <vt:lpwstr>eu.europa.europarl-DIN1-2025-0000018393_01.00-xm-01.00_text-xml</vt:lpwstr>
  </property>
  <property fmtid="{D5CDD505-2E9C-101B-9397-08002B2CF9AE}" pid="11" name="LastEdited with">
    <vt:lpwstr>10.0.1 Build [20250114]</vt:lpwstr>
  </property>
  <property fmtid="{D5CDD505-2E9C-101B-9397-08002B2CF9AE}" pid="12" name="ContentTypeId">
    <vt:lpwstr>0x0101007CD627958930ED4D9906E43E971747B7</vt:lpwstr>
  </property>
  <property fmtid="{D5CDD505-2E9C-101B-9397-08002B2CF9AE}" pid="13" name="Bookout">
    <vt:lpwstr>OK - 2025/02/24 09:29</vt:lpwstr>
  </property>
</Properties>
</file>