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Evropský parlament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{CONT}</w:t>
      </w:r>
      <w:r>
        <w:t>Výbor pro rozpočtovou kontrolu</w:t>
      </w:r>
      <w:r>
        <w:rPr>
          <w:rStyle w:val="HideTWBExt"/>
        </w:rPr>
        <w:t>&lt;/Commission&gt;</w:t>
      </w:r>
    </w:p>
    <w:p>
      <w:pPr>
        <w:pStyle w:val="LineBottom"/>
      </w:pPr>
      <w:r>
        <w:t xml:space="preserve"> </w:t>
      </w:r>
    </w:p>
    <w:p>
      <w:pPr>
        <w:pStyle w:val="CoverReference"/>
      </w:pPr>
      <w:r>
        <w:rPr>
          <w:rStyle w:val="HideTWBExt"/>
        </w:rPr>
        <w:t>&lt;RefProc&gt;</w:t>
      </w:r>
      <w:r>
        <w:t>2024/2026</w:t>
      </w:r>
      <w:r>
        <w:rPr>
          <w:rStyle w:val="HideTWBExt"/>
        </w:rPr>
        <w:t>&lt;/RefProc&gt;</w:t>
      </w:r>
      <w:r>
        <w:rPr>
          <w:rStyle w:val="HideTWBExt"/>
        </w:rPr>
        <w:t>&lt;RefTypeProc&gt;</w:t>
      </w:r>
      <w:r>
        <w:t>(DEC)</w:t>
      </w:r>
      <w:r>
        <w:rPr>
          <w:rStyle w:val="HideTWBExt"/>
        </w:rPr>
        <w:t>&lt;/RefTypeProc&gt;</w:t>
      </w:r>
    </w:p>
    <w:p>
      <w:pPr>
        <w:pStyle w:val="CoverDate"/>
      </w:pPr>
      <w:r>
        <w:rPr>
          <w:rStyle w:val="HideTWBExt"/>
        </w:rPr>
        <w:t>&lt;Date&gt;</w:t>
      </w:r>
      <w:r>
        <w:rPr>
          <w:rStyle w:val="HideTWBInt"/>
        </w:rPr>
        <w:t>{10/02/2025}</w:t>
      </w:r>
      <w:r>
        <w:t>10.2.2025</w:t>
      </w:r>
      <w:r>
        <w:rPr>
          <w:rStyle w:val="HideTWBExt"/>
        </w:rPr>
        <w:t>&lt;/Date&gt;</w:t>
      </w:r>
    </w:p>
    <w:p>
      <w:pPr>
        <w:pStyle w:val="CoverDocType"/>
      </w:pPr>
      <w:r>
        <w:rPr>
          <w:rStyle w:val="HideTWBExt"/>
        </w:rPr>
        <w:t>&lt;TypeAM&gt;</w:t>
      </w:r>
      <w:r>
        <w:t>POZMĚŇOVACÍ NÁVRHY</w:t>
      </w:r>
      <w:r>
        <w:rPr>
          <w:rStyle w:val="HideTWBExt"/>
        </w:rPr>
        <w:t>&lt;/TypeAM&gt;</w:t>
      </w:r>
    </w:p>
    <w:p>
      <w:pPr>
        <w:pStyle w:val="CoverDocType24a"/>
      </w:pPr>
      <w:r>
        <w:rPr>
          <w:rStyle w:val="HideTWBExt"/>
        </w:rPr>
        <w:t>&lt;RangeAM&gt;</w:t>
      </w:r>
      <w:r>
        <w:t>1</w:t>
      </w:r>
      <w:r>
        <w:t xml:space="preserve"> - </w:t>
      </w:r>
      <w:r>
        <w:t>65</w:t>
      </w:r>
      <w:r>
        <w:rPr>
          <w:rStyle w:val="HideTWBExt"/>
        </w:rPr>
        <w:t>&lt;/RangeAM&gt;</w:t>
      </w:r>
    </w:p>
    <w:p>
      <w:pPr>
        <w:pStyle w:val="CoverBold"/>
      </w:pPr>
      <w:r>
        <w:rPr>
          <w:rStyle w:val="HideTWBExt"/>
        </w:rPr>
        <w:t>&lt;TitreType&gt;</w:t>
      </w:r>
      <w:r>
        <w:t>Návrh zprávy</w:t>
      </w:r>
      <w:r>
        <w:rPr>
          <w:rStyle w:val="HideTWBExt"/>
        </w:rPr>
        <w:t>&lt;/TitreType&gt;</w:t>
      </w:r>
    </w:p>
    <w:p>
      <w:pPr>
        <w:pStyle w:val="CoverBold"/>
      </w:pPr>
      <w:r>
        <w:rPr>
          <w:rStyle w:val="HideTWBExt"/>
        </w:rPr>
        <w:t>&lt;Rapporteur&gt;</w:t>
      </w:r>
      <w:r>
        <w:t>Joachim Stanisław Brudziński</w:t>
      </w:r>
      <w:r>
        <w:rPr>
          <w:rStyle w:val="HideTWBExt"/>
        </w:rPr>
        <w:t>&lt;/Rapporteur&gt;</w:t>
      </w:r>
    </w:p>
    <w:p>
      <w:pPr>
        <w:pStyle w:val="CoverNormal24a"/>
      </w:pPr>
      <w:r>
        <w:rPr>
          <w:rStyle w:val="HideTWBExt"/>
        </w:rPr>
        <w:t>&lt;DocRefPE&gt;</w:t>
      </w:r>
      <w:r>
        <w:t>(PE764.992v01-00)</w:t>
      </w:r>
      <w:r>
        <w:rPr>
          <w:rStyle w:val="HideTWBExt"/>
        </w:rPr>
        <w:t>&lt;/DocRefPE&gt;</w:t>
      </w:r>
    </w:p>
    <w:p>
      <w:pPr>
        <w:pStyle w:val="CoverNormal"/>
      </w:pPr>
      <w:r>
        <w:rPr>
          <w:rStyle w:val="HideTWBExt"/>
        </w:rPr>
        <w:t>&lt;Titre&gt;</w:t>
      </w:r>
      <w:r>
        <w:t>Udělení absolutoria za rok 2023: souhrnný rozpočet EU – Výbor regionů</w:t>
      </w:r>
      <w:r>
        <w:rPr>
          <w:rStyle w:val="HideTWBExt"/>
        </w:rPr>
        <w:t>&lt;/Titre&gt;</w:t>
      </w:r>
    </w:p>
    <w:p>
      <w:pPr>
        <w:pStyle w:val="CoverNormal24a"/>
      </w:pPr>
      <w:r>
        <w:rPr>
          <w:rStyle w:val="HideTWBExt"/>
        </w:rPr>
        <w:t>&lt;DocRef&gt;</w:t>
      </w:r>
      <w:r>
        <w:t>(2024/2026(DEC))</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Pozměňovací návrh</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Virginie Joron,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vzhledem k tomu, že Výbor regionů (dále jen „Výbor“) je politickým shromážděním 329 členů zvolených v regionech, městech, vesnicích a obcích 27 členských států Unie a slouží jako poradní subjekt orgánů Unie, jehož posláním je přispívat k formování politik Unie a procesu rozhodování z hlediska místních a regionálních orgánů </w:t>
            </w:r>
            <w:r>
              <w:rPr>
                <w:b/>
                <w:i/>
              </w:rPr>
              <w:t>a současně přispívat k tomu, aby byla Unie efektivnější a blíže občanům</w:t>
            </w:r>
            <w:r>
              <w:t>;</w:t>
            </w:r>
          </w:p>
        </w:tc>
        <w:tc>
          <w:tcPr>
            <w:tcW w:w="4876" w:type="dxa"/>
            <w:tcBorders>
              <w:top w:val="nil"/>
              <w:left w:val="nil"/>
              <w:bottom w:val="nil"/>
              <w:right w:val="nil"/>
            </w:tcBorders>
          </w:tcPr>
          <w:p>
            <w:pPr>
              <w:pStyle w:val="Normal6a"/>
            </w:pPr>
            <w:r>
              <w:t>B.</w:t>
            </w:r>
            <w:r>
              <w:tab/>
            </w:r>
            <w:r>
              <w:t>vzhledem k tomu, že Výbor regionů (dále jen „Výbor“) je politickým shromážděním 329 členů zvolených v regionech, městech, vesnicích a obcích 27 členských států Unie a slouží jako poradní subjekt orgánů Unie, jehož posláním je přispívat k formování politik Unie a procesu rozhodování z hlediska místních a regionálních orgánů;</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Csaba Molnár, Claudiu Manda, Giuseppe Lupo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vzhledem k tomu, že nařízení (EU) 2021/1060</w:t>
            </w:r>
            <w:r>
              <w:rPr>
                <w:vertAlign w:val="superscript"/>
              </w:rPr>
              <w:t>2</w:t>
            </w:r>
            <w:r>
              <w:t>, kterým se řídí politika soudržnosti Unie a její financování v období 2021–2027 a které vstoupilo v platnost v červenci 2021, zahrnuje odkazy na zásadu partnerství a víceúrovňové správy, což podporuje Výbor i Parlament a což vyžaduje zapojení regionů;</w:t>
            </w:r>
          </w:p>
        </w:tc>
        <w:tc>
          <w:tcPr>
            <w:tcW w:w="4876" w:type="dxa"/>
            <w:tcBorders>
              <w:top w:val="nil"/>
              <w:left w:val="nil"/>
              <w:bottom w:val="nil"/>
              <w:right w:val="nil"/>
            </w:tcBorders>
          </w:tcPr>
          <w:p>
            <w:pPr>
              <w:pStyle w:val="Normal6a"/>
            </w:pPr>
            <w:r>
              <w:t>H.</w:t>
            </w:r>
            <w:r>
              <w:tab/>
            </w:r>
            <w:r>
              <w:t>vzhledem k tomu, že nařízení (EU) 2021/1060</w:t>
            </w:r>
            <w:r>
              <w:rPr>
                <w:vertAlign w:val="superscript"/>
              </w:rPr>
              <w:t>2</w:t>
            </w:r>
            <w:r>
              <w:t xml:space="preserve">, kterým se řídí politika soudržnosti Unie a její financování v období 2021–2027 a které vstoupilo v platnost v červenci 2021, zahrnuje odkazy na zásadu partnerství a víceúrovňové správy, což podporuje Výbor i Parlament a což vyžaduje zapojení regionů </w:t>
            </w:r>
            <w:r>
              <w:rPr>
                <w:b/>
                <w:i/>
              </w:rPr>
              <w:t>i jejich místních a regionálních orgánů;</w:t>
            </w:r>
            <w:r>
              <w:t xml:space="preserve"> </w:t>
            </w:r>
            <w:r>
              <w:rPr>
                <w:b/>
                <w:i/>
              </w:rPr>
              <w:t>důrazně se zasazuje o to, aby byly v příštím víceletém finančním rámci (VFR) navýšeny investice EU do regionální a místní odolnosti</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Nařízení Evropského parlamentu a Rady (EU) 2021/1060 ze dne 24. června 2021 o společných ustanoveních pro Evropský fond pro regionální rozvoj, Evropský sociální fond plus, Fond soudržnosti, Fond pro spravedlivou transformaci a Evropský námořní, rybářský a akvakulturní fond a o finančních pravidlech pro tyto fondy a pro Azylový, migrační a integrační fond, Fond pro vnitřní bezpečnost a Nástroj pro finanční podporu správy hranic a vízové politiky (Úř. věst. L 231, 30.6.2021, s. 159, ELI: http://data.europa.eu/eli/reg/2021/1060/2024-06-30).</w:t>
            </w:r>
          </w:p>
        </w:tc>
        <w:tc>
          <w:tcPr>
            <w:tcW w:w="4876" w:type="dxa"/>
            <w:tcBorders>
              <w:top w:val="nil"/>
              <w:left w:val="nil"/>
              <w:bottom w:val="nil"/>
              <w:right w:val="nil"/>
            </w:tcBorders>
          </w:tcPr>
          <w:p>
            <w:pPr>
              <w:pStyle w:val="Normal6a"/>
            </w:pPr>
            <w:r>
              <w:rPr>
                <w:vertAlign w:val="superscript"/>
              </w:rPr>
              <w:t>2</w:t>
            </w:r>
            <w:r>
              <w:t xml:space="preserve"> </w:t>
            </w:r>
            <w:r>
              <w:t>Nařízení Evropského parlamentu a Rady (EU) 2021/1060 ze dne 24. června 2021 o společných ustanoveních pro Evropský fond pro regionální rozvoj, Evropský sociální fond plus, Fond soudržnosti, Fond pro spravedlivou transformaci a Evropský námořní, rybářský a akvakulturní fond a o finančních pravidlech pro tyto fondy a pro Azylový, migrační a integrační fond, Fond pro vnitřní bezpečnost a Nástroj pro finanční podporu správy hranic a vízové politiky (Úř. věst. L 231, 30.6.2021, s.</w:t>
            </w:r>
            <w:r>
              <w:rPr>
                <w:b/>
                <w:i/>
              </w:rPr>
              <w:t> </w:t>
            </w:r>
            <w:r>
              <w:t xml:space="preserve"> 159, ELI: http://data.europa.eu/eli/reg/2021/1060/2024-06-30).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Csaba Molnár, Claudiu Manda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 xml:space="preserve">vzhledem k tomu, že prostřednictvím více než 400 vnitrostátních a regionálních programů, které byly zavedeny za účelem plnění cílů politiky soudržnosti v programovém období 2021–2027, bude v rámci různých fondů uvolněno více než 380 miliard EUR, které jsou určeny na to, aby se regiony </w:t>
            </w:r>
            <w:r>
              <w:rPr>
                <w:b/>
                <w:i/>
              </w:rPr>
              <w:t>a města</w:t>
            </w:r>
            <w:r>
              <w:t xml:space="preserve"> v Unii vypořádaly s hospodářskými, sociálními a environmentálními výzvami, jimž čelí;</w:t>
            </w:r>
          </w:p>
        </w:tc>
        <w:tc>
          <w:tcPr>
            <w:tcW w:w="4876" w:type="dxa"/>
            <w:tcBorders>
              <w:top w:val="nil"/>
              <w:left w:val="nil"/>
              <w:bottom w:val="nil"/>
              <w:right w:val="nil"/>
            </w:tcBorders>
          </w:tcPr>
          <w:p>
            <w:pPr>
              <w:pStyle w:val="Normal6a"/>
            </w:pPr>
            <w:r>
              <w:t>I.</w:t>
            </w:r>
            <w:r>
              <w:tab/>
            </w:r>
            <w:r>
              <w:t>vzhledem k tomu, že prostřednictvím více než 400 vnitrostátních a regionálních programů, které byly zavedeny za účelem plnění cílů politiky soudržnosti v programovém období 2021–2027, bude v rámci různých fondů uvolněno více než 380 miliard EUR, které jsou určeny na to, aby se regiony</w:t>
            </w:r>
            <w:r>
              <w:rPr>
                <w:b/>
                <w:i/>
              </w:rPr>
              <w:t>, města, vesnice a obce</w:t>
            </w:r>
            <w:r>
              <w:t xml:space="preserve"> v Unii vypořádaly s hospodářskými, sociálními a environmentálními výzvami, jimž čelí;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bere na vědomí výrok uvedený ve zprávě Účetního dvora týkající se jedné transakce provedené v roce 2023, u které nebyla dostatečně odůvodněna desetiletá doba trvání smlouvy na údržbu budov;</w:t>
            </w:r>
          </w:p>
        </w:tc>
        <w:tc>
          <w:tcPr>
            <w:tcW w:w="4876" w:type="dxa"/>
            <w:tcBorders>
              <w:top w:val="nil"/>
              <w:left w:val="nil"/>
              <w:bottom w:val="nil"/>
              <w:right w:val="nil"/>
            </w:tcBorders>
          </w:tcPr>
          <w:p>
            <w:pPr>
              <w:pStyle w:val="Normal6a"/>
            </w:pPr>
            <w:r>
              <w:t>4.</w:t>
            </w:r>
            <w:r>
              <w:tab/>
            </w:r>
            <w:r>
              <w:rPr>
                <w:b/>
                <w:i/>
              </w:rPr>
              <w:t>s politováním</w:t>
            </w:r>
            <w:r>
              <w:t xml:space="preserve"> bere na vědomí výrok uvedený ve zprávě Účetního dvora týkající se jedné transakce provedené v roce 2023, u které nebyla dostatečně odůvodněna desetiletá doba trvání smlouvy na údržbu budov;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bere na vědomí navýšení</w:t>
            </w:r>
            <w:r>
              <w:t xml:space="preserve"> o asi 20 % u plateb provedených členům Výboru, a sice z 6 573 307 EUR v roce 2022 na 7 955 968 EUR v roce 2023, přičemž platby na cestovní výdaje (8 119 plateb), příspěvky na cestu (4 449 plateb), příspěvky na osobní účast na schůzi (7 845 plateb) a příspěvky na účast na schůzi na dálku (152 plateb);</w:t>
            </w:r>
          </w:p>
        </w:tc>
        <w:tc>
          <w:tcPr>
            <w:tcW w:w="4876" w:type="dxa"/>
            <w:tcBorders>
              <w:top w:val="nil"/>
              <w:left w:val="nil"/>
              <w:bottom w:val="nil"/>
              <w:right w:val="nil"/>
            </w:tcBorders>
          </w:tcPr>
          <w:p>
            <w:pPr>
              <w:pStyle w:val="Normal6a"/>
            </w:pPr>
            <w:r>
              <w:t>7.</w:t>
            </w:r>
            <w:r>
              <w:tab/>
            </w:r>
            <w:r>
              <w:rPr>
                <w:b/>
                <w:i/>
              </w:rPr>
              <w:t>vyjadřuje politování nad navýšením</w:t>
            </w:r>
            <w:r>
              <w:t xml:space="preserve"> o asi 20 % u plateb provedených členům Výboru, a sice z 6 573 307 EUR v roce 2022 na 7 955 968 EUR v roce 2023, přičemž platby na cestovní výdaje (8 119 plateb), příspěvky na cestu (4 449 plateb), příspěvky na osobní účast na schůzi (7 845 plateb) a příspěvky na účast na schůzi na dálku (152 plateb);</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Csaba Molnár, Claudiu Manda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připomíná, že rozpočet na služební cesty (prostředky v běžném roce) zůstal stabilní, a sice 420 833 EUR v roce 2023 (oproti 419 657 EUR v roce 2022) a míra plnění v roce 2023 činila přibližně 80 % (podobně jako v roce 2022); konstatuje, že navzdory nárůstu průměrných nákladů na ubytování a cestování zůstal rozpočet Výboru na služební cesty stabilní díky snížení počtu služebních cest provedených v roce 2023 o 13 % oproti roku 2022;</w:t>
            </w:r>
          </w:p>
        </w:tc>
        <w:tc>
          <w:tcPr>
            <w:tcW w:w="4876" w:type="dxa"/>
            <w:tcBorders>
              <w:top w:val="nil"/>
              <w:left w:val="nil"/>
              <w:bottom w:val="nil"/>
              <w:right w:val="nil"/>
            </w:tcBorders>
          </w:tcPr>
          <w:p>
            <w:pPr>
              <w:pStyle w:val="Normal6a"/>
            </w:pPr>
            <w:r>
              <w:t>8.</w:t>
            </w:r>
            <w:r>
              <w:tab/>
            </w:r>
            <w:r>
              <w:t xml:space="preserve">připomíná, že rozpočet na služební cesty (prostředky v běžném roce) zůstal stabilní, a sice 420 833 EUR v roce 2023 (oproti 419 657 EUR v roce 2022) a míra plnění v roce 2023 činila přibližně 80 % (podobně jako v roce 2022); konstatuje, že navzdory nárůstu průměrných nákladů na ubytování a cestování zůstal rozpočet Výboru na služební cesty stabilní díky snížení počtu služebních cest provedených v roce 2023 o 13 % oproti roku 2022; </w:t>
            </w:r>
            <w:r>
              <w:rPr>
                <w:b/>
                <w:i/>
              </w:rPr>
              <w:t>vítá, že příspěvek pro předsednictví Výboru (předsedu a prvního místopředsedu) na cestovní výdaje a výdaje na schůze financované ze souhrnného rozpočtu na výdaje poslanců se v letech 2022–2023 snížil ze 71 810 EUR na 62 268 EUR, tj. o 13 %;</w:t>
            </w:r>
            <w:r>
              <w:t xml:space="preserve"> </w:t>
            </w:r>
            <w:r>
              <w:rPr>
                <w:b/>
                <w:i/>
              </w:rPr>
              <w:t>vybízí Výbor, aby dále racionalizoval a snížil výdaje v této oblasti a zajistil optimální přidělování zdrojů v souladu se zásadami řádného finančního řízení;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pozoruje nárůst prostředků v běžném roce na tlumočnické služby o asi 19 %, z 3,494 milionu EUR v roce 2022 na 4,167 milionu EUR v roce 2023; žádá Výbor, aby vysvětlil důvody tohoto navýšení, jelikož současně Výbor vykázal v roce 2023 úspory v souvislosti s používáním tlumočení na dálku;</w:t>
            </w:r>
          </w:p>
        </w:tc>
        <w:tc>
          <w:tcPr>
            <w:tcW w:w="4876" w:type="dxa"/>
            <w:tcBorders>
              <w:top w:val="nil"/>
              <w:left w:val="nil"/>
              <w:bottom w:val="nil"/>
              <w:right w:val="nil"/>
            </w:tcBorders>
          </w:tcPr>
          <w:p>
            <w:pPr>
              <w:pStyle w:val="Normal6a"/>
            </w:pPr>
            <w:r>
              <w:t>9.</w:t>
            </w:r>
            <w:r>
              <w:tab/>
            </w:r>
            <w:r>
              <w:rPr>
                <w:b/>
                <w:i/>
              </w:rPr>
              <w:t>se znepokojením</w:t>
            </w:r>
            <w:r>
              <w:t xml:space="preserve"> pozoruje nárůst prostředků v běžném roce na tlumočnické služby o asi 19 %, z 3,494 milionu EUR v roce 2022 na 4,167 milionu EUR v roce 2023; žádá Výbor, aby vysvětlil důvody tohoto navýšení, jelikož současně Výbor vykázal v roce 2023 úspory v souvislosti s používáním tlumočení na dálku;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bere na vědomí, že do 23. července 2023 paušální příspěvek na účast na schůzi na dálku vyplácený Výborem členům, jejich náhradníkům a expertům pro zpravodaje a řečníkům pozvaným k účasti na schůzích s distanční účastí nebo na hybridních schůzích činil 200 EUR; dále bere na vědomí, že uvedeného dne vstoupily v platnost nová pravidla v této záležitosti stanovující výši paušálního příspěvku na účast na schůzi na dálku na 50 % příspěvku na účast na řádné schůzi, který činil 359 EUR, zatímco příspěvek na účast na schůzi na dálku činil 179,50 EUR; v této souvislosti konstatuje významný pokles celkové částky vyplácené na příspěvky na účast na schůzi na dálku z 1 742 000 EUR v roce 2021 na 489 600 EUR v roce 2022 a 32 632 EUR v roce 2023, zatímco celkové výdaje spojené s rozpočtovou položkou 1004 („Výdaje za dopravu a pobyt, účast na zasedáních a související výdaje“) se značně zvýšily z asi 6,6 milionu EUR v roce 2022 na asi 8 milionů v roce 2023 především kvůli tomu, že v roce 2023 opět významně narostl počet prezenčních schůzí a zvýšily se ceny spojené s cestováním po pandemii COVID-19;</w:t>
            </w:r>
          </w:p>
        </w:tc>
        <w:tc>
          <w:tcPr>
            <w:tcW w:w="4876" w:type="dxa"/>
            <w:tcBorders>
              <w:top w:val="nil"/>
              <w:left w:val="nil"/>
              <w:bottom w:val="nil"/>
              <w:right w:val="nil"/>
            </w:tcBorders>
          </w:tcPr>
          <w:p>
            <w:pPr>
              <w:pStyle w:val="Normal6a"/>
            </w:pPr>
            <w:r>
              <w:t>10.</w:t>
            </w:r>
            <w:r>
              <w:tab/>
            </w:r>
            <w:r>
              <w:t xml:space="preserve">bere na vědomí, že do 23. července 2023 paušální příspěvek na účast na schůzi na dálku vyplácený Výborem členům, jejich náhradníkům a expertům pro zpravodaje a řečníkům pozvaným k účasti na schůzích s distanční účastí nebo na hybridních schůzích činil 200 EUR; dále bere na vědomí, že uvedeného dne vstoupily v platnost nová pravidla v této záležitosti stanovující výši paušálního příspěvku na účast na schůzi na dálku na 50 % příspěvku na účast na řádné schůzi, který činil 359 EUR, zatímco příspěvek na účast na schůzi na dálku činil 179,50 EUR; </w:t>
            </w:r>
            <w:r>
              <w:rPr>
                <w:b/>
                <w:i/>
              </w:rPr>
              <w:t>domnívá se, že navzdory tomu, že distanční účast je důležitým nástrojem moderních institucí, protože mimo jiné snižuje náklady na schůze a umožňuje širší účast, je přidělení příspěvku na distanční účast na schůzích pro veřejnost obtížně pochopitelné, i když je příspěvek snížen a určen pouze pro některé typy akcí, tím spíše vzhledem k rozdílným příspěvkům, které jsou za účast na dálku vypláceny členům Výboru a členům EHSV;</w:t>
            </w:r>
            <w:r>
              <w:t xml:space="preserve"> v této souvislosti konstatuje významný pokles celkové částky vyplácené na příspěvky na účast na schůzi na dálku z 1 742 000 EUR v roce 2021 na 489 600 EUR v roce 2022 a 32 632 EUR v roce 2023, zatímco celkové výdaje spojené s rozpočtovou položkou 1004 („Výdaje za dopravu a pobyt, účast na zasedáních a související výdaje“) se značně zvýšily z asi 6,6 milionu EUR v roce 2022 na asi 8 milionů v roce 2023 především kvůli tomu, že v roce 2023 opět významně narostl počet prezenčních schůzí a zvýšily se ceny spojené s cestováním po pandemii COVID-19;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{Greens/EFA}</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vyjadřuje znepokojení nad výrazným zvýšením příspěvků na cestu a na účast na schůzích vyplácených členům VR, které vzrostly z 6,6 milionu EUR v roce 2022 na 8 milionů EUR v roce 2023;</w:t>
            </w:r>
            <w:r>
              <w:t xml:space="preserve"> </w:t>
            </w:r>
            <w:r>
              <w:rPr>
                <w:b/>
                <w:i/>
              </w:rPr>
              <w:t>vyzývá Výbor, aby přijal jasnou strategii nákladové efektivnosti cestovních výdajů, včetně většího využívání distanční účasti a hybridních schůzí s cílem snížit zbytečné náklady a emise a zároveň zachovat politickou angažovanost;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Tamás Deutsch, Ondřej Knotek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připomíná, že smlouva o Evropské unii stanoví, že EU a její orgány ctí rovnost členských států před Smlouvami a jejich národní identitu, která spočívá v jejich základních politických a ústavních systémech, včetně místní a regionální samosprávy;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Tamás Deutsch, Ondřej Knotek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11b.</w:t>
            </w:r>
            <w:r>
              <w:tab/>
            </w:r>
            <w:r>
              <w:rPr>
                <w:b/>
                <w:i/>
              </w:rPr>
              <w:t>vyzývá tento orgán, aby vždy respektoval rovnost členských států a se všemi členskými státy zacházel stejně a aby respektoval jejich svrchovanost a národní identitu, která spočívá v jejich základních politických a ústavních systémech, včetně místní a regionální samosprávy;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Csaba Molnár, Claudiu Manda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konstatuje, že za rok 2023 bylo v rámci ročního operačního plánu Výboru podávání zpráv o výkonnosti založeno na 25 cílech, jejichž dosažení bylo vyhodnoceno pomocí 80 kvantitativních ukazatelů, přičemž cíle většiny těchto ukazatelů (asi 75 %) byly splněny na úrovni 90 % nebo vyšší;</w:t>
            </w:r>
          </w:p>
        </w:tc>
        <w:tc>
          <w:tcPr>
            <w:tcW w:w="4876" w:type="dxa"/>
            <w:tcBorders>
              <w:top w:val="nil"/>
              <w:left w:val="nil"/>
              <w:bottom w:val="nil"/>
              <w:right w:val="nil"/>
            </w:tcBorders>
          </w:tcPr>
          <w:p>
            <w:pPr>
              <w:pStyle w:val="Normal6a"/>
            </w:pPr>
            <w:r>
              <w:t>12.</w:t>
            </w:r>
            <w:r>
              <w:tab/>
            </w:r>
            <w:r>
              <w:rPr>
                <w:b/>
                <w:i/>
              </w:rPr>
              <w:t>uznává, že Výbor hraje zásadní úlohu při přispívání k rozvoji politik Unie a k jejím rozhodovacím procesům tím, že zastupuje zájmy místních a regionálních orgánů v Unii;</w:t>
            </w:r>
            <w:r>
              <w:t xml:space="preserve"> konstatuje, že za rok 2023 bylo v rámci ročního operačního plánu Výboru podávání zpráv o výkonnosti založeno na 25 cílech, jejichž dosažení bylo vyhodnoceno pomocí 80 kvantitativních ukazatelů, přičemž cíle většiny těchto ukazatelů (asi 75 %) byly splněny na úrovni 90 % nebo vyšší;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připomíná, že Výbor přispívá k politickému a rozhodovacímu procesu Unie z pohledu regionálních a místních orgánů v rámci Unie a poskytuje rámec pro posílení spolupráce mezi místní, regionální, vnitrostátní a evropskou úrovní a pro přiblížení Evropy jejím občanům;</w:t>
            </w:r>
            <w:r>
              <w:t xml:space="preserve"> </w:t>
            </w:r>
            <w:r>
              <w:rPr>
                <w:b/>
                <w:i/>
              </w:rPr>
              <w:t>vyjadřuje politování nad tím, že rozpočtová omezení oslabila schopnost Výboru plnit v plné míře svůj cíl, kterým je přiblížit občany k Unii, čímž se omezila přidaná hodnota Výboru;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Tamás Deutsch, Ondřej Knotek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připomíná, že Smlouva o Evropské unii stanoví, že cílem EU a jejích orgánů je podporovat mír, své hodnoty a blahobyt svých obyvatel, zachovávat mír, předcházet konfliktům a posilovat mezinárodní bezpečnost;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12b.</w:t>
            </w:r>
            <w:r>
              <w:tab/>
            </w:r>
            <w:r>
              <w:rPr>
                <w:b/>
                <w:i/>
              </w:rPr>
              <w:t>vzhledem k tomu, že Výbor hraje důležitou úlohu při zvyšování demokratické legitimity právních předpisů Unie prostřednictvím aktivní koordinace regionálních a místních orgánů, podporuje Výbor v jeho úsilí o vypracování většího počtu posouzení územního dopadu, a to i v souladu se závěrečnou zprávou a doporučeními Konference o budoucnosti Evropy;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Tamás Deutsch, Ondřej Knotek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12b.</w:t>
            </w:r>
            <w:r>
              <w:tab/>
            </w:r>
            <w:r>
              <w:rPr>
                <w:b/>
                <w:i/>
              </w:rPr>
              <w:t>vyzývá tento orgán, aby s maximálním nasazením a všemi dostupnými opatřeními a prostředky usiloval o podporu míru a co nejrychlejší ukončení války na Ukrajině, zachování míru a posílení evropské bezpečnosti;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oceňuje Výbor za jeho politické úspěchy v klíčových prioritních oblastech v roce 2023; konstatuje, že Výbor plní své poslání formou stanovisek, která se týkají legislativních návrhů předložených Komisí (žádosti o vypracování stanoviska), stanovisek vypracovaných z vlastního podnětu, ve kterých vyzývá orgány Unie, aby přijaly opatření, a formou usnesení, která upozorňují na postoje Výboru ke konkrétním tématům; konstatuje, že v roce 2023 Výbor přijal 53 stanovisek a 6 usnesení, což je pokles oproti 55 stanoviskům a 8 usnesením přijatým v roce 2022;</w:t>
            </w:r>
          </w:p>
        </w:tc>
        <w:tc>
          <w:tcPr>
            <w:tcW w:w="4876" w:type="dxa"/>
            <w:tcBorders>
              <w:top w:val="nil"/>
              <w:left w:val="nil"/>
              <w:bottom w:val="nil"/>
              <w:right w:val="nil"/>
            </w:tcBorders>
          </w:tcPr>
          <w:p>
            <w:pPr>
              <w:pStyle w:val="Normal6a"/>
            </w:pPr>
            <w:r>
              <w:t>13.</w:t>
            </w:r>
            <w:r>
              <w:tab/>
            </w:r>
            <w:r>
              <w:t xml:space="preserve">oceňuje Výbor za jeho politické úspěchy v klíčových prioritních oblastech v roce 2023; konstatuje, že Výbor plní své poslání formou stanovisek, která se týkají legislativních návrhů předložených Komisí (žádosti o vypracování stanoviska), stanovisek vypracovaných z vlastního podnětu, ve kterých vyzývá orgány Unie, aby přijaly opatření, a formou usnesení, která upozorňují na postoje Výboru ke konkrétním tématům; konstatuje, že v roce 2023 Výbor přijal 53 stanovisek a 6 usnesení, což je pokles oproti 55 stanoviskům a 8 usnesením přijatým v roce 2022 </w:t>
            </w:r>
            <w:r>
              <w:rPr>
                <w:b/>
                <w:i/>
              </w:rPr>
              <w:t>navzdory navýšení prostředků i počtu zaměstnanců</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vybízí Výbor, aby pokračoval v práci na zlepšování výkonnosti a účinnosti;</w:t>
            </w:r>
            <w:r>
              <w:t xml:space="preserve"> </w:t>
            </w:r>
            <w:r>
              <w:rPr>
                <w:b/>
                <w:i/>
              </w:rPr>
              <w:t>vítá úsilí Výboru o zavedení reformních a inovativních řešení, zefektivnění správy a zamezení překrývání rolí s jinými orgány;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žádá, aby sekretariát Parlamentu zpřístupňoval zprávy Výboru regionů poslancům Evropského parlamentu a veřejnosti během rozprav a hlasování v parlamentní aplikaci e-Committee;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Csaba Molnár, Claudiu Manda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uznává dopad činnosti Výboru, zejména jeho stanovisek, z nichž některé se odráží v usneseních, postojích, návrzích, zprávách, přezkumech, závěrech nebo trialogů Komise, Parlamentu nebo Rady v roce 2023; vyzývá Výbor, aby pokračoval v započatém úsilí a i nadále poskytoval užitečné a relevantní podněty, jako jsou údaje z praxe a analýza, orgánům Unie a jiným příjemcům unijních politik; vítá posílené zapojení Výboru do celého politického a legislativního cyklu Unie prostřednictvím dohod o spolupráci a akčních plánů s Komisí, Parlamentem a Evropskou investiční bankou; konstatuje, že v roce 2023 se členové Výboru rovněž sešli s Radou a stálými zastoupeními a zúčastnili se akcí uspořádaných předsednictvím Rady, aby zajistili, že postoje Výboru se odráží v unijní legislativě; blahopřeje Výboru k posílení jeho zapojení do legislativních trialogů, zejména k tomu, že mu byl vůbec poprvé v roce 2023 umožněn přístup k dokumentům z trialogů;</w:t>
            </w:r>
          </w:p>
        </w:tc>
        <w:tc>
          <w:tcPr>
            <w:tcW w:w="4876" w:type="dxa"/>
            <w:tcBorders>
              <w:top w:val="nil"/>
              <w:left w:val="nil"/>
              <w:bottom w:val="nil"/>
              <w:right w:val="nil"/>
            </w:tcBorders>
          </w:tcPr>
          <w:p>
            <w:pPr>
              <w:pStyle w:val="Normal6a"/>
            </w:pPr>
            <w:r>
              <w:t>16.</w:t>
            </w:r>
            <w:r>
              <w:tab/>
            </w:r>
            <w:r>
              <w:t xml:space="preserve">uznává dopad činnosti Výboru, zejména jeho stanovisek, z nichž některé se odráží v usneseních, postojích, návrzích, zprávách, přezkumech, závěrech nebo trialogů Komise, Parlamentu nebo Rady v roce 2023; vyzývá Výbor, aby pokračoval v započatém úsilí a i nadále poskytoval užitečné a relevantní podněty, jako jsou údaje z praxe a analýza, orgánům Unie a jiným příjemcům unijních politik; vítá posílené zapojení Výboru do celého politického a legislativního cyklu Unie prostřednictvím dohod o spolupráci a akčních plánů s Komisí, Parlamentem a Evropskou investiční bankou; </w:t>
            </w:r>
            <w:r>
              <w:rPr>
                <w:b/>
                <w:i/>
              </w:rPr>
              <w:t>domnívá se, že by členové Výboru a EHSV měli být zváni na příslušné parlamentní schůze výborů týkající se otázek, které patří do jejich působnosti;</w:t>
            </w:r>
            <w:r>
              <w:t xml:space="preserve"> konstatuje, že v roce 2023 se členové Výboru rovněž sešli s Radou a stálými zastoupeními a zúčastnili se akcí uspořádaných předsednictvím Rady, aby zajistili, že postoje Výboru se odráží v unijní legislativě; blahopřeje Výboru k posílení jeho zapojení do legislativních trialogů, zejména k tomu, že mu byl vůbec poprvé v roce 2023 umožněn přístup k dokumentům z trialogů;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{Greens/EFA}</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vyzývá Výbor, aby před vydáním stanovisek zajistil větší zapojení regionálních a místních orgánů do rozhodování EU tím, že vytvoří strukturované konzultační mechanismy s regionálními a místními orgány, včetně parlamentů, obcí a místních organizací občanské společnosti;</w:t>
            </w:r>
            <w:r>
              <w:t xml:space="preserve"> </w:t>
            </w:r>
            <w:r>
              <w:rPr>
                <w:b/>
                <w:i/>
              </w:rPr>
              <w:t>naléhavě vyzývá Výbor, aby se zasazoval o povinný proces konzultací, pokud jde o legislativní záležitosti, které mají významný dopad na regionální rozvoj a politiku soudržnosti;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poznamenává, že v roce 2023 bylo zahájeno posuzování dodržování a účinnosti s cílem posoudit, do jaké míry Výbor dodržuje vybrané normy vnitřní kontroly a do jaké míry je jejich uplatňování účinné;</w:t>
            </w:r>
            <w:r>
              <w:t xml:space="preserve"> </w:t>
            </w:r>
            <w:r>
              <w:rPr>
                <w:b/>
                <w:i/>
              </w:rPr>
              <w:t>konstatuje, že z tohoto posuzování vyplynulo, že provádění a účinnost požadavků vybraných standardů vnitřní kontroly se ve srovnání s rokem 2022 zvýšily;</w:t>
            </w:r>
            <w:r>
              <w:t xml:space="preserve"> </w:t>
            </w:r>
            <w:r>
              <w:rPr>
                <w:b/>
                <w:i/>
              </w:rPr>
              <w:t>vybízí Výbor, aby pokračoval ve svém úsilí o další zvýšení úrovně dodržování a míry účinnosti zavedených opatření vnitřní kontroly;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konstatuje v souvislosti s novým rámcem vnitřní kontroly Výboru, že Výbor zavedl novou metodiku kontrol ex post, </w:t>
            </w:r>
            <w:r>
              <w:rPr>
                <w:b/>
                <w:i/>
              </w:rPr>
              <w:t>které se</w:t>
            </w:r>
            <w:r>
              <w:t xml:space="preserve"> v roce 2023 zaměřily na základní složku platů a odpracovanou dobu, přičemž bylo ověřeno 55 </w:t>
            </w:r>
            <w:r>
              <w:rPr>
                <w:b/>
                <w:i/>
              </w:rPr>
              <w:t>spisů</w:t>
            </w:r>
            <w:r>
              <w:t>; dále konstatuje, že v roce 2023 Výbor znovu zahájil cvičení týkající se souladu s předpisy a účinnosti, jejichž cílem bylo posoudit míru souladu Výboru s některými standardy vnitřní kontroly a účinnost jejich provádění; chválí Výbor za podávání zpráv o zlepšení v této věci ve srovnání s výsledky cvičení provedeného v roce 2022; s uspokojením konstatuje, pokud jde o novou politiku týkající se citlivých míst, že v roce 2023 Výbor prováděl prověřování s cílem určit míru rizika u každé pozice, a tudíž míru citlivosti této pozice, jakož i nezbytná opatření na zmírnění těchto rizik;</w:t>
            </w:r>
          </w:p>
        </w:tc>
        <w:tc>
          <w:tcPr>
            <w:tcW w:w="4876" w:type="dxa"/>
            <w:tcBorders>
              <w:top w:val="nil"/>
              <w:left w:val="nil"/>
              <w:bottom w:val="nil"/>
              <w:right w:val="nil"/>
            </w:tcBorders>
          </w:tcPr>
          <w:p>
            <w:pPr>
              <w:pStyle w:val="Normal6a"/>
            </w:pPr>
            <w:r>
              <w:t>17.</w:t>
            </w:r>
            <w:r>
              <w:tab/>
            </w:r>
            <w:r>
              <w:t xml:space="preserve">konstatuje v souvislosti s novým rámcem vnitřní kontroly Výboru, že Výbor zavedl </w:t>
            </w:r>
            <w:r>
              <w:rPr>
                <w:b/>
                <w:i/>
              </w:rPr>
              <w:t>od roku 2023</w:t>
            </w:r>
            <w:r>
              <w:t xml:space="preserve"> novou metodiku kontrol ex post, </w:t>
            </w:r>
            <w:r>
              <w:rPr>
                <w:b/>
                <w:i/>
              </w:rPr>
              <w:t>jejímž cílem je zjednodušit a sladit přístup s praxí ostatních orgánů EU, přičemž kontroly ex post jsou nyní centralizované namísto předchozího decentralizovaného postupu;</w:t>
            </w:r>
            <w:r>
              <w:t xml:space="preserve"> </w:t>
            </w:r>
            <w:r>
              <w:rPr>
                <w:b/>
                <w:i/>
              </w:rPr>
              <w:t>konstatuje, že</w:t>
            </w:r>
            <w:r>
              <w:t xml:space="preserve"> v roce 2023 </w:t>
            </w:r>
            <w:r>
              <w:rPr>
                <w:b/>
                <w:i/>
              </w:rPr>
              <w:t>se kontroly ex post</w:t>
            </w:r>
            <w:r>
              <w:t xml:space="preserve"> zaměřily na základní složku platů a odpracovanou dobu, přičemž bylo ověřeno 55 </w:t>
            </w:r>
            <w:r>
              <w:rPr>
                <w:b/>
                <w:i/>
              </w:rPr>
              <w:t>souborů, a že statistický odhad chyb ovlivňujících referenční soubor činil 0 %</w:t>
            </w:r>
            <w:r>
              <w:t>; dále konstatuje, že v roce 2023 Výbor znovu zahájil cvičení týkající se souladu s předpisy a účinnosti, jejichž cílem bylo posoudit míru souladu Výboru s některými standardy vnitřní kontroly a účinnost jejich provádění; chválí Výbor za podávání zpráv o zlepšení v této věci ve srovnání s výsledky cvičení provedeného v roce 2022; s uspokojením konstatuje, pokud jde o novou politiku týkající se citlivých míst, že v roce 2023 Výbor prováděl prověřování s cílem určit míru rizika u každé pozice, a tudíž míru citlivosti této pozice, jakož i nezbytná opatření na zmírnění těchto rizik;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konstatuje, že na konci roku 2023 měl Výbor celkem 559 zaměstnanců (bez vyslaných národních odborníků, dočasných pracovníků, zaměstnanců intra muros a stážistů) oproti 533 zaměstnancům v roce 2022; konstatuje, že na konci roku 2023 bylo ve Výboru zaměstnáno 74 smluvních zaměstnanců ve srovnání s 56 smluvními zaměstnanci v roce 2022 a 96 dočasných zaměstnanců oproti 89 dočasným zaměstnancům v roce 2022, přičemž 21 smluvních zaměstnanců mělo smlouvu na dobu neurčitou, 53 smluvních zaměstnanců mělo smlouvu na dobu určitou, 50 dočasných zaměstnanců mělo smlouvu na dobu neurčitou a 3 dočasní zaměstnanci zastávali dočasnou pozici (ve dvou případech se smlouvou na dobu neurčitou a v případě generálního tajemníka se smlouvou na dobu určitou s délkou trvání pět let); dále konstatuje, že Výbor zaměstnával 5 dočasných pracovníků a 12 externích pracovníků, kteří pracovali na místě, a to kromě externích poskytovatelů služeb v oblasti logistiky a IT; konstatuje, že v roce 2023 obsazenost pozic v plánu pracovních míst činila 98 % (nárůst z 96 % v roce 2022) a míra fluktuace činila 6,6 % (pokles z 10,80 % v roce 2022);</w:t>
            </w:r>
          </w:p>
        </w:tc>
        <w:tc>
          <w:tcPr>
            <w:tcW w:w="4876" w:type="dxa"/>
            <w:tcBorders>
              <w:top w:val="nil"/>
              <w:left w:val="nil"/>
              <w:bottom w:val="nil"/>
              <w:right w:val="nil"/>
            </w:tcBorders>
          </w:tcPr>
          <w:p>
            <w:pPr>
              <w:pStyle w:val="Normal6a"/>
            </w:pPr>
            <w:r>
              <w:t>19.</w:t>
            </w:r>
            <w:r>
              <w:tab/>
            </w:r>
            <w:r>
              <w:t xml:space="preserve">konstatuje, že na konci roku 2023 měl Výbor celkem 559 zaměstnanců (bez vyslaných národních odborníků, dočasných pracovníků, zaměstnanců intra muros a stážistů) oproti 533 zaměstnancům v roce 2022; konstatuje, že na konci roku 2023 bylo ve Výboru zaměstnáno 74 smluvních zaměstnanců ve srovnání s 56 smluvními zaměstnanci v roce 2022 a 96 dočasných zaměstnanců oproti 89 dočasným zaměstnancům v roce 2022, přičemž 21 smluvních zaměstnanců mělo smlouvu na dobu neurčitou, 53 smluvních zaměstnanců mělo smlouvu na dobu určitou, 50 dočasných zaměstnanců mělo smlouvu na dobu neurčitou a 3 dočasní zaměstnanci zastávali dočasnou pozici (ve dvou případech se smlouvou na dobu neurčitou a v případě generálního tajemníka se smlouvou na dobu určitou s délkou trvání pět let); dále konstatuje, že Výbor zaměstnával 5 dočasných pracovníků a 12 externích pracovníků, kteří pracovali na místě, a to kromě externích poskytovatelů služeb v oblasti logistiky a IT; </w:t>
            </w:r>
            <w:r>
              <w:rPr>
                <w:b/>
                <w:i/>
              </w:rPr>
              <w:t>doufá, že zvýšení počtu zaměstnanců bude mít rozumné odůvodnění;</w:t>
            </w:r>
            <w:r>
              <w:t xml:space="preserve"> konstatuje, že v roce 2023 obsazenost pozic v plánu pracovních míst činila 98 % (nárůst z 96 % v roce 2022) a míra fluktuace činila 6,6 % (pokles z 10,80 % v roce 2022);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připomíná, že Smlouva o Evropské unii stanoví, že EU a její orgány podporují solidaritu a rovnost žen a mužů;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Virginie Joron,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 xml:space="preserve">konstatuje nárůst míry, v jaké se Výbor spoléhá na smluvní zaměstnance a dočasné zaměstnance (tvoří až 26 % zaměstnanců Výboru); bere na vědomí informaci z dotazníku, že uvedená situace je dána zejména nepřítomností rezervních seznamů úřadu EPSO pro profily administrátorů všeobecného zaměření od roku 2018; je znepokojen tím, že dlouhodobá stabilita a kontinuita činností Výboru je ohrožena malou lákavostí nabízených smluv na dobu určitou; </w:t>
            </w:r>
            <w:r>
              <w:rPr>
                <w:b/>
                <w:i/>
              </w:rPr>
              <w:t>podporuje Výbor v jeho snahách odpovědět na tyto výzvy například prostřednictvím pořádání interních výběrových řízení;</w:t>
            </w:r>
            <w:r>
              <w:t xml:space="preserve"> žádá Výbor, aby podal zprávu orgánu příslušnému k udělení absolutoria o </w:t>
            </w:r>
            <w:r>
              <w:rPr>
                <w:b/>
                <w:i/>
              </w:rPr>
              <w:t>takovýchto</w:t>
            </w:r>
            <w:r>
              <w:t xml:space="preserve"> výběrových </w:t>
            </w:r>
            <w:r>
              <w:rPr>
                <w:b/>
                <w:i/>
              </w:rPr>
              <w:t>řízení</w:t>
            </w:r>
            <w:r>
              <w:t xml:space="preserve"> uspořádaných v roce 2024;</w:t>
            </w:r>
          </w:p>
        </w:tc>
        <w:tc>
          <w:tcPr>
            <w:tcW w:w="4876" w:type="dxa"/>
            <w:tcBorders>
              <w:top w:val="nil"/>
              <w:left w:val="nil"/>
              <w:bottom w:val="nil"/>
              <w:right w:val="nil"/>
            </w:tcBorders>
          </w:tcPr>
          <w:p>
            <w:pPr>
              <w:pStyle w:val="Normal6a"/>
            </w:pPr>
            <w:r>
              <w:t>20.</w:t>
            </w:r>
            <w:r>
              <w:tab/>
            </w:r>
            <w:r>
              <w:t xml:space="preserve">konstatuje nárůst míry, v jaké se Výbor spoléhá na smluvní zaměstnance a dočasné zaměstnance (tvoří až 26 % zaměstnanců Výboru); bere na vědomí informaci z dotazníku, že uvedená situace je dána zejména nepřítomností rezervních seznamů úřadu EPSO pro profily administrátorů všeobecného zaměření od roku 2018; je znepokojen tím, že dlouhodobá stabilita a kontinuita činností Výboru je ohrožena malou lákavostí nabízených smluv na dobu určitou; žádá Výbor, aby podal zprávu orgánu příslušnému k udělení absolutoria o výběrových </w:t>
            </w:r>
            <w:r>
              <w:rPr>
                <w:b/>
                <w:i/>
              </w:rPr>
              <w:t>řízeních na smluvní, dočasné a stálé zaměstnance</w:t>
            </w:r>
            <w:r>
              <w:t xml:space="preserve"> uspořádaných v roce 2024;</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Michal Wiezik, Olivier Chastel, Vlad Vasile-Voiculescu,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konstatuje nárůst míry, v jaké se Výbor spoléhá na smluvní zaměstnance a dočasné zaměstnance (tvoří až 26 % zaměstnanců Výboru); bere na vědomí informaci z dotazníku, že uvedená situace je dána zejména nepřítomností rezervních seznamů úřadu EPSO pro profily administrátorů všeobecného zaměření od roku 2018; je znepokojen tím, že dlouhodobá stabilita a kontinuita činností Výboru je ohrožena malou lákavostí nabízených smluv na dobu určitou; podporuje Výbor v jeho snahách odpovědět na tyto výzvy například prostřednictvím pořádání interních výběrových řízení; žádá Výbor, aby podal zprávu orgánu příslušnému k udělení absolutoria o takovýchto výběrových řízení uspořádaných v roce 2024;</w:t>
            </w:r>
          </w:p>
        </w:tc>
        <w:tc>
          <w:tcPr>
            <w:tcW w:w="4876" w:type="dxa"/>
            <w:tcBorders>
              <w:top w:val="nil"/>
              <w:left w:val="nil"/>
              <w:bottom w:val="nil"/>
              <w:right w:val="nil"/>
            </w:tcBorders>
          </w:tcPr>
          <w:p>
            <w:pPr>
              <w:pStyle w:val="Normal6a"/>
            </w:pPr>
            <w:r>
              <w:t>20.</w:t>
            </w:r>
            <w:r>
              <w:tab/>
            </w:r>
            <w:r>
              <w:t xml:space="preserve">konstatuje nárůst míry, v jaké se Výbor spoléhá na smluvní zaměstnance a dočasné zaměstnance (tvoří až 26 % zaměstnanců Výboru); bere na vědomí informaci z dotazníku, že uvedená situace je dána zejména nepřítomností rezervních seznamů úřadu EPSO pro profily administrátorů všeobecného zaměření od roku 2018; je znepokojen tím, že dlouhodobá stabilita a kontinuita činností Výboru je ohrožena malou lákavostí nabízených smluv na dobu určitou; </w:t>
            </w:r>
            <w:r>
              <w:rPr>
                <w:b/>
                <w:i/>
              </w:rPr>
              <w:t>zdůrazňuje význam stálých zaměstnanců pro zachování dovedností, kontinuity a produktivního pracovního prostředí;</w:t>
            </w:r>
            <w:r>
              <w:t xml:space="preserve"> podporuje Výbor v jeho snahách odpovědět na tyto výzvy například prostřednictvím pořádání interních výběrových řízení; žádá Výbor, aby podal zprávu orgánu příslušnému k udělení absolutoria o takovýchto výběrových řízení uspořádaných v roce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Csaba Molnár, Claudiu Manda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 xml:space="preserve">konstatuje nárůst míry, v jaké se Výbor spoléhá na smluvní zaměstnance a dočasné zaměstnance (tvoří až 26 % zaměstnanců Výboru); bere na vědomí informaci z dotazníku, že uvedená situace je dána zejména nepřítomností rezervních seznamů úřadu EPSO pro profily administrátorů všeobecného zaměření od roku 2018; je znepokojen tím, že dlouhodobá stabilita a kontinuita činností Výboru je ohrožena malou lákavostí nabízených smluv na dobu určitou; podporuje Výbor v jeho snahách odpovědět na tyto výzvy </w:t>
            </w:r>
            <w:r>
              <w:rPr>
                <w:b/>
                <w:i/>
              </w:rPr>
              <w:t>například prostřednictvím pořádání interních výběrových řízení</w:t>
            </w:r>
            <w:r>
              <w:t>; žádá Výbor, aby podal zprávu orgánu příslušnému k udělení absolutoria o takovýchto výběrových řízení uspořádaných v roce 2024;</w:t>
            </w:r>
          </w:p>
        </w:tc>
        <w:tc>
          <w:tcPr>
            <w:tcW w:w="4876" w:type="dxa"/>
            <w:tcBorders>
              <w:top w:val="nil"/>
              <w:left w:val="nil"/>
              <w:bottom w:val="nil"/>
              <w:right w:val="nil"/>
            </w:tcBorders>
          </w:tcPr>
          <w:p>
            <w:pPr>
              <w:pStyle w:val="Normal6a"/>
            </w:pPr>
            <w:r>
              <w:t>20.</w:t>
            </w:r>
            <w:r>
              <w:tab/>
            </w:r>
            <w:r>
              <w:t xml:space="preserve">konstatuje nárůst míry, v jaké se Výbor spoléhá na smluvní zaměstnance a dočasné zaměstnance (tvoří až 26 % zaměstnanců Výboru); bere na vědomí informaci z dotazníku, že uvedená situace je dána zejména nepřítomností rezervních seznamů úřadu EPSO pro profily administrátorů všeobecného zaměření od roku 2018; je znepokojen tím, že dlouhodobá stabilita a kontinuita činností Výboru je ohrožena malou lákavostí nabízených smluv na dobu určitou; </w:t>
            </w:r>
            <w:r>
              <w:rPr>
                <w:b/>
                <w:i/>
              </w:rPr>
              <w:t>konstatuje, že Výbor v roce 2024 uspořádal interní výběrové řízení pro všeobecně zaměřené pracovníky v pěti platových třídách (AST/SC1, AST1, AST3, AD5 a AD7);</w:t>
            </w:r>
            <w:r>
              <w:t xml:space="preserve"> podporuje Výbor v jeho snahách odpovědět na tyto výzvy; žádá Výbor, aby podal zprávu orgánu příslušnému k udělení absolutoria o takovýchto výběrových řízení uspořádaných v roce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Csaba Molnár, Claudiu Manda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20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konstatuje, že na konci roku 2023 zaměstnával Výbor 56,9 % žen a 43,1 % mužů;</w:t>
            </w:r>
            <w:r>
              <w:t xml:space="preserve"> </w:t>
            </w:r>
            <w:r>
              <w:rPr>
                <w:b/>
                <w:i/>
              </w:rPr>
              <w:t>doporučuje, aby byla přijata opatření ke zvýšení inkluzivnosti v oznámeních o volných pracovních místech a k povzbuzení větší účasti žen na vyšších a středních řídících funkcích, včetně vyváženého zastoupení ve výběrových komisích, cílených možností odborné přípravy pro pracovnice usilující o vedoucí pozice a podpory pružnějších pracovních úvazků;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{Greens/EFA}</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20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vyjadřuje politování nad tím, že na vedoucích pozicích ve VR dosud nebylo dosaženo rovnosti žen a mužů;</w:t>
            </w:r>
            <w:r>
              <w:t xml:space="preserve"> </w:t>
            </w:r>
            <w:r>
              <w:rPr>
                <w:b/>
                <w:i/>
              </w:rPr>
              <w:t>vyzývá Výbor, aby přijal závazné cíle v oblasti vyváženého zastoupení žen a mužů ve vrcholném vedení a požadoval, aby členské státy na jmenování do VR nominovaly kandidáta i kandidátku s cílem zlepšit zastoupení na všech úrovních;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Csaba Molnár, Claudiu Manda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20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20b.</w:t>
            </w:r>
            <w:r>
              <w:tab/>
            </w:r>
            <w:r>
              <w:rPr>
                <w:b/>
                <w:i/>
              </w:rPr>
              <w:t>vítá, že dne 7. července 2022 Výbor přijal novou pětiletou strategii a akční plán v oblasti rozmanitosti a začleňování na období 2022–2026;</w:t>
            </w:r>
            <w:r>
              <w:t xml:space="preserve"> </w:t>
            </w:r>
            <w:r>
              <w:rPr>
                <w:b/>
                <w:i/>
              </w:rPr>
              <w:t>bere na vědomí významný pokrok, jehož bylo v tomto rámci dosaženo, včetně výrazného zvýšení podílu žen na vyšších vedoucích pozicích z 37,5 % v roce 2022 na 44,4 % v roce 2023;</w:t>
            </w:r>
            <w:r>
              <w:t xml:space="preserve"> </w:t>
            </w:r>
            <w:r>
              <w:rPr>
                <w:b/>
                <w:i/>
              </w:rPr>
              <w:t>vybízí Výbor, aby pokračoval ve svém úsilí, a podporuje konečný cíl, kterým je dosažení vyváženého zastoupení žen a mužů;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Csaba Molnár, Claudiu Manda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konstatuje, že v návaznosti na pilotní projekt o hybridním pracovním režimu a průzkum spokojenosti zaměstnanců zahájené v roce 2022 Výbor přijal dne 1. ledna 2024 rozhodnutí, které stanoví hybridní pracovní režim a personalizovaný týdenní pracovní harmonogram pro každého zaměstnance, jakož i možnost pracovat z domova až 60 % pracovní doby zaměstnanců (kromě kategorie zaměstnanců, u nichž práce na dálku není možná) a pracovat mimo město zaměstnání až 15 dnů v roce;</w:t>
            </w:r>
          </w:p>
        </w:tc>
        <w:tc>
          <w:tcPr>
            <w:tcW w:w="4876" w:type="dxa"/>
            <w:tcBorders>
              <w:top w:val="nil"/>
              <w:left w:val="nil"/>
              <w:bottom w:val="nil"/>
              <w:right w:val="nil"/>
            </w:tcBorders>
          </w:tcPr>
          <w:p>
            <w:pPr>
              <w:pStyle w:val="Normal6a"/>
            </w:pPr>
            <w:r>
              <w:t>21.</w:t>
            </w:r>
            <w:r>
              <w:tab/>
            </w:r>
            <w:r>
              <w:t xml:space="preserve">konstatuje, že v návaznosti na pilotní projekt o hybridním pracovním režimu a průzkum spokojenosti zaměstnanců zahájené v roce 2022 Výbor přijal dne 1. ledna 2024 rozhodnutí, které stanoví hybridní pracovní režim a personalizovaný týdenní pracovní harmonogram pro každého zaměstnance, jakož i možnost pracovat z domova až 60 % pracovní doby zaměstnanců (kromě kategorie zaměstnanců, u nichž práce na dálku není možná) a pracovat mimo město zaměstnání až 15 dnů v roce; </w:t>
            </w:r>
            <w:r>
              <w:rPr>
                <w:b/>
                <w:i/>
              </w:rPr>
              <w:t>uznává, že cílem těchto opatření je zlepšit rovnováhu mezi pracovním a soukromým životem a zároveň udržet provozní účinnost a spokojenost zaměstnanců;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Csaba Molnár, Claudiu Manda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rPr>
                <w:b/>
                <w:i/>
              </w:rPr>
              <w:t>konstatuje</w:t>
            </w:r>
            <w:r>
              <w:t xml:space="preserve">, že v roce 2023 bylo ve Výboru nahlášeno 18 případů syndromu vyhoření </w:t>
            </w:r>
            <w:r>
              <w:rPr>
                <w:b/>
                <w:i/>
              </w:rPr>
              <w:t>(</w:t>
            </w:r>
            <w:r>
              <w:t>oproti 16 případům v roce 2022</w:t>
            </w:r>
            <w:r>
              <w:rPr>
                <w:b/>
                <w:i/>
              </w:rPr>
              <w:t>)</w:t>
            </w:r>
            <w:r>
              <w:t>; dále konstatuje, že se Výboru podařilo v roce 2023 znovu začlenit 16 zaměstnanců po dlouhodobé nepřítomnosti v důsledku syndromu vyhoření, a to díky individuálním opatřením v návaznosti na dlouhodobou pracovní neschopnost; vítá preventivní opatření přijatá Výborem ke snížení psychosociálních rizik a syndromu vyhoření; v této souvislosti oceňuje proaktivní přístup lékařské služby a osvětové konference, školení a kurzy pořádané Výborem;</w:t>
            </w:r>
          </w:p>
        </w:tc>
        <w:tc>
          <w:tcPr>
            <w:tcW w:w="4876" w:type="dxa"/>
            <w:tcBorders>
              <w:top w:val="nil"/>
              <w:left w:val="nil"/>
              <w:bottom w:val="nil"/>
              <w:right w:val="nil"/>
            </w:tcBorders>
          </w:tcPr>
          <w:p>
            <w:pPr>
              <w:pStyle w:val="Normal6a"/>
            </w:pPr>
            <w:r>
              <w:t>23.</w:t>
            </w:r>
            <w:r>
              <w:tab/>
            </w:r>
            <w:r>
              <w:rPr>
                <w:b/>
                <w:i/>
              </w:rPr>
              <w:t>vyjadřuje hluboké znepokojení nad tím</w:t>
            </w:r>
            <w:r>
              <w:t>, že v roce 2023 bylo ve Výboru nahlášeno 18 případů syndromu vyhoření</w:t>
            </w:r>
            <w:r>
              <w:rPr>
                <w:b/>
                <w:i/>
              </w:rPr>
              <w:t>, což představuje nárůst</w:t>
            </w:r>
            <w:r>
              <w:t xml:space="preserve"> oproti 16 případům v roce 2022</w:t>
            </w:r>
            <w:r>
              <w:rPr>
                <w:b/>
                <w:i/>
              </w:rPr>
              <w:t>;</w:t>
            </w:r>
            <w:r>
              <w:t xml:space="preserve"> </w:t>
            </w:r>
            <w:r>
              <w:rPr>
                <w:b/>
                <w:i/>
              </w:rPr>
              <w:t>zdůrazňuje významný sociální a profesní dopad syndromu vyhoření na dobré životní podmínky a výkonnost zaměstnanců</w:t>
            </w:r>
            <w:r>
              <w:t xml:space="preserve">; dále konstatuje, že se Výboru podařilo v roce 2023 znovu začlenit 16 zaměstnanců po dlouhodobé nepřítomnosti v důsledku syndromu vyhoření, a to díky individuálním opatřením v návaznosti na dlouhodobou pracovní neschopnost; vítá preventivní opatření přijatá Výborem ke snížení psychosociálních rizik a syndromu vyhoření; v této souvislosti oceňuje proaktivní přístup lékařské služby a osvětové konference, školení a kurzy pořádané Výborem; </w:t>
            </w:r>
            <w:r>
              <w:rPr>
                <w:b/>
                <w:i/>
              </w:rPr>
              <w:t>zdůrazňuje však, že je třeba dále posílit úsilí o řešení základních příčin syndromu vyhoření a o podporu zdravějšího pracovního prostředí;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Michal Wiezik, Olivier Chastel, Vlad Vasile-Voiculescu,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konstatuje, že v roce 2023 bylo ve Výboru nahlášeno 18 případů syndromu vyhoření (oproti 16 případům v roce 2022); dále konstatuje, že se Výboru podařilo v roce 2023 znovu začlenit 16 zaměstnanců po dlouhodobé nepřítomnosti v důsledku syndromu vyhoření, a to díky individuálním opatřením v návaznosti na dlouhodobou pracovní neschopnost; vítá preventivní opatření přijatá Výborem ke snížení psychosociálních rizik a syndromu vyhoření; v této souvislosti oceňuje proaktivní přístup lékařské služby a osvětové konference, školení a kurzy pořádané Výborem;</w:t>
            </w:r>
          </w:p>
        </w:tc>
        <w:tc>
          <w:tcPr>
            <w:tcW w:w="4876" w:type="dxa"/>
            <w:tcBorders>
              <w:top w:val="nil"/>
              <w:left w:val="nil"/>
              <w:bottom w:val="nil"/>
              <w:right w:val="nil"/>
            </w:tcBorders>
          </w:tcPr>
          <w:p>
            <w:pPr>
              <w:pStyle w:val="Normal6a"/>
            </w:pPr>
            <w:r>
              <w:t>23.</w:t>
            </w:r>
            <w:r>
              <w:tab/>
            </w:r>
            <w:r>
              <w:rPr>
                <w:b/>
                <w:i/>
              </w:rPr>
              <w:t>se znepokojením</w:t>
            </w:r>
            <w:r>
              <w:t xml:space="preserve"> konstatuje, že v roce 2023 bylo ve Výboru nahlášeno 18 případů syndromu vyhoření (oproti 16 případům v roce 2022); dále konstatuje, že se Výboru podařilo v roce 2023 znovu začlenit 16 zaměstnanců po dlouhodobé nepřítomnosti v důsledku syndromu vyhoření, a to díky individuálním opatřením v návaznosti na dlouhodobou pracovní neschopnost; vítá preventivní opatření přijatá Výborem ke snížení psychosociálních rizik a syndromu vyhoření; v této souvislosti oceňuje proaktivní přístup lékařské služby a osvětové konference, školení a kurzy pořádané Výborem;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Csaba Molnár, Claudiu Manda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konstatuje, že v roce 2023 Výbor pokračoval ve zvyšování povědomí o opatřeních zavedených k prevenci obtěžování na pracovišti a boji proti němu v souladu se svým rozhodnutím ze dne 26. dubna 2021 o ochraně důstojnosti v práci, zvládání konfliktů a boji proti obtěžování, zejména prostřednictvím zvláštních pokynů, interní komunikace a uspořádáním několika informačních schůzek pro zaměstnance a vedoucí pracovníky; vítá zejména uspořádání pěti školení na téma „Prevence psychologického a sexuálního obtěžování“ a „Respekt a důstojnost pro vysoce výkonný tým“ v roce 2023;</w:t>
            </w:r>
          </w:p>
        </w:tc>
        <w:tc>
          <w:tcPr>
            <w:tcW w:w="4876" w:type="dxa"/>
            <w:tcBorders>
              <w:top w:val="nil"/>
              <w:left w:val="nil"/>
              <w:bottom w:val="nil"/>
              <w:right w:val="nil"/>
            </w:tcBorders>
          </w:tcPr>
          <w:p>
            <w:pPr>
              <w:pStyle w:val="Normal6a"/>
            </w:pPr>
            <w:r>
              <w:t>24.</w:t>
            </w:r>
            <w:r>
              <w:tab/>
            </w:r>
            <w:r>
              <w:t xml:space="preserve">konstatuje, že v roce 2023 Výbor pokračoval ve zvyšování povědomí o opatřeních zavedených k prevenci obtěžování na pracovišti a boji proti němu v souladu se svým rozhodnutím ze dne 26. dubna 2021 o ochraně důstojnosti v práci, zvládání konfliktů a boji proti obtěžování, zejména prostřednictvím zvláštních pokynů, interní komunikace a uspořádáním několika informačních schůzek pro zaměstnance a vedoucí pracovníky; vítá zejména uspořádání pěti školení na téma „Prevence psychologického a sexuálního obtěžování“ a „Respekt a důstojnost pro vysoce výkonný tým“ v roce 2023; </w:t>
            </w:r>
            <w:r>
              <w:rPr>
                <w:b/>
                <w:i/>
              </w:rPr>
              <w:t>dále s uspokojením konstatuje, že v průběhu roku nebyly hlášeny žádné nové, probíhající nebo uzavřené případy sexuálního obtěžování;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Michal Wiezik, Olivier Chastel, Vlad Vasile-Voiculescu,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konstatuje, že v roce 2023 Výbor pokračoval ve zvyšování povědomí o opatřeních zavedených k prevenci obtěžování na pracovišti a boji proti němu v souladu se svým rozhodnutím ze dne 26. dubna 2021 o ochraně důstojnosti v práci, zvládání konfliktů a boji proti obtěžování, zejména prostřednictvím zvláštních pokynů, interní komunikace a uspořádáním několika informačních schůzek pro zaměstnance a vedoucí pracovníky; vítá zejména uspořádání pěti školení na téma „Prevence psychologického a sexuálního obtěžování“ a „Respekt a důstojnost pro vysoce výkonný tým“ v roce 2023;</w:t>
            </w:r>
          </w:p>
        </w:tc>
        <w:tc>
          <w:tcPr>
            <w:tcW w:w="4876" w:type="dxa"/>
            <w:tcBorders>
              <w:top w:val="nil"/>
              <w:left w:val="nil"/>
              <w:bottom w:val="nil"/>
              <w:right w:val="nil"/>
            </w:tcBorders>
          </w:tcPr>
          <w:p>
            <w:pPr>
              <w:pStyle w:val="Normal6a"/>
            </w:pPr>
            <w:r>
              <w:t>24.</w:t>
            </w:r>
            <w:r>
              <w:tab/>
            </w:r>
            <w:r>
              <w:t xml:space="preserve">konstatuje, že v roce 2023 Výbor pokračoval ve zvyšování povědomí o opatřeních zavedených k prevenci obtěžování na pracovišti a boji proti němu v souladu se svým rozhodnutím ze dne 26. dubna 2021 o ochraně důstojnosti v práci, zvládání konfliktů a boji proti obtěžování, zejména prostřednictvím zvláštních pokynů, interní komunikace a uspořádáním několika informačních schůzek pro zaměstnance a vedoucí pracovníky; vítá zejména uspořádání pěti školení na téma „Prevence psychologického a sexuálního obtěžování“ a „Respekt a důstojnost pro vysoce výkonný tým“ v roce 2023 </w:t>
            </w:r>
            <w:r>
              <w:rPr>
                <w:b/>
                <w:i/>
              </w:rPr>
              <w:t>a doporučuje, aby se v této iniciativě pokračovalo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Csaba Molnár, Claudiu Manda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 xml:space="preserve">konstatuje, že v roce </w:t>
            </w:r>
            <w:r>
              <w:rPr>
                <w:b/>
                <w:i/>
              </w:rPr>
              <w:t>2022</w:t>
            </w:r>
            <w:r>
              <w:t xml:space="preserve"> Výbor zaměstnával zaměstnance zastupující všechny státní příslušnosti EU (a jednoho zaměstnance ukrajinské státní příslušnosti), přičemž některé státní příslušnosti jsou zastoupeny nadměrně (např. Belgie); vítá dodatečné úsilí Výboru s cílem vyvážit zeměpisné zastoupení mezi zaměstnanci tím, že se zaměří na širší publikum prostřednictvím zveřejnění výzev k vyjádření zájmu pro smluvní a dočasné zaměstnance na webových stránkách Výboru a na sociálních sítích; žádá Výbor, aby orgán příslušný k udělení absolutoria pravidelně informoval o výsledcích tohoto druhu opatření;</w:t>
            </w:r>
          </w:p>
        </w:tc>
        <w:tc>
          <w:tcPr>
            <w:tcW w:w="4876" w:type="dxa"/>
            <w:tcBorders>
              <w:top w:val="nil"/>
              <w:left w:val="nil"/>
              <w:bottom w:val="nil"/>
              <w:right w:val="nil"/>
            </w:tcBorders>
          </w:tcPr>
          <w:p>
            <w:pPr>
              <w:pStyle w:val="Normal6a"/>
            </w:pPr>
            <w:r>
              <w:t>26.</w:t>
            </w:r>
            <w:r>
              <w:tab/>
            </w:r>
            <w:r>
              <w:t xml:space="preserve">konstatuje, že v roce </w:t>
            </w:r>
            <w:r>
              <w:rPr>
                <w:b/>
                <w:i/>
              </w:rPr>
              <w:t>2023</w:t>
            </w:r>
            <w:r>
              <w:t xml:space="preserve"> Výbor zaměstnával zaměstnance zastupující všechny státní příslušnosti EU (a jednoho zaměstnance ukrajinské státní příslušnosti), přičemž některé státní příslušnosti jsou zastoupeny nadměrně (např. Belgie); vítá dodatečné úsilí Výboru s cílem vyvážit zeměpisné zastoupení mezi zaměstnanci tím, že se zaměří na širší publikum prostřednictvím zveřejnění výzev k vyjádření zájmu pro smluvní a dočasné zaměstnance na webových stránkách Výboru a na sociálních sítích</w:t>
            </w:r>
            <w:r>
              <w:rPr>
                <w:b/>
                <w:i/>
              </w:rPr>
              <w:t>;</w:t>
            </w:r>
            <w:r>
              <w:t xml:space="preserve"> </w:t>
            </w:r>
            <w:r>
              <w:rPr>
                <w:b/>
                <w:i/>
              </w:rPr>
              <w:t>vyjadřuje politování nad přetrvávající nedostatečnou zeměpisnou vyvážeností zaměstnanců Výboru, přičemž některé státní příslušnosti jsou ve srovnání s ostatními stále nadměrně zastoupeny;</w:t>
            </w:r>
            <w:r>
              <w:t xml:space="preserve"> </w:t>
            </w:r>
            <w:r>
              <w:rPr>
                <w:b/>
                <w:i/>
              </w:rPr>
              <w:t>vybízí Výbor, aby zintenzivnil své úsilí o dosažení vyváženějšího zeměpisného rozložení, zejména na úrovni řízení</w:t>
            </w:r>
            <w:r>
              <w:t>; žádá Výbor, aby orgán příslušný k udělení absolutoria pravidelně informoval o výsledcích tohoto druhu opatření;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Csaba Molnár, Claudiu Manda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vítá, že se kancelář Výboru pro stáže v dubnu 2023 již podruhé zúčastnila zasedání nazvaného „Příležitosti pro mladé Romy“;</w:t>
            </w:r>
            <w:r>
              <w:t xml:space="preserve"> </w:t>
            </w:r>
            <w:r>
              <w:rPr>
                <w:b/>
                <w:i/>
              </w:rPr>
              <w:t>oceňuje iniciativu spočívající v seznámení mladých a motivovaných romských a neromských účastníků s programem stáží Výboru, která odráží pevný závazek podporovat inkluzivnost, rozmanitost a rovné příležitosti;</w:t>
            </w:r>
            <w:r>
              <w:t xml:space="preserve"> </w:t>
            </w:r>
            <w:r>
              <w:rPr>
                <w:b/>
                <w:i/>
              </w:rPr>
              <w:t>vybízí k pokračování a rozšiřování těchto iniciativ s cílem dále zapojit nedostatečně zastoupené komunity a podpořit inkluzivnější evropskou pracovní sílu;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vítá pokrok, jehož bylo dosaženo, pokud jde o genderovou vyváženost ve vedoucích pozicích, kdy se zvýšil procentní podíl žen na středních vedoucích pozicích (z 29,7 % v roce 2022 na 32,5 % v roce 2023) i na vyšších vedoucích pozicích (z 37,5 % v roce 2022 na 44,4 % v roce 2023);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vyjadřuje politování nad tím, že procentní podíl žen ve vrcholném a středním vedení zůstává v roce 2023 nízký, a to navzdory jmenování nové ředitelky v roce 2023 a určitému úsilí o přilákání většího počtu žen na vedoucí pozice;</w:t>
            </w:r>
            <w:r>
              <w:t xml:space="preserve"> </w:t>
            </w:r>
            <w:r>
              <w:rPr>
                <w:b/>
                <w:i/>
              </w:rPr>
              <w:t>oceňuje nicméně, že Výbor považuje vyvážené zastoupení žen a mužů v řadách svých zaměstnanců a zejména ve vrcholném vedení za důležitý faktor, a vyzývá Výbor, aby situaci zlepšil;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{Greens/EFA}</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vyzývá Výbor, aby provedl každoroční audit rozmanitosti a zveřejnil rozčleněné údaje o pohlaví, státní příslušnosti a kategorii zaměstnání;</w:t>
            </w:r>
            <w:r>
              <w:t xml:space="preserve"> </w:t>
            </w:r>
            <w:r>
              <w:rPr>
                <w:b/>
                <w:i/>
              </w:rPr>
              <w:t>naléhavě vyzývá Výbor, aby přijal další opatření ke zvýšení zastoupení nedostatečně zastoupených členských států mezi svými zaměstnanci;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vyzývá tento orgán, aby získané zkušenosti a závěry zohlednil ve svých vnitřních pravidlech a postupech a přihlédl i k revizi jednacího řádu a kodexu chování Parlamentu ze září 2023, doporučuje mu však, aby navrhl další a ráznější způsoby, jak zintenzivnit boj proti podvodům a plně chránit finanční zájmy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vyzývá tento orgán, aby posoudil, jak je možné, že regulační rámec Evropského parlamentu pro předcházení korupci a podvodům selhal a umožnil, aby poslanci Evropského parlamentu byli několik let aktivně zapojeni do sítě podobné mafii podílející se na korupci a praní peněz, aniž by byli odhaleni;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Csaba Molnár, Claudiu Manda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konstatuje, že v roce 2023 se </w:t>
            </w:r>
            <w:r>
              <w:rPr>
                <w:b/>
                <w:i/>
              </w:rPr>
              <w:t>úřad OLAF</w:t>
            </w:r>
            <w:r>
              <w:t xml:space="preserve"> zabýval dvěma případy: jeden se týkal údajných výdělečných činností jednoho člena Výboru a druhý se týkal obvinění jednoho zaměstnance z opakovaných nepovolených externích činností; připomíná, že v prvním uvedeném případě nebylo zahájeno vyšetřování úřadu OLAF z důvodu nedostatečné proporcionality mezi zdroji potřebnými k provedení vyšetřování a očekávanými výsledky, zatímco Výbor se domníval, že nedošlo ke střetu zájmů z toho důvodu, že tento člen Výboru nepobírá od Unie žádnou odměnu a ani není povinen oznamovat své profesní činnosti, za které může být placen v rámci místního nebo regionálního mandátu, který tento člen může vykonávat; v souvislosti s druhým uvedeným případem konstatuje, že úřad OLAF zahájil vyšetřování, které bylo uzavřeno dvěma doporučeními, která Výbor provedl zahájením disciplinárního řízení proti danému zaměstnanci a zpětným získáním výdělku v souvislosti s neoprávněnou externí činností této osoby; připomíná, že případ uzavřený v roce 2022 a týkající se obvinění z údajných finančních přečinů, obtěžování a špatného řízení ve společném útvaru Výboru a EHSV zavdal podnět k provedení cvičení zaměřeného na zvládání konfliktů, jehož se zúčastnily dotčené osoby, a k vypracování pětibodového akčního plánu; na základě zprávy Výboru navazující na parlamentní rozhodnutí o udělení absolutoria za plnění rozpočtu Výboru v roce 2022 s uspokojením konstatuje, že akční plán byl na konci roku 2023 plně proveden;</w:t>
            </w:r>
          </w:p>
        </w:tc>
        <w:tc>
          <w:tcPr>
            <w:tcW w:w="4876" w:type="dxa"/>
            <w:tcBorders>
              <w:top w:val="nil"/>
              <w:left w:val="nil"/>
              <w:bottom w:val="nil"/>
              <w:right w:val="nil"/>
            </w:tcBorders>
          </w:tcPr>
          <w:p>
            <w:pPr>
              <w:pStyle w:val="Normal6a"/>
            </w:pPr>
            <w:r>
              <w:t>28.</w:t>
            </w:r>
            <w:r>
              <w:tab/>
            </w:r>
            <w:r>
              <w:t xml:space="preserve">konstatuje, že v roce 2023 se </w:t>
            </w:r>
            <w:r>
              <w:rPr>
                <w:b/>
                <w:i/>
              </w:rPr>
              <w:t>Evropský úřad pro boj proti podvodům (OLAF)</w:t>
            </w:r>
            <w:r>
              <w:t xml:space="preserve"> zabýval dvěma případy: jeden se týkal údajných výdělečných činností jednoho člena Výboru a druhý se týkal obvinění jednoho zaměstnance z opakovaných nepovolených externích činností; připomíná, že v prvním uvedeném případě nebylo zahájeno vyšetřování úřadu OLAF z důvodu nedostatečné proporcionality mezi zdroji potřebnými k provedení vyšetřování a očekávanými výsledky, zatímco Výbor se domníval, že nedošlo ke střetu zájmů z toho důvodu, že tento člen Výboru nepobírá od Unie žádnou odměnu a ani není povinen oznamovat své profesní činnosti, za které může být placen v rámci místního nebo regionálního mandátu, který tento člen může vykonávat; v souvislosti s druhým uvedeným případem konstatuje, že úřad OLAF zahájil vyšetřování, které bylo uzavřeno dvěma doporučeními, která Výbor provedl zahájením disciplinárního řízení proti danému zaměstnanci a zpětným získáním výdělku v souvislosti s neoprávněnou externí činností této osoby; připomíná, že případ uzavřený v roce 2022 a týkající se obvinění z údajných finančních přečinů, obtěžování a špatného řízení ve společném útvaru Výboru a EHSV zavdal podnět k provedení cvičení zaměřeného na zvládání konfliktů, jehož se zúčastnily dotčené osoby, a k vypracování pětibodového akčního plánu; na základě zprávy Výboru navazující na parlamentní rozhodnutí o udělení absolutoria za plnění rozpočtu Výboru v roce 2022 s uspokojením konstatuje, že akční plán byl na konci roku 2023 plně proveden;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{Greens/EFA}</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29a.</w:t>
            </w:r>
            <w:r>
              <w:tab/>
            </w:r>
            <w:r>
              <w:rPr>
                <w:b/>
                <w:i/>
              </w:rPr>
              <w:t>naléhavě vyzývá Výbor, aby zlepšil odhalování a prevenci střetů zájmů zavedením povinného přechodného období pro odcházející členy, než se budou moci zapojit do lobbistických nebo poradenských úloh spojených s orgány EU;</w:t>
            </w:r>
            <w:r>
              <w:t xml:space="preserve"> </w:t>
            </w:r>
            <w:r>
              <w:rPr>
                <w:b/>
                <w:i/>
              </w:rPr>
              <w:t>vyzývá k aktivnímu zveřejňování všech rozhodnutí o vyloučení přijatých členy VR z důvodu střetu zájmů;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Michal Wiezik, Olivier Chastel, Vlad Vasile-Voiculescu,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31.</w:t>
            </w:r>
            <w:r>
              <w:tab/>
            </w:r>
            <w:r>
              <w:t>konstatuje, že Výboru v roce 2023 nebyly oznámeny žádné případy whistleblowingu kromě informací obdržených od úřadu OLAF o případu whistleblowingu vedenému proti jednomu zaměstnanci Výboru, jejž nakonec úřad OLAF odložil; konstatuje, že Výbor v roce 2023 nepřijal žádná nová opatření týkající se whistleblowingu a nadále se opíral o opatření zavedená od roku 2015 a propagoval je prostřednictvím školení o etice;</w:t>
            </w:r>
          </w:p>
        </w:tc>
        <w:tc>
          <w:tcPr>
            <w:tcW w:w="4876" w:type="dxa"/>
            <w:tcBorders>
              <w:top w:val="nil"/>
              <w:left w:val="nil"/>
              <w:bottom w:val="nil"/>
              <w:right w:val="nil"/>
            </w:tcBorders>
          </w:tcPr>
          <w:p>
            <w:pPr>
              <w:pStyle w:val="Normal6a"/>
            </w:pPr>
            <w:r>
              <w:t>31.</w:t>
            </w:r>
            <w:r>
              <w:tab/>
            </w:r>
            <w:r>
              <w:t xml:space="preserve">konstatuje, že Výboru v roce 2023 nebyly oznámeny žádné případy whistleblowingu kromě informací obdržených od úřadu OLAF o případu whistleblowingu vedenému proti jednomu zaměstnanci Výboru, jejž nakonec úřad OLAF odložil; konstatuje, že Výbor v roce 2023 nepřijal žádná nová opatření týkající se whistleblowingu a nadále se opíral o opatření zavedená od roku 2015 a propagoval je prostřednictvím školení o etice; </w:t>
            </w:r>
            <w:r>
              <w:rPr>
                <w:b/>
                <w:i/>
              </w:rPr>
              <w:t>podporuje pravidelnou povinnou odbornou přípravu v oblasti etiky jak pro zaměstnance, tak pro vedoucí pracovníky;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Csaba Molnár, Claudiu Manda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31.</w:t>
            </w:r>
            <w:r>
              <w:tab/>
            </w:r>
            <w:r>
              <w:t>konstatuje, že Výboru v roce 2023 nebyly oznámeny žádné případy whistleblowingu kromě informací obdržených od úřadu OLAF o případu whistleblowingu vedenému proti jednomu zaměstnanci Výboru, jejž nakonec úřad OLAF odložil; konstatuje, že Výbor v roce 2023 nepřijal žádná nová opatření týkající se whistleblowingu a nadále se opíral o opatření zavedená od roku 2015 a propagoval je prostřednictvím školení o etice;</w:t>
            </w:r>
          </w:p>
        </w:tc>
        <w:tc>
          <w:tcPr>
            <w:tcW w:w="4876" w:type="dxa"/>
            <w:tcBorders>
              <w:top w:val="nil"/>
              <w:left w:val="nil"/>
              <w:bottom w:val="nil"/>
              <w:right w:val="nil"/>
            </w:tcBorders>
          </w:tcPr>
          <w:p>
            <w:pPr>
              <w:pStyle w:val="Normal6a"/>
            </w:pPr>
            <w:r>
              <w:t>31.</w:t>
            </w:r>
            <w:r>
              <w:tab/>
            </w:r>
            <w:r>
              <w:t xml:space="preserve">konstatuje, že Výboru v roce 2023 nebyly oznámeny žádné případy whistleblowingu kromě informací obdržených od úřadu OLAF o případu whistleblowingu vedenému proti jednomu zaměstnanci Výboru, jejž nakonec úřad OLAF odložil; konstatuje, že Výbor v roce 2023 nepřijal žádná nová opatření týkající se whistleblowingu a nadále se opíral o opatření zavedená od roku 2015 a propagoval je prostřednictvím školení o etice </w:t>
            </w:r>
            <w:r>
              <w:rPr>
                <w:b/>
                <w:i/>
              </w:rPr>
              <w:t>a zvyšování informovanosti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Michal Wiezik, Olivier Chastel, Vlad Vasile-Voiculescu,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t>konstatuje, že Výbor má zavedené spektrum opatření proti podvodům a opatření vztahující se na jeho členy a jeho zaměstnance, která provádí jednotlivé útvary; na základě dotazníku s uspokojením bere na vědomí, že Výbor je odhodlán dále posílit stávající opatření v boji proti podvodům přijetím strategie boje proti podvodům v roce 2025; žádá Výbor, aby orgán příslušný k udělení absolutoria v této věci průběžně informoval;</w:t>
            </w:r>
          </w:p>
        </w:tc>
        <w:tc>
          <w:tcPr>
            <w:tcW w:w="4876" w:type="dxa"/>
            <w:tcBorders>
              <w:top w:val="nil"/>
              <w:left w:val="nil"/>
              <w:bottom w:val="nil"/>
              <w:right w:val="nil"/>
            </w:tcBorders>
          </w:tcPr>
          <w:p>
            <w:pPr>
              <w:pStyle w:val="Normal6a"/>
            </w:pPr>
            <w:r>
              <w:t>32.</w:t>
            </w:r>
            <w:r>
              <w:tab/>
            </w:r>
            <w:r>
              <w:t xml:space="preserve">konstatuje, že Výbor má zavedené spektrum opatření proti podvodům a opatření vztahující se na jeho členy a jeho zaměstnance, která provádí jednotlivé útvary; na základě dotazníku s uspokojením bere na vědomí, že Výbor je odhodlán dále posílit stávající opatření v boji proti podvodům přijetím strategie boje proti podvodům v roce 2025; </w:t>
            </w:r>
            <w:r>
              <w:rPr>
                <w:b/>
                <w:i/>
              </w:rPr>
              <w:t>vybízí Výbor, aby v rámci této strategie usnadnil pravidelná a povinná školení zaměřená na boj proti podvodům;</w:t>
            </w:r>
            <w:r>
              <w:t xml:space="preserve"> žádá Výbor, aby orgán příslušný k udělení absolutoria v této věci průběžně informoval;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t>konstatuje, že Výbor má zavedené spektrum opatření proti podvodům a opatření vztahující se na jeho členy a jeho zaměstnance, která provádí jednotlivé útvary; na základě dotazníku s uspokojením bere na vědomí, že Výbor je odhodlán dále posílit stávající opatření v boji proti podvodům přijetím strategie boje proti podvodům v roce 2025; žádá Výbor, aby orgán příslušný k udělení absolutoria v této věci průběžně informoval;</w:t>
            </w:r>
          </w:p>
        </w:tc>
        <w:tc>
          <w:tcPr>
            <w:tcW w:w="4876" w:type="dxa"/>
            <w:tcBorders>
              <w:top w:val="nil"/>
              <w:left w:val="nil"/>
              <w:bottom w:val="nil"/>
              <w:right w:val="nil"/>
            </w:tcBorders>
          </w:tcPr>
          <w:p>
            <w:pPr>
              <w:pStyle w:val="Normal6a"/>
            </w:pPr>
            <w:r>
              <w:t>32.</w:t>
            </w:r>
            <w:r>
              <w:tab/>
            </w:r>
            <w:r>
              <w:t>konstatuje, že Výbor má zavedené spektrum opatření proti podvodům a opatření vztahující se na jeho členy a jeho zaměstnance, která provádí jednotlivé útvary</w:t>
            </w:r>
            <w:r>
              <w:rPr>
                <w:b/>
                <w:i/>
              </w:rPr>
              <w:t>, avšak navzdory žádosti Parlamentu nebyla ani v roce 2023 zavedena žádná strategie boje proti podvodům</w:t>
            </w:r>
            <w:r>
              <w:t>; na základě dotazníku s uspokojením bere na vědomí, že Výbor je odhodlán dále posílit stávající opatření v boji proti podvodům přijetím strategie boje proti podvodům v roce 2025; žádá Výbor, aby orgán příslušný k udělení absolutoria v této věci průběžně informoval;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Csaba Molnár, Claudiu Manda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t xml:space="preserve">konstatuje, že Výbor má zavedené spektrum opatření proti podvodům a opatření vztahující se na jeho členy a jeho zaměstnance, která provádí jednotlivé útvary; </w:t>
            </w:r>
            <w:r>
              <w:rPr>
                <w:b/>
                <w:i/>
              </w:rPr>
              <w:t>na základě dotazníku s uspokojením bere</w:t>
            </w:r>
            <w:r>
              <w:t xml:space="preserve"> na vědomí, že Výbor je odhodlán dále posílit stávající opatření v boji proti podvodům přijetím strategie boje proti podvodům v roce 2025; žádá Výbor, aby orgán příslušný k udělení absolutoria v této věci průběžně informoval;</w:t>
            </w:r>
          </w:p>
        </w:tc>
        <w:tc>
          <w:tcPr>
            <w:tcW w:w="4876" w:type="dxa"/>
            <w:tcBorders>
              <w:top w:val="nil"/>
              <w:left w:val="nil"/>
              <w:bottom w:val="nil"/>
              <w:right w:val="nil"/>
            </w:tcBorders>
          </w:tcPr>
          <w:p>
            <w:pPr>
              <w:pStyle w:val="Normal6a"/>
            </w:pPr>
            <w:r>
              <w:t>32.</w:t>
            </w:r>
            <w:r>
              <w:tab/>
            </w:r>
            <w:r>
              <w:t xml:space="preserve">konstatuje, že Výbor má zavedené spektrum opatření proti podvodům a opatření vztahující se na jeho členy a jeho zaměstnance, která provádí jednotlivé útvary; </w:t>
            </w:r>
            <w:r>
              <w:rPr>
                <w:b/>
                <w:i/>
              </w:rPr>
              <w:t>v návaznosti na doporučení Parlamentu a ve shodě s dotazníkem bere s uspokojením</w:t>
            </w:r>
            <w:r>
              <w:t xml:space="preserve"> na vědomí, že Výbor je odhodlán dále posílit stávající opatření v boji proti podvodům přijetím strategie boje proti podvodům v roce 2025; žádá Výbor, aby orgán příslušný k udělení absolutoria v této věci průběžně informoval;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{Greens/EFA}</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34a.</w:t>
            </w:r>
            <w:r>
              <w:tab/>
            </w:r>
            <w:r>
              <w:rPr>
                <w:b/>
                <w:i/>
              </w:rPr>
              <w:t>vítá novou digitální strategii Výboru na období 2024–2026;</w:t>
            </w:r>
            <w:r>
              <w:t xml:space="preserve"> </w:t>
            </w:r>
            <w:r>
              <w:rPr>
                <w:b/>
                <w:i/>
              </w:rPr>
              <w:t>vyzývá Výbor, aby urychlil úsilí o digitální transformaci tím, že do roku 2026 zajistí plné zavedení elektronických pracovních postupů, elektronických podpisů a digitálních nástrojů pro správu případů, omezí papírové procesy v souladu se závazky v oblasti udržitelnosti a přejde k bezpapírové správě;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Michal Wiezik, Olivier Chastel, Vlad Vasile-Voiculescu,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35.</w:t>
            </w:r>
            <w:r>
              <w:tab/>
            </w:r>
            <w:r>
              <w:t>s uspokojením konstatuje, že 90 % projektů na zjednodušení prostřednictvím digitalizace v rámci iniciativy „Going for impact“ bylo na konci roku 2023 plně provedeno; navíc konstatuje, že bylo dosaženo dalšího nárůstu efektivity díky IT projektu, který se zaměřoval na definici co nejlepšího nástroje pro elektronické řízení pracovních toků založených na formulářích, jenž měl za následek to, že se začalo zjednodušovat a digitalizovat prostřednictvím nástrojů Microsoft 365 mnoho postupů Výboru; s uspokojením konstatuje, že Výbor používá moduly zadávání zakázek, jako je elektronické zadávací řízení, elektronická oznámení, elektronické podávání nabídek a MyWorkplace, jakož i kvalifikovaný elektronický podpis k podepisování smluv zavedený v roce 2023; vítá, že Výbor přijal interní pokyny k používání umělé inteligence, které stanoví základ pro možná budoucí řešení;</w:t>
            </w:r>
          </w:p>
        </w:tc>
        <w:tc>
          <w:tcPr>
            <w:tcW w:w="4876" w:type="dxa"/>
            <w:tcBorders>
              <w:top w:val="nil"/>
              <w:left w:val="nil"/>
              <w:bottom w:val="nil"/>
              <w:right w:val="nil"/>
            </w:tcBorders>
          </w:tcPr>
          <w:p>
            <w:pPr>
              <w:pStyle w:val="Normal6a"/>
            </w:pPr>
            <w:r>
              <w:t>35.</w:t>
            </w:r>
            <w:r>
              <w:tab/>
            </w:r>
            <w:r>
              <w:t>s uspokojením konstatuje, že 90 % projektů na zjednodušení prostřednictvím digitalizace v rámci iniciativy „Going for impact“ bylo na konci roku 2023 plně provedeno;navíc konstatuje, že bylo dosaženo dalšího nárůstu efektivity díky IT projektu, který se zaměřoval na definici co nejlepšího nástroje pro elektronické řízení pracovních toků založených na formulářích, jenž měl za následek to, že se začalo zjednodušovat a digitalizovat prostřednictvím nástrojů Microsoft 365 mnoho postupů Výboru; s uspokojením konstatuje, že Výbor používá moduly zadávání zakázek, jako je elektronické zadávací řízení, elektronická oznámení, elektronické podávání nabídek a MyWorkplace, jakož i kvalifikovaný elektronický podpis k podepisování smluv zavedený v roce 2023; vítá, že Výbor přijal interní pokyny k používání umělé inteligence, které stanoví základ pro možná budoucí řešení</w:t>
            </w:r>
            <w:r>
              <w:rPr>
                <w:b/>
                <w:i/>
              </w:rPr>
              <w:t>, a vybízí k zavedení pravidelných povinných školení o bezpečném využívání umělé inteligence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Csaba Molnár, Claudiu Manda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37.</w:t>
            </w:r>
            <w:r>
              <w:tab/>
            </w:r>
            <w:r>
              <w:t>bere na vědomí, že Výbor se v roce 2023 nepotýkal s žádným kybernetickým útokem kromě určitých útoků založených na odmítnutí služby namířeným proti webovým stránkám hostovaným na externím serveru; na základě dotazníku bere na vědomí nástroje a strategie Výboru pro monitorování hrozeb v reálném čase a určení zranitelností v systémech Výboru; chválí Výbor za dodržování norem v oblastech souvisejících s posouzením rizik týkajících se kybernetické bezpečnosti, jakož i za zavedení systému založeného na plánech reakce na incident, opatřeních obnovy a ponaučeních; s uspokojením konstatuje, že Výbor a EHSV přijaly rámec kybernetické bezpečnosti NIST s důrazem v roce 2023 na zásady: „chránit“ a „odhalovat“;</w:t>
            </w:r>
          </w:p>
        </w:tc>
        <w:tc>
          <w:tcPr>
            <w:tcW w:w="4876" w:type="dxa"/>
            <w:tcBorders>
              <w:top w:val="nil"/>
              <w:left w:val="nil"/>
              <w:bottom w:val="nil"/>
              <w:right w:val="nil"/>
            </w:tcBorders>
          </w:tcPr>
          <w:p>
            <w:pPr>
              <w:pStyle w:val="Normal6a"/>
            </w:pPr>
            <w:r>
              <w:t>37.</w:t>
            </w:r>
            <w:r>
              <w:tab/>
            </w:r>
            <w:r>
              <w:t xml:space="preserve">bere na vědomí, že Výbor se v roce 2023 nepotýkal s žádným kybernetickým útokem kromě určitých útoků založených na odmítnutí služby namířeným proti webovým stránkám hostovaným na externím serveru; na základě dotazníku bere na vědomí nástroje a strategie Výboru pro monitorování hrozeb v reálném čase a určení zranitelností v systémech Výboru; chválí Výbor za dodržování norem v oblastech souvisejících s posouzením rizik týkajících se kybernetické bezpečnosti, jakož i za zavedení systému založeného na plánech reakce na incident, opatřeních obnovy a ponaučeních; s uspokojením konstatuje, že Výbor a EHSV přijaly rámec kybernetické bezpečnosti NIST s důrazem v roce 2023 na zásady: „chránit“ a „odhalovat“; </w:t>
            </w:r>
            <w:r>
              <w:rPr>
                <w:b/>
                <w:i/>
              </w:rPr>
              <w:t>vybízí Výbor, aby zvyšoval informovanost svých členů a zaměstnanců o kybernetické bezpečnosti, aby prováděl pravidelné hodnocení rizik své IT infrastruktury a aby zajišťoval pravidelné audity a testy své kybernetické obrany;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42a.</w:t>
            </w:r>
            <w:r>
              <w:tab/>
            </w:r>
            <w:r>
              <w:rPr>
                <w:b/>
                <w:i/>
              </w:rPr>
              <w:t>žádá tento orgán, aby Evropskému parlamentu a jeho Výboru pro rozpočtovou kontrolu poskytl doporučení ohledně nových způsobů boje proti pochybením a zneužívání finančních prostředků EU, a to na základě vlastních interních zkušeností a zkušeností získaných z dřívějších případů, a aby sdílel osvědčené postupy, neboť bylo prokázáno, že finanční zájmy Evropské unie nebyly v Evropském parlamentu dobře chráněny;</w:t>
            </w:r>
            <w:r>
              <w:t xml:space="preserve"> </w:t>
            </w:r>
            <w:r>
              <w:rPr>
                <w:b/>
                <w:i/>
              </w:rPr>
              <w:t>domnívá se, že jak odhalil trestní případ a jeho vyšetřování, Parlament by mohl v této věci využít nové pohledy a podněty od tohoto orgánu;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43.</w:t>
            </w:r>
            <w:r>
              <w:tab/>
            </w:r>
            <w:r>
              <w:t>vítá rozpočtové a administrativní úspory, jichž bylo dosaženo díky interinstitucionální spolupráci, a zejména díky těsné spolupráci navázané na správní úrovni s EHSV, s nímž se Výbor dělí o prostory a společné služby v oblasti překladu, infrastruktury, logistiky a IT, přičemž společně obě instituce v roce 2023 sdílely 470 zaměstnanců a asi 60 milionů EUR (bez výdajů na platy); s uspokojením konstatuje, že Výbor dále rozšířil svou spolupráci s EHSV tím, že využil další synergie ve formě společných lékařských služeb a společného ústředního rejstříku ochrany údajů a operací zpracování založených na dohodě o společném správcovství uzavřené Výborem a EHSV v roce 2023;</w:t>
            </w:r>
          </w:p>
        </w:tc>
        <w:tc>
          <w:tcPr>
            <w:tcW w:w="4876" w:type="dxa"/>
            <w:tcBorders>
              <w:top w:val="nil"/>
              <w:left w:val="nil"/>
              <w:bottom w:val="nil"/>
              <w:right w:val="nil"/>
            </w:tcBorders>
          </w:tcPr>
          <w:p>
            <w:pPr>
              <w:pStyle w:val="Normal6a"/>
            </w:pPr>
            <w:r>
              <w:t>43.</w:t>
            </w:r>
            <w:r>
              <w:tab/>
            </w:r>
            <w:r>
              <w:t xml:space="preserve">vítá rozpočtové a administrativní úspory, jichž bylo dosaženo díky interinstitucionální spolupráci, a zejména díky těsné spolupráci navázané na správní úrovni s EHSV, s nímž se Výbor dělí o prostory a společné služby v oblasti překladu, infrastruktury, logistiky a IT, přičemž společně obě instituce v roce 2023 sdílely 470 zaměstnanců a asi 60 milionů EUR (bez výdajů na platy); s uspokojením konstatuje, že Výbor dále rozšířil svou spolupráci s EHSV tím, že využil další synergie ve formě společných lékařských služeb a společného ústředního rejstříku ochrany údajů a operací zpracování založených na dohodě o společném správcovství uzavřené Výborem a EHSV v roce 2023; </w:t>
            </w:r>
            <w:r>
              <w:rPr>
                <w:b/>
                <w:i/>
              </w:rPr>
              <w:t>připomíná svou výzvu, aby Výbor v této spolupráci pokračoval a rozšířil ji do dalších oblastí s cílem zabránit zdvojování a dále racionalizovat provozní náklady na služby poskytované v prostorách, které sdílí s EHSV;</w:t>
            </w:r>
            <w:r>
              <w:t xml:space="preserve"> </w:t>
            </w:r>
            <w:r>
              <w:rPr>
                <w:b/>
                <w:i/>
              </w:rPr>
              <w:t>vyzývá Výbor a EHSV, aby přezkoumaly možnost zřízení jednotné správy pro společné útvary a ponechaly si samostatná ředitelství nebo oddělení pro útvary, které se zabývají záležitostmi souvisejícími s jejich specifickými a nezávislými mandáty;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43.</w:t>
            </w:r>
            <w:r>
              <w:tab/>
            </w:r>
            <w:r>
              <w:t>vítá rozpočtové a administrativní úspory, jichž bylo dosaženo díky interinstitucionální spolupráci, a zejména díky těsné spolupráci navázané na správní úrovni s EHSV, s nímž se Výbor dělí o prostory a společné služby v oblasti překladu, infrastruktury, logistiky a IT, přičemž společně obě instituce v roce 2023 sdílely 470 zaměstnanců a asi 60 milionů EUR (bez výdajů na platy); s uspokojením konstatuje, že Výbor dále rozšířil svou spolupráci s EHSV tím, že využil další synergie ve formě společných lékařských služeb a společného ústředního rejstříku ochrany údajů a operací zpracování založených na dohodě o společném správcovství uzavřené Výborem a EHSV v roce 2023;</w:t>
            </w:r>
          </w:p>
        </w:tc>
        <w:tc>
          <w:tcPr>
            <w:tcW w:w="4876" w:type="dxa"/>
            <w:tcBorders>
              <w:top w:val="nil"/>
              <w:left w:val="nil"/>
              <w:bottom w:val="nil"/>
              <w:right w:val="nil"/>
            </w:tcBorders>
          </w:tcPr>
          <w:p>
            <w:pPr>
              <w:pStyle w:val="Normal6a"/>
            </w:pPr>
            <w:r>
              <w:t>43.</w:t>
            </w:r>
            <w:r>
              <w:tab/>
            </w:r>
            <w:r>
              <w:t xml:space="preserve">vítá rozpočtové a administrativní úspory, jichž bylo dosaženo díky interinstitucionální spolupráci, a zejména díky těsné spolupráci navázané na správní úrovni s EHSV, s nímž se Výbor dělí o prostory a společné služby v oblasti překladu, infrastruktury, logistiky a IT, přičemž společně obě instituce v roce 2023 sdílely 470 zaměstnanců a asi 60 milionů EUR (bez výdajů na platy); s uspokojením konstatuje, že Výbor dále rozšířil svou spolupráci s EHSV tím, že využil další synergie ve formě společných lékařských služeb a společného ústředního rejstříku ochrany údajů a operací zpracování založených na dohodě o společném správcovství uzavřené Výborem a EHSV v roce 2023; </w:t>
            </w:r>
            <w:r>
              <w:rPr>
                <w:b/>
                <w:i/>
              </w:rPr>
              <w:t>vybízí Výbor a EHSV, aby dále usilovaly o rozvoj další spolupráce a součinnosti;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{Greens/EFA}</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44a.</w:t>
            </w:r>
            <w:r>
              <w:tab/>
            </w:r>
            <w:r>
              <w:rPr>
                <w:b/>
                <w:i/>
              </w:rPr>
              <w:t>vyzývá Výbor, aby prohloubil svou spolupráci s Evropským parlamentem a Komisí tím, že zahájí strukturovaný každoroční dialog mezi zástupci VR a zákonodárci EU o klíčových legislativních návrzích týkajících se regionálního rozvoje, politiky v oblasti klimatu a sociální soudržnosti;</w:t>
            </w:r>
            <w:r>
              <w:t xml:space="preserve"> </w:t>
            </w:r>
            <w:r>
              <w:rPr>
                <w:b/>
                <w:i/>
              </w:rPr>
              <w:t>naléhavě vyzývá Výbor, aby prozkoumal společné iniciativy s výbory REGI a ENVI Evropského parlamentu na podporu udržitelných regionálních investic;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45a.</w:t>
            </w:r>
            <w:r>
              <w:tab/>
            </w:r>
            <w:r>
              <w:rPr>
                <w:b/>
                <w:i/>
              </w:rPr>
              <w:t>vítá přezkum dohody o spolupráci mezi Výborem a Parlamentem v roce 2023 za účelem jejího konečného podpisu v roce 2024;</w:t>
            </w:r>
            <w:r>
              <w:t xml:space="preserve"> </w:t>
            </w:r>
            <w:r>
              <w:rPr>
                <w:b/>
                <w:i/>
              </w:rPr>
              <w:t>podporuje spolupráci Výboru s několika parlamentními výbory, meziskupinami a generálními ředitelstvími Parlamentu a považuje za zásadní, aby členové Výboru a EHSV byli pravidelně a systematicky zváni na příslušné parlamentní výměny, včetně schůzí výborů, o otázkách, kterými se zabývají;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Virginie Joron, 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46.</w:t>
            </w:r>
            <w:r>
              <w:tab/>
            </w:r>
            <w:r>
              <w:t>konstatuje, že se komunikační činnosti Výboru zaměřují na vztahy s tiskem, pořádání akcí a digitální obsah a sociální sítě a jejich celkový rozpočet (prostředky v běžném roce) činil v roce 2023 asi 2,8 milionu EUR; vyjadřuje politování nad velmi nízkou mírou plnění plateb v těchto oblastech (v rozmezí od 24,70 % do 48,20 %); přesto konstatuje vysokou míru plnění, pokud jde o prostředky C8 (přenesené z roku 2022 do roku 2023) ve výši od 98 % do 100 %; žádá Výbor, aby přijal opatření ke zlepšení svého rozpočtového plánování, pokud jde o rozpočtové položky týkající se komunikace;</w:t>
            </w:r>
          </w:p>
        </w:tc>
        <w:tc>
          <w:tcPr>
            <w:tcW w:w="4876" w:type="dxa"/>
            <w:tcBorders>
              <w:top w:val="nil"/>
              <w:left w:val="nil"/>
              <w:bottom w:val="nil"/>
              <w:right w:val="nil"/>
            </w:tcBorders>
          </w:tcPr>
          <w:p>
            <w:pPr>
              <w:pStyle w:val="Normal6a"/>
            </w:pPr>
            <w:r>
              <w:t>46.</w:t>
            </w:r>
            <w:r>
              <w:tab/>
            </w:r>
            <w:r>
              <w:t xml:space="preserve">konstatuje, že se komunikační činnosti Výboru zaměřují na vztahy s tiskem, pořádání akcí a digitální obsah a sociální sítě a jejich </w:t>
            </w:r>
            <w:r>
              <w:rPr>
                <w:b/>
                <w:i/>
              </w:rPr>
              <w:t>velmi vysoký</w:t>
            </w:r>
            <w:r>
              <w:t xml:space="preserve"> celkový rozpočet (prostředky v běžném roce) činil v roce 2023 asi 2,8 milionu EUR; vyjadřuje politování nad velmi nízkou mírou plnění plateb v těchto oblastech (v rozmezí od 24,70 % do 48,20 %); přesto konstatuje vysokou míru plnění, pokud jde o prostředky C8 (přenesené z roku 2022 do roku 2023) ve výši od 98 % do 100 %; žádá Výbor, aby přijal opatření ke zlepšení svého rozpočtového plánování, pokud jde o rozpočtové položky týkající se komunikace;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46.</w:t>
            </w:r>
            <w:r>
              <w:tab/>
            </w:r>
            <w:r>
              <w:t xml:space="preserve">konstatuje, že se komunikační činnosti Výboru zaměřují na vztahy s tiskem, pořádání akcí a digitální obsah a sociální sítě a jejich celkový rozpočet (prostředky v běžném roce) činil v roce 2023 asi 2,8 milionu EUR; vyjadřuje politování nad velmi nízkou mírou plnění plateb v těchto oblastech (v rozmezí od 24,70 % do 48,20 %); přesto konstatuje vysokou míru plnění, pokud jde o prostředky C8 (přenesené z roku 2022 do roku 2023) ve výši od 98 % do 100 %; </w:t>
            </w:r>
            <w:r>
              <w:rPr>
                <w:b/>
                <w:i/>
              </w:rPr>
              <w:t>žádá</w:t>
            </w:r>
            <w:r>
              <w:t xml:space="preserve"> Výbor, aby přijal opatření ke zlepšení svého rozpočtového plánování, pokud jde o rozpočtové položky týkající se komunikace;</w:t>
            </w:r>
          </w:p>
        </w:tc>
        <w:tc>
          <w:tcPr>
            <w:tcW w:w="4876" w:type="dxa"/>
            <w:tcBorders>
              <w:top w:val="nil"/>
              <w:left w:val="nil"/>
              <w:bottom w:val="nil"/>
              <w:right w:val="nil"/>
            </w:tcBorders>
          </w:tcPr>
          <w:p>
            <w:pPr>
              <w:pStyle w:val="Normal6a"/>
            </w:pPr>
            <w:r>
              <w:t>46.</w:t>
            </w:r>
            <w:r>
              <w:tab/>
            </w:r>
            <w:r>
              <w:t xml:space="preserve">konstatuje, že se komunikační činnosti Výboru zaměřují na vztahy s tiskem, pořádání akcí a digitální obsah a sociální sítě a jejich celkový rozpočet (prostředky v běžném roce) činil v roce 2023 asi 2,8 milionu EUR; vyjadřuje politování nad velmi nízkou mírou plnění plateb v těchto oblastech (v rozmezí od 24,70 % do 48,20 %); přesto konstatuje vysokou míru plnění, pokud jde o prostředky C8 (přenesené z roku 2022 do roku 2023) ve výši od 98 % do 100 %; </w:t>
            </w:r>
            <w:r>
              <w:rPr>
                <w:b/>
                <w:i/>
              </w:rPr>
              <w:t>vyzývá</w:t>
            </w:r>
            <w:r>
              <w:t xml:space="preserve"> Výbor, aby přijal opatření ke zlepšení svého rozpočtového plánování, pokud jde o rozpočtové položky týkající se komunikace;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46a.</w:t>
            </w:r>
            <w:r>
              <w:tab/>
            </w:r>
            <w:r>
              <w:rPr>
                <w:b/>
                <w:i/>
              </w:rPr>
              <w:t>vyzývá tento orgán, aby se zdržel propagace, šíření a podpory ideologie rovnosti žen a mužů a ideologie „woke“ a aby dodržoval Smlouvu a její ustanovení a respektoval národní identitu členských států, která je vlastní jejich základním strukturám, historii, náboženství a tradicím;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Csaba Molnár, Claudiu Manda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47.</w:t>
            </w:r>
            <w:r>
              <w:tab/>
            </w:r>
            <w:r>
              <w:t>s uspokojením bere na vědomí úspěchy Výboru při prosazování politik a programů Unie na místní a regionální úrovni, zlepšení dosahu jejích poradních činností a zvýšení viditelnosti a dopadu Výboru; v této souvislosti bere na vědomí komunikační činnosti Výboru v roce 2023 v oblastech, jako je: – soudržnost (např. kampaň „Podpora soudržnosti jako jedné ze základních hodnot Unie“ v rámci Evropského týdne regionů a měst s více než 8 000 účastníky), – změna klimatu (např. kampaň „Budování odolných a inovativních místních komunit“), – demokracie (např. kampaň „Nová kapitola pro demokracii v EU“ s 1 400 registracemi pro účast na 14. konferenci EuropCom), – rozvoj venkova (např. konference „Evropský kongres LEADER 2023“) v roce 2023; chválí Výbor za navýšení počtu osob registrovaných v Evropské síti regionálních a místních zastupitelů (z 2 307 v roce 2022 na 3 000 v roce 2023) a počtu účastníků programu pro mladé zvolené politiky (ze 775 v roce 2022 na 836 v roce 2023);</w:t>
            </w:r>
          </w:p>
        </w:tc>
        <w:tc>
          <w:tcPr>
            <w:tcW w:w="4876" w:type="dxa"/>
            <w:tcBorders>
              <w:top w:val="nil"/>
              <w:left w:val="nil"/>
              <w:bottom w:val="nil"/>
              <w:right w:val="nil"/>
            </w:tcBorders>
          </w:tcPr>
          <w:p>
            <w:pPr>
              <w:pStyle w:val="Normal6a"/>
            </w:pPr>
            <w:r>
              <w:t>47.</w:t>
            </w:r>
            <w:r>
              <w:tab/>
            </w:r>
            <w:r>
              <w:t xml:space="preserve">s uspokojením bere na vědomí úspěchy Výboru při prosazování politik a programů Unie na místní a regionální úrovni, zlepšení dosahu jejích poradních činností a zvýšení viditelnosti a dopadu Výboru; </w:t>
            </w:r>
            <w:r>
              <w:rPr>
                <w:b/>
                <w:i/>
              </w:rPr>
              <w:t>konstatuje, že cílem komunikační strategie Výboru je posílit jeho institucionální a politický profil jakožto hlas regionů, měst, vesnic a obcí Unie a zároveň ukázat zásadní přínos jeho členů k propojení politik Unie s občany a k podpoře zapojení na místní a regionální úrovni;</w:t>
            </w:r>
            <w:r>
              <w:t xml:space="preserve"> v této souvislosti bere na vědomí komunikační činnosti Výboru v roce 2023 v oblastech, jako je: – soudržnost (např. kampaň „Podpora soudržnosti jako jedné ze základních hodnot Unie“ v rámci Evropského týdne regionů a měst s více než 8 000 účastníky), – změna klimatu (např. kampaň „Budování odolných a inovativních místních komunit“), – demokracie (např. kampaň „Nová kapitola pro demokracii v EU“ s 1 400 registracemi pro účast na 14. konferenci EuropCom), – rozvoj venkova (např. konference „Evropský kongres LEADER 2023“) v roce 2023; chválí Výbor za navýšení počtu osob registrovaných v Evropské síti regionálních a místních zastupitelů (z 2 307 v roce 2022 na 3 000 v roce 2023) a počtu účastníků programu pro mladé zvolené politiky (ze 775 v roce 2022 na 836 v roce 2023);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{Greens/EFA}</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47a.</w:t>
            </w:r>
            <w:r>
              <w:tab/>
            </w:r>
            <w:r>
              <w:rPr>
                <w:b/>
                <w:i/>
              </w:rPr>
              <w:t>vítá úsilí Výboru o větší oslovení regionálních orgánů a místních komunit, včetně rozšíření sítě regionálních a místních zastupitelů odpovědných za unijní záležitosti a program pro mladé zvolené politiky;</w:t>
            </w:r>
            <w:r>
              <w:t xml:space="preserve"> </w:t>
            </w:r>
            <w:r>
              <w:rPr>
                <w:b/>
                <w:i/>
              </w:rPr>
              <w:t>vyzývá Výbor, aby vyčlenil dodatečné zdroje na podporu regionálních programů budování kapacit, které místním samosprávám umožní lépe provádět politiky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Virginie Joron,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48.</w:t>
            </w:r>
            <w:r>
              <w:tab/>
            </w:r>
            <w:r>
              <w:t xml:space="preserve">bere na vědomí </w:t>
            </w:r>
            <w:r>
              <w:rPr>
                <w:b/>
                <w:i/>
              </w:rPr>
              <w:t>úspěch</w:t>
            </w:r>
            <w:r>
              <w:t xml:space="preserve"> Výboru, pokud jde o komunikaci prostřednictvím sdělovacích prostředků, jak dokládá celková metrika pro rok 2023, například: 13 210 zmínek ve sdělovacích prostředcích, nárůst počtu návštěvníků webových stránek o 129 % a nárůst počtu sledujících o 11 %; konstatuje, že z hlediska digitální komunikace Výbor nesplnil svůj cíl na rok 2023; konstatuje, že na konci roku 2023 měl Výbor 200 000 sledujících na kanálech sociálních sítí. tj. o 15 % více než v roce 2022, přičemž 57 603 sledujících (+5 %) měl na síti X (dříve Twitter), 61 170 (+5 %) na Facebooku, 68 613 (+31 %) na LinkedInu a 15 392 (+47 %) na Instagramu;</w:t>
            </w:r>
          </w:p>
        </w:tc>
        <w:tc>
          <w:tcPr>
            <w:tcW w:w="4876" w:type="dxa"/>
            <w:tcBorders>
              <w:top w:val="nil"/>
              <w:left w:val="nil"/>
              <w:bottom w:val="nil"/>
              <w:right w:val="nil"/>
            </w:tcBorders>
          </w:tcPr>
          <w:p>
            <w:pPr>
              <w:pStyle w:val="Normal6a"/>
            </w:pPr>
            <w:r>
              <w:t>48.</w:t>
            </w:r>
            <w:r>
              <w:tab/>
            </w:r>
            <w:r>
              <w:t xml:space="preserve">bere na vědomí </w:t>
            </w:r>
            <w:r>
              <w:rPr>
                <w:b/>
                <w:i/>
              </w:rPr>
              <w:t>relativní neúspěch</w:t>
            </w:r>
            <w:r>
              <w:t xml:space="preserve"> Výboru, pokud jde o komunikaci prostřednictvím sdělovacích prostředků, jak dokládá celková metrika pro rok 2023, například:13 210 zmínek ve sdělovacích prostředcích, nárůst počtu návštěvníků webových stránek o 129 % a nárůst počtu sledujících o 11 %; konstatuje, že z hlediska digitální komunikace Výbor nesplnil svůj cíl na rok 2023; konstatuje, že na konci roku 2023 měl Výbor 200 000 sledujících na kanálech sociálních sítí. tj. o 15 % více než v roce 2022, přičemž 57 603 sledujících (+5 %) měl na síti X (dříve Twitter), 61 170 (+5 %) na Facebooku, 68 613 (+31 %) na LinkedInu a 15 392 (+47 %) na Instagramu;</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49a.</w:t>
            </w:r>
            <w:r>
              <w:tab/>
            </w:r>
            <w:r>
              <w:rPr>
                <w:b/>
                <w:i/>
              </w:rPr>
              <w:t>v zájmu posílení finanční udržitelnosti a nezávislosti Výboru regionů navrhuje, aby poradní orgán přešel na soběstačný model financování založený na poplatcích za předplatné;</w:t>
            </w:r>
            <w:r>
              <w:t xml:space="preserve"> </w:t>
            </w:r>
            <w:r>
              <w:rPr>
                <w:b/>
                <w:i/>
              </w:rPr>
              <w:t>tyto poplatky budou vybírány od řady zúčastněných stran, včetně místních a regionálních orgánů (tj. regionů, krajů, provincií, obcí a měst), a dalších subjektů, které se aktivně podílejí na činnosti Výboru;</w:t>
            </w:r>
            <w:r>
              <w:t xml:space="preserve"> </w:t>
            </w:r>
            <w:r>
              <w:rPr>
                <w:b/>
                <w:i/>
              </w:rPr>
              <w:t>struktura poplatků bude odstupňována tak, aby sazby odrážely velikost a úroveň zapojení signatářských subjektů;</w:t>
            </w:r>
            <w:r>
              <w:t xml:space="preserve"> </w:t>
            </w:r>
            <w:r>
              <w:rPr>
                <w:b/>
                <w:i/>
              </w:rPr>
              <w:t>získané příjmy budou použity výhradně na provozní náklady a výroční finanční zprávy zajistí transparentnost při využívání finančních prostředků;</w:t>
            </w:r>
            <w:r>
              <w:t xml:space="preserve"> </w:t>
            </w:r>
            <w:r>
              <w:rPr>
                <w:b/>
                <w:i/>
              </w:rPr>
              <w:t>očekává se, že pozvolné zavádění tohoto modelu postupně sníží závislost na souhrnném rozpočtu EU, přičemž cílem by mělo být dosažení plné soběstačnosti do roku 2028;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768.129</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40</w:t>
    </w:r>
    <w:r>
      <w:fldChar w:fldCharType="end"/>
    </w:r>
    <w:r>
      <w:t>/</w:t>
    </w:r>
    <w:r>
      <w:fldChar w:fldCharType="begin"/>
    </w:r>
    <w:r>
      <w:instrText xml:space="preserve"> NUMPAGES </w:instrText>
    </w:r>
    <w:r>
      <w:fldChar w:fldCharType="separate"/>
    </w:r>
    <w:r>
      <w:t>40</w:t>
    </w:r>
    <w:r>
      <w:fldChar w:fldCharType="end"/>
    </w:r>
    <w:r>
      <w:tab/>
    </w:r>
    <w:r>
      <w:rPr>
        <w:rStyle w:val="HideTWBExt"/>
      </w:rPr>
      <w:t>&lt;PathFdR&gt;</w:t>
    </w:r>
    <w:r>
      <w:t>AM\1314479CS.docx</w:t>
    </w:r>
    <w:r>
      <w:rPr>
        <w:rStyle w:val="HideTWBExt"/>
      </w:rPr>
      <w:t>&lt;/PathFdR&gt;</w:t>
    </w:r>
  </w:p>
  <w:p>
    <w:pPr>
      <w:pStyle w:val="EPFooter2"/>
    </w:pPr>
    <w:r>
      <w:t>CS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AM\1314479CS.docx</w:t>
    </w:r>
    <w:r>
      <w:rPr>
        <w:rStyle w:val="HideTWBExt"/>
      </w:rPr>
      <w:t>&lt;/PathFdR&gt;</w:t>
    </w:r>
    <w:r>
      <w:tab/>
    </w:r>
    <w:r>
      <w:fldChar w:fldCharType="begin"/>
    </w:r>
    <w:r>
      <w:instrText xml:space="preserve"> PAGE </w:instrText>
    </w:r>
    <w:r>
      <w:fldChar w:fldCharType="separate"/>
    </w:r>
    <w:r>
      <w:t>39</w:t>
    </w:r>
    <w:r>
      <w:fldChar w:fldCharType="end"/>
    </w:r>
    <w:r>
      <w:t>/</w:t>
    </w:r>
    <w:r>
      <w:fldChar w:fldCharType="begin"/>
    </w:r>
    <w:r>
      <w:instrText xml:space="preserve"> NUMPAGES </w:instrText>
    </w:r>
    <w:r>
      <w:fldChar w:fldCharType="separate"/>
    </w:r>
    <w:r>
      <w:t>40</w:t>
    </w:r>
    <w:r>
      <w:fldChar w:fldCharType="end"/>
    </w:r>
    <w:r>
      <w:tab/>
    </w:r>
    <w:r>
      <w:t>PE</w:t>
    </w:r>
    <w:r>
      <w:rPr>
        <w:rStyle w:val="HideTWBExt"/>
      </w:rPr>
      <w:t>&lt;NoPE&gt;</w:t>
    </w:r>
    <w:r>
      <w:t>768.129</w:t>
    </w:r>
    <w:r>
      <w:rPr>
        <w:rStyle w:val="HideTWBExt"/>
      </w:rPr>
      <w:t>&lt;/NoPE&gt;</w:t>
    </w:r>
    <w:r>
      <w:rPr>
        <w:rStyle w:val="HideTWBExt"/>
      </w:rPr>
      <w:t>&lt;Version&gt;</w:t>
    </w:r>
    <w:r>
      <w:t>v01-00</w:t>
    </w:r>
    <w:r>
      <w:rPr>
        <w:rStyle w:val="HideTWBExt"/>
      </w:rPr>
      <w:t>&lt;/Version&gt;</w:t>
    </w:r>
  </w:p>
  <w:p>
    <w:pPr>
      <w:pStyle w:val="EPFooter2"/>
    </w:pPr>
    <w:r>
      <w:tab/>
    </w:r>
    <w:r>
      <w:tab/>
    </w:r>
    <w:r>
      <w:t>CS</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AM\1314479CS.docx</w:t>
    </w:r>
    <w:r>
      <w:rPr>
        <w:rStyle w:val="HideTWBExt"/>
      </w:rPr>
      <w:t>&lt;/PathFdR&gt;</w:t>
    </w:r>
    <w:r>
      <w:tab/>
    </w:r>
    <w:r>
      <w:tab/>
    </w:r>
    <w:r>
      <w:t>PE</w:t>
    </w:r>
    <w:r>
      <w:rPr>
        <w:rStyle w:val="HideTWBExt"/>
      </w:rPr>
      <w:t>&lt;NoPE&gt;</w:t>
    </w:r>
    <w:r>
      <w:t>768.129</w:t>
    </w:r>
    <w:r>
      <w:rPr>
        <w:rStyle w:val="HideTWBExt"/>
      </w:rPr>
      <w:t>&lt;/NoPE&gt;</w:t>
    </w:r>
    <w:r>
      <w:rPr>
        <w:rStyle w:val="HideTWBExt"/>
      </w:rPr>
      <w:t>&lt;Version&gt;</w:t>
    </w:r>
    <w:r>
      <w:t>v01-00</w:t>
    </w:r>
    <w:r>
      <w:rPr>
        <w:rStyle w:val="HideTWBExt"/>
      </w:rPr>
      <w:t>&lt;/Version&gt;</w:t>
    </w:r>
  </w:p>
  <w:p>
    <w:pPr>
      <w:pStyle w:val="EPFooter2"/>
    </w:pPr>
    <w:r>
      <w:t>CS</w:t>
    </w:r>
    <w:r>
      <w:tab/>
    </w:r>
    <w:r>
      <w:rPr>
        <w:rStyle w:val="EPFooter2Motto"/>
      </w:rPr>
      <w:t>Jednotná v rozmanitosti</w:t>
    </w:r>
    <w:r>
      <w:tab/>
    </w:r>
    <w:r>
      <w:t>CS</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paragraph" w:customStyle="1" w:styleId="NormalBold">
    <w:name w:val="NormalBold"/>
    <w:basedOn w:val="Normal"/>
    <w:pPr>
      <w:widowControl w:val="0"/>
    </w:pPr>
    <w:rPr>
      <w:b/>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olumnHeading">
    <w:name w:val="AmColumnHeading"/>
    <w:basedOn w:val="Normal"/>
    <w:pPr>
      <w:widowControl w:val="0"/>
      <w:spacing w:after="240"/>
      <w:jc w:val="center"/>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40</Pages>
  <Words>10202</Words>
  <Characters>57520</Characters>
  <Application>Microsoft Office Word</Application>
  <DocSecurity>0</DocSecurity>
  <Lines>1</Lines>
  <Paragraphs>581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1314479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133095</vt:lpwstr>
  </property>
  <property fmtid="{D5CDD505-2E9C-101B-9397-08002B2CF9AE}" pid="7" name="dmxml.render.traceId">
    <vt:lpwstr>67bc2a11b5d88eec137d8a37f100e086</vt:lpwstr>
  </property>
  <property fmtid="{D5CDD505-2E9C-101B-9397-08002B2CF9AE}" pid="8" name="FooterPath">
    <vt:lpwstr>AM\1314479CS.docx</vt:lpwstr>
  </property>
  <property fmtid="{D5CDD505-2E9C-101B-9397-08002B2CF9AE}" pid="9" name="PE Number">
    <vt:lpwstr>768.129</vt:lpwstr>
  </property>
  <property fmtid="{D5CDD505-2E9C-101B-9397-08002B2CF9AE}" pid="10" name="UID">
    <vt:lpwstr>eu.europa.europarl-DIN1-2025-0000018465_01.00-cs-01.00_text-xml</vt:lpwstr>
  </property>
</Properties>
</file>