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Επιτροπή Ελέγχου του Προϋπολογισμού</w:t>
      </w:r>
      <w:r>
        <w:rPr>
          <w:rStyle w:val="HideTWBExt"/>
        </w:rPr>
        <w:t>&lt;/Commission&gt;</w:t>
      </w:r>
    </w:p>
    <w:p>
      <w:pPr>
        <w:pStyle w:val="LineBottom"/>
      </w:pPr>
      <w:r>
        <w:t xml:space="preserve"> </w:t>
      </w:r>
    </w:p>
    <w:p>
      <w:pPr>
        <w:pStyle w:val="CoverReference"/>
      </w:pPr>
      <w:r>
        <w:rPr>
          <w:rStyle w:val="HideTWBExt"/>
        </w:rPr>
        <w:t>&lt;RefProc&gt;</w:t>
      </w:r>
      <w:r>
        <w:t>2024/2026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65</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(PE764.992v01-00)</w:t>
      </w:r>
      <w:r>
        <w:rPr>
          <w:rStyle w:val="HideTWBExt"/>
        </w:rPr>
        <w:t>&lt;/DocRefPE&gt;</w:t>
      </w:r>
    </w:p>
    <w:p>
      <w:pPr>
        <w:pStyle w:val="CoverNormal"/>
      </w:pPr>
      <w:r>
        <w:rPr>
          <w:rStyle w:val="HideTWBExt"/>
        </w:rPr>
        <w:t>&lt;Titre&gt;</w:t>
      </w:r>
      <w:r>
        <w:t>Απαλλαγή 2023: Γενικός προϋπολογισμός της ΕΕ – Επιτροπή των Περιφερειών</w:t>
      </w:r>
      <w:r>
        <w:rPr>
          <w:rStyle w:val="HideTWBExt"/>
        </w:rPr>
        <w:t>&lt;/Titre&gt;</w:t>
      </w:r>
    </w:p>
    <w:p>
      <w:pPr>
        <w:pStyle w:val="CoverNormal24a"/>
      </w:pPr>
      <w:r>
        <w:rPr>
          <w:rStyle w:val="HideTWBExt"/>
        </w:rPr>
        <w:t>&lt;DocRef&gt;</w:t>
      </w:r>
      <w:r>
        <w:t>(2024/2026(DEC))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η Επιτροπή των Περιφερειών (η «ΕτΠ») είναι μια πολιτική συνέλευση 329 μελών που εκλέγονται στις περιφέρειες, τις πόλεις, τα χωριά και τους δήμους των 27 κρατών μελών της Ένωσης, και λειτουργεί ως συμβουλευτικό όργανο για τα θεσμικά όργανα της Ένωσης έχοντας ως αποστολή να συμβάλλει στις διαδικασίες διαμόρφωσης πολιτικής και λήψης αποφάσεων της Ένωσης από τη σκοπιά των τοπικών και των περιφερειακών αρχών</w:t>
            </w:r>
            <w:r>
              <w:rPr>
                <w:b/>
                <w:i/>
              </w:rPr>
              <w:t>, συμβάλλοντας παράλληλα στο να καταστεί η Ένωση πιο αποτελεσματική και πιο προσιτή στους πολίτες</w:t>
            </w:r>
            <w:r>
              <w:t>·</w:t>
            </w:r>
          </w:p>
        </w:tc>
        <w:tc>
          <w:tcPr>
            <w:tcW w:w="4876" w:type="dxa"/>
            <w:tcBorders>
              <w:top w:val="nil"/>
              <w:left w:val="nil"/>
              <w:bottom w:val="nil"/>
              <w:right w:val="nil"/>
            </w:tcBorders>
          </w:tcPr>
          <w:p>
            <w:pPr>
              <w:pStyle w:val="Normal6a"/>
            </w:pPr>
            <w:r>
              <w:t>Β.</w:t>
            </w:r>
            <w:r>
              <w:tab/>
            </w:r>
            <w:r>
              <w:t>λαμβάνοντας υπόψη ότι η Επιτροπή των Περιφερειών (η «ΕτΠ») είναι μια πολιτική συνέλευση 329 μελών που εκλέγονται στις περιφέρειες, τις πόλεις, τα χωριά και τους δήμους των 27 κρατών μελών της Ένωσης, και λειτουργεί ως συμβουλευτικό όργανο για τα θεσμικά όργανα της Ένωσης έχοντας ως αποστολή να συμβάλλει στις διαδικασίες διαμόρφωσης πολιτικής και λήψης αποφάσεων της Ένωσης από τη σκοπιά των τοπικών και των περιφερειακών αρχών·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 Claudiu Manda,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λαμβάνοντας υπόψη ότι ο κανονισμός (ΕΕ) 2021/1060</w:t>
            </w:r>
            <w:r>
              <w:rPr>
                <w:vertAlign w:val="superscript"/>
              </w:rPr>
              <w:t>2</w:t>
            </w:r>
            <w:r>
              <w:t>, που διέπει την πολιτική συνοχής της Ένωσης και τη χρηματοδότηση μεταξύ 2021 και 2027, ο οποίος τέθηκε σε ισχύ τον Ιούλιο του 2021, περιλαμβάνει αναφορές στην αρχή της εταιρικής σχέσης και της πολυεπίπεδης διακυβέρνησης, με την υποστήριξη της ΕτΠ και του Κοινοβουλίου και συνεπάγεται τη συμμετοχή των περιφερειών·</w:t>
            </w:r>
          </w:p>
        </w:tc>
        <w:tc>
          <w:tcPr>
            <w:tcW w:w="4876" w:type="dxa"/>
            <w:tcBorders>
              <w:top w:val="nil"/>
              <w:left w:val="nil"/>
              <w:bottom w:val="nil"/>
              <w:right w:val="nil"/>
            </w:tcBorders>
          </w:tcPr>
          <w:p>
            <w:pPr>
              <w:pStyle w:val="Normal6a"/>
            </w:pPr>
            <w:r>
              <w:t>Η.</w:t>
            </w:r>
            <w:r>
              <w:tab/>
            </w:r>
            <w:r>
              <w:t>λαμβάνοντας υπόψη ότι ο κανονισμός (ΕΕ) 2021/1060</w:t>
            </w:r>
            <w:r>
              <w:rPr>
                <w:vertAlign w:val="superscript"/>
              </w:rPr>
              <w:t>2</w:t>
            </w:r>
            <w:r>
              <w:t xml:space="preserve">, που διέπει την πολιτική συνοχής της Ένωσης και τη χρηματοδότηση μεταξύ 2021 και 2027, ο οποίος τέθηκε σε ισχύ τον Ιούλιο του 2021, περιλαμβάνει αναφορές στην αρχή της εταιρικής σχέσης και της πολυεπίπεδης διακυβέρνησης, με την υποστήριξη της ΕτΠ και του Κοινοβουλίου και συνεπάγεται τη συμμετοχή των περιφερειών </w:t>
            </w:r>
            <w:r>
              <w:rPr>
                <w:b/>
                <w:i/>
              </w:rPr>
              <w:t>και των αντίστοιχων τοπικών και περιφερειακών αρχών·</w:t>
            </w:r>
            <w:r>
              <w:t xml:space="preserve"> </w:t>
            </w:r>
            <w:r>
              <w:rPr>
                <w:b/>
                <w:i/>
              </w:rPr>
              <w:t>υποστηρίζει σθεναρά την ενίσχυση των επενδύσεων της ΕΕ που συνδέονται με την περιφερειακή και τοπική ανθεκτικότητα στο επόμενο πολυετές δημοσιονομικό πλαίσιο (ΠΔΠ)</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159, ELI: http://data.europa.eu/eli/reg/2021/1060/2024-06-30).</w:t>
            </w:r>
          </w:p>
        </w:tc>
        <w:tc>
          <w:tcPr>
            <w:tcW w:w="4876" w:type="dxa"/>
            <w:tcBorders>
              <w:top w:val="nil"/>
              <w:left w:val="nil"/>
              <w:bottom w:val="nil"/>
              <w:right w:val="nil"/>
            </w:tcBorders>
          </w:tcPr>
          <w:p>
            <w:pPr>
              <w:pStyle w:val="Normal6a"/>
            </w:pPr>
            <w:r>
              <w:rPr>
                <w:vertAlign w:val="superscript"/>
              </w:rPr>
              <w:t>2</w:t>
            </w:r>
            <w:r>
              <w:t xml:space="preserve"> </w:t>
            </w:r>
            <w: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159, ELI: http://data.europa.eu/eli/reg/2021/1060/2024-06-30).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τα πάνω από 400 εθνικά και περιφερειακά προγράμματα που εφαρμόζονται για την υλοποίηση της πολιτικής συνοχής της Ένωσης κατά την περίοδο προγραμματισμού 2021-2027 θα διαθέσουν περίπου 380 δισεκατομμύρια EUR, στο πλαίσιο διαφόρων ταμείων, για την αντιμετώπιση των οικονομικών, κοινωνικών και περιβαλλοντικών προκλήσεων που αντιμετωπίζουν οι περιφέρειες και οι </w:t>
            </w:r>
            <w:r>
              <w:rPr>
                <w:b/>
                <w:i/>
              </w:rPr>
              <w:t>πόλεις</w:t>
            </w:r>
            <w:r>
              <w:t xml:space="preserve"> της Ένωσης·</w:t>
            </w:r>
          </w:p>
        </w:tc>
        <w:tc>
          <w:tcPr>
            <w:tcW w:w="4876" w:type="dxa"/>
            <w:tcBorders>
              <w:top w:val="nil"/>
              <w:left w:val="nil"/>
              <w:bottom w:val="nil"/>
              <w:right w:val="nil"/>
            </w:tcBorders>
          </w:tcPr>
          <w:p>
            <w:pPr>
              <w:pStyle w:val="Normal6a"/>
            </w:pPr>
            <w:r>
              <w:t>Θ.</w:t>
            </w:r>
            <w:r>
              <w:tab/>
            </w:r>
            <w:r>
              <w:t>λαμβάνοντας υπόψη ότι τα πάνω από 400 εθνικά και περιφερειακά προγράμματα που εφαρμόζονται για την υλοποίηση της πολιτικής συνοχής της Ένωσης κατά την περίοδο προγραμματισμού 2021-2027 θα διαθέσουν περίπου 380 δισεκατομμύρια EUR, στο πλαίσιο διαφόρων ταμείων, για την αντιμετώπιση των οικονομικών, κοινωνικών και περιβαλλοντικών προκλήσεων που αντιμετωπίζουν οι περιφέρειες</w:t>
            </w:r>
            <w:r>
              <w:rPr>
                <w:b/>
                <w:i/>
              </w:rPr>
              <w:t>, οι πόλεις, τα χωριά</w:t>
            </w:r>
            <w:r>
              <w:t xml:space="preserve"> και οι </w:t>
            </w:r>
            <w:r>
              <w:rPr>
                <w:b/>
                <w:i/>
              </w:rPr>
              <w:t>δήμοι</w:t>
            </w:r>
            <w:r>
              <w:t xml:space="preserve">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w:t>
            </w:r>
            <w:r>
              <w:rPr>
                <w:b/>
                <w:i/>
              </w:rPr>
              <w:t>, με βάση την έκθεση</w:t>
            </w:r>
            <w:r>
              <w:t xml:space="preserve"> του Ελεγκτικού Συνεδρίου, τη γνώμη του σχετικά με πράξη που πραγματοποίησε η ΕτΠ το 2023, σύμφωνα με την οποία η 10ετής διάρκεια μιας σύμβασης συντήρησης κτιρίων δεν ήταν επαρκώς αιτιολογημένη·</w:t>
            </w:r>
          </w:p>
        </w:tc>
        <w:tc>
          <w:tcPr>
            <w:tcW w:w="4876" w:type="dxa"/>
            <w:tcBorders>
              <w:top w:val="nil"/>
              <w:left w:val="nil"/>
              <w:bottom w:val="nil"/>
              <w:right w:val="nil"/>
            </w:tcBorders>
          </w:tcPr>
          <w:p>
            <w:pPr>
              <w:pStyle w:val="Normal6a"/>
            </w:pPr>
            <w:r>
              <w:t>4.</w:t>
            </w:r>
            <w:r>
              <w:tab/>
            </w:r>
            <w:r>
              <w:t xml:space="preserve">σημειώνει </w:t>
            </w:r>
            <w:r>
              <w:rPr>
                <w:b/>
                <w:i/>
              </w:rPr>
              <w:t>με λύπη, βάσει της έκθεσης</w:t>
            </w:r>
            <w:r>
              <w:t xml:space="preserve"> του Ελεγκτικού Συνεδρίου, τη γνώμη του σχετικά με πράξη που πραγματοποίησε η ΕτΠ το 2023, σύμφωνα με την οποία η 10ετής διάρκεια μιας σύμβασης συντήρησης κτιρίων δεν ήταν επαρκώς αιτιολογημένη·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σημειώνει</w:t>
            </w:r>
            <w:r>
              <w:t xml:space="preserve"> την αύξηση κατά περίπου 20 % των πληρωμών που πραγματοποιήθηκαν για τα μέλη της ΕτΠ, από 6 573 307 EUR το 2022 σε 7 955 968 EUR το 2013, με πληρωμές για έξοδα ταξιδίου (8 119 πληρωμές), αποζημιώσεις ταξιδίου (4 449 πληρωμές), και αποζημιώσεις συνεδριάσεων για συμμετοχή διά ζώσης (7 845 πληρωμές) και εξ αποστάσεως (152 πληρωμές)·</w:t>
            </w:r>
          </w:p>
        </w:tc>
        <w:tc>
          <w:tcPr>
            <w:tcW w:w="4876" w:type="dxa"/>
            <w:tcBorders>
              <w:top w:val="nil"/>
              <w:left w:val="nil"/>
              <w:bottom w:val="nil"/>
              <w:right w:val="nil"/>
            </w:tcBorders>
          </w:tcPr>
          <w:p>
            <w:pPr>
              <w:pStyle w:val="Normal6a"/>
            </w:pPr>
            <w:r>
              <w:t>7.</w:t>
            </w:r>
            <w:r>
              <w:tab/>
            </w:r>
            <w:r>
              <w:rPr>
                <w:b/>
                <w:i/>
              </w:rPr>
              <w:t>εκφράζει τη λύπη του για</w:t>
            </w:r>
            <w:r>
              <w:t xml:space="preserve"> την αύξηση κατά περίπου 20 % των πληρωμών που πραγματοποιήθηκαν για τα μέλη της ΕτΠ, από 6 573 307 EUR το 2022 σε 7 955 968 EUR το 2013, με πληρωμές για έξοδα ταξιδίου (8 119 πληρωμές), αποζημιώσεις ταξιδίου (4 449 πληρωμές), και αποζημιώσεις συνεδριάσεων για συμμετοχή διά ζώσης (7 845 πληρωμές) και εξ αποστάσεως (152 πληρωμές)·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ότι ο προϋπολογισμός για τις αποστολές (πιστώσεις του τρέχοντος έτους) παρέμεινε σταθερός, με 420 833 EUR το 2023 (σε σύγκριση με 419 657 EUR το 2022) και ποσοστό εκτέλεσης περίπου 80 % το 2023 (παρόμοιο με το 2022)· σημειώνει ότι, παρά την αύξηση του μέσου κόστους διαμονής και ταξιδίου, ο προϋπολογισμός των αποστολών της ΕτΠ παρέμεινε σταθερός λόγω της μείωσης κατά 13 % του αριθμού των αποστολών που πραγματοποιήθηκαν το 2023 σε σύγκριση με το 2022·</w:t>
            </w:r>
          </w:p>
        </w:tc>
        <w:tc>
          <w:tcPr>
            <w:tcW w:w="4876" w:type="dxa"/>
            <w:tcBorders>
              <w:top w:val="nil"/>
              <w:left w:val="nil"/>
              <w:bottom w:val="nil"/>
              <w:right w:val="nil"/>
            </w:tcBorders>
          </w:tcPr>
          <w:p>
            <w:pPr>
              <w:pStyle w:val="Normal6a"/>
            </w:pPr>
            <w:r>
              <w:t>8.</w:t>
            </w:r>
            <w:r>
              <w:tab/>
            </w:r>
            <w:r>
              <w:t xml:space="preserve">σημειώνει ότι ο προϋπολογισμός για τις αποστολές (πιστώσεις του τρέχοντος έτους) παρέμεινε σταθερός, με 420 833 EUR το 2023 (σε σύγκριση με 419 657 EUR το 2022) και ποσοστό εκτέλεσης περίπου 80 % το 2023 (παρόμοιο με το 2022)· σημειώνει ότι, παρά την αύξηση του μέσου κόστους διαμονής και ταξιδίου, ο προϋπολογισμός των αποστολών της ΕτΠ παρέμεινε σταθερός λόγω της μείωσης κατά 13 % του αριθμού των αποστολών που πραγματοποιήθηκαν το 2023 σε σύγκριση με το 2022· </w:t>
            </w:r>
            <w:r>
              <w:rPr>
                <w:b/>
                <w:i/>
              </w:rPr>
              <w:t>εκφράζει την ικανοποίησή του για το γεγονός ότι τα έξοδα ταξιδίου και συνεδριάσεων της προεδρίας της ΕτΠ (πρόεδρος και 1ος αντιπρόεδρος), που χρηματοδοτούνται από τον γενικό προϋπολογισμό για τα έξοδα των μελών, μειώθηκαν από 71 810 EUR σε 62 268 EUR, ήτοι μείωση κατά 13 %, μεταξύ 2022 και 2023·</w:t>
            </w:r>
            <w:r>
              <w:t xml:space="preserve"> </w:t>
            </w:r>
            <w:r>
              <w:rPr>
                <w:b/>
                <w:i/>
              </w:rPr>
              <w:t>ενθαρρύνει την ΕτΠ να εξορθολογίσει περαιτέρω και να μειώσει τις δαπάνες στον τομέα αυτό, διασφαλίζοντας τη βέλτιστη κατανομή των πόρων σύμφωνα με τις αρχές της χρηστής δημοσιονομικής διαχείρισης·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παρατηρεί την αύξηση των πιστώσεων του τρέχοντος έτους για υπηρεσίες διερμηνείας κατά περίπου 19 %, από 3,494 εκατομμύρια EUR το 2022 σε 4,167 εκατομμύρια EUR το 2022· ζητεί από την ΕτΠ να εξηγήσει τους λόγους αυτής της αύξησης, δεδομένου ότι η ΕτΠ ανέφερε ταυτόχρονα ότι υπήρξε εξοικονόμηση σε σχέση με τη χρήση εξ αποστάσεως διερμηνείας το 2023·</w:t>
            </w:r>
          </w:p>
        </w:tc>
        <w:tc>
          <w:tcPr>
            <w:tcW w:w="4876" w:type="dxa"/>
            <w:tcBorders>
              <w:top w:val="nil"/>
              <w:left w:val="nil"/>
              <w:bottom w:val="nil"/>
              <w:right w:val="nil"/>
            </w:tcBorders>
          </w:tcPr>
          <w:p>
            <w:pPr>
              <w:pStyle w:val="Normal6a"/>
            </w:pPr>
            <w:r>
              <w:t>9.</w:t>
            </w:r>
            <w:r>
              <w:tab/>
            </w:r>
            <w:r>
              <w:t xml:space="preserve">παρατηρεί </w:t>
            </w:r>
            <w:r>
              <w:rPr>
                <w:b/>
                <w:i/>
              </w:rPr>
              <w:t>με ανησυχία</w:t>
            </w:r>
            <w:r>
              <w:t xml:space="preserve"> την αύξηση των πιστώσεων του τρέχοντος έτους για υπηρεσίες διερμηνείας κατά περίπου 19 %, από 3,494 εκατομμύρια EUR το 2022 σε 4,167 εκατομμύρια EUR το 2022· ζητεί από την ΕτΠ να εξηγήσει τους λόγους αυτής της αύξησης, δεδομένου ότι η ΕτΠ ανέφερε ταυτόχρονα ότι υπήρξε εξοικονόμηση σε σχέση με τη χρήση εξ αποστάσεως διερμηνείας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σημειώνει ότι, έως τις 23 Ιουλίου 2023, η κατ’ αποκοπή αποζημίωση εξ αποστάσεως συνεδριάσεων που καταβάλλει η ΕτΠ στα μέλη της, στους αναπληρωτές τους, καθώς και στους εμπειρογνώμονες των εισηγητών και στους ομιλητές που προσκαλούνται να συμμετάσχουν σε εξ αποστάσεως ή υβριδικές συνεδριάσεις ανερχόταν σε 200 EUR· σημειώνει περαιτέρω ότι, την ημερομηνία αυτή, τέθηκαν σε ισχύ νέοι σχετικοί κανόνες, οι οποίοι ορίζουν την κατ’ αποκοπή αποζημίωση εξ αποστάσεως συνεδριάσεων στο 50 % της τακτικής αποζημίωσης συνεδριάσεων, με τη δεύτερη αποζημίωση να ανέρχεται σε 359 EUR και την πρώτη σε 179,50 EUR· σημειώνει, στο πλαίσιο αυτό, τη σημαντική μείωση του συνολικού ποσού που καταβλήθηκε για αποζημιώσεις εξ αποστάσεως συνεδριάσεων από 1 742 000 EUR το 2021 και 489 600 EUR το 2022 σε 32 632 EUR το 2023, ενώ οι συνολικές δαπάνες που συνδέονται με τη γραμμή του προϋπολογισμού 1004 («Έξοδα ταξιδίου και διαμονής για συνεδριάσεις και προσκλήσεις και συναφή έξοδα») αυξήθηκαν σημαντικά από περίπου 6,6 εκατομμύρια EUR το 2022 σε περίπου 8 εκατομμύρια EUR το 2023, κυρίως λόγω της ισχυρής τάσης για επιστροφή στις συνεδριάσεις διά ζώσης το 2023 και της αύξησης των τιμών που σχετίζονται με τα ταξίδια μετά την πανδημία COVID-19·</w:t>
            </w:r>
          </w:p>
        </w:tc>
        <w:tc>
          <w:tcPr>
            <w:tcW w:w="4876" w:type="dxa"/>
            <w:tcBorders>
              <w:top w:val="nil"/>
              <w:left w:val="nil"/>
              <w:bottom w:val="nil"/>
              <w:right w:val="nil"/>
            </w:tcBorders>
          </w:tcPr>
          <w:p>
            <w:pPr>
              <w:pStyle w:val="Normal6a"/>
            </w:pPr>
            <w:r>
              <w:t>10.</w:t>
            </w:r>
            <w:r>
              <w:tab/>
            </w:r>
            <w:r>
              <w:t xml:space="preserve">σημειώνει ότι, έως τις 23 Ιουλίου 2023, η κατ’ αποκοπή αποζημίωση εξ αποστάσεως συνεδριάσεων που καταβάλλει η ΕτΠ στα μέλη της, στους αναπληρωτές τους, καθώς και στους εμπειρογνώμονες των εισηγητών και στους ομιλητές που προσκαλούνται να συμμετάσχουν σε εξ αποστάσεως ή υβριδικές συνεδριάσεις ανερχόταν σε 200 EUR· σημειώνει περαιτέρω ότι, την ημερομηνία αυτή, τέθηκαν σε ισχύ νέοι σχετικοί κανόνες, οι οποίοι ορίζουν την κατ’ αποκοπή αποζημίωση εξ αποστάσεως συνεδριάσεων στο 50 % της τακτικής αποζημίωσης συνεδριάσεων, με τη δεύτερη αποζημίωση να ανέρχεται σε 359 EUR και την πρώτη σε 179,50 EUR· </w:t>
            </w:r>
            <w:r>
              <w:rPr>
                <w:b/>
                <w:i/>
              </w:rPr>
              <w:t>θεωρεί ότι, παρά το γεγονός ότι η εξ αποστάσεως συμμετοχή αποτελεί σημαντικό μέσο για τα σύγχρονα θεσμικά όργανα, δεδομένου ότι, μεταξύ άλλων, μειώνει το κόστος των συνεδριάσεων και επιτρέπει ευρύτερη συμμετοχή, η χορήγηση αποζημίωση για εξ αποστάσεως συμμετοχή σε συνεδριάσεις, ακόμη και αυτή αν μειωθεί και προορίζεται μόνο για ορισμένα είδη εκδηλώσεων, είναι δυσερμήνευτη για το κοινό, ειδικά μάλιστα εάν ληφθεί υπόψη η διαφορά στα ποσά που καταβάλλονται στα μέλη της ΕτΠ και στα μέλη της ΕΟΚΕ για την εξ αποστάσεως συμμετοχή·</w:t>
            </w:r>
            <w:r>
              <w:t xml:space="preserve"> σημειώνει, στο πλαίσιο αυτό, τη σημαντική μείωση του συνολικού ποσού που καταβλήθηκε για αποζημιώσεις εξ αποστάσεως συνεδριάσεων από 1 742 000 EUR το 2021 και 489 600 EUR το 2022 σε 32 632 EUR το 2023, ενώ οι συνολικές δαπάνες που συνδέονται με τη γραμμή του προϋπολογισμού 1004 («Έξοδα ταξιδίου και διαμονής για συνεδριάσεις και προσκλήσεις και συναφή έξοδα») αυξήθηκαν σημαντικά από περίπου 6,6 εκατομμύρια EUR το 2022 σε περίπου 8 εκατομμύρια EUR το 2023, κυρίως λόγω της ισχυρής τάσης για επιστροφή στις συνεδριάσεις διά ζώσης το 2023 και της αύξησης των τιμών που σχετίζονται με τα ταξίδια μετά την πανδημία COVID-19·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εκφράζει την ανησυχία του για τη σημαντική αύξηση των αποζημιώσεων ταξιδίου και συνεδριάσεων που καταβάλλονται στα μέλη της ΕτΠ, από 6,6 εκατομμύρια EUR το 2022 σε 8 εκατομμύρια EUR το 2023·</w:t>
            </w:r>
            <w:r>
              <w:t xml:space="preserve"> </w:t>
            </w:r>
            <w:r>
              <w:rPr>
                <w:b/>
                <w:i/>
              </w:rPr>
              <w:t>καλεί την ΕτΠ να εγκρίνει μια σαφή στρατηγική οικονομικής αποδοτικότητας για τα έξοδα ταξιδίου, με ενισχυμένη χρήσης της εξ αποστάσεως συμμετοχής και των υβριδικών συνεδριάσεων, προκειμένου να μειωθούν τα περιττά έξοδα και οι περιττές εκπομπές, αλλά παράλληλα να διατηρηθεί η συμμετοχή σε πολιτικές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11α.</w:t>
            </w:r>
            <w:r>
              <w:tab/>
            </w:r>
            <w:r>
              <w:rPr>
                <w:b/>
                <w:i/>
              </w:rPr>
              <w:t>υπενθυμίζει πως, σύμφωνα με τη Συνθήκη για την Ευρωπαϊκή Ένωση, η Ένωση και τα θεσμικά της όργανα σέβονται την ισότητα των κρατών μελών ενώπιον των Συνθηκών καθώς και την εθνική τους ταυτότητά, που είναι συμφυής με τη θεμελιώδη πολιτική και συνταγματική τους δομή, στην οποία συμπεριλαμβάνεται η περιφερειακή και τοπική αυτοδιοίκηση·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11β.</w:t>
            </w:r>
            <w:r>
              <w:tab/>
            </w:r>
            <w:r>
              <w:rPr>
                <w:b/>
                <w:i/>
              </w:rPr>
              <w:t>καλεί το θεσμικό όργανο να σέβεται πάντα την ισότητα των κρατών μελών και να τα μεταχειρίζεται ισότιμα, καθώς και να σέβεται την κυριαρχία και την εθνική τους ταυτότητα, που είναι συμφυείς με τη θεμελιώδη πολιτική και συνταγματική τους δομή, στην οποία συμπεριλαμβάνεται η περιφερειακή και τοπική αυτοδιοίκηση.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σημειώνει ότι, για το 2023, στο πλαίσιο του ετήσιου επιχειρησιακού σχεδίου της ΕτΠ, η υποβολή εκθέσεων σχετικά με τις επιδόσεις της βασίστηκε σε 25 στόχους, η επίτευξη των οποίων αξιολογήθηκε μέσω 80 ποσοτικών δεικτών, ενώ για τους περισσότερους από τους δείκτες αυτούς (περίπου 75 %) οι στόχοι επιτεύχθηκαν σε επίπεδο 90 % και άνω·</w:t>
            </w:r>
          </w:p>
        </w:tc>
        <w:tc>
          <w:tcPr>
            <w:tcW w:w="4876" w:type="dxa"/>
            <w:tcBorders>
              <w:top w:val="nil"/>
              <w:left w:val="nil"/>
              <w:bottom w:val="nil"/>
              <w:right w:val="nil"/>
            </w:tcBorders>
          </w:tcPr>
          <w:p>
            <w:pPr>
              <w:pStyle w:val="Normal6a"/>
            </w:pPr>
            <w:r>
              <w:t>12.</w:t>
            </w:r>
            <w:r>
              <w:tab/>
            </w:r>
            <w:r>
              <w:rPr>
                <w:b/>
                <w:i/>
              </w:rPr>
              <w:t>αναγνωρίζει ότι η ΕτΠ διαδραματίζει θεμελιώδη ρόλο με τη συμβολή της στις διαδικασίες χάραξης πολιτικής και λήψης αποφάσεων της Ένωσης, εκπροσωπώντας τα συμφέροντα των τοπικών και των περιφερειακών αρχών εντός της Ένωσης·</w:t>
            </w:r>
            <w:r>
              <w:t xml:space="preserve"> σημειώνει ότι, για το 2023, στο πλαίσιο του ετήσιου επιχειρησιακού σχεδίου της ΕτΠ, η υποβολή εκθέσεων σχετικά με τις επιδόσεις της βασίστηκε σε 25 στόχους, η επίτευξη των οποίων αξιολογήθηκε μέσω 80 ποσοτικών δεικτών, ενώ για τους περισσότερους από τους δείκτες αυτούς (περίπου 75 %) οι στόχοι επιτεύχθηκαν σε επίπεδο 90 % και άνω·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υπενθυμίζει ότι η ΕτΠ συμβάλλει στη διαδικασία διαμόρφωσης πολιτικής και λήψης αποφάσεων της Ένωσης από τη σκοπιά των περιφερειακών και τοπικών αρχών στην Ένωση και παρέχει ένα πλαίσιο που έχει ως στόχο να ενισχυθεί η συνεργασία μεταξύ του τοπικού, περιφερειακού, εθνικού και ευρωπαϊκού επιπέδου και να έρθει η Ευρώπη πιο κοντά στους πολίτες της·</w:t>
            </w:r>
            <w:r>
              <w:t xml:space="preserve"> </w:t>
            </w:r>
            <w:r>
              <w:rPr>
                <w:b/>
                <w:i/>
              </w:rPr>
              <w:t>εκφράζει τη λύπη του για το γεγονός ότι οι δημοσιονομικοί περιορισμοί έχουν υπονομεύσει την ικανότητα της ΕτΠ να επιτύχει πλήρως τον στόχο της να φέρει τους πολίτες πιο κοντά στην Ένωση, γεγονός που περιορίζει την προστιθέμενη αξία της ΕτΠ·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υπενθυμίζει ότι, σύμφωνα με τη Συνθήκη για την Ευρωπαϊκή Ένωση, στόχος της ΕΕ και των θεσμικών της οργάνων είναι η προώθηση της ειρήνης, των αξιών της και της ευημερίας των λαών της, η διατήρηση της ειρήνης, η πρόληψη των συγκρούσεων και η ενίσχυση της διεθνούς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λαμβάνοντας υπόψη τον σημαντικό ρόλο της ΕτΠ στην ενίσχυση της δημοκρατικής νομιμότητας της νομοθεσίας της Ένωσης μέσω του ενεργού συντονισμού των περιφερειακών και τοπικών αρχών, υποστηρίζει την προσπάθειά της ΕτΠ να παράσχει περισσότερες εκτιμήσεις εδαφικού αντικτύπου (ΕΕΑ), σύμφωνα και με την τελική έκθεση και τις συστάσεις της Διάσκεψης για το μέλλον της Ευρώπης·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καλεί το θεσμικό όργανο να επιδείξει πλήρη αφοσίωση και να μεγιστοποιήσει τις προσπάθειές του με όλα τα διαθέσιμα μέσα και στοιχεία ενεργητικού του για την προώθηση της ειρήνης και τον τερματισμό του πολέμου στην Ουκρανία το συντομότερο δυνατόν, καθώς και για τη διατήρηση της ειρήνης και την ενίσχυση της ευρωπαϊκής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συγχαίρει την ΕτΠ για τα πολιτικά της επιτεύγματα στους βασικούς τομείς προτεραιότητάς της το 2023· σημειώνει ότι η ΕτΠ εκπληρώνει την αποστολή της εκφέροντας γνώμες οι οποίες αναφέρονται σε νομοθετικές προτάσεις της Επιτροπής (αιτήσεις γνώμης), γνώμες ιδίας πρωτοβουλίας με τις οποίες καλούνται τα θεσμικά όργανα της Ένωσης να αναλάβουν δράση, και εγκρίνοντας ψηφίσματα στα οποία επισημαίνονται οι θέσεις της ΕτΠ για συγκεκριμένα θέματα· σημειώνει ότι, το 2023, η ΕτΠ ενέκρινε 53 γνώμες και 6 ψηφίσματα, κάτι που συνιστά μείωση σε σχέση με τις 55 γνωμοδοτήσεις και τα 8 ψηφίσματα που εγκρίθηκαν το 2022·</w:t>
            </w:r>
          </w:p>
        </w:tc>
        <w:tc>
          <w:tcPr>
            <w:tcW w:w="4876" w:type="dxa"/>
            <w:tcBorders>
              <w:top w:val="nil"/>
              <w:left w:val="nil"/>
              <w:bottom w:val="nil"/>
              <w:right w:val="nil"/>
            </w:tcBorders>
          </w:tcPr>
          <w:p>
            <w:pPr>
              <w:pStyle w:val="Normal6a"/>
            </w:pPr>
            <w:r>
              <w:t>13.</w:t>
            </w:r>
            <w:r>
              <w:tab/>
            </w:r>
            <w:r>
              <w:t>συγχαίρει την ΕτΠ για τα πολιτικά της επιτεύγματα στους βασικούς τομείς προτεραιότητάς της το 2023· σημειώνει ότι η ΕτΠ εκπληρώνει την αποστολή της εκφέροντας γνώμες οι οποίες αναφέρονται σε νομοθετικές προτάσεις της Επιτροπής (αιτήσεις γνώμης), γνώμες ιδίας πρωτοβουλίας με τις οποίες καλούνται τα θεσμικά όργανα της Ένωσης να αναλάβουν δράση, και εγκρίνοντας ψηφίσματα στα οποία επισημαίνονται οι θέσεις της ΕτΠ για συγκεκριμένα θέματα· σημειώνει ότι, το 2023, η ΕτΠ ενέκρινε 53 γνώμες και 6 ψηφίσματα, κάτι που συνιστά μείωση σε σχέση με τις 55 γνωμοδοτήσεις και τα 8 ψηφίσματα που εγκρίθηκαν το 2022</w:t>
            </w:r>
            <w:r>
              <w:rPr>
                <w:b/>
                <w:i/>
              </w:rPr>
              <w:t>, παρά την αύξηση των πιστώσεων και του προσωπικού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ενθαρρύνει την ΕτΠ να συνεχίσει να εργάζεται για τη βελτίωση των επιδόσεων, καθώς και της αποτελεσματικότητας·</w:t>
            </w:r>
            <w:r>
              <w:t xml:space="preserve"> </w:t>
            </w:r>
            <w:r>
              <w:rPr>
                <w:b/>
                <w:i/>
              </w:rPr>
              <w:t>εκφράζει την ικανοποίησή του για τις προσπάθειες της ΕτΠ να εισαγάγει μεταρρυθμιστικές και καινοτόμες λύσεις, να εξορθολογίσει τη διοίκηση και να αποφύγει την αλληλεπικάλυψη ρόλων με άλλα όργανα·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ζητεί οι εκθέσεις της Επιτροπής των Περιφερειών να τίθενται στη διάθεση των βουλευτών και του κοινού από τη Γραμματεία του Ευρωπαϊκού Κοινοβουλίου, κατά τη διάρκεια των συζητήσεων και των ψηφοφοριών, στην εφαρμογή e-committee του Ευρωπαϊκού Κοινοβουλίου·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αναγνωρίζει τον αντίκτυπο του έργου της ΕτΠ, ιδίως των γνωμών της, ορισμένες από τις οποίες αποτυπώθηκαν σε ψηφίσματα, θέσεις, προτάσεις, εκθέσεις, επισκοπήσεις, συμπεράσματα ή τριμερείς διαλόγους της Επιτροπής, του Κοινοβουλίου ή του Συμβουλίου το 2023· καλεί την ΕτΠ να συνεχίσει να παρέχει χρήσιμα και συναφή στοιχεία, όπως επιτόπια δεδομένα και αναλύσεις, στα θεσμικά όργανα της Ένωσης και σε άλλους αποδέκτες των πολιτικών της Ένωσης· εκφράζει την ικανοποίησή του για την ενισχυμένη συμμετοχή της ΕτΠ σε ολόκληρο τον πολιτικό και νομοθετικό κύκλο της Ένωσης μέσω συμφωνιών συνεργασίας και σχεδίων δράσης με την Επιτροπή, το Κοινοβούλιο και την Ευρωπαϊκή Τράπεζα Επενδύσεων· σημειώνει ότι, το 2023, τα μέλη της ΕτΠ συναντήθηκαν επίσης με το Συμβούλιο και τις μόνιμες αντιπροσωπείες και συμμετείχαν στις εκδηλώσεις που διοργάνωσε η Προεδρία του Συμβουλίου, προκειμένου να διασφαλιστεί ότι οι θέσεις της ΕτΠ αντικατοπτρίζονται στη νομοθεσία της Ένωσης· συγχαίρει την ΕτΠ για την αυξημένη συμμετοχή της στους νομοθετικούς τριμερείς διαλόγους, ιδίως μέσω της απόκτησης πρόσβασης, για πρώτη φορά, σε έγγραφα των τριμερών διαλόγων το 2023·</w:t>
            </w:r>
          </w:p>
        </w:tc>
        <w:tc>
          <w:tcPr>
            <w:tcW w:w="4876" w:type="dxa"/>
            <w:tcBorders>
              <w:top w:val="nil"/>
              <w:left w:val="nil"/>
              <w:bottom w:val="nil"/>
              <w:right w:val="nil"/>
            </w:tcBorders>
          </w:tcPr>
          <w:p>
            <w:pPr>
              <w:pStyle w:val="Normal6a"/>
            </w:pPr>
            <w:r>
              <w:t>16.</w:t>
            </w:r>
            <w:r>
              <w:tab/>
            </w:r>
            <w:r>
              <w:t xml:space="preserve">αναγνωρίζει τον αντίκτυπο του έργου της ΕτΠ, ιδίως των γνωμών της, ορισμένες από τις οποίες αποτυπώθηκαν σε ψηφίσματα, θέσεις, προτάσεις, εκθέσεις, επισκοπήσεις, συμπεράσματα ή τριμερείς διαλόγους της Επιτροπής, του Κοινοβουλίου ή του Συμβουλίου το 2023· καλεί την ΕτΠ να συνεχίσει να παρέχει χρήσιμα και συναφή στοιχεία, όπως επιτόπια δεδομένα και αναλύσεις, στα θεσμικά όργανα της Ένωσης και σε άλλους αποδέκτες των πολιτικών της Ένωσης· εκφράζει την ικανοποίησή του για την ενισχυμένη συμμετοχή της ΕτΠ σε ολόκληρο τον πολιτικό και νομοθετικό κύκλο της Ένωσης μέσω συμφωνιών συνεργασίας και σχεδίων δράσης με την Επιτροπή, το Κοινοβούλιο και την Ευρωπαϊκή Τράπεζα Επενδύσεων· </w:t>
            </w:r>
            <w:r>
              <w:rPr>
                <w:b/>
                <w:i/>
              </w:rPr>
              <w:t>θεωρεί ότι μέλη της ΕτΠ και της ΕΟΚΕ θα πρέπει να προσκαλούνται σε σχετικές κοινοβουλευτικές συνεδριάσεις που αφορούν θέματα της αρμοδιότητάς τους·</w:t>
            </w:r>
            <w:r>
              <w:t xml:space="preserve"> σημειώνει ότι, το 2023, τα μέλη της ΕτΠ συναντήθηκαν επίσης με το Συμβούλιο και τις μόνιμες αντιπροσωπείες και συμμετείχαν στις εκδηλώσεις που διοργάνωσε η Προεδρία του Συμβουλίου, προκειμένου να διασφαλιστεί ότι οι θέσεις της ΕτΠ αντικατοπτρίζονται στη νομοθεσία της Ένωσης· συγχαίρει την ΕτΠ για την αυξημένη συμμετοχή της στους νομοθετικούς τριμερείς διαλόγους, ιδίως μέσω της απόκτησης πρόσβασης, για πρώτη φορά, σε έγγραφα των τριμερών διαλόγων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καλεί την ΕτΠ να διασφαλίσει μεγαλύτερη συμμετοχή των περιφερειακών και τοπικών αρχών στη διαδικασία λήψης αποφάσεων της ΕΕ μέσω της δημιουργίας μηχανισμών για δομημένη διαβούλευση με τις περιφερειακές και τοπικές αρχές, συμπεριλαμβανομένων των κοινοβουλίων, των δήμων και των τοπικών οργανώσεων της κοινωνίας των πολιτών, πριν από την έκδοση γνωμοδοτήσεων·</w:t>
            </w:r>
            <w:r>
              <w:t xml:space="preserve"> </w:t>
            </w:r>
            <w:r>
              <w:rPr>
                <w:b/>
                <w:i/>
              </w:rPr>
              <w:t>παροτρύνει την ΕτΠ να ταχθεί υπέρ της θέσπισης υποχρεωτικής διαδικασίας διαβούλευσης για νομοθετικά ζητήματα που επηρεάζουν σημαντικά την περιφερειακή ανάπτυξη και την πολιτική συνοχής·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σημειώνει ότι το 2023 ξεκίνησε μια διαδικασία συμμόρφωσης και αποτελεσματικότητας, με στόχο να αξιολογηθεί κατά πόσο η ΕτΠ συμμορφωνόταν προς επιλεγμένα πρότυπα εσωτερικού ελέγχου (ICS) και κατά πόσον η εφαρμογή τους ήταν αποτελεσματική·</w:t>
            </w:r>
            <w:r>
              <w:t xml:space="preserve"> </w:t>
            </w:r>
            <w:r>
              <w:rPr>
                <w:b/>
                <w:i/>
              </w:rPr>
              <w:t>σημειώνει ότι η διαδικασία έδειξε ότι η εφαρμογή και η αποτελεσματικότητα των απαιτήσεων των επιλεγμένων ICS είχαν ενισχυθεί σε σύγκριση με το 2022·</w:t>
            </w:r>
            <w:r>
              <w:t xml:space="preserve"> </w:t>
            </w:r>
            <w:r>
              <w:rPr>
                <w:b/>
                <w:i/>
              </w:rPr>
              <w:t>ενθαρρύνει την ΕτΠ να συνεχίσει τις προσπάθειές της για περαιτέρω ενίσχυση του επιπέδου συμμόρφωσης και του βαθμού αποτελεσματικότητας των ισχυόντων μέτρων εσωτερικού ελέγχου·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σημειώνει, όσον αφορά το νέο πλαίσιο εσωτερικού ελέγχου της, ότι η ΕτΠ εφάρμοσε νέα μεθοδολογία για τους εκ των υστέρων ελέγχους</w:t>
            </w:r>
            <w:r>
              <w:rPr>
                <w:b/>
                <w:i/>
              </w:rPr>
              <w:t>, η οποία</w:t>
            </w:r>
            <w:r>
              <w:t xml:space="preserve">, το 2023, </w:t>
            </w:r>
            <w:r>
              <w:rPr>
                <w:b/>
                <w:i/>
              </w:rPr>
              <w:t>επικεντρώθηκε</w:t>
            </w:r>
            <w:r>
              <w:t xml:space="preserve"> στον βασικό μισθό και στον χρόνο εργασίας, με 55 φακέλους να έχουν επαληθευτεί· σημειώνει περαιτέρω ότι το 2023 η ΕτΠ ανανέωσε τη διαδικασία συμμόρφωσης και αποτελεσματικότητάς της προκειμένου να αξιολογήσει τον βαθμό συμμόρφωσης της ΕτΠ με ορισμένα πρότυπα εσωτερικού ελέγχου και την αποτελεσματικότητα της εφαρμογής τους· συγχαίρει την ΕτΠ για τη βελτίωση που ανέφερε στον τομέα αυτό σε σύγκριση με τα αποτελέσματα της διαδικασίας του 2022· σημειώνει με ικανοποίηση, όσον αφορά τη νέα πολιτική για τις ευαίσθητες θέσεις, ότι το 2023 η ΕτΠ διεξήγαγε διαδικασία ελέγχου για να προσδιορίσει το επίπεδο κινδύνου κάθε θέσης και, κατ’ επέκταση, το επίπεδο ευαισθησίας της, καθώς και ότι η ΕτΠ εφάρμοσε τα αναγκαία μέτρα για τον μετριασμό των εν λόγω κινδύνων·</w:t>
            </w:r>
          </w:p>
        </w:tc>
        <w:tc>
          <w:tcPr>
            <w:tcW w:w="4876" w:type="dxa"/>
            <w:tcBorders>
              <w:top w:val="nil"/>
              <w:left w:val="nil"/>
              <w:bottom w:val="nil"/>
              <w:right w:val="nil"/>
            </w:tcBorders>
          </w:tcPr>
          <w:p>
            <w:pPr>
              <w:pStyle w:val="Normal6a"/>
            </w:pPr>
            <w:r>
              <w:t>17.</w:t>
            </w:r>
            <w:r>
              <w:tab/>
            </w:r>
            <w:r>
              <w:t xml:space="preserve">σημειώνει, όσον αφορά το νέο πλαίσιο εσωτερικού ελέγχου της, ότι η ΕτΠ εφάρμοσε νέα μεθοδολογία για τους εκ των υστέρων ελέγχους </w:t>
            </w:r>
            <w:r>
              <w:rPr>
                <w:b/>
                <w:i/>
              </w:rPr>
              <w:t>από το 2023, με στόχο την απλούστευση και την ευθυγράμμιση της προσέγγισης με την πρακτική των άλλων θεσμικών οργάνων της ΕΕ, καθώς οι εκ των υστέρων έλεγχοι είναι πλέον συγκεντρωμένοι σε αντίθεση με την προηγούμενη αποκεντρωμένη πρακτική·</w:t>
            </w:r>
            <w:r>
              <w:t xml:space="preserve"> </w:t>
            </w:r>
            <w:r>
              <w:rPr>
                <w:b/>
                <w:i/>
              </w:rPr>
              <w:t>σημειώνει ότι</w:t>
            </w:r>
            <w:r>
              <w:t xml:space="preserve">, το 2023, </w:t>
            </w:r>
            <w:r>
              <w:rPr>
                <w:b/>
                <w:i/>
              </w:rPr>
              <w:t>οι εκ των υστέρων έλεγχοι επικεντρώθηκαν</w:t>
            </w:r>
            <w:r>
              <w:t xml:space="preserve"> στον βασικό μισθό και στον χρόνο εργασίας, με 55 φακέλους να έχουν επαληθευτεί</w:t>
            </w:r>
            <w:r>
              <w:rPr>
                <w:b/>
                <w:i/>
              </w:rPr>
              <w:t>, και ότι η στατιστική εκτίμηση του σφάλματος που επηρέασε τον πληθυσμό αναφοράς ήταν 0 %</w:t>
            </w:r>
            <w:r>
              <w:t>· σημειώνει περαιτέρω ότι το 2023 η ΕτΠ ανανέωσε τη διαδικασία συμμόρφωσης και αποτελεσματικότητάς της προκειμένου να αξιολογήσει τον βαθμό συμμόρφωσης της ΕτΠ με ορισμένα πρότυπα εσωτερικού ελέγχου και την αποτελεσματικότητα της εφαρμογής τους· συγχαίρει την ΕτΠ για τη βελτίωση που ανέφερε στον τομέα αυτό σε σύγκριση με τα αποτελέσματα της διαδικασίας του 2022· σημειώνει με ικανοποίηση, όσον αφορά τη νέα πολιτική για τις ευαίσθητες θέσεις, ότι το 2023 η ΕτΠ διεξήγαγε διαδικασία ελέγχου για να προσδιορίσει το επίπεδο κινδύνου κάθε θέσης και, κατ’ επέκταση, το επίπεδο ευαισθησίας της, καθώς και ότι η ΕτΠ εφάρμοσε τα αναγκαία μέτρα για τον μετριασμό των εν λόγω κινδύνων·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σημειώνει ότι, στο τέλος του 2023, η ΕτΠ είχε συνολικά 559 μέλη προσωπικού (δεν περιλαμβάνονται αποσπασμένοι εθνικοί εμπειρογνώμονες, προσωρινοί εμπειρογνώμονες, εσωτερικοί εμπειρογνώμονες και ασκούμενοι), σε σύγκριση με 533 το 2022· σημειώνει ότι 74 συμβασιούχοι υπάλληλοι, σε σύγκριση με 56 συμβασιούχους υπαλλήλους το 2022, και 96 έκτακτοι υπάλληλοι, σε σύγκριση με 89 έκτακτους υπαλλήλους το 2022, απασχολούνταν από την ΕτΠ στο τέλος του 2023, εκ των οποίων 21 συμβασιούχοι υπάλληλοι είχαν σύμβαση αορίστου χρόνου, 53 συμβασιούχοι υπάλληλοι είχαν σύμβαση ορισμένου χρόνου, 53 έκτακτοι υπάλληλοι βρίσκονταν σε μόνιμες θέσεις με σύμβαση ορισμένου χρόνου, 50 έκτακτοι υπάλληλοι είχαν σύμβαση αορίστου χρόνου και 3 έκτακτοι υπάλληλοι απασχολούνταν σε έκτακτη θέση (σε δύο περιπτώσεις με σύμβαση αορίστου χρόνου και, στην περίπτωση του Γενικού Γραμματέα, για καθορισμένη διάρκεια πέντε ετών)· σημειώνει, επιπλέον, ότι η ΕτΠ απασχολούσε 5 προσωρινούς υπαλλήλους και 12 εξωτερικούς υπαλλήλους που εργάζονται επιτόπου, εξαιρουμένων των εξωτερικών παρόχων υπηρεσιών στους τομείς της υλικοτεχνικής υποστήριξης και της ΤΠ· σημειώνει ότι το 2023 το ποσοστό κάλυψης των θέσεων στον πίνακα προσωπικού ήταν 98 % (αύξηση από 96 % το 2022) και το ποσοστό εναλλαγής ήταν 6,6 % (μείωση από 10,80 % το 2022), αντίστοιχα·</w:t>
            </w:r>
          </w:p>
        </w:tc>
        <w:tc>
          <w:tcPr>
            <w:tcW w:w="4876" w:type="dxa"/>
            <w:tcBorders>
              <w:top w:val="nil"/>
              <w:left w:val="nil"/>
              <w:bottom w:val="nil"/>
              <w:right w:val="nil"/>
            </w:tcBorders>
          </w:tcPr>
          <w:p>
            <w:pPr>
              <w:pStyle w:val="Normal6a"/>
            </w:pPr>
            <w:r>
              <w:t>19.</w:t>
            </w:r>
            <w:r>
              <w:tab/>
            </w:r>
            <w:r>
              <w:t xml:space="preserve">σημειώνει ότι, στο τέλος του 2023, η ΕτΠ είχε συνολικά 559 μέλη προσωπικού (δεν περιλαμβάνονται αποσπασμένοι εθνικοί εμπειρογνώμονες, προσωρινοί εμπειρογνώμονες, εσωτερικοί εμπειρογνώμονες και ασκούμενοι), σε σύγκριση με 533 το 2022· σημειώνει ότι 74 συμβασιούχοι υπάλληλοι, σε σύγκριση με 56 συμβασιούχους υπαλλήλους το 2022, και 96 έκτακτοι υπάλληλοι, σε σύγκριση με 89 έκτακτους υπαλλήλους το 2022, απασχολούνταν από την ΕτΠ στο τέλος του 2023, εκ των οποίων 21 συμβασιούχοι υπάλληλοι είχαν σύμβαση αορίστου χρόνου, 53 συμβασιούχοι υπάλληλοι είχαν σύμβαση ορισμένου χρόνου, 53 έκτακτοι υπάλληλοι βρίσκονταν σε μόνιμες θέσεις με σύμβαση ορισμένου χρόνου, 50 έκτακτοι υπάλληλοι είχαν σύμβαση αορίστου χρόνου και 3 έκτακτοι υπάλληλοι απασχολούνταν σε έκτακτη θέση (σε δύο περιπτώσεις με σύμβαση αορίστου χρόνου και, στην περίπτωση του Γενικού Γραμματέα, για καθορισμένη διάρκεια πέντε ετών)· σημειώνει, επιπλέον, ότι η ΕτΠ απασχολούσε 5 προσωρινούς υπαλλήλους και 12 εξωτερικούς υπαλλήλους που εργάζονται επιτόπου, εξαιρουμένων των εξωτερικών παρόχων υπηρεσιών στους τομείς της υλικοτεχνικής υποστήριξης και της ΤΠ· </w:t>
            </w:r>
            <w:r>
              <w:rPr>
                <w:b/>
                <w:i/>
              </w:rPr>
              <w:t>ελπίζει ότι υπάρχει κάποια εύλογη αιτιολόγηση για αυτή την αύξηση προσωπικού·</w:t>
            </w:r>
            <w:r>
              <w:t xml:space="preserve"> σημειώνει ότι το 2023 το ποσοστό κάλυψης των θέσεων στον πίνακα προσωπικού ήταν 98 % (αύξηση από 96 % το 2022) και το ποσοστό εναλλαγής ήταν 6,6 % (μείωση από 10,80 % το 2022), αντίστοιχα·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υπενθυμίζει ότι, σύμφωνα με τη Συνθήκη για την Ευρωπαϊκή Ένωση, η ΕΕ και τα θεσμικά της όργανα προωθούν την αλληλεγγύη και την ισότητα μεταξύ γυναικών και ανδρών·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παρατηρεί ότι έχει αυξηθεί η εξάρτηση της ΕτΠ από συμβασιούχους και έκτακτους υπαλλήλους (οι οποίοι αντιπροσωπεύουν έως και το 26 % του προσωπικού της ΕτΠ)·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ΕτΠ· </w:t>
            </w:r>
            <w:r>
              <w:rPr>
                <w:b/>
                <w:i/>
              </w:rPr>
              <w:t>υποστηρίζει την ΕτΠ στις προσπάθειές της να αντιμετωπίσει τις προκλήσεις αυτές, για παράδειγμα με τη διοργάνωση εσωτερικών διαγωνισμών·</w:t>
            </w:r>
            <w:r>
              <w:t xml:space="preserve"> </w:t>
            </w:r>
            <w:r>
              <w:rPr>
                <w:b/>
                <w:i/>
              </w:rPr>
              <w:t>ζητεί από</w:t>
            </w:r>
            <w:r>
              <w:t xml:space="preserve"> την ΕτΠ να υποβάλει έκθεση στην αρμόδια για την απαλλαγή αρχή σχετικά με τους </w:t>
            </w:r>
            <w:r>
              <w:rPr>
                <w:b/>
                <w:i/>
              </w:rPr>
              <w:t>εν λόγω διαγωνισμούς</w:t>
            </w:r>
            <w:r>
              <w:t xml:space="preserve"> που διοργανώθηκαν το 2024·</w:t>
            </w:r>
          </w:p>
        </w:tc>
        <w:tc>
          <w:tcPr>
            <w:tcW w:w="4876" w:type="dxa"/>
            <w:tcBorders>
              <w:top w:val="nil"/>
              <w:left w:val="nil"/>
              <w:bottom w:val="nil"/>
              <w:right w:val="nil"/>
            </w:tcBorders>
          </w:tcPr>
          <w:p>
            <w:pPr>
              <w:pStyle w:val="Normal6a"/>
            </w:pPr>
            <w:r>
              <w:t>20.</w:t>
            </w:r>
            <w:r>
              <w:tab/>
            </w:r>
            <w:r>
              <w:t xml:space="preserve">παρατηρεί ότι έχει αυξηθεί η εξάρτηση της ΕτΠ από συμβασιούχους και έκτακτους υπαλλήλους (οι οποίοι αντιπροσωπεύουν έως και το 26 % του προσωπικού της ΕτΠ)·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ΕτΠ· </w:t>
            </w:r>
            <w:r>
              <w:rPr>
                <w:b/>
                <w:i/>
              </w:rPr>
              <w:t>καλεί</w:t>
            </w:r>
            <w:r>
              <w:t xml:space="preserve"> την ΕτΠ να υποβάλει έκθεση στην αρμόδια για την απαλλαγή αρχή σχετικά με τους </w:t>
            </w:r>
            <w:r>
              <w:rPr>
                <w:b/>
                <w:i/>
              </w:rPr>
              <w:t>διαγωνισμούς για συμβασιούχους, έκτακτους και μόνιμους υπαλλήλους</w:t>
            </w:r>
            <w:r>
              <w:t xml:space="preserve"> που διοργανώθηκαν το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παρατηρεί ότι έχει αυξηθεί η εξάρτηση της ΕτΠ από συμβασιούχους και έκτακτους υπαλλήλους (οι οποίοι αντιπροσωπεύουν έως και το 26 % του προσωπικού της ΕτΠ)·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ΕτΠ· υποστηρίζει την ΕτΠ στις προσπάθειές της να αντιμετωπίσει τις προκλήσεις αυτές, για παράδειγμα με τη διοργάνωση εσωτερικών διαγωνισμών· ζητεί από την ΕτΠ να υποβάλει έκθεση στην αρμόδια για την απαλλαγή αρχή σχετικά με τους εν λόγω διαγωνισμούς που διοργανώθηκαν το 2024·</w:t>
            </w:r>
          </w:p>
        </w:tc>
        <w:tc>
          <w:tcPr>
            <w:tcW w:w="4876" w:type="dxa"/>
            <w:tcBorders>
              <w:top w:val="nil"/>
              <w:left w:val="nil"/>
              <w:bottom w:val="nil"/>
              <w:right w:val="nil"/>
            </w:tcBorders>
          </w:tcPr>
          <w:p>
            <w:pPr>
              <w:pStyle w:val="Normal6a"/>
            </w:pPr>
            <w:r>
              <w:t>20.</w:t>
            </w:r>
            <w:r>
              <w:tab/>
            </w:r>
            <w:r>
              <w:t xml:space="preserve">παρατηρεί ότι έχει αυξηθεί η εξάρτηση της ΕτΠ από συμβασιούχους και έκτακτους υπαλλήλους (οι οποίοι αντιπροσωπεύουν έως και το 26 % του προσωπικού της ΕτΠ)·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ΕτΠ· </w:t>
            </w:r>
            <w:r>
              <w:rPr>
                <w:b/>
                <w:i/>
              </w:rPr>
              <w:t>υπογραμμίζει τη σημασία του μόνιμου προσωπικού για τη διατήρηση των δεξιοτήτων, της συνέχειας και ενός παραγωγικού εργασιακού περιβάλλοντος·</w:t>
            </w:r>
            <w:r>
              <w:t xml:space="preserve"> υποστηρίζει την ΕτΠ στις προσπάθειές της να αντιμετωπίσει τις προκλήσεις αυτές, για παράδειγμα με τη διοργάνωση εσωτερικών διαγωνισμών· ζητεί από την ΕτΠ να υποβάλει έκθεση στην αρμόδια για την απαλλαγή αρχή σχετικά με τους εν λόγω διαγωνισμούς που διοργανώθηκαν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παρατηρεί ότι έχει αυξηθεί η εξάρτηση της ΕτΠ από συμβασιούχους και έκτακτους υπαλλήλους (οι οποίοι αντιπροσωπεύουν έως και το 26 % του προσωπικού της ΕτΠ)·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ΕτΠ· υποστηρίζει την ΕτΠ στις προσπάθειές της να αντιμετωπίσει τις προκλήσεις αυτές</w:t>
            </w:r>
            <w:r>
              <w:rPr>
                <w:b/>
                <w:i/>
              </w:rPr>
              <w:t>, για παράδειγμα με τη διοργάνωση εσωτερικών διαγωνισμών</w:t>
            </w:r>
            <w:r>
              <w:t>· ζητεί από την ΕτΠ να υποβάλει έκθεση στην αρμόδια για την απαλλαγή αρχή σχετικά με τους εν λόγω διαγωνισμούς που διοργανώθηκαν το 2024·</w:t>
            </w:r>
          </w:p>
        </w:tc>
        <w:tc>
          <w:tcPr>
            <w:tcW w:w="4876" w:type="dxa"/>
            <w:tcBorders>
              <w:top w:val="nil"/>
              <w:left w:val="nil"/>
              <w:bottom w:val="nil"/>
              <w:right w:val="nil"/>
            </w:tcBorders>
          </w:tcPr>
          <w:p>
            <w:pPr>
              <w:pStyle w:val="Normal6a"/>
            </w:pPr>
            <w:r>
              <w:t>20.</w:t>
            </w:r>
            <w:r>
              <w:tab/>
            </w:r>
            <w:r>
              <w:t xml:space="preserve">παρατηρεί ότι έχει αυξηθεί η εξάρτηση της ΕτΠ από συμβασιούχους και έκτακτους υπαλλήλους (οι οποίοι αντιπροσωπεύουν έως και το 26 % του προσωπικού της ΕτΠ)·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ΕτΠ· </w:t>
            </w:r>
            <w:r>
              <w:rPr>
                <w:b/>
                <w:i/>
              </w:rPr>
              <w:t>σημειώνει ότι η ΕτΠ διοργάνωσε εσωτερικό διαγωνισμό για υπαλλήλους γενικών καθηκόντων σε πέντε βαθμούς (AST/SC1, AST1, AST3, AD5 και AD7) το 2024·</w:t>
            </w:r>
            <w:r>
              <w:t xml:space="preserve"> υποστηρίζει την ΕτΠ στις προσπάθειές της να αντιμετωπίσει τις προκλήσεις αυτές· ζητεί από την ΕτΠ να υποβάλει έκθεση στην αρμόδια για την απαλλαγή αρχή σχετικά με τους εν λόγω διαγωνισμούς που διοργανώθηκαν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σημειώνει ότι, στο τέλος του 2023, η ΕτΠ απασχολούσε 56,9 % γυναίκες και 43,1 % άνδρες·</w:t>
            </w:r>
            <w:r>
              <w:t xml:space="preserve"> </w:t>
            </w:r>
            <w:r>
              <w:rPr>
                <w:b/>
                <w:i/>
              </w:rPr>
              <w:t>συνιστά μέτρα για την ενίσχυση της συμπεριληπτικότητας στις προκηρύξεις κενών θέσεων και για την ενθάρρυνση της μεγαλύτερης συμμετοχής των γυναικών σε ανώτερες και μεσαίες διευθυντικές θέσεις, όπως η ισόρροπη εκπροσώπηση στις επιτροπές επιλογής, στοχευμένες ευκαιρίες κατάρτισης για γυναίκες που επιθυμούν να αναλάβουν διευθυντικές θέσεις, και η προώθηση πιο ευέλικτων ρυθμίσεων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εκφράζει τη λύπη του για το γεγονός ότι στις ηγετικές θέσεις της ΕτΠ δεν έχει ακόμη επιτευχθεί η ισότητα των φύλων·</w:t>
            </w:r>
            <w:r>
              <w:t xml:space="preserve"> </w:t>
            </w:r>
            <w:r>
              <w:rPr>
                <w:b/>
                <w:i/>
              </w:rPr>
              <w:t>καλεί την ΕτΠ να εγκρίνει δεσμευτικούς στόχους για την ισόρροπη εκπροσώπηση των φύλων σε επίπεδο ανώτερων διοικητικών στελεχών και να απαιτεί από τα κράτη μέλη να προτείνουν έναν υποψήφιο και μία υποψήφια για αυτούς τους διορισμούς στην ΕτΠ, ώστε να βελτιωθεί η εκπροσώπηση σε όλα τα επίπεδα·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20β.</w:t>
            </w:r>
            <w:r>
              <w:tab/>
            </w:r>
            <w:r>
              <w:rPr>
                <w:b/>
                <w:i/>
              </w:rPr>
              <w:t>χαιρετίζει τη νέα πενταετή στρατηγική για τη διαφορετικότητα και τη συμπερίληψη και το αντίστοιχο σχέδιο δράσης για την περίοδο 2022-2026, που ενέκρινε η ΕτΠ στις 7 Ιουλίου 2022·</w:t>
            </w:r>
            <w:r>
              <w:t xml:space="preserve"> </w:t>
            </w:r>
            <w:r>
              <w:rPr>
                <w:b/>
                <w:i/>
              </w:rPr>
              <w:t>αναγνωρίζει τη σημαντική πρόοδο που έχει επιτευχθεί στο πλαίσιο αυτό, συμπεριλαμβανομένης της σημαντικής αύξησης του ποσοστού των γυναικών σε ανώτερες διευθυντικές θέσεις από 37,5 % το 2022 σε 44,4 % το 2023·</w:t>
            </w:r>
            <w:r>
              <w:t xml:space="preserve"> </w:t>
            </w:r>
            <w:r>
              <w:rPr>
                <w:b/>
                <w:i/>
              </w:rPr>
              <w:t>ενθαρρύνει την ΕτΠ να συνεχίσει τις προσπάθειές της και υποστηρίζει τον απώτερο στόχο να επιτευχθεί ισόρροπη εκπροσώπηση των φύλων·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ότι, ως αποτέλεσμα ενός πιλοτικού έργου για ένα υβριδικό καθεστώς εργασίας και μιας έρευνας ικανοποίησης του προσωπικού που δρομολογήθηκε το 2022, η ΕτΠ ενέκρινε την 1η Ιανουαρίου 2024 απόφαση η οποία προβλέπει υβριδικό καθεστώς εργασίας και εξατομικευμένο εβδομαδιαίο πρόγραμμα εργασίας για κάθε μέλος του προσωπικού, καθώς και τη δυνατότητα να εργάζεται από το σπίτι για έως και το 60 % του χρόνου εργασίας του (εξαιρουμένων των κατηγοριών προσωπικού τα καθήκοντα των οποίων δεν συνάδουν με την τηλεργασία) και να εργάζεται, για έως και 15 ημέρες ετησίως, σε μέρος εκτός της πόλης στην οποία απασχολείται·</w:t>
            </w:r>
          </w:p>
        </w:tc>
        <w:tc>
          <w:tcPr>
            <w:tcW w:w="4876" w:type="dxa"/>
            <w:tcBorders>
              <w:top w:val="nil"/>
              <w:left w:val="nil"/>
              <w:bottom w:val="nil"/>
              <w:right w:val="nil"/>
            </w:tcBorders>
          </w:tcPr>
          <w:p>
            <w:pPr>
              <w:pStyle w:val="Normal6a"/>
            </w:pPr>
            <w:r>
              <w:t>21.</w:t>
            </w:r>
            <w:r>
              <w:tab/>
            </w:r>
            <w:r>
              <w:t xml:space="preserve">σημειώνει ότι, ως αποτέλεσμα ενός πιλοτικού έργου για ένα υβριδικό καθεστώς εργασίας και μιας έρευνας ικανοποίησης του προσωπικού που δρομολογήθηκε το 2022, η ΕτΠ ενέκρινε την 1η Ιανουαρίου 2024 απόφαση η οποία προβλέπει υβριδικό καθεστώς εργασίας και εξατομικευμένο εβδομαδιαίο πρόγραμμα εργασίας για κάθε μέλος του προσωπικού, καθώς και τη δυνατότητα να εργάζεται από το σπίτι για έως και το 60 % του χρόνου εργασίας του (εξαιρουμένων των κατηγοριών προσωπικού τα καθήκοντα των οποίων δεν συνάδουν με την τηλεργασία) και να εργάζεται, για έως και 15 ημέρες ετησίως, σε μέρος εκτός της πόλης στην οποία απασχολείται· </w:t>
            </w:r>
            <w:r>
              <w:rPr>
                <w:b/>
                <w:i/>
              </w:rPr>
              <w:t>αναγνωρίζει ότι τα μέτρα αυτά αποσκοπούν στην ενίσχυση της ισορροπίας μεταξύ επαγγελματικής και προσωπικής ζωής, διατηρώντας παράλληλα την επιχειρησιακή αποδοτικότητα και την ικανοποίηση του προσωπικού·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σημειώνει</w:t>
            </w:r>
            <w:r>
              <w:t xml:space="preserve"> ότι το 2023 αναφέρθηκαν στην ΕτΠ 18 περιπτώσεις επαγγελματικής εξουθένωσης </w:t>
            </w:r>
            <w:r>
              <w:rPr>
                <w:b/>
                <w:i/>
              </w:rPr>
              <w:t>(</w:t>
            </w:r>
            <w:r>
              <w:t xml:space="preserve">σε σύγκριση με 16 περιπτώσεις </w:t>
            </w:r>
            <w:r>
              <w:rPr>
                <w:b/>
                <w:i/>
              </w:rPr>
              <w:t>το 2023)</w:t>
            </w:r>
            <w:r>
              <w:t>· σημειώνει περαιτέρω ότι το 2023 η ΕτΠ κατόρθωσε να επανεντάξει 16 μέλη του προσωπικού μετά από μακροχρόνια απουσία ως αποτέλεσμα επαγγελματικής εξουθένωσης, χάρη σε εξατομικευμένη επακολούθηση μακροχρόνιας αναρρωτικής άδειας· επικροτεί τα προληπτικά μέτρα που έλαβε η ΕτΠ για τη μείωση των ψυχοκοινωνικών κινδύνων και της επαγγελματικής εξουθένωσης· εκφράζει, εν προκειμένω, την εκτίμησή του για την προορατική προσέγγιση της ιατρικής υπηρεσίας, και για τα συνέδρια ευαισθητοποίησης, τα προγράμματα κατάρτισης και τα μαθήματα που διοργάνωσε η ΕτΠ·</w:t>
            </w:r>
          </w:p>
        </w:tc>
        <w:tc>
          <w:tcPr>
            <w:tcW w:w="4876" w:type="dxa"/>
            <w:tcBorders>
              <w:top w:val="nil"/>
              <w:left w:val="nil"/>
              <w:bottom w:val="nil"/>
              <w:right w:val="nil"/>
            </w:tcBorders>
          </w:tcPr>
          <w:p>
            <w:pPr>
              <w:pStyle w:val="Normal6a"/>
            </w:pPr>
            <w:r>
              <w:t>23.</w:t>
            </w:r>
            <w:r>
              <w:tab/>
            </w:r>
            <w:r>
              <w:rPr>
                <w:b/>
                <w:i/>
              </w:rPr>
              <w:t>εκφράζει τη βαθιά του ανησυχία για το γεγονός</w:t>
            </w:r>
            <w:r>
              <w:t xml:space="preserve"> ότι το 2023 αναφέρθηκαν στην ΕτΠ 18 περιπτώσεις επαγγελματικής εξουθένωσης</w:t>
            </w:r>
            <w:r>
              <w:rPr>
                <w:b/>
                <w:i/>
              </w:rPr>
              <w:t>, αριθμός που συνιστά αύξηση</w:t>
            </w:r>
            <w:r>
              <w:t xml:space="preserve"> σε σύγκριση με </w:t>
            </w:r>
            <w:r>
              <w:rPr>
                <w:b/>
                <w:i/>
              </w:rPr>
              <w:t>τις</w:t>
            </w:r>
            <w:r>
              <w:t xml:space="preserve"> 16 περιπτώσεις </w:t>
            </w:r>
            <w:r>
              <w:rPr>
                <w:b/>
                <w:i/>
              </w:rPr>
              <w:t>του 2022·</w:t>
            </w:r>
            <w:r>
              <w:t xml:space="preserve"> </w:t>
            </w:r>
            <w:r>
              <w:rPr>
                <w:b/>
                <w:i/>
              </w:rPr>
              <w:t>υπογραμμίζει τον σημαντικό κοινωνικό και επαγγελματικό αντίκτυπο της επαγγελματικής εξουθένωσης στην ευημερία και τις επιδόσεις του προσωπικού</w:t>
            </w:r>
            <w:r>
              <w:t xml:space="preserve">· σημειώνει περαιτέρω ότι το 2023 η ΕτΠ κατόρθωσε να επανεντάξει 16 μέλη του προσωπικού μετά από μακροχρόνια απουσία ως αποτέλεσμα επαγγελματικής εξουθένωσης, χάρη σε εξατομικευμένη επακολούθηση μακροχρόνιας αναρρωτικής άδειας· επικροτεί τα προληπτικά μέτρα που έλαβε η ΕτΠ για τη μείωση των ψυχοκοινωνικών κινδύνων και της επαγγελματικής εξουθένωσης· εκφράζει, εν προκειμένω, την εκτίμησή του για την προορατική προσέγγιση της ιατρικής υπηρεσίας, και για τα συνέδρια ευαισθητοποίησης, τα προγράμματα κατάρτισης και τα μαθήματα που διοργάνωσε η ΕτΠ· </w:t>
            </w:r>
            <w:r>
              <w:rPr>
                <w:b/>
                <w:i/>
              </w:rPr>
              <w:t>τονίζει, ωστόσο, την ανάγκη περαιτέρω ενίσχυσης των προσπαθειών για την αντιμετώπιση των βαθύτερων αιτίων της επαγγελματικής εξουθένωσης και την προώθηση ενός υγιέστερου εργασιακού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σημειώνει ότι το 2023 αναφέρθηκαν στην ΕτΠ 18 περιπτώσεις επαγγελματικής εξουθένωσης (σε σύγκριση με 16 περιπτώσεις το 2023)· σημειώνει περαιτέρω ότι το 2023 η ΕτΠ κατόρθωσε να επανεντάξει 16 μέλη του προσωπικού μετά από μακροχρόνια απουσία ως αποτέλεσμα επαγγελματικής εξουθένωσης, χάρη σε εξατομικευμένη επακολούθηση μακροχρόνιας αναρρωτικής άδειας· επικροτεί τα προληπτικά μέτρα που έλαβε η ΕτΠ για τη μείωση των ψυχοκοινωνικών κινδύνων και της επαγγελματικής εξουθένωσης· εκφράζει, εν προκειμένω, την εκτίμησή του για την προορατική προσέγγιση της ιατρικής υπηρεσίας, και για τα συνέδρια ευαισθητοποίησης, τα προγράμματα κατάρτισης και τα μαθήματα που διοργάνωσε η ΕτΠ·</w:t>
            </w:r>
          </w:p>
        </w:tc>
        <w:tc>
          <w:tcPr>
            <w:tcW w:w="4876" w:type="dxa"/>
            <w:tcBorders>
              <w:top w:val="nil"/>
              <w:left w:val="nil"/>
              <w:bottom w:val="nil"/>
              <w:right w:val="nil"/>
            </w:tcBorders>
          </w:tcPr>
          <w:p>
            <w:pPr>
              <w:pStyle w:val="Normal6a"/>
            </w:pPr>
            <w:r>
              <w:t>23.</w:t>
            </w:r>
            <w:r>
              <w:tab/>
            </w:r>
            <w:r>
              <w:t xml:space="preserve">σημειώνει </w:t>
            </w:r>
            <w:r>
              <w:rPr>
                <w:b/>
                <w:i/>
              </w:rPr>
              <w:t>με ανησυχία</w:t>
            </w:r>
            <w:r>
              <w:t xml:space="preserve"> ότι το 2023 αναφέρθηκαν στην ΕτΠ 18 περιπτώσεις επαγγελματικής εξουθένωσης (σε σύγκριση με 16 περιπτώσεις το 2023)· σημειώνει περαιτέρω ότι το 2023 η ΕτΠ κατόρθωσε να επανεντάξει 16 μέλη του προσωπικού μετά από μακροχρόνια απουσία ως αποτέλεσμα επαγγελματικής εξουθένωσης, χάρη σε εξατομικευμένη επακολούθηση μακροχρόνιας αναρρωτικής άδειας· επικροτεί τα προληπτικά μέτρα που έλαβε η ΕτΠ για τη μείωση των ψυχοκοινωνικών κινδύνων και της επαγγελματικής εξουθένωσης· εκφράζει, εν προκειμένω, την εκτίμησή του για την προορατική προσέγγιση της ιατρικής υπηρεσίας, και για τα συνέδρια ευαισθητοποίησης, τα προγράμματα κατάρτισης και τα μαθήματα που διοργάνωσε η ΕτΠ·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το 2023 η ΕτΠ συνέχισε τις ενημερωτικές εκστρατείες σχετικά με τα μέτρα που θεσπίστηκαν όσον αφορά την πρόληψη και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και διοργάνωσης διαφόρων ενημερωτικών συναντήσεων για το προσωπικό και τα διευθυντικά στελέχη· εκφράζει ιδίως την ικανοποίησή του για το γεγονός ότι το 2023 διοργανώθηκαν πέντε συνεδρίες κατάρτισης με θέμα «Πρόληψη της ψυχολογικής και σεξουαλικής παρενόχλησης» και «Σεβασμός και αξιοπρέπεια για μια ομάδα υψηλών επιδόσεων»·</w:t>
            </w:r>
          </w:p>
        </w:tc>
        <w:tc>
          <w:tcPr>
            <w:tcW w:w="4876" w:type="dxa"/>
            <w:tcBorders>
              <w:top w:val="nil"/>
              <w:left w:val="nil"/>
              <w:bottom w:val="nil"/>
              <w:right w:val="nil"/>
            </w:tcBorders>
          </w:tcPr>
          <w:p>
            <w:pPr>
              <w:pStyle w:val="Normal6a"/>
            </w:pPr>
            <w:r>
              <w:t>24.</w:t>
            </w:r>
            <w:r>
              <w:tab/>
            </w:r>
            <w:r>
              <w:t xml:space="preserve">σημειώνει ότι το 2023 η ΕτΠ συνέχισε τις ενημερωτικές εκστρατείες σχετικά με τα μέτρα που θεσπίστηκαν όσον αφορά την πρόληψη και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και διοργάνωσης διαφόρων ενημερωτικών συναντήσεων για το προσωπικό και τα διευθυντικά στελέχη· εκφράζει ιδίως την ικανοποίησή του για το γεγονός ότι το 2023 διοργανώθηκαν πέντε συνεδρίες κατάρτισης με θέμα «Πρόληψη της ψυχολογικής και σεξουαλικής παρενόχλησης» και «Σεβασμός και αξιοπρέπεια για μια ομάδα υψηλών επιδόσεων»· </w:t>
            </w:r>
            <w:r>
              <w:rPr>
                <w:b/>
                <w:i/>
              </w:rPr>
              <w:t>σημειώνει περαιτέρω με ικανοποίηση ότι κατά τη διάρκεια του έτους δεν αναφέρθηκαν νέες, εν εξελίξει ή περατωθείσες υποθέσεις σεξουαλικής παρενόχλησης·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το 2023 η ΕτΠ συνέχισε τις ενημερωτικές εκστρατείες σχετικά με τα μέτρα που θεσπίστηκαν όσον αφορά την πρόληψη και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και διοργάνωσης διαφόρων ενημερωτικών συναντήσεων για το προσωπικό και τα διευθυντικά στελέχη· εκφράζει ιδίως την ικανοποίησή του για το γεγονός ότι το 2023 διοργανώθηκαν πέντε συνεδρίες κατάρτισης με θέμα «Πρόληψη της ψυχολογικής και σεξουαλικής παρενόχλησης» και «Σεβασμός και αξιοπρέπεια για μια ομάδα υψηλών επιδόσεων»·</w:t>
            </w:r>
          </w:p>
        </w:tc>
        <w:tc>
          <w:tcPr>
            <w:tcW w:w="4876" w:type="dxa"/>
            <w:tcBorders>
              <w:top w:val="nil"/>
              <w:left w:val="nil"/>
              <w:bottom w:val="nil"/>
              <w:right w:val="nil"/>
            </w:tcBorders>
          </w:tcPr>
          <w:p>
            <w:pPr>
              <w:pStyle w:val="Normal6a"/>
            </w:pPr>
            <w:r>
              <w:t>24.</w:t>
            </w:r>
            <w:r>
              <w:tab/>
            </w:r>
            <w:r>
              <w:t xml:space="preserve">σημειώνει ότι το 2023 η ΕτΠ συνέχισε τις ενημερωτικές εκστρατείες σχετικά με τα μέτρα που θεσπίστηκαν όσον αφορά την πρόληψη και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και διοργάνωσης διαφόρων ενημερωτικών συναντήσεων για το προσωπικό και τα διευθυντικά στελέχη· εκφράζει ιδίως την ικανοποίησή του για το γεγονός ότι το 2023 διοργανώθηκαν πέντε συνεδρίες κατάρτισης με θέμα «Πρόληψη της ψυχολογικής και σεξουαλικής παρενόχλησης» και «Σεβασμός και αξιοπρέπεια για μια ομάδα υψηλών επιδόσεων» </w:t>
            </w:r>
            <w:r>
              <w:rPr>
                <w:b/>
                <w:i/>
              </w:rPr>
              <w:t>και συνιστά να συνεχιστεί η πρωτοβουλία αυτή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σημειώνει ότι, το </w:t>
            </w:r>
            <w:r>
              <w:rPr>
                <w:b/>
                <w:i/>
              </w:rPr>
              <w:t>2022</w:t>
            </w:r>
            <w:r>
              <w:t>, η ΕτΠ απασχολούσε προσωπικό που εκπροσωπούσε όλες τις ιθαγένειες της ΕΕ (και ένα μέλος του προσωπικού ουκρανικής ιθαγένειας), ενώ ορισμένες ιθαγένειες υπερεκπροσωπούνται (π.χ. Βέλγιο)· εκφράζει την ικανοποίησή του το γεγονός ότι η ΕτΠ καταβάλλει πρόσθετες προσπάθειες για να εξισορροπηθεί η γεωγραφική κατανομή μεταξύ του προσωπικού, επιδιώκοντας να απευθυνθεί σε ευρύτερο κοινό μέσω της δημοσίευσης στον ιστότοπό της και στα μέσα κοινωνικής δικτύωσης προσκλήσεων εκδήλωσης ενδιαφέροντος για συμβασιούχους και έκτακτους υπαλλήλους· ζητεί από την ΕτΠ να ενημερώσει την αρμόδια για την απαλλαγή αρχή σχετικά με την έκβαση αυτών των ενεργειών·</w:t>
            </w:r>
          </w:p>
        </w:tc>
        <w:tc>
          <w:tcPr>
            <w:tcW w:w="4876" w:type="dxa"/>
            <w:tcBorders>
              <w:top w:val="nil"/>
              <w:left w:val="nil"/>
              <w:bottom w:val="nil"/>
              <w:right w:val="nil"/>
            </w:tcBorders>
          </w:tcPr>
          <w:p>
            <w:pPr>
              <w:pStyle w:val="Normal6a"/>
            </w:pPr>
            <w:r>
              <w:t>26.</w:t>
            </w:r>
            <w:r>
              <w:tab/>
            </w:r>
            <w:r>
              <w:t xml:space="preserve">σημειώνει ότι, το </w:t>
            </w:r>
            <w:r>
              <w:rPr>
                <w:b/>
                <w:i/>
              </w:rPr>
              <w:t>2023</w:t>
            </w:r>
            <w:r>
              <w:t>, η ΕτΠ απασχολούσε προσωπικό που εκπροσωπούσε όλες τις ιθαγένειες της ΕΕ (και ένα μέλος του προσωπικού ουκρανικής ιθαγένειας), ενώ ορισμένες ιθαγένειες υπερεκπροσωπούνται (π.χ. Βέλγιο)· εκφράζει την ικανοποίησή του το γεγονός ότι η ΕτΠ καταβάλλει πρόσθετες προσπάθειες για να εξισορροπηθεί η γεωγραφική κατανομή μεταξύ του προσωπικού, επιδιώκοντας να απευθυνθεί σε ευρύτερο κοινό μέσω της δημοσίευσης στον ιστότοπό της και στα μέσα κοινωνικής δικτύωσης προσκλήσεων εκδήλωσης ενδιαφέροντος για συμβασιούχους και έκτακτους υπαλλήλους</w:t>
            </w:r>
            <w:r>
              <w:rPr>
                <w:b/>
                <w:i/>
              </w:rPr>
              <w:t>·</w:t>
            </w:r>
            <w:r>
              <w:t xml:space="preserve"> </w:t>
            </w:r>
            <w:r>
              <w:rPr>
                <w:b/>
                <w:i/>
              </w:rPr>
              <w:t>εκφράζει τη λύπη του για τη συνεχιζόμενη έλλειψη γεωγραφικής ισορροπίας στο προσωπικό της ΕτΠ, καθώς ορισμένες εθνικότητες εξακολουθούν να υπερεκπροσωπούνται σε σύγκριση με άλλες·</w:t>
            </w:r>
            <w:r>
              <w:t xml:space="preserve"> </w:t>
            </w:r>
            <w:r>
              <w:rPr>
                <w:b/>
                <w:i/>
              </w:rPr>
              <w:t>ενθαρρύνει την ΕτΠ να εντείνει τις προσπάθειές της για την επίτευξη μιας πιο ισορροπημένης γεωγραφικής κατανομής, ιδίως σε επίπεδο διοίκησης</w:t>
            </w:r>
            <w:r>
              <w:t>· ζητεί από την ΕτΠ να ενημερώσει την αρμόδια για την απαλλαγή αρχή σχετικά με την έκβαση αυτών των ενεργειών·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την ικανοποίησή του για τη συμμετοχή του γραφείου πρακτικής άσκησης της ΕτΠ, για δεύτερη συνεχή φορά, στη συνεδρία με τίτλο «Ευκαιρίες για νέους Ρομά» τον Απρίλιο του 2023·</w:t>
            </w:r>
            <w:r>
              <w:t xml:space="preserve"> </w:t>
            </w:r>
            <w:r>
              <w:rPr>
                <w:b/>
                <w:i/>
              </w:rPr>
              <w:t>επιδοκιμάζει την πρωτοβουλία να παρουσιαστεί το πρόγραμμα πρακτικής άσκησης της ΕτΠ σε νέους και δραστήριους συμμετέχοντες, Ρομά και μη Ρομά, καθώς αυτή συνιστά μια ισχυρή δέσμευση για την προώθηση της συμπεριληπτικότητας, της πολυμορφίας και των ίσων ευκαιριών·</w:t>
            </w:r>
            <w:r>
              <w:t xml:space="preserve"> </w:t>
            </w:r>
            <w:r>
              <w:rPr>
                <w:b/>
                <w:i/>
              </w:rPr>
              <w:t>ενθαρρύνει τη συνέχιση και την επέκταση των εν λόγω πρωτοβουλιών, προκειμένου να ενισχυθεί η συμμετοχή υποεκπροσωπούμενων κοινοτήτων και να προωθηθεί η συμπεριληπτικότητα στο ευρωπαϊκό εργατικό δυναμικό·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την ικανοποίησή του για την πρόοδο που έχει σημειωθεί όσον αφορά την ισόρροπη εκπροσώπηση των φύλων στις διευθυντικές θέσεις, με αύξηση του ποσοστού των γυναικών τόσο σε μεσαίες διευθυντικές θέσεις (από 29,7 % το 2022 σε 32,5 % το 2023) όσο και σε ανώτερες διευθυντικές θέσεις (από 37,5 % το 2022 σε 44,4 %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 λύπη του για το γεγονός ότι το ποσοστό των γυναικών σε ανώτερες και μεσαίες διευθυντικές θέσεις παραμένει χαμηλό το 2023, παρά τον διορισμό νέας διευθύντριας το 2023 και τις προσπάθειες προσέλκυσης περισσότερων γυναικών σε διευθυντικές θέσεις·</w:t>
            </w:r>
            <w:r>
              <w:t xml:space="preserve"> </w:t>
            </w:r>
            <w:r>
              <w:rPr>
                <w:b/>
                <w:i/>
              </w:rPr>
              <w:t>εκφράζει, ωστόσο, την ικανοποίησή του για το γεγονός ότι η ΕτΠ θεωρεί σημαντική την ισόρροπη εκπροσώπηση των φύλων στο προσωπικό της, και ιδίως στα ανώτερα διευθυντικά στελέχη, και καλεί την ΕτΠ να βελτιώσει την κατάσταση·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καλεί την ΕτΠ να διενεργεί ετήσιο έλεγχο πολυμορφίας και να δημοσιεύει αναλυτικά δεδομένα σχετικά με το φύλο, την ιθαγένεια και την κατηγορία απασχόλησης·</w:t>
            </w:r>
            <w:r>
              <w:t xml:space="preserve"> </w:t>
            </w:r>
            <w:r>
              <w:rPr>
                <w:b/>
                <w:i/>
              </w:rPr>
              <w:t>παροτρύνει την ΕτΠ να λάβει περαιτέρω μέτρα για την ενίσχυση της εκπροσώπησης των υποεκπροσωπούμενων κρατών μελών στο προσωπικό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καλεί το θεσμικό όργανο να αντλήσει διδάγματα και συμπεράσματα σχετικά με τους εσωτερικούς κανόνες και τις διαδικασίες του, λαμβάνοντας υπόψη την αναθεώρηση του Κανονισμού και του Κώδικα δεοντολογίας του Κοινοβουλίου τον Σεπτέμβριο του 2023, συνιστά ωστόσο στο θεσμικό όργανο να προτείνει περαιτέρω και ισχυρότερους τρόπους για την ενίσχυση της καταπολέμησης της απάτης και την πλήρη προστασία των οικονομικών συμφερόντων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καλεί το θεσμικό όργανο να αξιολογήσει την αποτυχία του κανονιστικού πλαισίου του Ευρωπαϊκού Κοινοβουλίου να αντιμετωπίσει τη διαφθορά και την απάτη, καθώς επέτρεπε την ενεργό συμμετοχή βουλευτών του ΕΚ σε ένα δίκτυο μαφίας που εμπλεκόταν για αρκετά χρόνια σε υποθέσεις διαφθοράς και νομιμοποίησης εσόδων από παράνομες δραστηριότητες, χωρίς να εντοπιστεί·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σημειώνει ότι η </w:t>
            </w:r>
            <w:r>
              <w:rPr>
                <w:b/>
                <w:i/>
              </w:rPr>
              <w:t>OLAF</w:t>
            </w:r>
            <w:r>
              <w:t xml:space="preserve"> διεκπεραίωσε δύο υποθέσεις το 2023: μία υπόθεση σχετικά με εικαζόμενες εξωυπηρεσιακές αμειβόμενες δραστηριότητες μέλους της ΕτΠ και μία άλλη υπόθεση όσον αφορά ισχυρισμούς υποτροπής μέλους του προσωπικού σε σχέση με μη εξουσιοδοτημένες εξωτερικές δραστηριότητες· σημειώνει ότι στην πρώτη υπόθεση δεν κινήθηκε έρευνα της OLAF λόγω έλλειψης αναλογικότητας μεταξύ των πόρων που απαιτούνται για τη διεξαγωγή έρευνας και των αναμενόμενων αποτελεσμάτων, ενώ η ΕτΠ έκρινε ότι δεν υπήρχαν συγκρούσεις συμφερόντων με το σκεπτικό ότι τα μέλη της ΕτΠ δεν λαμβάνουν αμοιβή από την Ένωση, ούτε υποχρεούνται να δηλώσουν τις επαγγελματικές τους δραστηριότητες, για τις οποίες μπορεί να αμείβονται σε σχέση με τις τοπικές ή περιφερειακές εντολές που ενδέχεται να έχουν τα εν λόγω μέλη· σημειώνει, όσον αφορά τη δεύτερη υπόθεση, ότι η OLAF κίνησε έρευνα η οποία ολοκληρώθηκε με δύο συστάσεις, τις οποίες εφάρμοσε η ΕτΠ κινώντας πειθαρχική διαδικασία κατά του εν λόγω μέλους του προσωπικού και ανακτώντας έσοδα που συνδέονται με τις μη εγκεκριμένες εξωτερικές δραστηριότητες του εν λόγω προσώπου· υπενθυμίζει ότι η υπόθεση που περατώθηκε το 2022 σχετικά με καταγγελίες για οικονομικές ατασθαλίες, παρενόχληση και κακοδιαχείριση σε κοινή υπηρεσία ΕτΠ-ΕΟΚΕ, οδήγησε σε διαδικασία διαχείρισης συγκρούσεων με τη συμμετοχή των ενδιαφερόμενων προσώπων και σε σχέδιο δράσης πέντε σημείων· σημειώνει με ικανοποίηση, με βάση την έκθεση της ΕτΠ σχετικά με τη συνέχεια που δόθηκε στην απόφαση απαλλαγής του Κοινοβουλίου, η οποία καλύπτει την εκτέλεση του προϋπολογισμού της ΕτΠ κατά το 2022, ότι το εν λόγω σχέδιο δράσης είχε εφαρμοστεί πλήρως έως το τέλος του 2023·</w:t>
            </w:r>
          </w:p>
        </w:tc>
        <w:tc>
          <w:tcPr>
            <w:tcW w:w="4876" w:type="dxa"/>
            <w:tcBorders>
              <w:top w:val="nil"/>
              <w:left w:val="nil"/>
              <w:bottom w:val="nil"/>
              <w:right w:val="nil"/>
            </w:tcBorders>
          </w:tcPr>
          <w:p>
            <w:pPr>
              <w:pStyle w:val="Normal6a"/>
            </w:pPr>
            <w:r>
              <w:t>28.</w:t>
            </w:r>
            <w:r>
              <w:tab/>
            </w:r>
            <w:r>
              <w:t xml:space="preserve">σημειώνει ότι η </w:t>
            </w:r>
            <w:r>
              <w:rPr>
                <w:b/>
                <w:i/>
              </w:rPr>
              <w:t>Ευρωπαϊκή Υπηρεσία Καταπολέμησης της Απάτης (OLAF)</w:t>
            </w:r>
            <w:r>
              <w:t> διεκπεραίωσε δύο υποθέσεις το 2023: μία υπόθεση σχετικά με εικαζόμενες εξωυπηρεσιακές αμειβόμενες δραστηριότητες μέλους της ΕτΠ και μία άλλη υπόθεση όσον αφορά ισχυρισμούς υποτροπής μέλους του προσωπικού σε σχέση με μη εξουσιοδοτημένες εξωτερικές δραστηριότητες· σημειώνει ότι στην πρώτη υπόθεση δεν κινήθηκε έρευνα της OLAF λόγω έλλειψης αναλογικότητας μεταξύ των πόρων που απαιτούνται για τη διεξαγωγή έρευνας και των αναμενόμενων αποτελεσμάτων, ενώ η ΕτΠ έκρινε ότι δεν υπήρχαν συγκρούσεις συμφερόντων με το σκεπτικό ότι τα μέλη της ΕτΠ δεν λαμβάνουν αμοιβή από την Ένωση, ούτε υποχρεούνται να δηλώσουν τις επαγγελματικές τους δραστηριότητες, για τις οποίες μπορεί να αμείβονται σε σχέση με τις τοπικές ή περιφερειακές εντολές που ενδέχεται να έχουν τα εν λόγω μέλη· σημειώνει, όσον αφορά τη δεύτερη υπόθεση, ότι η OLAF κίνησε έρευνα η οποία ολοκληρώθηκε με δύο συστάσεις, τις οποίες εφάρμοσε η ΕτΠ κινώντας πειθαρχική διαδικασία κατά του εν λόγω μέλους του προσωπικού και ανακτώντας έσοδα που συνδέονται με τις μη εγκεκριμένες εξωτερικές δραστηριότητες του εν λόγω προσώπου· υπενθυμίζει ότι η υπόθεση που περατώθηκε το 2022 σχετικά με καταγγελίες για οικονομικές ατασθαλίες, παρενόχληση και κακοδιαχείριση σε κοινή υπηρεσία ΕτΠ-ΕΟΚΕ, οδήγησε σε διαδικασία διαχείρισης συγκρούσεων με τη συμμετοχή των ενδιαφερόμενων προσώπων και σε σχέδιο δράσης πέντε σημείων· σημειώνει με ικανοποίηση, με βάση την έκθεση της ΕτΠ σχετικά με τη συνέχεια που δόθηκε στην απόφαση απαλλαγής του Κοινοβουλίου, η οποία καλύπτει την εκτέλεση του προϋπολογισμού της ΕτΠ κατά το 2022, ότι το εν λόγω σχέδιο δράσης είχε εφαρμοστεί πλήρως έως το τέλος του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29α.</w:t>
            </w:r>
            <w:r>
              <w:tab/>
            </w:r>
            <w:r>
              <w:rPr>
                <w:b/>
                <w:i/>
              </w:rPr>
              <w:t>παροτρύνει την ΕτΠ να ενισχύσει τον εντοπισμό και την πρόληψη των συγκρούσεων συμφερόντων θεσπίζοντας μια υποχρεωτική περίοδο αναμονής για τα απερχόμενα μέλη πριν να είναι δυνατή η συμμετοχή τους σε δραστηριότητες άσκησης πίεσης ή σε συμβουλευτικά καθήκοντα που αφορούν τα θεσμικά όργανα της ΕΕ·</w:t>
            </w:r>
            <w:r>
              <w:t xml:space="preserve"> </w:t>
            </w:r>
            <w:r>
              <w:rPr>
                <w:b/>
                <w:i/>
              </w:rPr>
              <w:t>ζητεί την προορατική δημοσίευση όλων των αποφάσεων εξαίρεσης που λαμβάνονται από τα μέλη της ΕτΠ λόγω σύγκρουσης συμφερόντων·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σημειώνει ότι το 2023 δεν αναφέρθηκαν στην ΕτΠ περιπτώσεις καταγγελίας δυσλειτουργιών, με εξαίρεση τις πληροφορίες που έλαβε η OLAF σχετικά με υπόθεση καταγγελίας δυσλειτουργιών κατά μέλους του προσωπικού της ΕτΠ, η οποία τελικά απορρίφθηκε από την OLAF· επισημαίνει ότι η ΕτΠ δεν ενέκρινε νέα μέτρα σχετικά με την καταγγελία δυσλειτουργιών το 2023 και συνέχισε να βασίζεται στα μέτρα που ισχύουν από το 2015 και να τα προωθεί μέσω κατάρτισης σε θέματα δεοντολογίας·</w:t>
            </w:r>
          </w:p>
        </w:tc>
        <w:tc>
          <w:tcPr>
            <w:tcW w:w="4876" w:type="dxa"/>
            <w:tcBorders>
              <w:top w:val="nil"/>
              <w:left w:val="nil"/>
              <w:bottom w:val="nil"/>
              <w:right w:val="nil"/>
            </w:tcBorders>
          </w:tcPr>
          <w:p>
            <w:pPr>
              <w:pStyle w:val="Normal6a"/>
            </w:pPr>
            <w:r>
              <w:t>31.</w:t>
            </w:r>
            <w:r>
              <w:tab/>
            </w:r>
            <w:r>
              <w:t xml:space="preserve">σημειώνει ότι το 2023 δεν αναφέρθηκαν στην ΕτΠ περιπτώσεις καταγγελίας δυσλειτουργιών, με εξαίρεση τις πληροφορίες που έλαβε η OLAF σχετικά με υπόθεση καταγγελίας δυσλειτουργιών κατά μέλους του προσωπικού της ΕτΠ, η οποία τελικά απορρίφθηκε από την OLAF· επισημαίνει ότι η ΕτΠ δεν ενέκρινε νέα μέτρα σχετικά με την καταγγελία δυσλειτουργιών το 2023 και συνέχισε να βασίζεται στα μέτρα που ισχύουν από το 2015 και να τα προωθεί μέσω κατάρτισης σε θέματα δεοντολογίας· </w:t>
            </w:r>
            <w:r>
              <w:rPr>
                <w:b/>
                <w:i/>
              </w:rPr>
              <w:t>υποστηρίζει την τακτική υποχρεωτική κατάρτιση σε θέματα δεοντολογίας τόσο για το προσωπικό όσο και για τα διευθυντικά στελέχη·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σημειώνει ότι το 2023 δεν αναφέρθηκαν στην ΕτΠ περιπτώσεις καταγγελίας δυσλειτουργιών, με εξαίρεση τις πληροφορίες που έλαβε η OLAF σχετικά με υπόθεση καταγγελίας δυσλειτουργιών κατά μέλους του προσωπικού της ΕτΠ, η οποία τελικά απορρίφθηκε από την OLAF· επισημαίνει ότι η ΕτΠ δεν ενέκρινε νέα μέτρα σχετικά με την καταγγελία δυσλειτουργιών το 2023 και συνέχισε να βασίζεται στα μέτρα που ισχύουν από το 2015 και να τα προωθεί μέσω κατάρτισης σε θέματα δεοντολογίας·</w:t>
            </w:r>
          </w:p>
        </w:tc>
        <w:tc>
          <w:tcPr>
            <w:tcW w:w="4876" w:type="dxa"/>
            <w:tcBorders>
              <w:top w:val="nil"/>
              <w:left w:val="nil"/>
              <w:bottom w:val="nil"/>
              <w:right w:val="nil"/>
            </w:tcBorders>
          </w:tcPr>
          <w:p>
            <w:pPr>
              <w:pStyle w:val="Normal6a"/>
            </w:pPr>
            <w:r>
              <w:t>31.</w:t>
            </w:r>
            <w:r>
              <w:tab/>
            </w:r>
            <w:r>
              <w:t xml:space="preserve">σημειώνει ότι το 2023 δεν αναφέρθηκαν στην ΕτΠ περιπτώσεις καταγγελίας δυσλειτουργιών, με εξαίρεση τις πληροφορίες που έλαβε η OLAF σχετικά με υπόθεση καταγγελίας δυσλειτουργιών κατά μέλους του προσωπικού της ΕτΠ, η οποία τελικά απορρίφθηκε από την OLAF· επισημαίνει ότι η ΕτΠ δεν ενέκρινε νέα μέτρα σχετικά με την καταγγελία δυσλειτουργιών το 2023 και συνέχισε να βασίζεται στα μέτρα που ισχύουν από το 2015 και να τα προωθεί μέσω </w:t>
            </w:r>
            <w:r>
              <w:rPr>
                <w:b/>
                <w:i/>
              </w:rPr>
              <w:t>ευαισθητοποίησης και</w:t>
            </w:r>
            <w:r>
              <w:t xml:space="preserve"> κατάρτισης σε θέματα δεοντολογίας·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σημειώνει ότι η ΕτΠ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 σημειώνει με ικανοποίηση, βάσει του ερωτηματολογίου, τη δέσμευση της ΕτΠ να ενισχύσει περαιτέρω τα υφιστάμενα μέτρα καταπολέμησης της απάτης με την έγκριση στρατηγικής για την καταπολέμηση της απάτης το 2025· καλεί την ΕτΠ να τηρεί ενήμερη την αρμόδια για την απαλλαγή αρχή σχετικά με το θέμα·</w:t>
            </w:r>
          </w:p>
        </w:tc>
        <w:tc>
          <w:tcPr>
            <w:tcW w:w="4876" w:type="dxa"/>
            <w:tcBorders>
              <w:top w:val="nil"/>
              <w:left w:val="nil"/>
              <w:bottom w:val="nil"/>
              <w:right w:val="nil"/>
            </w:tcBorders>
          </w:tcPr>
          <w:p>
            <w:pPr>
              <w:pStyle w:val="Normal6a"/>
            </w:pPr>
            <w:r>
              <w:t>32.</w:t>
            </w:r>
            <w:r>
              <w:tab/>
            </w:r>
            <w:r>
              <w:t xml:space="preserve">σημειώνει ότι η ΕτΠ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 σημειώνει με ικανοποίηση, βάσει του ερωτηματολογίου, τη δέσμευση της ΕτΠ να ενισχύσει περαιτέρω τα υφιστάμενα μέτρα καταπολέμησης της απάτης με την έγκριση στρατηγικής για την καταπολέμηση της απάτης το 2025· </w:t>
            </w:r>
            <w:r>
              <w:rPr>
                <w:b/>
                <w:i/>
              </w:rPr>
              <w:t>ενθαρρύνει την ΕτΠ να διευκολύνει την τακτική και υποχρεωτική κατάρτιση για την καταπολέμηση της απάτης στο πλαίσιο της στρατηγικής·</w:t>
            </w:r>
            <w:r>
              <w:t xml:space="preserve"> καλεί την ΕτΠ να τηρεί ενήμερη την αρμόδια για την απαλλαγή αρχή σχετικά με το θέμα·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σημειώνει ότι η ΕτΠ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 σημειώνει με ικανοποίηση, βάσει του ερωτηματολογίου, τη δέσμευση της ΕτΠ να ενισχύσει περαιτέρω τα υφιστάμενα μέτρα καταπολέμησης της απάτης με την έγκριση στρατηγικής για την καταπολέμηση της απάτης το 2025· καλεί την ΕτΠ να τηρεί ενήμερη την αρμόδια για την απαλλαγή αρχή σχετικά με το θέμα·</w:t>
            </w:r>
          </w:p>
        </w:tc>
        <w:tc>
          <w:tcPr>
            <w:tcW w:w="4876" w:type="dxa"/>
            <w:tcBorders>
              <w:top w:val="nil"/>
              <w:left w:val="nil"/>
              <w:bottom w:val="nil"/>
              <w:right w:val="nil"/>
            </w:tcBorders>
          </w:tcPr>
          <w:p>
            <w:pPr>
              <w:pStyle w:val="Normal6a"/>
            </w:pPr>
            <w:r>
              <w:t>32.</w:t>
            </w:r>
            <w:r>
              <w:tab/>
            </w:r>
            <w:r>
              <w:t>σημειώνει ότι η ΕτΠ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w:t>
            </w:r>
            <w:r>
              <w:rPr>
                <w:b/>
                <w:i/>
              </w:rPr>
              <w:t>, αλλά το 2023, και παρά το σχετικό αίτημα του Κοινοβουλίου, δεν είχε ακόμη τεθεί σε εφαρμογή στρατηγική για την καταπολέμηση της απάτης</w:t>
            </w:r>
            <w:r>
              <w:t>· σημειώνει με ικανοποίηση, βάσει του ερωτηματολογίου, τη δέσμευση της ΕτΠ να ενισχύσει περαιτέρω τα υφιστάμενα μέτρα καταπολέμησης της απάτης με την έγκριση στρατηγικής για την καταπολέμηση της απάτης το 2025· καλεί την ΕτΠ να τηρεί ενήμερη την αρμόδια για την απαλλαγή αρχή σχετικά με το θέμα·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σημειώνει ότι η ΕτΠ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 σημειώνει με ικανοποίηση, </w:t>
            </w:r>
            <w:r>
              <w:rPr>
                <w:b/>
                <w:i/>
              </w:rPr>
              <w:t>βάσει του ερωτηματολογίου</w:t>
            </w:r>
            <w:r>
              <w:t>, τη δέσμευση της ΕτΠ να ενισχύσει περαιτέρω τα υφιστάμενα μέτρα καταπολέμησης της απάτης με την έγκριση στρατηγικής για την καταπολέμηση της απάτης το 2025· καλεί την ΕτΠ να τηρεί ενήμερη την αρμόδια για την απαλλαγή αρχή σχετικά με το θέμα·</w:t>
            </w:r>
          </w:p>
        </w:tc>
        <w:tc>
          <w:tcPr>
            <w:tcW w:w="4876" w:type="dxa"/>
            <w:tcBorders>
              <w:top w:val="nil"/>
              <w:left w:val="nil"/>
              <w:bottom w:val="nil"/>
              <w:right w:val="nil"/>
            </w:tcBorders>
          </w:tcPr>
          <w:p>
            <w:pPr>
              <w:pStyle w:val="Normal6a"/>
            </w:pPr>
            <w:r>
              <w:t>32.</w:t>
            </w:r>
            <w:r>
              <w:tab/>
            </w:r>
            <w:r>
              <w:t xml:space="preserve">σημειώνει ότι η ΕτΠ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 σημειώνει με ικανοποίηση, </w:t>
            </w:r>
            <w:r>
              <w:rPr>
                <w:b/>
                <w:i/>
              </w:rPr>
              <w:t>έπειτα από τη σύσταση του Κοινοβουλίου και όπως προκύπτει από το ερωτηματολόγιο</w:t>
            </w:r>
            <w:r>
              <w:t>, τη δέσμευση της ΕτΠ να ενισχύσει περαιτέρω τα υφιστάμενα μέτρα καταπολέμησης της απάτης με την έγκριση στρατηγικής για την καταπολέμηση της απάτης το 2025· καλεί την ΕτΠ να τηρεί ενήμερη την αρμόδια για την απαλλαγή αρχή σχετικά με το θέμα·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34α.</w:t>
            </w:r>
            <w:r>
              <w:tab/>
            </w:r>
            <w:r>
              <w:rPr>
                <w:b/>
                <w:i/>
              </w:rPr>
              <w:t>εκφράζει την ικανοποίησή του για τη νέα ψηφιακή στρατηγική της ΕτΠ για την περίοδο 2024-2026·</w:t>
            </w:r>
            <w:r>
              <w:t xml:space="preserve"> </w:t>
            </w:r>
            <w:r>
              <w:rPr>
                <w:b/>
                <w:i/>
              </w:rPr>
              <w:t>καλεί την ΕτΠ να επιταχύνει τις προσπάθειες ψηφιακού μετασχηματισμού διασφαλίζοντας την πλήρη εφαρμογή ηλεκτρονικών ροών εργασίας, ηλεκτρονικών υπογραφών και ψηφιακών εργαλείων διαχείρισης υποθέσεων έως το 2026, ώστε να μειωθούν οι έγχαρτες διαδικασίες σύμφωνα με τις δεσμεύσεις βιωσιμότητας και να ενισχυθεί ο ψηφιακός χαρακτήρας της διοίκησης·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σημειώνει με ικανοποίηση ότι το 90 % των έργων απλούστευσης μέσω της ψηφιοποίησης στο πλαίσιο της πρωτοβουλίας Going for impact είχαν υλοποιηθεί πλήρως έως το τέλος του 2023· σημειώνει, επιπλέον, ότι επιτεύχθηκαν περαιτέρω βελτιώσεις της αποτελεσματικότητας λόγω ενός έργου ΤΠ για τον καθορισμό του βέλτιστου εργαλείου για την ηλεκτρονική διαχείριση των ροών εργασίας βάσει εντύπων, με αποτέλεσμα πολλές από τις διαδικασίες της ΕτΠ να έχουν αρχίσει να απλουστεύονται και να ψηφιοποιούνται μέσω των εργαλείων Microsoft 365· σημειώνει με ικανοποίηση ότι η ΕτΠ χρησιμοποιεί δομοστοιχεία δημόσιων συμβάσεων όπως η ηλεκτρονική υποβολή προσφορών, οι ηλεκτρονικές ανακοινώσεις, η ηλεκτρονική υποβολή προσφορών, το MyWorkplace, καθώς και η εγκεκριμένη ηλεκτρονική υπογραφή, για την υπογραφή συμβάσεων, που θεσπίστηκε το 2023· εκφράζει την ικανοποίησή του για το γεγονός ότι η ΕτΠ ενέκρινε εσωτερικές κατευθυντήριες γραμμές σχετικά με τη χρήση της τεχνητής νοημοσύνης, οι οποίες θέτουν τις βάσεις για πιθανές μελλοντικές λύσεις·</w:t>
            </w:r>
          </w:p>
        </w:tc>
        <w:tc>
          <w:tcPr>
            <w:tcW w:w="4876" w:type="dxa"/>
            <w:tcBorders>
              <w:top w:val="nil"/>
              <w:left w:val="nil"/>
              <w:bottom w:val="nil"/>
              <w:right w:val="nil"/>
            </w:tcBorders>
          </w:tcPr>
          <w:p>
            <w:pPr>
              <w:pStyle w:val="Normal6a"/>
            </w:pPr>
            <w:r>
              <w:t>35.</w:t>
            </w:r>
            <w:r>
              <w:tab/>
            </w:r>
            <w:r>
              <w:t>σημειώνει με ικανοποίηση ότι το 90 % των έργων απλούστευσης μέσω της ψηφιοποίησης στο πλαίσιο της πρωτοβουλίας Going for impact είχαν υλοποιηθεί πλήρως έως το τέλος του 2023· σημειώνει, επιπλέον, ότι επιτεύχθηκαν περαιτέρω βελτιώσεις της αποτελεσματικότητας λόγω ενός έργου ΤΠ για τον καθορισμό του βέλτιστου εργαλείου για την ηλεκτρονική διαχείριση των ροών εργασίας βάσει εντύπων, με αποτέλεσμα πολλές από τις διαδικασίες της ΕτΠ να έχουν αρχίσει να απλουστεύονται και να ψηφιοποιούνται μέσω των εργαλείων Microsoft 365· σημειώνει με ικανοποίηση ότι η ΕτΠ χρησιμοποιεί δομοστοιχεία δημόσιων συμβάσεων όπως η ηλεκτρονική υποβολή προσφορών, οι ηλεκτρονικές ανακοινώσεις, η ηλεκτρονική υποβολή προσφορών, το MyWorkplace, καθώς και η εγκεκριμένη ηλεκτρονική υπογραφή, για την υπογραφή συμβάσεων, που θεσπίστηκε το 2023· εκφράζει την ικανοποίησή του για το γεγονός ότι η ΕτΠ ενέκρινε εσωτερικές κατευθυντήριες γραμμές σχετικά με τη χρήση της τεχνητής νοημοσύνης, οι οποίες θέτουν τις βάσεις για πιθανές μελλοντικές λύσεις</w:t>
            </w:r>
            <w:r>
              <w:rPr>
                <w:b/>
                <w:i/>
              </w:rPr>
              <w:t>, και ενθαρρύνει την καθιέρωση τακτικής υποχρεωτικής κατάρτισης σχετικά με την ασφαλή χρήση της τεχνητής νοημοσύνης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σημειώνει ότι η ΕτΠ δεν αντιμετώπισε κυβερνοεπιθέσεις το 2023, εκτός από ορισμένες επιθέσεις άρνησης παροχής υπηρεσίας κατά του εξωτερικά φιλοξενούμενου ιστότοπου της ΕτΠ· σημειώνει, με βάση το ερωτηματολόγιο, τα εργαλεία και τις στρατηγικές της ΕτΠ για την παρακολούθηση των απειλών σε πραγματικό χρόνο και τον εντοπισμό τρωτών σημείων στα συστήματα της ΕτΠ· συγχαίρει την ΕτΠ για την τήρηση των προτύπων σε θέματα που σχετίζονται με τις εκτιμήσεις κινδύνου κυβερνοασφάλειας, καθώς και για την εφαρμογή ενός συστήματος που βασίζεται σε σχέδια αντιμετώπισης περιστατικών, μέτρα αποκατάστασης και άντληση διδαγμάτων· σημειώνει με ικανοποίηση ότι η ΕτΠ και η ΕΟΚΕ ενέκριναν το πλαίσιο κυβερνοασφάλειας NIST με έμφαση, το 2023, στις αρχές της προστασίας και του εντοπισμού·</w:t>
            </w:r>
          </w:p>
        </w:tc>
        <w:tc>
          <w:tcPr>
            <w:tcW w:w="4876" w:type="dxa"/>
            <w:tcBorders>
              <w:top w:val="nil"/>
              <w:left w:val="nil"/>
              <w:bottom w:val="nil"/>
              <w:right w:val="nil"/>
            </w:tcBorders>
          </w:tcPr>
          <w:p>
            <w:pPr>
              <w:pStyle w:val="Normal6a"/>
            </w:pPr>
            <w:r>
              <w:t>37.</w:t>
            </w:r>
            <w:r>
              <w:tab/>
            </w:r>
            <w:r>
              <w:t xml:space="preserve">σημειώνει ότι η ΕτΠ δεν αντιμετώπισε κυβερνοεπιθέσεις το 2023, εκτός από ορισμένες επιθέσεις άρνησης παροχής υπηρεσίας κατά του εξωτερικά φιλοξενούμενου ιστότοπου της ΕτΠ· σημειώνει, με βάση το ερωτηματολόγιο, τα εργαλεία και τις στρατηγικές της ΕτΠ για την παρακολούθηση των απειλών σε πραγματικό χρόνο και τον εντοπισμό τρωτών σημείων στα συστήματα της ΕτΠ· συγχαίρει την ΕτΠ για την τήρηση των προτύπων σε θέματα που σχετίζονται με τις εκτιμήσεις κινδύνου κυβερνοασφάλειας, καθώς και για την εφαρμογή ενός συστήματος που βασίζεται σε σχέδια αντιμετώπισης περιστατικών, μέτρα αποκατάστασης και άντληση διδαγμάτων· σημειώνει με ικανοποίηση ότι η ΕτΠ και η ΕΟΚΕ ενέκριναν το πλαίσιο κυβερνοασφάλειας NIST με έμφαση, το 2023, στις αρχές της προστασίας και του εντοπισμού· </w:t>
            </w:r>
            <w:r>
              <w:rPr>
                <w:b/>
                <w:i/>
              </w:rPr>
              <w:t>ενθαρρύνει την ΕτΠ να αυξήσει την ευαισθητοποίηση των μελών και του προσωπικού της όσον αφορά την κυβερνοασφάλεια, να διενεργεί τακτικές εκτιμήσεις κινδύνου των υποδομών ΤΠ της και να διασφαλίζει τακτικούς ελέγχους και δοκιμές της κυβερνοάμυνάς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42α.</w:t>
            </w:r>
            <w:r>
              <w:tab/>
            </w:r>
            <w:r>
              <w:rPr>
                <w:b/>
                <w:i/>
              </w:rPr>
              <w:t>ζητεί από το θεσμικό όργανο να διατυπώσει συστάσεις προς το Ευρωπαϊκό Κοινοβούλιο και την Επιτροπή Ελέγχου του Προϋπολογισμού σχετικά με νέους τρόπους καταπολέμησης των παραπτωμάτων και της κατάχρησης κονδυλίων της ΕΕ με βάση τη δική τους θεσμική εμπειρία και τα διδάγματα που αντλήθηκαν από υποθέσεις στο παρελθόν, και να ανταλλάξει βέλτιστες πρακτικές, καθώς έχει αποδειχθεί ότι τα οικονομικά συμφέροντα της Ευρωπαϊκής Ένωσης δεν προστατεύονταν επαρκώς στο Ευρωπαϊκό Κοινοβούλιο·</w:t>
            </w:r>
            <w:r>
              <w:t xml:space="preserve"> </w:t>
            </w:r>
            <w:r>
              <w:rPr>
                <w:b/>
                <w:i/>
              </w:rPr>
              <w:t>όπως αποκαλύφθηκε από την ποινική υπόθεση και τις έρευνες, πιστεύει ότι το Κοινοβούλιο θα μπορούσε να επωφεληθεί από μια νέα σχετική προοπτική και από τη συμβολή του θεσμικού οργάνου·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εκφράζει την ικανοποίησή του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ΕτΠ συστεγάζεται και μοιράζεται υπηρεσίες στους τομείς της μετάφρασης, των υποδομών, της υλικοτεχνικής υποστήριξης και της ΤΠ, καθώς 470 μέλη του προσωπικού και περίπου 60 εκατομμύρια EUR (εξαιρουμένων των μισθολογικών δαπανών) χρησιμοποιήθηκαν από κοινού και από τα δύο θεσμικά όργανα το 2023· σημειώνει με ικανοποίηση ότι η ΕτΠ επέκτεινε περαιτέρω τη συνεργασία της με την ΕΟΚΕ αξιοποιώντας πρόσθετες συνέργειες μέσω κοινών ιατρικών υπηρεσιών και κοινού κεντρικού μητρώου προστασίας δεδομένων και λειτουργιών επεξεργασίας με βάση τη ρύθμιση για την από κοινού ευθύνη της επεξεργασίας δεδομένων που υπέγραψαν η ΕτΠ και η ΕΟΚΕ το 2023·</w:t>
            </w:r>
          </w:p>
        </w:tc>
        <w:tc>
          <w:tcPr>
            <w:tcW w:w="4876" w:type="dxa"/>
            <w:tcBorders>
              <w:top w:val="nil"/>
              <w:left w:val="nil"/>
              <w:bottom w:val="nil"/>
              <w:right w:val="nil"/>
            </w:tcBorders>
          </w:tcPr>
          <w:p>
            <w:pPr>
              <w:pStyle w:val="Normal6a"/>
            </w:pPr>
            <w:r>
              <w:t>43.</w:t>
            </w:r>
            <w:r>
              <w:tab/>
            </w:r>
            <w:r>
              <w:t xml:space="preserve">εκφράζει την ικανοποίησή του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ΕτΠ συστεγάζεται και μοιράζεται υπηρεσίες στους τομείς της μετάφρασης, των υποδομών, της υλικοτεχνικής υποστήριξης και της ΤΠ, καθώς 470 μέλη του προσωπικού και περίπου 60 εκατομμύρια EUR (εξαιρουμένων των μισθολογικών δαπανών) χρησιμοποιήθηκαν από κοινού και από τα δύο θεσμικά όργανα το 2023· σημειώνει με ικανοποίηση ότι η ΕτΠ επέκτεινε περαιτέρω τη συνεργασία της με την ΕΟΚΕ αξιοποιώντας πρόσθετες συνέργειες μέσω κοινών ιατρικών υπηρεσιών και κοινού κεντρικού μητρώου προστασίας δεδομένων και λειτουργιών επεξεργασίας με βάση τη ρύθμιση για την από κοινού ευθύνη της επεξεργασίας δεδομένων που υπέγραψαν η ΕτΠ και η ΕΟΚΕ το 2023· </w:t>
            </w:r>
            <w:r>
              <w:rPr>
                <w:b/>
                <w:i/>
              </w:rPr>
              <w:t>επαναλαμβάνει την έκκλησή του προς την ΕτΠ να συνεχίσει και να επεκτείνει την εν λόγω συνεργασία σε άλλους τομείς με σκοπό την αποφυγή αλληλοεπικαλύψεων και τον περαιτέρω εξορθολογισμό των λειτουργικών εξόδων των υπηρεσιών που παρέχονται στους συστεγαζόμενους χώρους της ΕτΠ και της ΕΟΚΕ·</w:t>
            </w:r>
            <w:r>
              <w:t xml:space="preserve"> </w:t>
            </w:r>
            <w:r>
              <w:rPr>
                <w:b/>
                <w:i/>
              </w:rPr>
              <w:t>καλεί την ΕτΠ και την ΕΟΚΕ να εξετάσουν το ενδεχόμενο συγκρότησης ενιαίας διοίκησης για τις κοινές υπηρεσίες τους, διατηρώντας χωριστές διευθύνσεις ή μονάδες για τις υπηρεσίες που ασχολούνται με θέματα που σχετίζονται με την ειδική και ανεξάρτητη εντολή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εκφράζει την ικανοποίησή του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ΕτΠ συστεγάζεται και μοιράζεται υπηρεσίες στους τομείς της μετάφρασης, των υποδομών, της υλικοτεχνικής υποστήριξης και της ΤΠ, καθώς 470 μέλη του προσωπικού και περίπου 60 εκατομμύρια EUR (εξαιρουμένων των μισθολογικών δαπανών) χρησιμοποιήθηκαν από κοινού και από τα δύο θεσμικά όργανα το 2023· σημειώνει με ικανοποίηση ότι η ΕτΠ επέκτεινε περαιτέρω τη συνεργασία της με την ΕΟΚΕ αξιοποιώντας πρόσθετες συνέργειες μέσω κοινών ιατρικών υπηρεσιών και κοινού κεντρικού μητρώου προστασίας δεδομένων και λειτουργιών επεξεργασίας με βάση τη ρύθμιση για την από κοινού ευθύνη της επεξεργασίας δεδομένων που υπέγραψαν η ΕτΠ και η ΕΟΚΕ το 2023·</w:t>
            </w:r>
          </w:p>
        </w:tc>
        <w:tc>
          <w:tcPr>
            <w:tcW w:w="4876" w:type="dxa"/>
            <w:tcBorders>
              <w:top w:val="nil"/>
              <w:left w:val="nil"/>
              <w:bottom w:val="nil"/>
              <w:right w:val="nil"/>
            </w:tcBorders>
          </w:tcPr>
          <w:p>
            <w:pPr>
              <w:pStyle w:val="Normal6a"/>
            </w:pPr>
            <w:r>
              <w:t>43.</w:t>
            </w:r>
            <w:r>
              <w:tab/>
            </w:r>
            <w:r>
              <w:t xml:space="preserve">εκφράζει την ικανοποίησή του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ΕτΠ συστεγάζεται και μοιράζεται υπηρεσίες στους τομείς της μετάφρασης, των υποδομών, της υλικοτεχνικής υποστήριξης και της ΤΠ, καθώς 470 μέλη του προσωπικού και περίπου 60 εκατομμύρια EUR (εξαιρουμένων των μισθολογικών δαπανών) χρησιμοποιήθηκαν από κοινού και από τα δύο θεσμικά όργανα το 2023· σημειώνει με ικανοποίηση ότι η ΕτΠ επέκτεινε περαιτέρω τη συνεργασία της με την ΕΟΚΕ αξιοποιώντας πρόσθετες συνέργειες μέσω κοινών ιατρικών υπηρεσιών και κοινού κεντρικού μητρώου προστασίας δεδομένων και λειτουργιών επεξεργασίας με βάση τη ρύθμιση για την από κοινού ευθύνη της επεξεργασίας δεδομένων που υπέγραψαν η ΕτΠ και η ΕΟΚΕ το 2023· </w:t>
            </w:r>
            <w:r>
              <w:rPr>
                <w:b/>
                <w:i/>
              </w:rPr>
              <w:t>ενθαρρύνει την ΕτΠ και την ΕΟΚΕ να συνεχίσουν τις προσπάθειές τους για την ανάπτυξη περαιτέρω συνεργασίας και συνεργειών·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44α.</w:t>
            </w:r>
            <w:r>
              <w:tab/>
            </w:r>
            <w:r>
              <w:rPr>
                <w:b/>
                <w:i/>
              </w:rPr>
              <w:t>καλεί την ΕτΠ να εμβαθύνει τη συνεργασία της με το Ευρωπαϊκό Κοινοβούλιο και την Επιτροπή με την καθιέρωση διαρθρωμένου ετήσιου διαλόγου μεταξύ των εκπροσώπων της ΕτΠ και των νομοθετών της ΕΕ σχετικά με βασικούς νομοθετικούς φακέλους που επηρεάζουν την περιφερειακή ανάπτυξη, την πολιτική για το κλίμα και την κοινωνική συνοχή·</w:t>
            </w:r>
            <w:r>
              <w:t xml:space="preserve"> </w:t>
            </w:r>
            <w:r>
              <w:rPr>
                <w:b/>
                <w:i/>
              </w:rPr>
              <w:t>παροτρύνει την ΕτΠ να εξετάσει το ενδεχόμενο να αναλάβει κοινές πρωτοβουλίες με τις επιτροπές REGI και ENVI του Ευρωπαϊκού Κοινοβουλίου για την προώθηση βιώσιμων περιφερειακών επενδύσεων·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45α.</w:t>
            </w:r>
            <w:r>
              <w:tab/>
            </w:r>
            <w:r>
              <w:rPr>
                <w:b/>
                <w:i/>
              </w:rPr>
              <w:t>εκφράζει την ικανοποίησή του για την επανεξέταση, το 2023, της συμφωνίας συνεργασίας της ΕτΠ με το Κοινοβούλιο ενόψει της τελικής υπογραφής της συμφωνίας το 2024·</w:t>
            </w:r>
            <w:r>
              <w:t xml:space="preserve"> </w:t>
            </w:r>
            <w:r>
              <w:rPr>
                <w:b/>
                <w:i/>
              </w:rPr>
              <w:t>υποστηρίζει τη συνεργασία της ΕτΠ με διάφορες κοινοβουλευτικές επιτροπές, διακομματικές ομάδες και γενικές διευθύνσεις του Κοινοβουλίου, και θεωρεί ότι είναι απολύτως απαραίτητο τα μέλη της ΕτΠ και της ΕΟΚΕ να προσκαλούνται τακτικά και συστηματικά στις σχετικές κοινοβουλευτικές ανταλλαγές, συμπεριλαμβανομένων των συνεδριάσεων των επιτροπών, όσον αφορά θέματα με τα οποία ασχολούνται·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σημειώνει ότι οι επικοινωνιακές δραστηριότητες της ΕτΠ επικεντρώνονται στη σχέση με τον Τύπο, στη διοργάνωση εκδηλώσεων και στο ψηφιακό περιεχόμενο και τα μέσα κοινωνικής δικτύωσης με </w:t>
            </w:r>
            <w:r>
              <w:rPr>
                <w:b/>
                <w:i/>
              </w:rPr>
              <w:t>συνολικό</w:t>
            </w:r>
            <w:r>
              <w:t xml:space="preserve"> προϋπολογισμό (πιστώσεις του τρέχοντος έτους) </w:t>
            </w:r>
            <w:r>
              <w:rPr>
                <w:b/>
                <w:i/>
              </w:rPr>
              <w:t>ύψους περίπου</w:t>
            </w:r>
            <w:r>
              <w:t xml:space="preserve"> 2,8 εκατομμυρίων EUR το 2023· εκφράζει τη λύπη του για το πολύ χαμηλό ποσοστό εκτέλεσης των πληρωμών στους τομείς αυτούς (που κυμαίνεται από 24,70 % έως 48,20 %)· σημειώνει, ωστόσο, το υψηλό ποσοστό εκτέλεσης των πιστώσεων C8 (που μεταφέρθηκαν από το 2022 στο 2023), μεταξύ 98 % και 100 %· ζητεί από την ΕτΠ να λάβει μέτρα για τη βελτίωση του δημοσιονομικού προγραμματισμού της όσον αφορά τις θέσεις του προϋπολογισμού που σχετίζονται με την επικοινωνία·</w:t>
            </w:r>
          </w:p>
        </w:tc>
        <w:tc>
          <w:tcPr>
            <w:tcW w:w="4876" w:type="dxa"/>
            <w:tcBorders>
              <w:top w:val="nil"/>
              <w:left w:val="nil"/>
              <w:bottom w:val="nil"/>
              <w:right w:val="nil"/>
            </w:tcBorders>
          </w:tcPr>
          <w:p>
            <w:pPr>
              <w:pStyle w:val="Normal6a"/>
            </w:pPr>
            <w:r>
              <w:t>46.</w:t>
            </w:r>
            <w:r>
              <w:tab/>
            </w:r>
            <w:r>
              <w:t xml:space="preserve">σημειώνει ότι οι επικοινωνιακές δραστηριότητες της ΕτΠ επικεντρώνονται στη σχέση με τον Τύπο, στη διοργάνωση εκδηλώσεων και στο ψηφιακό περιεχόμενο και τα μέσα κοινωνικής δικτύωσης με </w:t>
            </w:r>
            <w:r>
              <w:rPr>
                <w:b/>
                <w:i/>
              </w:rPr>
              <w:t>έναν ιδιαίτερα υψηλό</w:t>
            </w:r>
            <w:r>
              <w:t xml:space="preserve"> προϋπολογισμό </w:t>
            </w:r>
            <w:r>
              <w:rPr>
                <w:b/>
                <w:i/>
              </w:rPr>
              <w:t>που ανέρχεται στο συνολικό ποσό</w:t>
            </w:r>
            <w:r>
              <w:t xml:space="preserve"> (πιστώσεις του τρέχοντος έτους) </w:t>
            </w:r>
            <w:r>
              <w:rPr>
                <w:b/>
                <w:i/>
              </w:rPr>
              <w:t>των</w:t>
            </w:r>
            <w:r>
              <w:t xml:space="preserve"> 2,8 εκατομμυρίων EUR το 2023· εκφράζει τη λύπη του για το πολύ χαμηλό ποσοστό εκτέλεσης των πληρωμών στους τομείς αυτούς (που κυμαίνεται από 24,70 % έως 48,20 %)· σημειώνει, ωστόσο, το υψηλό ποσοστό εκτέλεσης των πιστώσεων C8 (που μεταφέρθηκαν από το 2022 στο 2023), μεταξύ 98 % και 100 %· ζητεί από την ΕτΠ να λάβει μέτρα για τη βελτίωση του δημοσιονομικού προγραμματισμού της όσον αφορά τις θέσεις του προϋπολογισμού που σχετίζονται με την επικοινωνία·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σημειώνει ότι οι επικοινωνιακές δραστηριότητες της ΕτΠ επικεντρώνονται στη σχέση με τον Τύπο, στη διοργάνωση εκδηλώσεων και στο ψηφιακό περιεχόμενο και τα μέσα κοινωνικής δικτύωσης με συνολικό προϋπολογισμό (πιστώσεις του τρέχοντος έτους) ύψους περίπου 2,8 εκατομμυρίων EUR το 2023· εκφράζει τη λύπη του για το πολύ χαμηλό ποσοστό εκτέλεσης των πληρωμών στους τομείς αυτούς (που κυμαίνεται από 24,70 % έως 48,20 %)· σημειώνει, ωστόσο, το υψηλό ποσοστό εκτέλεσης των πιστώσεων C8 (που μεταφέρθηκαν από το 2022 στο 2023), μεταξύ 98 % και 100 %· </w:t>
            </w:r>
            <w:r>
              <w:rPr>
                <w:b/>
                <w:i/>
              </w:rPr>
              <w:t>ζητεί από</w:t>
            </w:r>
            <w:r>
              <w:t xml:space="preserve"> την ΕτΠ να λάβει μέτρα για τη βελτίωση του δημοσιονομικού προγραμματισμού της όσον αφορά τις θέσεις του προϋπολογισμού που σχετίζονται με την επικοινωνία·</w:t>
            </w:r>
          </w:p>
        </w:tc>
        <w:tc>
          <w:tcPr>
            <w:tcW w:w="4876" w:type="dxa"/>
            <w:tcBorders>
              <w:top w:val="nil"/>
              <w:left w:val="nil"/>
              <w:bottom w:val="nil"/>
              <w:right w:val="nil"/>
            </w:tcBorders>
          </w:tcPr>
          <w:p>
            <w:pPr>
              <w:pStyle w:val="Normal6a"/>
            </w:pPr>
            <w:r>
              <w:t>46.</w:t>
            </w:r>
            <w:r>
              <w:tab/>
            </w:r>
            <w:r>
              <w:t xml:space="preserve">σημειώνει ότι οι επικοινωνιακές δραστηριότητες της ΕτΠ επικεντρώνονται στη σχέση με τον Τύπο, στη διοργάνωση εκδηλώσεων και στο ψηφιακό περιεχόμενο και τα μέσα κοινωνικής δικτύωσης με συνολικό προϋπολογισμό (πιστώσεις του τρέχοντος έτους) ύψους περίπου 2,8 εκατομμυρίων EUR το 2023· εκφράζει τη λύπη του για το πολύ χαμηλό ποσοστό εκτέλεσης των πληρωμών στους τομείς αυτούς (που κυμαίνεται από 24,70 % έως 48,20 %)· σημειώνει, ωστόσο, το υψηλό ποσοστό εκτέλεσης των πιστώσεων C8 (που μεταφέρθηκαν από το 2022 στο 2023), μεταξύ 98 % και 100 %· </w:t>
            </w:r>
            <w:r>
              <w:rPr>
                <w:b/>
                <w:i/>
              </w:rPr>
              <w:t>καλεί</w:t>
            </w:r>
            <w:r>
              <w:t xml:space="preserve"> την ΕτΠ να λάβει μέτρα για τη βελτίωση του δημοσιονομικού προγραμματισμού της όσον αφορά τις θέσεις του προϋπολογισμού που σχετίζονται με την επικοινωνία·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46α.</w:t>
            </w:r>
            <w:r>
              <w:tab/>
            </w:r>
            <w:r>
              <w:rPr>
                <w:b/>
                <w:i/>
              </w:rPr>
              <w:t>καλεί το θεσμικό όργανο να απόσχει από την προώθηση, τη διάδοση και την υποστήριξη της ιδεολογίας του φύλου και της woke ιδεολογίας, να τηρεί τη Συνθήκη και τις διατάξεις της, καθώς και να σέβεται τις εθνικές ταυτότητες των κρατών μελών, οι οποίες είναι σύμφυτες με τις θεμελιώδεις δομές, την ιστορία, τη θρησκεία και τις παραδόσεις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σημειώνει με ικανοποίηση τα επιτεύγματα της ΕτΠ όσον αφορά την προώθηση των πολιτικών και των προγραμμάτων της Ένωσης σε τοπικό και περιφερειακό επίπεδο, τη βελτίωση της απήχησης των συμβουλευτικών εργασιών της και την ενίσχυση της προβολής και του αντικτύπου της· σημειώνει, στο πλαίσιο αυτό, τις επικοινωνιακές δράσεις της ΕτΠ το 2023 σε τομείς όπως: — η συνοχή (π.χ. η εκστρατεία «Προώθηση της συνοχής ως θεμελιώδους αξίας της Ένωσης» στο πλαίσιο της Ευρωπαϊκής εβδομάδας των δήμων και των περιφερειών, με περισσότερους από 8 000 συμμετέχοντες)· — η κλιματική αλλαγή (π.χ. η εκστρατεία «Οικοδόμηση ανθεκτικών και καινοτόμων τοπικών κοινοτήτων»)· — η δημοκρατία (π.χ. η εκστρατεία «Ένα νέο κεφάλαιο για τη δημοκρατία στην ΕΕ» με 1 400 εγγραφές συμμετοχής στην 14η διάσκεψη EuropCom)· — η αγροτική ανάπτυξη (η διάσκεψη «Ευρωπαϊκό Συνέδριο LEADER 2023») το 2023· συγχαίρει την ΕτΠ για την αύξηση του αριθμού των ατόμων που είναι εγγεγραμμένα στο Ευρωπαϊκό Δίκτυο Περιφερειακών και Τοπικών Συμβούλων (από 2307 το 2022 σε 3000 το 2023) και του αριθμού των συμμετεχόντων στο πρόγραμμα «Νέοι αιρετοί πολιτικοί» (από 775 το 2022 σε 836 το 2023)·</w:t>
            </w:r>
          </w:p>
        </w:tc>
        <w:tc>
          <w:tcPr>
            <w:tcW w:w="4876" w:type="dxa"/>
            <w:tcBorders>
              <w:top w:val="nil"/>
              <w:left w:val="nil"/>
              <w:bottom w:val="nil"/>
              <w:right w:val="nil"/>
            </w:tcBorders>
          </w:tcPr>
          <w:p>
            <w:pPr>
              <w:pStyle w:val="Normal6a"/>
            </w:pPr>
            <w:r>
              <w:t>47.</w:t>
            </w:r>
            <w:r>
              <w:tab/>
            </w:r>
            <w:r>
              <w:t xml:space="preserve">σημειώνει με ικανοποίηση τα επιτεύγματα της ΕτΠ όσον αφορά την προώθηση των πολιτικών και των προγραμμάτων της Ένωσης σε τοπικό και περιφερειακό επίπεδο, τη βελτίωση της απήχησης των συμβουλευτικών εργασιών της και την ενίσχυση της προβολής και του αντικτύπου της· σημειώνει </w:t>
            </w:r>
            <w:r>
              <w:rPr>
                <w:b/>
                <w:i/>
              </w:rPr>
              <w:t>ότι η επικοινωνιακή στρατηγική της ΕτΠ επιδιώκει να ενισχύσει το θεσμικό και πολιτικό της προφίλ ως φωνής των περιφερειών, των πόλεων, των χωριών και των δήμων της Ένωσης, αναδεικνύοντας παράλληλα την ουσιαστική συμβολή των μελών της στη σύνδεση των πολιτικών της Ένωσης με τους πολίτες και στην προώθηση της συμμετοχής σε τοπικό και περιφερειακό επίπεδο·</w:t>
            </w:r>
            <w:r>
              <w:t xml:space="preserve"> </w:t>
            </w:r>
            <w:r>
              <w:rPr>
                <w:b/>
                <w:i/>
              </w:rPr>
              <w:t>σημειώνει</w:t>
            </w:r>
            <w:r>
              <w:t>, στο πλαίσιο αυτό, τις επικοινωνιακές δράσεις της ΕτΠ το 2023 σε τομείς όπως: — η συνοχή (π.χ. η εκστρατεία «Προώθηση της συνοχής ως θεμελιώδους αξίας της Ένωσης» στο πλαίσιο της Ευρωπαϊκής εβδομάδας των δήμων και των περιφερειών, με περισσότερους από 8 000 συμμετέχοντες)· — η κλιματική αλλαγή (π.χ. η εκστρατεία «Οικοδόμηση ανθεκτικών και καινοτόμων τοπικών κοινοτήτων»)· — η δημοκρατία (π.χ. η εκστρατεία «Ένα νέο κεφάλαιο για τη δημοκρατία στην ΕΕ» με 1 400 εγγραφές συμμετοχής στην 14η διάσκεψη EuropCom)· — η αγροτική ανάπτυξη (η διάσκεψη «Ευρωπαϊκό Συνέδριο LEADER 2023») το 2023· συγχαίρει την ΕτΠ για την αύξηση του αριθμού των ατόμων που είναι εγγεγραμμένα στο Ευρωπαϊκό Δίκτυο Περιφερειακών και Τοπικών Συμβούλων (από 2307 το 2022 σε 3000 το 2023) και του αριθμού των συμμετεχόντων στο πρόγραμμα «Νέοι αιρετοί πολιτικοί» (από 775 το 2022 σε 836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47α.</w:t>
            </w:r>
            <w:r>
              <w:tab/>
            </w:r>
            <w:r>
              <w:rPr>
                <w:b/>
                <w:i/>
              </w:rPr>
              <w:t>επικροτεί τις προσπάθειες της ΕτΠ να εντείνει τις επαφές με τις περιφερειακές κυβερνήσεις και τις τοπικές κοινότητες, μεταξύ άλλων με την επέκταση του δικτύου περιφερειακών και τοπικών συμβούλων της ΕΕ και του προγράμματος «Νέοι αιρετοί πολιτικοί»·</w:t>
            </w:r>
            <w:r>
              <w:t xml:space="preserve"> </w:t>
            </w:r>
            <w:r>
              <w:rPr>
                <w:b/>
                <w:i/>
              </w:rPr>
              <w:t>καλεί την ΕτΠ να διαθέσει πρόσθετους πόρους για τη στήριξη περιφερειακών προγραμμάτων ανάπτυξης ικανοτήτων που δίνουν τη δυνατότητα στις τοπικές κυβερνήσεις να εφαρμόζουν καλύτερα τις πολιτικές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σημειώνει </w:t>
            </w:r>
            <w:r>
              <w:rPr>
                <w:b/>
                <w:i/>
              </w:rPr>
              <w:t>την επιτυχία</w:t>
            </w:r>
            <w:r>
              <w:t xml:space="preserve"> της ΕτΠ όσον αφορά την απήχηση στα μέσα ενημέρωσης, όπως καταδεικνύεται από τους συνολικούς δείκτες μέτρησης για το 2023, όπως: 13 210 αναφορές στα μέσα ενημέρωσης, αύξηση κατά 129 % στους διαδικτυακούς επισκέπτες και αύξηση κατά 11 % στους ακόλουθους· σημειώνει ότι, όσον αφορά την ψηφιακή δέσμευση, η ΕτΠ δεν κατάφερε να επιτύχει τον στόχο της για το 2023· σημειώνει ότι, στο τέλος του 2023, η ΕτΠ είχε 200 000 ακόλουθους στα μέσα κοινωνικής δικτύωσης, δηλαδή 15 % περισσότερους από ό,τι το 2022, εκ των οποίων 57 603 ακόλουθοι (+5 %) στο X (πρώην Twitter), 61 170 (+5 %) στο Facebook, 68 613 (+31 %) στο LinkedIn και 15 392 (+47 %) στο Instagram·</w:t>
            </w:r>
          </w:p>
        </w:tc>
        <w:tc>
          <w:tcPr>
            <w:tcW w:w="4876" w:type="dxa"/>
            <w:tcBorders>
              <w:top w:val="nil"/>
              <w:left w:val="nil"/>
              <w:bottom w:val="nil"/>
              <w:right w:val="nil"/>
            </w:tcBorders>
          </w:tcPr>
          <w:p>
            <w:pPr>
              <w:pStyle w:val="Normal6a"/>
            </w:pPr>
            <w:r>
              <w:t>48.</w:t>
            </w:r>
            <w:r>
              <w:tab/>
            </w:r>
            <w:r>
              <w:t xml:space="preserve">σημειώνει </w:t>
            </w:r>
            <w:r>
              <w:rPr>
                <w:b/>
                <w:i/>
              </w:rPr>
              <w:t>τη σχετική αποτυχία</w:t>
            </w:r>
            <w:r>
              <w:t xml:space="preserve"> της ΕτΠ όσον αφορά την απήχηση στα μέσα ενημέρωσης, όπως καταδεικνύεται από τους συνολικούς δείκτες μέτρησης για το 2023, όπως: 13 210 αναφορές στα μέσα ενημέρωσης, αύξηση κατά 129 % στους διαδικτυακούς επισκέπτες και αύξηση κατά 11 % στους ακόλουθους· σημειώνει ότι, όσον αφορά την ψηφιακή δέσμευση, η ΕτΠ δεν κατάφερε να επιτύχει τον στόχο της για το 2023· σημειώνει ότι, στο τέλος του 2023, η ΕτΠ είχε 200 000 ακόλουθους στα μέσα κοινωνικής δικτύωσης, δηλαδή 15 % περισσότερους από ό,τι το 2022, εκ των οποίων 57 603 ακόλουθοι (+5 %) στο X (πρώην Twitter), 61 170 (+5 %) στο Facebook, 68 613 (+31 %) στο LinkedIn και 15 392 (+47 %) στο Instagram·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49α.</w:t>
            </w:r>
            <w:r>
              <w:tab/>
            </w:r>
            <w:r>
              <w:rPr>
                <w:b/>
                <w:i/>
              </w:rPr>
              <w:t>Προκειμένου να ενισχυθεί η οικονομική βιωσιμότητα και ανεξαρτησία της Επιτροπής των Περιφερειών, προτείνει στο συμβουλευτικό όργανο να μεταβεί σε ένα μοντέλο αυτοχρηματοδότησης που θα βασίζεται σε τέλη συνδρομής.</w:t>
            </w:r>
            <w:r>
              <w:t xml:space="preserve"> </w:t>
            </w:r>
            <w:r>
              <w:rPr>
                <w:b/>
                <w:i/>
              </w:rPr>
              <w:t>Τα τέλη αυτά θα επιβάλλονται σε διάφορους συμφεροντούχους, συμπεριλαμβανομένων των τοπικών και περιφερειακών αρχών (δηλαδή των περιφερειών, των κομητειών, των επαρχιών, των δήμων και των πόλεων), καθώς και σε άλλες οντότητες που συμμετέχουν ενεργά στις εργασίες της επιτροπής.</w:t>
            </w:r>
            <w:r>
              <w:t xml:space="preserve"> </w:t>
            </w:r>
            <w:r>
              <w:rPr>
                <w:b/>
                <w:i/>
              </w:rPr>
              <w:t>Η διάρθρωση των τελών θα είναι κλιμακωτή, με συντελεστές που αντικατοπτρίζουν το μέγεθος και το επίπεδο συμμετοχής των εγγεγραμμένων οντοτήτων.</w:t>
            </w:r>
            <w:r>
              <w:t xml:space="preserve"> </w:t>
            </w:r>
            <w:r>
              <w:rPr>
                <w:b/>
                <w:i/>
              </w:rPr>
              <w:t>Τα έσοδα που προκύπτουν θα χρησιμοποιούνται αποκλειστικά για λειτουργικές δαπάνες και οι ετήσιες οικονομικές εκθέσεις θα διασφαλίζουν τη διαφάνεια στη χρήση των πόρων.</w:t>
            </w:r>
            <w:r>
              <w:t xml:space="preserve"> </w:t>
            </w:r>
            <w:r>
              <w:rPr>
                <w:b/>
                <w:i/>
              </w:rPr>
              <w:t>Η σταδιακή εφαρμογή αυτού του μοντέλου αναμένεται να μειώσει σταδιακά την εξάρτηση από τον γενικό προϋπολογισμό της ΕΕ, με στόχο την πλήρη αυτάρκεια έως το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AM\1314479EL.docx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AM\1314479EL.docx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AM\1314479EL.docx</w:t>
    </w:r>
    <w:r>
      <w:rPr>
        <w:rStyle w:val="HideTWBExt"/>
      </w:rPr>
      <w:t>&lt;/PathFdR&gt;</w:t>
    </w:r>
    <w:r>
      <w:tab/>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11719</Words>
  <Characters>67378</Characters>
  <Application>Microsoft Office Word</Application>
  <DocSecurity>0</DocSecurity>
  <Lines>1</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1314479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129695</vt:lpwstr>
  </property>
  <property fmtid="{D5CDD505-2E9C-101B-9397-08002B2CF9AE}" pid="7" name="dmxml.render.traceId">
    <vt:lpwstr>67b491aee12409457c2b8ab8ca04dad4</vt:lpwstr>
  </property>
  <property fmtid="{D5CDD505-2E9C-101B-9397-08002B2CF9AE}" pid="8" name="FooterPath">
    <vt:lpwstr>AM\1314479EL.docx</vt:lpwstr>
  </property>
  <property fmtid="{D5CDD505-2E9C-101B-9397-08002B2CF9AE}" pid="9" name="PE Number">
    <vt:lpwstr>768.129</vt:lpwstr>
  </property>
  <property fmtid="{D5CDD505-2E9C-101B-9397-08002B2CF9AE}" pid="10" name="UID">
    <vt:lpwstr>eu.europa.europarl-DIN1-2025-0000018465_01.00-el-01.00_text-xml</vt:lpwstr>
  </property>
</Properties>
</file>