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357A5" w:rsidRPr="001C7FC9">
        <w:trPr>
          <w:trHeight w:hRule="exact" w:val="1417"/>
          <w:jc w:val="center"/>
        </w:trPr>
        <w:tc>
          <w:tcPr>
            <w:tcW w:w="6804" w:type="dxa"/>
            <w:tcBorders>
              <w:top w:val="nil"/>
              <w:left w:val="nil"/>
              <w:bottom w:val="nil"/>
              <w:right w:val="nil"/>
            </w:tcBorders>
            <w:vAlign w:val="center"/>
          </w:tcPr>
          <w:p w:rsidR="00D357A5" w:rsidRPr="001C7FC9" w:rsidRDefault="00280848">
            <w:pPr>
              <w:pStyle w:val="EPName"/>
            </w:pPr>
            <w:r w:rsidRPr="001C7FC9">
              <w:t>Euroopan parlamentti</w:t>
            </w:r>
          </w:p>
          <w:p w:rsidR="00D357A5" w:rsidRPr="001C7FC9" w:rsidRDefault="00280848">
            <w:pPr>
              <w:pStyle w:val="EPTerm"/>
            </w:pPr>
            <w:r w:rsidRPr="001C7FC9">
              <w:t>2024-2029</w:t>
            </w:r>
          </w:p>
        </w:tc>
        <w:tc>
          <w:tcPr>
            <w:tcW w:w="2268" w:type="dxa"/>
            <w:tcBorders>
              <w:top w:val="nil"/>
              <w:left w:val="nil"/>
              <w:bottom w:val="nil"/>
              <w:right w:val="nil"/>
            </w:tcBorders>
          </w:tcPr>
          <w:p w:rsidR="00D357A5" w:rsidRPr="001C7FC9" w:rsidRDefault="001C7FC9">
            <w:pPr>
              <w:pStyle w:val="EPLogo"/>
            </w:pPr>
            <w:r w:rsidRPr="001C7FC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65pt">
                  <v:imagedata r:id="rId9" o:title=""/>
                </v:shape>
              </w:pict>
            </w:r>
          </w:p>
        </w:tc>
      </w:tr>
    </w:tbl>
    <w:p w:rsidR="00D357A5" w:rsidRPr="001C7FC9" w:rsidRDefault="00D357A5">
      <w:pPr>
        <w:pStyle w:val="LineTop"/>
      </w:pPr>
    </w:p>
    <w:p w:rsidR="00D357A5" w:rsidRPr="001C7FC9" w:rsidRDefault="00280848">
      <w:pPr>
        <w:pStyle w:val="EPBody"/>
      </w:pPr>
      <w:r w:rsidRPr="001C7FC9">
        <w:rPr>
          <w:rStyle w:val="HideTWBExt"/>
        </w:rPr>
        <w:t>&lt;Commission&gt;</w:t>
      </w:r>
      <w:r w:rsidRPr="001C7FC9">
        <w:rPr>
          <w:rStyle w:val="HideTWBInt"/>
        </w:rPr>
        <w:t>{CONT}</w:t>
      </w:r>
      <w:r w:rsidRPr="001C7FC9">
        <w:t>Talousarvion valvontavaliokunta</w:t>
      </w:r>
      <w:r w:rsidRPr="001C7FC9">
        <w:rPr>
          <w:rStyle w:val="HideTWBExt"/>
        </w:rPr>
        <w:t>&lt;/Commission&gt;</w:t>
      </w:r>
    </w:p>
    <w:p w:rsidR="00D357A5" w:rsidRPr="001C7FC9" w:rsidRDefault="00D357A5">
      <w:pPr>
        <w:pStyle w:val="LineBottom"/>
      </w:pPr>
    </w:p>
    <w:p w:rsidR="00D357A5" w:rsidRPr="001C7FC9" w:rsidRDefault="00280848">
      <w:pPr>
        <w:pStyle w:val="CoverReference"/>
      </w:pPr>
      <w:r w:rsidRPr="001C7FC9">
        <w:rPr>
          <w:rStyle w:val="HideTWBExt"/>
        </w:rPr>
        <w:t>&lt;RefProc&gt;</w:t>
      </w:r>
      <w:r w:rsidRPr="001C7FC9">
        <w:t>2024/2026</w:t>
      </w:r>
      <w:r w:rsidRPr="001C7FC9">
        <w:rPr>
          <w:rStyle w:val="HideTWBExt"/>
        </w:rPr>
        <w:t>&lt;/RefProc&gt;&lt;RefTypeProc&gt;</w:t>
      </w:r>
      <w:r w:rsidRPr="001C7FC9">
        <w:t>(DEC)</w:t>
      </w:r>
      <w:r w:rsidRPr="001C7FC9">
        <w:rPr>
          <w:rStyle w:val="HideTWBExt"/>
        </w:rPr>
        <w:t>&lt;/RefTypeProc&gt;</w:t>
      </w:r>
    </w:p>
    <w:p w:rsidR="00D357A5" w:rsidRPr="001C7FC9" w:rsidRDefault="00280848">
      <w:pPr>
        <w:pStyle w:val="CoverDate"/>
      </w:pPr>
      <w:r w:rsidRPr="001C7FC9">
        <w:rPr>
          <w:rStyle w:val="HideTWBExt"/>
        </w:rPr>
        <w:t>&lt;Date&gt;</w:t>
      </w:r>
      <w:r w:rsidRPr="001C7FC9">
        <w:rPr>
          <w:rStyle w:val="HideTWBInt"/>
        </w:rPr>
        <w:t>{10/02/2025}</w:t>
      </w:r>
      <w:r w:rsidRPr="001C7FC9">
        <w:t>10.2.2025</w:t>
      </w:r>
      <w:r w:rsidRPr="001C7FC9">
        <w:rPr>
          <w:rStyle w:val="HideTWBExt"/>
        </w:rPr>
        <w:t>&lt;/Date&gt;</w:t>
      </w:r>
    </w:p>
    <w:p w:rsidR="00D357A5" w:rsidRPr="001C7FC9" w:rsidRDefault="00280848">
      <w:pPr>
        <w:pStyle w:val="CoverDocType"/>
      </w:pPr>
      <w:r w:rsidRPr="001C7FC9">
        <w:rPr>
          <w:rStyle w:val="HideTWBExt"/>
        </w:rPr>
        <w:t>&lt;TypeAM&gt;</w:t>
      </w:r>
      <w:r w:rsidRPr="001C7FC9">
        <w:t>TARKISTUKSET</w:t>
      </w:r>
      <w:r w:rsidRPr="001C7FC9">
        <w:rPr>
          <w:rStyle w:val="HideTWBExt"/>
        </w:rPr>
        <w:t>&lt;/TypeAM&gt;</w:t>
      </w:r>
    </w:p>
    <w:p w:rsidR="00D357A5" w:rsidRPr="001C7FC9" w:rsidRDefault="00280848">
      <w:pPr>
        <w:pStyle w:val="CoverDocType24a"/>
      </w:pPr>
      <w:r w:rsidRPr="001C7FC9">
        <w:rPr>
          <w:rStyle w:val="HideTWBExt"/>
        </w:rPr>
        <w:t>&lt;RangeAM&gt;</w:t>
      </w:r>
      <w:r w:rsidRPr="001C7FC9">
        <w:t>1 - 65</w:t>
      </w:r>
      <w:r w:rsidRPr="001C7FC9">
        <w:rPr>
          <w:rStyle w:val="HideTWBExt"/>
        </w:rPr>
        <w:t>&lt;/RangeAM&gt;</w:t>
      </w:r>
    </w:p>
    <w:p w:rsidR="00D357A5" w:rsidRPr="001C7FC9" w:rsidRDefault="00280848">
      <w:pPr>
        <w:pStyle w:val="CoverBold"/>
      </w:pPr>
      <w:r w:rsidRPr="001C7FC9">
        <w:rPr>
          <w:rStyle w:val="HideTWBExt"/>
        </w:rPr>
        <w:t>&lt;TitreType&gt;</w:t>
      </w:r>
      <w:r w:rsidRPr="001C7FC9">
        <w:t>Mietintöluonnos</w:t>
      </w:r>
      <w:r w:rsidRPr="001C7FC9">
        <w:rPr>
          <w:rStyle w:val="HideTWBExt"/>
        </w:rPr>
        <w:t>&lt;/TitreType&gt;</w:t>
      </w:r>
    </w:p>
    <w:p w:rsidR="00D357A5" w:rsidRPr="001C7FC9" w:rsidRDefault="00280848">
      <w:pPr>
        <w:pStyle w:val="CoverBold"/>
        <w:rPr>
          <w:lang w:val="pl-PL"/>
        </w:rPr>
      </w:pPr>
      <w:r w:rsidRPr="001C7FC9">
        <w:rPr>
          <w:rStyle w:val="HideTWBExt"/>
          <w:lang w:val="pl-PL"/>
        </w:rPr>
        <w:t>&lt;Rapporteur&gt;</w:t>
      </w:r>
      <w:r w:rsidRPr="001C7FC9">
        <w:rPr>
          <w:lang w:val="pl-PL"/>
        </w:rPr>
        <w:t>Joachim Stanisław Brudziński</w:t>
      </w:r>
      <w:r w:rsidRPr="001C7FC9">
        <w:rPr>
          <w:rStyle w:val="HideTWBExt"/>
          <w:lang w:val="pl-PL"/>
        </w:rPr>
        <w:t>&lt;/Rapporteur&gt;</w:t>
      </w:r>
    </w:p>
    <w:p w:rsidR="00D357A5" w:rsidRPr="001C7FC9" w:rsidRDefault="00280848">
      <w:pPr>
        <w:pStyle w:val="CoverNormal24a"/>
        <w:rPr>
          <w:lang w:val="pl-PL"/>
        </w:rPr>
      </w:pPr>
      <w:r w:rsidRPr="001C7FC9">
        <w:rPr>
          <w:rStyle w:val="HideTWBExt"/>
          <w:lang w:val="pl-PL"/>
        </w:rPr>
        <w:t>&lt;DocRefPE&gt;</w:t>
      </w:r>
      <w:r w:rsidRPr="001C7FC9">
        <w:rPr>
          <w:lang w:val="pl-PL"/>
        </w:rPr>
        <w:t>(PE764.992v01-00)</w:t>
      </w:r>
      <w:r w:rsidRPr="001C7FC9">
        <w:rPr>
          <w:rStyle w:val="HideTWBExt"/>
          <w:lang w:val="pl-PL"/>
        </w:rPr>
        <w:t>&lt;/DocRefPE&gt;</w:t>
      </w:r>
    </w:p>
    <w:p w:rsidR="00D357A5" w:rsidRPr="001C7FC9" w:rsidRDefault="00280848">
      <w:pPr>
        <w:pStyle w:val="CoverNormal"/>
      </w:pPr>
      <w:r w:rsidRPr="001C7FC9">
        <w:rPr>
          <w:rStyle w:val="HideTWBExt"/>
        </w:rPr>
        <w:t>&lt;Titre&gt;</w:t>
      </w:r>
      <w:r w:rsidRPr="001C7FC9">
        <w:t>Vastuuvapauden myöntäminen Euroopan unionin yleisen talousarvion toteuttamisesta varainhoitovuonna 2023, pääluokka VII – Alueiden komitea</w:t>
      </w:r>
      <w:r w:rsidRPr="001C7FC9">
        <w:rPr>
          <w:rStyle w:val="HideTWBExt"/>
        </w:rPr>
        <w:t>&lt;/Titre&gt;</w:t>
      </w:r>
    </w:p>
    <w:p w:rsidR="00D357A5" w:rsidRPr="001C7FC9" w:rsidRDefault="00280848">
      <w:pPr>
        <w:pStyle w:val="CoverNormal24a"/>
        <w:rPr>
          <w:lang w:val="de-DE"/>
        </w:rPr>
      </w:pPr>
      <w:r w:rsidRPr="001C7FC9">
        <w:rPr>
          <w:rStyle w:val="HideTWBExt"/>
          <w:lang w:val="de-DE"/>
        </w:rPr>
        <w:t>&lt;DocRef&gt;</w:t>
      </w:r>
      <w:r w:rsidRPr="001C7FC9">
        <w:rPr>
          <w:lang w:val="de-DE"/>
        </w:rPr>
        <w:t>(2024/2026(DEC))</w:t>
      </w:r>
      <w:r w:rsidRPr="001C7FC9">
        <w:rPr>
          <w:rStyle w:val="HideTWBExt"/>
          <w:lang w:val="de-DE"/>
        </w:rPr>
        <w:t>&lt;/DocRef&gt;</w:t>
      </w:r>
    </w:p>
    <w:p w:rsidR="00D357A5" w:rsidRPr="001C7FC9" w:rsidRDefault="00280848">
      <w:pPr>
        <w:rPr>
          <w:lang w:val="de-DE"/>
        </w:rPr>
      </w:pPr>
      <w:r w:rsidRPr="001C7FC9">
        <w:rPr>
          <w:lang w:val="de-DE"/>
        </w:rPr>
        <w:br w:type="page"/>
      </w:r>
      <w:r w:rsidRPr="001C7FC9">
        <w:rPr>
          <w:lang w:val="de-DE"/>
        </w:rPr>
        <w:lastRenderedPageBreak/>
        <w:t>AM_Com_NonLegReport</w:t>
      </w:r>
    </w:p>
    <w:p w:rsidR="00FB5EE8" w:rsidRPr="001C7FC9" w:rsidRDefault="00280848" w:rsidP="00FB5EE8">
      <w:pPr>
        <w:pStyle w:val="AmNumberTabs"/>
        <w:rPr>
          <w:lang w:val="de-DE"/>
        </w:rPr>
      </w:pPr>
      <w:r w:rsidRPr="001C7FC9">
        <w:rPr>
          <w:lang w:val="de-DE"/>
        </w:rPr>
        <w:br w:type="page"/>
      </w:r>
      <w:r w:rsidR="00FB5EE8" w:rsidRPr="001C7FC9">
        <w:rPr>
          <w:rStyle w:val="HideTWBExt"/>
          <w:b w:val="0"/>
          <w:lang w:val="de-DE"/>
        </w:rPr>
        <w:lastRenderedPageBreak/>
        <w:t>&lt;RepeatBlock-Amend&gt;</w:t>
      </w:r>
      <w:r w:rsidR="00FB5EE8" w:rsidRPr="001C7FC9">
        <w:rPr>
          <w:rStyle w:val="HideTWBExt"/>
          <w:lang w:val="de-DE"/>
        </w:rPr>
        <w:t>&lt;Amend&gt;</w:t>
      </w:r>
      <w:r w:rsidR="00FB5EE8" w:rsidRPr="001C7FC9">
        <w:rPr>
          <w:lang w:val="de-DE"/>
        </w:rPr>
        <w:t>Tarkistus</w:t>
      </w:r>
      <w:r w:rsidR="00FB5EE8" w:rsidRPr="001C7FC9">
        <w:rPr>
          <w:lang w:val="de-DE"/>
        </w:rPr>
        <w:tab/>
      </w:r>
      <w:r w:rsidR="00FB5EE8" w:rsidRPr="001C7FC9">
        <w:rPr>
          <w:lang w:val="de-DE"/>
        </w:rPr>
        <w:tab/>
      </w:r>
      <w:r w:rsidR="00FB5EE8" w:rsidRPr="001C7FC9">
        <w:rPr>
          <w:rStyle w:val="HideTWBExt"/>
          <w:lang w:val="de-DE"/>
        </w:rPr>
        <w:t>&lt;NumAm&gt;</w:t>
      </w:r>
      <w:r w:rsidR="00FB5EE8" w:rsidRPr="001C7FC9">
        <w:rPr>
          <w:lang w:val="de-DE"/>
        </w:rPr>
        <w:t>1</w:t>
      </w:r>
      <w:r w:rsidR="00FB5EE8" w:rsidRPr="001C7FC9">
        <w:rPr>
          <w:rStyle w:val="HideTWBExt"/>
          <w:lang w:val="de-DE"/>
        </w:rPr>
        <w:t>&lt;/NumAm&gt;</w:t>
      </w:r>
    </w:p>
    <w:p w:rsidR="00FB5EE8" w:rsidRPr="001C7FC9" w:rsidRDefault="00FB5EE8" w:rsidP="00FB5EE8">
      <w:pPr>
        <w:pStyle w:val="NormalBold"/>
      </w:pPr>
      <w:r w:rsidRPr="001C7FC9">
        <w:rPr>
          <w:rStyle w:val="HideTWBExt"/>
          <w:b w:val="0"/>
        </w:rPr>
        <w:t>&lt;RepeatBlock-By&gt;&lt;Members&gt;</w:t>
      </w:r>
      <w:r w:rsidRPr="001C7FC9">
        <w:t>Virginie Joron, Julien Sanchez</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Johdanto-osan B kappale</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B.</w:t>
            </w:r>
            <w:r w:rsidRPr="001C7FC9">
              <w:tab/>
              <w:t xml:space="preserve">ottaa huomioon, että alueiden komitea on poliittinen edustuselin, jonka 329 jäsentä on valittu vaaleilla unionin 27 jäsenvaltion alueilta, kaupungeista, kylistä ja kunnista, että se toimii unionin toimielinten neuvoa-antavana elimenä ja että sen tehtävänä on osallistua unionin politiikan muotoiluun ja päätöksentekoprosessiin paikallis- ja alueviranomaisten näkökulmasta </w:t>
            </w:r>
            <w:r w:rsidRPr="001C7FC9">
              <w:rPr>
                <w:b/>
                <w:i/>
              </w:rPr>
              <w:t>ja pyrkiä samalla tekemään unionista tehokkaampi ja tuomaan sitä lähemmäs kansalaisia</w:t>
            </w:r>
            <w:r w:rsidRPr="001C7FC9">
              <w:t>;</w:t>
            </w:r>
          </w:p>
        </w:tc>
        <w:tc>
          <w:tcPr>
            <w:tcW w:w="4876" w:type="dxa"/>
            <w:tcBorders>
              <w:top w:val="nil"/>
              <w:left w:val="nil"/>
              <w:bottom w:val="nil"/>
              <w:right w:val="nil"/>
            </w:tcBorders>
          </w:tcPr>
          <w:p w:rsidR="00FB5EE8" w:rsidRPr="001C7FC9" w:rsidRDefault="00FB5EE8" w:rsidP="00EC2C43">
            <w:pPr>
              <w:pStyle w:val="Normal6a"/>
            </w:pPr>
            <w:r w:rsidRPr="001C7FC9">
              <w:t>B.</w:t>
            </w:r>
            <w:r w:rsidRPr="001C7FC9">
              <w:tab/>
              <w:t>ottaa huomioon, että alueiden komitea on poliittinen edustuselin, jonka 329 jäsentä on valittu vaaleilla unionin 27 jäsenvaltion alueilta, kaupungeista, kylistä ja kunnista, että se toimii unionin toimielinten neuvoa-antavana elimenä ja että sen tehtävänä on osallistua unionin politiikan muotoiluun ja päätöksentekoprosessiin paikallis- ja alueviranomaisten näkökulmasta;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{FR}</w:t>
      </w:r>
      <w:r w:rsidRPr="001C7FC9">
        <w:t>fr</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2</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 Giuseppe Lupo</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Johdanto-osan H kappale</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H.</w:t>
            </w:r>
            <w:r w:rsidRPr="001C7FC9">
              <w:tab/>
              <w:t>ottaa huomioon, että unionin koheesiopolitiikkaa ja -rahoitusta vuosina 2021–2027 koskeva asetus (EU) 2021/1060</w:t>
            </w:r>
            <w:r w:rsidRPr="001C7FC9">
              <w:rPr>
                <w:vertAlign w:val="superscript"/>
              </w:rPr>
              <w:t>2</w:t>
            </w:r>
            <w:r w:rsidRPr="001C7FC9">
              <w:t>, joka tuli voimaan heinäkuussa 2021, sisältää viittauksia kumppanuuden ja monitasoisen hallinnon periaatteeseen, jota komitea ja parlamentti tukevat ja johon sisältyy alueiden osallistuminen;</w:t>
            </w:r>
          </w:p>
        </w:tc>
        <w:tc>
          <w:tcPr>
            <w:tcW w:w="4876" w:type="dxa"/>
            <w:tcBorders>
              <w:top w:val="nil"/>
              <w:left w:val="nil"/>
              <w:bottom w:val="nil"/>
              <w:right w:val="nil"/>
            </w:tcBorders>
          </w:tcPr>
          <w:p w:rsidR="00FB5EE8" w:rsidRPr="001C7FC9" w:rsidRDefault="00FB5EE8" w:rsidP="00EC2C43">
            <w:pPr>
              <w:pStyle w:val="Normal6a"/>
            </w:pPr>
            <w:r w:rsidRPr="001C7FC9">
              <w:t>H.</w:t>
            </w:r>
            <w:r w:rsidRPr="001C7FC9">
              <w:tab/>
              <w:t>ottaa huomioon, että unionin koheesiopolitiikkaa ja -rahoitusta vuosina 2021–2027 koskeva asetus (EU) 2021/1060</w:t>
            </w:r>
            <w:r w:rsidRPr="001C7FC9">
              <w:rPr>
                <w:vertAlign w:val="superscript"/>
              </w:rPr>
              <w:t>2</w:t>
            </w:r>
            <w:r w:rsidRPr="001C7FC9">
              <w:t xml:space="preserve">, joka tuli voimaan heinäkuussa 2021, sisältää viittauksia kumppanuuden ja monitasoisen hallinnon periaatteeseen, jota komitea ja parlamentti tukevat ja johon sisältyy alueiden </w:t>
            </w:r>
            <w:r w:rsidRPr="001C7FC9">
              <w:rPr>
                <w:b/>
                <w:i/>
              </w:rPr>
              <w:t>ja niiden paikallis- ja alueviranomaisten</w:t>
            </w:r>
            <w:r w:rsidRPr="001C7FC9">
              <w:t xml:space="preserve"> osallistuminen; </w:t>
            </w:r>
            <w:r w:rsidRPr="001C7FC9">
              <w:rPr>
                <w:b/>
                <w:i/>
              </w:rPr>
              <w:t>tukee voimakkaasti alueelliseen ja paikalliseen resilienssiin liittyvien EU:n investointien lisäämistä seuraavassa monivuotisessa rahoituskehyksessä;</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rPr>
                <w:b/>
                <w:i/>
              </w:rPr>
              <w:t>_________________</w:t>
            </w:r>
          </w:p>
        </w:tc>
        <w:tc>
          <w:tcPr>
            <w:tcW w:w="4876" w:type="dxa"/>
            <w:tcBorders>
              <w:top w:val="nil"/>
              <w:left w:val="nil"/>
              <w:bottom w:val="nil"/>
              <w:right w:val="nil"/>
            </w:tcBorders>
          </w:tcPr>
          <w:p w:rsidR="00FB5EE8" w:rsidRPr="001C7FC9" w:rsidRDefault="00FB5EE8" w:rsidP="00EC2C43">
            <w:pPr>
              <w:pStyle w:val="Normal6a"/>
            </w:pPr>
            <w:r w:rsidRPr="001C7FC9">
              <w:rPr>
                <w:b/>
                <w:i/>
              </w:rPr>
              <w:t>_________________</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rPr>
                <w:vertAlign w:val="superscript"/>
              </w:rPr>
              <w:lastRenderedPageBreak/>
              <w:t>2</w:t>
            </w:r>
            <w:r w:rsidRPr="001C7FC9">
              <w:t xml:space="preserve"> Euroopan parlamentin ja neuvoston asetus (EU) 2021/1060, annettu 24.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 ELI: http://data.europa.eu/eli/reg/2021/1060/2024-06-30).</w:t>
            </w:r>
          </w:p>
        </w:tc>
        <w:tc>
          <w:tcPr>
            <w:tcW w:w="4876" w:type="dxa"/>
            <w:tcBorders>
              <w:top w:val="nil"/>
              <w:left w:val="nil"/>
              <w:bottom w:val="nil"/>
              <w:right w:val="nil"/>
            </w:tcBorders>
          </w:tcPr>
          <w:p w:rsidR="00FB5EE8" w:rsidRPr="001C7FC9" w:rsidRDefault="00FB5EE8" w:rsidP="00EC2C43">
            <w:pPr>
              <w:pStyle w:val="Normal6a"/>
            </w:pPr>
            <w:r w:rsidRPr="001C7FC9">
              <w:rPr>
                <w:vertAlign w:val="superscript"/>
              </w:rPr>
              <w:t>2</w:t>
            </w:r>
            <w:r w:rsidRPr="001C7FC9">
              <w:t xml:space="preserve"> Euroopan parlamentin ja neuvoston asetus (EU) 2021/1060, annettu 24.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 ELI: http://data.europa.eu/eli/reg/2021/1060/2024-06-30).</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3</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Johdanto-osan I kappale</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I.</w:t>
            </w:r>
            <w:r w:rsidRPr="001C7FC9">
              <w:tab/>
              <w:t xml:space="preserve">ottaa huomioon, että yli neljästäsadasta kansallisesta ja alueellisesta ohjelmasta, joilla toteutetaan unionin koheesiopolitiikkaa ohjelmakaudella 2021–2027, saadaan käyttöön noin 380 miljardia euroa eri rahastoista, jotta voidaan vastata unionin alueiden </w:t>
            </w:r>
            <w:r w:rsidRPr="001C7FC9">
              <w:rPr>
                <w:b/>
                <w:i/>
              </w:rPr>
              <w:t>ja</w:t>
            </w:r>
            <w:r w:rsidRPr="001C7FC9">
              <w:t xml:space="preserve"> kaupunkien taloudellisiin, sosiaalisiin ja ympäristöön liittyviin haasteisiin;</w:t>
            </w:r>
          </w:p>
        </w:tc>
        <w:tc>
          <w:tcPr>
            <w:tcW w:w="4876" w:type="dxa"/>
            <w:tcBorders>
              <w:top w:val="nil"/>
              <w:left w:val="nil"/>
              <w:bottom w:val="nil"/>
              <w:right w:val="nil"/>
            </w:tcBorders>
          </w:tcPr>
          <w:p w:rsidR="00FB5EE8" w:rsidRPr="001C7FC9" w:rsidRDefault="00FB5EE8" w:rsidP="00EC2C43">
            <w:pPr>
              <w:pStyle w:val="Normal6a"/>
            </w:pPr>
            <w:r w:rsidRPr="001C7FC9">
              <w:t>I.</w:t>
            </w:r>
            <w:r w:rsidRPr="001C7FC9">
              <w:tab/>
              <w:t>ottaa huomioon, että yli neljästäsadasta kansallisesta ja alueellisesta ohjelmasta, joilla toteutetaan unionin koheesiopolitiikkaa ohjelmakaudella 2021–2027, saadaan käyttöön noin 380 miljardia euroa eri rahastoista, jotta voidaan vastata unionin alueiden</w:t>
            </w:r>
            <w:r w:rsidRPr="001C7FC9">
              <w:rPr>
                <w:b/>
                <w:i/>
              </w:rPr>
              <w:t>,</w:t>
            </w:r>
            <w:r w:rsidRPr="001C7FC9">
              <w:t xml:space="preserve"> kaupunkien</w:t>
            </w:r>
            <w:r w:rsidRPr="001C7FC9">
              <w:rPr>
                <w:b/>
                <w:i/>
              </w:rPr>
              <w:t>, kylien ja kuntien</w:t>
            </w:r>
            <w:r w:rsidRPr="001C7FC9">
              <w:t xml:space="preserve"> taloudellisiin, sosiaalisiin ja ympäristöön liittyviin haasteisiin;</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1C7FC9">
      <w:pPr>
        <w:pStyle w:val="AmNumberTabs"/>
        <w:keepNext/>
        <w:keepLines/>
        <w:widowControl/>
      </w:pPr>
      <w:r w:rsidRPr="001C7FC9">
        <w:rPr>
          <w:rStyle w:val="HideTWBExt"/>
        </w:rPr>
        <w:t>&lt;Amend&gt;</w:t>
      </w:r>
      <w:r w:rsidRPr="001C7FC9">
        <w:t>Tarkistus</w:t>
      </w:r>
      <w:r w:rsidRPr="001C7FC9">
        <w:tab/>
      </w:r>
      <w:r w:rsidRPr="001C7FC9">
        <w:tab/>
      </w:r>
      <w:r w:rsidRPr="001C7FC9">
        <w:rPr>
          <w:rStyle w:val="HideTWBExt"/>
        </w:rPr>
        <w:t>&lt;NumAm&gt;</w:t>
      </w:r>
      <w:r w:rsidRPr="001C7FC9">
        <w:t>4</w:t>
      </w:r>
      <w:r w:rsidRPr="001C7FC9">
        <w:rPr>
          <w:rStyle w:val="HideTWBExt"/>
        </w:rPr>
        <w:t>&lt;/NumAm&gt;</w:t>
      </w:r>
    </w:p>
    <w:p w:rsidR="00FB5EE8" w:rsidRPr="001C7FC9" w:rsidRDefault="00FB5EE8" w:rsidP="001C7FC9">
      <w:pPr>
        <w:pStyle w:val="NormalBold"/>
        <w:keepNext/>
        <w:keepLines/>
        <w:widowControl/>
      </w:pPr>
      <w:r w:rsidRPr="001C7FC9">
        <w:rPr>
          <w:rStyle w:val="HideTWBExt"/>
          <w:b w:val="0"/>
        </w:rPr>
        <w:t>&lt;RepeatBlock-By&gt;&lt;Members&gt;</w:t>
      </w:r>
      <w:r w:rsidRPr="001C7FC9">
        <w:t>Caterina Chinnici</w:t>
      </w:r>
      <w:r w:rsidRPr="001C7FC9">
        <w:rPr>
          <w:rStyle w:val="HideTWBExt"/>
          <w:b w:val="0"/>
        </w:rPr>
        <w:t>&lt;/Members&gt;</w:t>
      </w:r>
    </w:p>
    <w:p w:rsidR="00FB5EE8" w:rsidRPr="001C7FC9" w:rsidRDefault="00FB5EE8" w:rsidP="001C7FC9">
      <w:pPr>
        <w:pStyle w:val="NormalBold"/>
        <w:keepNext/>
        <w:keepLines/>
        <w:widowControl/>
      </w:pPr>
      <w:r w:rsidRPr="001C7FC9">
        <w:rPr>
          <w:rStyle w:val="HideTWBExt"/>
          <w:b w:val="0"/>
        </w:rPr>
        <w:t>&lt;/RepeatBlock-By&gt;</w:t>
      </w:r>
    </w:p>
    <w:p w:rsidR="00FB5EE8" w:rsidRPr="001C7FC9" w:rsidRDefault="00FB5EE8" w:rsidP="001C7FC9">
      <w:pPr>
        <w:pStyle w:val="NormalBold"/>
        <w:keepNext/>
        <w:keepLines/>
        <w:widowControl/>
      </w:pPr>
      <w:r w:rsidRPr="001C7FC9">
        <w:rPr>
          <w:rStyle w:val="HideTWBExt"/>
        </w:rPr>
        <w:lastRenderedPageBreak/>
        <w:t>&lt;DocAmend&gt;</w:t>
      </w:r>
      <w:r w:rsidRPr="001C7FC9">
        <w:t>Päätöslauselmaesitys</w:t>
      </w:r>
      <w:r w:rsidRPr="001C7FC9">
        <w:rPr>
          <w:rStyle w:val="HideTWBExt"/>
        </w:rPr>
        <w:t>&lt;/DocAmend&gt;</w:t>
      </w:r>
    </w:p>
    <w:p w:rsidR="00FB5EE8" w:rsidRPr="001C7FC9" w:rsidRDefault="00FB5EE8" w:rsidP="001C7FC9">
      <w:pPr>
        <w:pStyle w:val="NormalBold"/>
        <w:keepNext/>
        <w:keepLines/>
        <w:widowControl/>
      </w:pPr>
      <w:r w:rsidRPr="001C7FC9">
        <w:rPr>
          <w:rStyle w:val="HideTWBExt"/>
        </w:rPr>
        <w:t>&lt;Article&gt;</w:t>
      </w:r>
      <w:r w:rsidRPr="001C7FC9">
        <w:t>4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4.</w:t>
            </w:r>
            <w:r w:rsidRPr="001C7FC9">
              <w:tab/>
            </w:r>
            <w:r w:rsidRPr="001C7FC9">
              <w:rPr>
                <w:b/>
                <w:bCs/>
                <w:i/>
                <w:iCs/>
              </w:rPr>
              <w:t>panee kertomuksesta merkille</w:t>
            </w:r>
            <w:r w:rsidRPr="001C7FC9">
              <w:t xml:space="preserve"> tilintarkastustuomioistuimen </w:t>
            </w:r>
            <w:r w:rsidRPr="001C7FC9">
              <w:rPr>
                <w:b/>
                <w:bCs/>
                <w:i/>
                <w:iCs/>
              </w:rPr>
              <w:t>lausunnon</w:t>
            </w:r>
            <w:r w:rsidRPr="001C7FC9">
              <w:t>, jonka mukaan kiinteistöjen kunnossapitoa koskevan sopimuksen 10 vuoden kestoa ei ollut perusteltu riittävällä tavalla yhdessä komitean vuonna 2023 toteuttamassa tapahtumassa;</w:t>
            </w:r>
          </w:p>
        </w:tc>
        <w:tc>
          <w:tcPr>
            <w:tcW w:w="4876" w:type="dxa"/>
            <w:tcBorders>
              <w:top w:val="nil"/>
              <w:left w:val="nil"/>
              <w:bottom w:val="nil"/>
              <w:right w:val="nil"/>
            </w:tcBorders>
          </w:tcPr>
          <w:p w:rsidR="00FB5EE8" w:rsidRPr="001C7FC9" w:rsidRDefault="00FB5EE8" w:rsidP="00EC2C43">
            <w:pPr>
              <w:pStyle w:val="Normal6a"/>
            </w:pPr>
            <w:r w:rsidRPr="001C7FC9">
              <w:t>4.</w:t>
            </w:r>
            <w:r w:rsidRPr="001C7FC9">
              <w:tab/>
            </w:r>
            <w:r w:rsidRPr="001C7FC9">
              <w:rPr>
                <w:b/>
                <w:i/>
              </w:rPr>
              <w:t>pitää kertomuksessa valitettavana</w:t>
            </w:r>
            <w:r w:rsidRPr="001C7FC9">
              <w:t xml:space="preserve"> tilintarkastustuomioistuimen </w:t>
            </w:r>
            <w:r w:rsidRPr="001C7FC9">
              <w:rPr>
                <w:b/>
                <w:i/>
              </w:rPr>
              <w:t>lausuntoa</w:t>
            </w:r>
            <w:r w:rsidRPr="001C7FC9">
              <w:t>, jonka mukaan kiinteistöjen kunnossapitoa koskevan sopimuksen 10 vuoden kestoa ei ollut perusteltu riittävällä tavalla yhdessä komitean vuonna 2023 toteuttamassa tapahtumassa;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5</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Virginie Joron, Tamás Deutsch, Julien Sanchez</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7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7.</w:t>
            </w:r>
            <w:r w:rsidRPr="001C7FC9">
              <w:tab/>
            </w:r>
            <w:r w:rsidRPr="001C7FC9">
              <w:rPr>
                <w:b/>
                <w:i/>
              </w:rPr>
              <w:t>panee merkille</w:t>
            </w:r>
            <w:r w:rsidRPr="001C7FC9">
              <w:t>, että komitean jäsenille suoritetut maksut lisääntyivät vuosien 2022 ja 2023 välillä noin 20 prosentilla 6 573 307 eurosta 7 955 968 euroon, ja toteaa, että maksut koskivat matkakuluja (8 119 maksua), matkapäivärahaa (4 449 maksua), lähikokouspäivärahaa (7 845 maksua) ja etäkokouspäivärahaa (152 maksua);</w:t>
            </w:r>
          </w:p>
        </w:tc>
        <w:tc>
          <w:tcPr>
            <w:tcW w:w="4876" w:type="dxa"/>
            <w:tcBorders>
              <w:top w:val="nil"/>
              <w:left w:val="nil"/>
              <w:bottom w:val="nil"/>
              <w:right w:val="nil"/>
            </w:tcBorders>
          </w:tcPr>
          <w:p w:rsidR="00FB5EE8" w:rsidRPr="001C7FC9" w:rsidRDefault="00FB5EE8" w:rsidP="00EC2C43">
            <w:pPr>
              <w:pStyle w:val="Normal6a"/>
            </w:pPr>
            <w:r w:rsidRPr="001C7FC9">
              <w:t>7.</w:t>
            </w:r>
            <w:r w:rsidRPr="001C7FC9">
              <w:tab/>
            </w:r>
            <w:r w:rsidRPr="001C7FC9">
              <w:rPr>
                <w:b/>
                <w:i/>
              </w:rPr>
              <w:t>pitää valitettavana</w:t>
            </w:r>
            <w:r w:rsidRPr="001C7FC9">
              <w:t>, että komitean jäsenille suoritetut maksut lisääntyivät vuosien 2022 ja 2023 välillä noin 20 prosentilla 6 573 307 eurosta 7 955 968 euroon, ja toteaa, että maksut koskivat matkakuluja (8 119 maksua), matkapäivärahaa (4 449 maksua), lähikokouspäivärahaa (7 845 maksua) ja etäkokouspäivärahaa (152 maksua);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{FR}</w:t>
      </w:r>
      <w:r w:rsidRPr="001C7FC9">
        <w:t>fr</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1C7FC9">
      <w:pPr>
        <w:pStyle w:val="AmNumberTabs"/>
        <w:keepNext/>
        <w:keepLines/>
        <w:widowControl/>
      </w:pPr>
      <w:r w:rsidRPr="001C7FC9">
        <w:rPr>
          <w:rStyle w:val="HideTWBExt"/>
        </w:rPr>
        <w:t>&lt;Amend&gt;</w:t>
      </w:r>
      <w:r w:rsidRPr="001C7FC9">
        <w:t>Tarkistus</w:t>
      </w:r>
      <w:r w:rsidRPr="001C7FC9">
        <w:tab/>
      </w:r>
      <w:r w:rsidRPr="001C7FC9">
        <w:tab/>
      </w:r>
      <w:r w:rsidRPr="001C7FC9">
        <w:rPr>
          <w:rStyle w:val="HideTWBExt"/>
        </w:rPr>
        <w:t>&lt;NumAm&gt;</w:t>
      </w:r>
      <w:r w:rsidRPr="001C7FC9">
        <w:t>6</w:t>
      </w:r>
      <w:r w:rsidRPr="001C7FC9">
        <w:rPr>
          <w:rStyle w:val="HideTWBExt"/>
        </w:rPr>
        <w:t>&lt;/NumAm&gt;</w:t>
      </w:r>
    </w:p>
    <w:p w:rsidR="00FB5EE8" w:rsidRPr="001C7FC9" w:rsidRDefault="00FB5EE8" w:rsidP="001C7FC9">
      <w:pPr>
        <w:pStyle w:val="NormalBold"/>
        <w:keepNext/>
        <w:keepLines/>
        <w:widowControl/>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1C7FC9">
      <w:pPr>
        <w:pStyle w:val="NormalBold"/>
        <w:keepNext/>
        <w:keepLines/>
        <w:widowControl/>
      </w:pPr>
      <w:r w:rsidRPr="001C7FC9">
        <w:rPr>
          <w:rStyle w:val="HideTWBExt"/>
          <w:b w:val="0"/>
        </w:rPr>
        <w:t>&lt;/RepeatBlock-By&gt;</w:t>
      </w:r>
    </w:p>
    <w:p w:rsidR="00FB5EE8" w:rsidRPr="001C7FC9" w:rsidRDefault="00FB5EE8" w:rsidP="001C7FC9">
      <w:pPr>
        <w:pStyle w:val="NormalBold"/>
        <w:keepNext/>
        <w:keepLines/>
        <w:widowControl/>
      </w:pPr>
      <w:r w:rsidRPr="001C7FC9">
        <w:rPr>
          <w:rStyle w:val="HideTWBExt"/>
        </w:rPr>
        <w:t>&lt;DocAmend&gt;</w:t>
      </w:r>
      <w:r w:rsidRPr="001C7FC9">
        <w:t>Päätöslauselmaesitys</w:t>
      </w:r>
      <w:r w:rsidRPr="001C7FC9">
        <w:rPr>
          <w:rStyle w:val="HideTWBExt"/>
        </w:rPr>
        <w:t>&lt;/DocAmend&gt;</w:t>
      </w:r>
    </w:p>
    <w:p w:rsidR="00FB5EE8" w:rsidRPr="001C7FC9" w:rsidRDefault="00FB5EE8" w:rsidP="001C7FC9">
      <w:pPr>
        <w:pStyle w:val="NormalBold"/>
        <w:keepNext/>
        <w:keepLines/>
        <w:widowControl/>
      </w:pPr>
      <w:r w:rsidRPr="001C7FC9">
        <w:rPr>
          <w:rStyle w:val="HideTWBExt"/>
        </w:rPr>
        <w:t>&lt;Article&gt;</w:t>
      </w:r>
      <w:r w:rsidRPr="001C7FC9">
        <w:t>8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1C7FC9">
            <w:pPr>
              <w:keepNext/>
              <w:keepLines/>
              <w:widowControl/>
            </w:pPr>
          </w:p>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1C7FC9">
            <w:pPr>
              <w:pStyle w:val="AmColumnHeading"/>
              <w:keepNext/>
              <w:keepLines/>
              <w:widowControl/>
            </w:pPr>
            <w:r w:rsidRPr="001C7FC9">
              <w:t>Päätöslauselmaesitys</w:t>
            </w:r>
          </w:p>
        </w:tc>
        <w:tc>
          <w:tcPr>
            <w:tcW w:w="4876" w:type="dxa"/>
            <w:tcBorders>
              <w:top w:val="nil"/>
              <w:left w:val="nil"/>
              <w:bottom w:val="nil"/>
              <w:right w:val="nil"/>
            </w:tcBorders>
          </w:tcPr>
          <w:p w:rsidR="00FB5EE8" w:rsidRPr="001C7FC9" w:rsidRDefault="00FB5EE8" w:rsidP="001C7FC9">
            <w:pPr>
              <w:pStyle w:val="AmColumnHeading"/>
              <w:keepNext/>
              <w:keepLines/>
              <w:widowControl/>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8.</w:t>
            </w:r>
            <w:r w:rsidRPr="001C7FC9">
              <w:tab/>
              <w:t xml:space="preserve">panee merkille, että virkamatkojen </w:t>
            </w:r>
            <w:r w:rsidRPr="001C7FC9">
              <w:lastRenderedPageBreak/>
              <w:t>talousarvio (kyseisen vuoden määrärahat) pysyi vakaana ja oli 420 833 euroa vuonna 2023 (419 657 euroa vuonna 2022) ja sen toteutusaste oli noin 80 prosenttia vuonna 2023 (sama kuin vuonna 2022); panee merkille, että keskimääräisten majoitus- ja matkakustannusten kasvusta huolimatta komitean virkamatkojen talousarvio pysyi vakaana, koska vuonna 2023 virkamatkoja tehtiin 13 prosenttia vähemmän kuin vuonna 2022;</w:t>
            </w:r>
          </w:p>
        </w:tc>
        <w:tc>
          <w:tcPr>
            <w:tcW w:w="4876" w:type="dxa"/>
            <w:tcBorders>
              <w:top w:val="nil"/>
              <w:left w:val="nil"/>
              <w:bottom w:val="nil"/>
              <w:right w:val="nil"/>
            </w:tcBorders>
          </w:tcPr>
          <w:p w:rsidR="00FB5EE8" w:rsidRPr="001C7FC9" w:rsidRDefault="00FB5EE8" w:rsidP="00EC2C43">
            <w:pPr>
              <w:pStyle w:val="Normal6a"/>
            </w:pPr>
            <w:r w:rsidRPr="001C7FC9">
              <w:lastRenderedPageBreak/>
              <w:t>8.</w:t>
            </w:r>
            <w:r w:rsidRPr="001C7FC9">
              <w:tab/>
              <w:t xml:space="preserve">panee merkille, että virkamatkojen </w:t>
            </w:r>
            <w:r w:rsidRPr="001C7FC9">
              <w:lastRenderedPageBreak/>
              <w:t xml:space="preserve">talousarvio (kyseisen vuoden määrärahat) pysyi vakaana ja oli 420 833 euroa vuonna 2023 (419 657 euroa vuonna 2022) ja sen toteutusaste oli noin 80 prosenttia vuonna 2023 (sama kuin vuonna 2022); panee merkille, että keskimääräisten majoitus- ja matkakustannusten kasvusta huolimatta komitean virkamatkojen talousarvio pysyi vakaana, koska vuonna 2023 virkamatkoja tehtiin 13 prosenttia vähemmän kuin vuonna 2022; </w:t>
            </w:r>
            <w:r w:rsidRPr="001C7FC9">
              <w:rPr>
                <w:b/>
                <w:i/>
              </w:rPr>
              <w:t>panee tyytyväisenä merkille, että yleisestä jäsenten kuluihin varatusta talousarviosta rahoitettavat komitean puheenjohtajiston (puheenjohtaja ja ensimmäinen varapuheenjohtaja) matka- ja kokouskulukorvaukset vähenivät 71 810 eurosta 62 268 euroon eli 13 prosenttia vuosien 2022 ja 2023 välillä; kannustaa komiteaa järkeistämään ja vähentämään edelleen tämän alan menoja ja varmistamaan varojen optimaalisen kohdentamisen moitteettoman varainhoidon periaatteiden mukaisesti;</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7</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Tomáš Zdechovský</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9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9.</w:t>
            </w:r>
            <w:r w:rsidRPr="001C7FC9">
              <w:tab/>
              <w:t>panee merkille, että tulkkauspalveluihin tarkoitetut kyseisen vuoden määrärahat kasvoivat vuosien 2022 ja 2023 välillä noin 19 prosenttia 3,494 miljoonasta eurosta 4,167 miljoonaan euroon; pyytää komiteaa selittämään syyt tähän lisäykseen, koska komitea on samaan aikaan raportoinut etätulkkauksen käyttöön liittyvistä säästöistä vuonna 2023;</w:t>
            </w:r>
          </w:p>
        </w:tc>
        <w:tc>
          <w:tcPr>
            <w:tcW w:w="4876" w:type="dxa"/>
            <w:tcBorders>
              <w:top w:val="nil"/>
              <w:left w:val="nil"/>
              <w:bottom w:val="nil"/>
              <w:right w:val="nil"/>
            </w:tcBorders>
          </w:tcPr>
          <w:p w:rsidR="00FB5EE8" w:rsidRPr="001C7FC9" w:rsidRDefault="00FB5EE8" w:rsidP="00EC2C43">
            <w:pPr>
              <w:pStyle w:val="Normal6a"/>
            </w:pPr>
            <w:r w:rsidRPr="001C7FC9">
              <w:t>9.</w:t>
            </w:r>
            <w:r w:rsidRPr="001C7FC9">
              <w:tab/>
              <w:t xml:space="preserve">Panee </w:t>
            </w:r>
            <w:r w:rsidRPr="001C7FC9">
              <w:rPr>
                <w:b/>
                <w:i/>
              </w:rPr>
              <w:t>huolestuneena</w:t>
            </w:r>
            <w:r w:rsidRPr="001C7FC9">
              <w:t xml:space="preserve"> merkille, että tulkkauspalveluihin tarkoitetut kyseisen vuoden määrärahat kasvoivat vuosien 2022 ja 2023 välillä noin 19 prosenttia 3,494 miljoonasta eurosta 4,167 miljoonaan euroon; pyytää komiteaa selittämään syyt tähän lisäykseen, koska komitea on samaan aikaan raportoinut etätulkkauksen käyttöön liittyvistä säästöistä vuonna 2023;</w:t>
            </w:r>
          </w:p>
        </w:tc>
      </w:tr>
    </w:tbl>
    <w:p w:rsidR="00FB5EE8" w:rsidRPr="001C7FC9" w:rsidRDefault="00FB5EE8" w:rsidP="00FB5EE8">
      <w:pPr>
        <w:pStyle w:val="AmOrLang"/>
        <w:rPr>
          <w:lang w:val="fr-FR"/>
        </w:rPr>
      </w:pPr>
      <w:r w:rsidRPr="001C7FC9">
        <w:rPr>
          <w:lang w:val="fr-FR"/>
        </w:rPr>
        <w:lastRenderedPageBreak/>
        <w:t xml:space="preserve">Or. </w:t>
      </w:r>
      <w:r w:rsidRPr="001C7FC9">
        <w:rPr>
          <w:rStyle w:val="HideTWBExt"/>
          <w:lang w:val="fr-FR"/>
        </w:rPr>
        <w:t>&lt;Original&gt;</w:t>
      </w:r>
      <w:r w:rsidRPr="001C7FC9">
        <w:rPr>
          <w:rStyle w:val="HideTWBInt"/>
          <w:lang w:val="fr-FR"/>
        </w:rPr>
        <w:t>{EN}</w:t>
      </w:r>
      <w:r w:rsidRPr="001C7FC9">
        <w:rPr>
          <w:lang w:val="fr-FR"/>
        </w:rPr>
        <w:t>en</w:t>
      </w:r>
      <w:r w:rsidRPr="001C7FC9">
        <w:rPr>
          <w:rStyle w:val="HideTWBExt"/>
          <w:lang w:val="fr-FR"/>
        </w:rPr>
        <w:t>&lt;/Original&gt;</w:t>
      </w:r>
    </w:p>
    <w:p w:rsidR="00FB5EE8" w:rsidRPr="001C7FC9" w:rsidRDefault="00FB5EE8" w:rsidP="00FB5EE8">
      <w:pPr>
        <w:rPr>
          <w:lang w:val="fr-FR"/>
        </w:rPr>
      </w:pPr>
      <w:r w:rsidRPr="001C7FC9">
        <w:rPr>
          <w:rStyle w:val="HideTWBExt"/>
          <w:lang w:val="fr-FR"/>
        </w:rPr>
        <w:t>&lt;/Amend&gt;</w:t>
      </w:r>
    </w:p>
    <w:p w:rsidR="00FB5EE8" w:rsidRPr="001C7FC9" w:rsidRDefault="00FB5EE8" w:rsidP="00FB5EE8">
      <w:pPr>
        <w:pStyle w:val="AmNumberTabs"/>
        <w:rPr>
          <w:lang w:val="fr-FR"/>
        </w:rPr>
      </w:pPr>
      <w:r w:rsidRPr="001C7FC9">
        <w:rPr>
          <w:rStyle w:val="HideTWBExt"/>
          <w:lang w:val="fr-FR"/>
        </w:rPr>
        <w:t>&lt;Amend&gt;</w:t>
      </w:r>
      <w:r w:rsidRPr="001C7FC9">
        <w:rPr>
          <w:lang w:val="fr-FR"/>
        </w:rPr>
        <w:t>Tarkistus</w:t>
      </w:r>
      <w:r w:rsidRPr="001C7FC9">
        <w:rPr>
          <w:lang w:val="fr-FR"/>
        </w:rPr>
        <w:tab/>
      </w:r>
      <w:r w:rsidRPr="001C7FC9">
        <w:rPr>
          <w:lang w:val="fr-FR"/>
        </w:rPr>
        <w:tab/>
      </w:r>
      <w:r w:rsidRPr="001C7FC9">
        <w:rPr>
          <w:rStyle w:val="HideTWBExt"/>
          <w:lang w:val="fr-FR"/>
        </w:rPr>
        <w:t>&lt;NumAm&gt;</w:t>
      </w:r>
      <w:r w:rsidRPr="001C7FC9">
        <w:rPr>
          <w:lang w:val="fr-FR"/>
        </w:rPr>
        <w:t>8</w:t>
      </w:r>
      <w:r w:rsidRPr="001C7FC9">
        <w:rPr>
          <w:rStyle w:val="HideTWBExt"/>
          <w:lang w:val="fr-FR"/>
        </w:rPr>
        <w:t>&lt;/NumAm&gt;</w:t>
      </w:r>
    </w:p>
    <w:p w:rsidR="00FB5EE8" w:rsidRPr="001C7FC9" w:rsidRDefault="00FB5EE8" w:rsidP="00FB5EE8">
      <w:pPr>
        <w:pStyle w:val="NormalBold"/>
        <w:rPr>
          <w:lang w:val="fr-FR"/>
        </w:rPr>
      </w:pPr>
      <w:r w:rsidRPr="001C7FC9">
        <w:rPr>
          <w:rStyle w:val="HideTWBExt"/>
          <w:b w:val="0"/>
          <w:lang w:val="fr-FR"/>
        </w:rPr>
        <w:t>&lt;RepeatBlock-By&gt;&lt;Members&gt;</w:t>
      </w:r>
      <w:r w:rsidRPr="001C7FC9">
        <w:rPr>
          <w:lang w:val="fr-FR"/>
        </w:rPr>
        <w:t>Pasquale Tridico</w:t>
      </w:r>
      <w:r w:rsidRPr="001C7FC9">
        <w:rPr>
          <w:rStyle w:val="HideTWBExt"/>
          <w:b w:val="0"/>
          <w:lang w:val="fr-FR"/>
        </w:rPr>
        <w:t>&lt;/Members&gt;</w:t>
      </w:r>
    </w:p>
    <w:p w:rsidR="00FB5EE8" w:rsidRPr="001C7FC9" w:rsidRDefault="00FB5EE8" w:rsidP="00FB5EE8">
      <w:pPr>
        <w:pStyle w:val="NormalBold"/>
        <w:rPr>
          <w:lang w:val="fr-FR"/>
        </w:rPr>
      </w:pPr>
      <w:r w:rsidRPr="001C7FC9">
        <w:rPr>
          <w:rStyle w:val="HideTWBExt"/>
          <w:b w:val="0"/>
          <w:lang w:val="fr-FR"/>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10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10.</w:t>
            </w:r>
            <w:r w:rsidRPr="001C7FC9">
              <w:tab/>
              <w:t>panee merkille, että 23. heinäkuuta 2023 asti komitean maksama kiinteämääräinen etäkokouspäiväraha oli 200 euroa, ja se maksettiin komitean jäsenille, heidän varajäsenilleen sekä etä- tai hybridikokouksiin kutsutuille esittelijöiden asiantuntijoille ja puhujille; panee lisäksi merkille, että tuona päivänä tulivat voimaan asiaa koskevat uudet säännöt, joiden mukaan kiinteämääräinen etäkokouspäiväraha on 50 prosenttia sääntömääräisestä kokouspäivärahasta, joka on 359 euroa, ja etäkokouspäiväraha on siten 179,50 euroa; panee tässä yhteydessä merkille, että etäkokouspäivärahojen kokonaismäärä väheni merkittävästi, sillä se oli 1 742 000 euroa vuonna 2021 ja 489 600 euroa vuonna 2022 mutta vain 32 632 euroa vuonna 2023, kun taas budjettikohtaan 1004 (Matka- ja oleskelukulut kokouksiin osallistuttaessa ja oheiskulut) liittyvät kokonaismenot ovat kasvaneet huomattavasti vuoden 2022 noin 6,6 miljoonasta eurosta noin 8 miljoonaan euroon vuonna 2023 pääasiassa siksi, että lähikokouksiin palattiin runsain määrin vuonna 2023 ja matkoihin liittyvät hinnat nousivat covid-19-pandemian jälkeen;</w:t>
            </w:r>
          </w:p>
        </w:tc>
        <w:tc>
          <w:tcPr>
            <w:tcW w:w="4876" w:type="dxa"/>
            <w:tcBorders>
              <w:top w:val="nil"/>
              <w:left w:val="nil"/>
              <w:bottom w:val="nil"/>
              <w:right w:val="nil"/>
            </w:tcBorders>
          </w:tcPr>
          <w:p w:rsidR="00FB5EE8" w:rsidRPr="001C7FC9" w:rsidRDefault="00FB5EE8" w:rsidP="00EC2C43">
            <w:pPr>
              <w:pStyle w:val="Normal6a"/>
            </w:pPr>
            <w:r w:rsidRPr="001C7FC9">
              <w:t>10.</w:t>
            </w:r>
            <w:r w:rsidRPr="001C7FC9">
              <w:tab/>
              <w:t>panee merkille, että 23. heinäkuuta 2023 asti komitean maksama kiinteämääräinen etäkokouspäiväraha oli 200 euroa, ja se maksettiin komitean jäsenille, heidän varajäsenilleen sekä etä- tai hybridikokouksiin kutsutuille esittelijöiden asiantuntijoille ja puhujille; panee lisäksi merkille, että tuona päivänä tulivat voimaan asiaa koskevat uudet säännöt, joiden mukaan kiinteämääräinen etäkokouspäiväraha on 50 prosenttia sääntömääräisestä kokouspäivärahasta, joka on 359 euroa, ja etäkokouspäiväraha on siten 179,50 euroa;</w:t>
            </w:r>
            <w:r w:rsidRPr="001C7FC9">
              <w:rPr>
                <w:b/>
                <w:i/>
              </w:rPr>
              <w:t xml:space="preserve"> katsoo, että vaikka etäosallistuminen on tärkeä väline nykyaikaisille toimielimille, koska se muun muassa vähentää kokouskustannuksia ja mahdollistaa laajemman osallistumisen, kokousten etäosallistumisesta maksettavan päivärahan myöntämistä, vaikka sitä olisi vähennetty ja se olisi tarkoitettu vain tietyntyyppisiin tapahtumiin, on kansalaisten kannalta vaikea ymmärtää, varsinkin kun otetaan huomioon komitean jäsenille ja ETSK:n jäsenille etäosallistumisesta maksettava ero;</w:t>
            </w:r>
            <w:r w:rsidRPr="001C7FC9">
              <w:t xml:space="preserve"> panee tässä yhteydessä merkille, että etäkokouspäivärahojen kokonaismäärä väheni merkittävästi, sillä se oli 1 742 000 euroa vuonna 2021 ja 489 600 euroa vuonna 2022 mutta vain 32 632 euroa vuonna 2023, kun taas budjettikohtaan 1004 (Matka- ja oleskelukulut kokouksiin osallistuttaessa ja </w:t>
            </w:r>
            <w:r w:rsidRPr="001C7FC9">
              <w:lastRenderedPageBreak/>
              <w:t>oheiskulut) liittyvät kokonaismenot ovat kasvaneet huomattavasti vuoden 2022 noin 6,6 miljoonasta eurosta noin 8 miljoonaan euroon vuonna 2023 pääasiassa siksi, että lähikokouksiin palattiin runsain määrin vuonna 2023 ja matkoihin liittyvät hinnat nousivat covid-19-pandemian jälkeen;</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9</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Damian Boeselager</w:t>
      </w:r>
      <w:r w:rsidRPr="001C7FC9">
        <w:rPr>
          <w:rStyle w:val="HideTWBExt"/>
          <w:b w:val="0"/>
        </w:rPr>
        <w:t>&lt;/Members&gt;</w:t>
      </w:r>
    </w:p>
    <w:p w:rsidR="00FB5EE8" w:rsidRPr="001C7FC9" w:rsidRDefault="00FB5EE8" w:rsidP="00FB5EE8">
      <w:r w:rsidRPr="001C7FC9">
        <w:rPr>
          <w:rStyle w:val="HideTWBExt"/>
        </w:rPr>
        <w:t>&lt;AuNomDe&gt;</w:t>
      </w:r>
      <w:r w:rsidRPr="001C7FC9">
        <w:rPr>
          <w:rStyle w:val="HideTWBInt"/>
        </w:rPr>
        <w:t>{Greens/EFA}</w:t>
      </w:r>
      <w:r w:rsidRPr="001C7FC9">
        <w:t>Verts/ALE-ryhmän puolesta</w:t>
      </w:r>
      <w:r w:rsidRPr="001C7FC9">
        <w:rPr>
          <w:rStyle w:val="HideTWBExt"/>
        </w:rPr>
        <w:t>&lt;/AuNomDe&gt;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10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10 a.</w:t>
            </w:r>
            <w:r w:rsidRPr="001C7FC9">
              <w:tab/>
            </w:r>
            <w:r w:rsidRPr="001C7FC9">
              <w:rPr>
                <w:b/>
                <w:i/>
              </w:rPr>
              <w:t>on huolissaan AK:n jäsenille maksettavien matka- ja kokouspäivärahojen merkittävästä kasvusta, kun ne kasvoivat 6,6 miljoonasta eurosta vuonna 2022 kahdeksaan miljoonaan euroon vuonna 2023; kehottaa komiteaa hyväksymään selkeän kustannustehokkuusstrategian matkakuluja varten, mukaan lukien etäosallistumisen ja hybridikokousten käytön lisääminen tarpeettomien kustannusten ja päästöjen vähentämiseksi samalla kun säilytetään poliittinen sitoutuminen;</w:t>
            </w:r>
          </w:p>
        </w:tc>
      </w:tr>
    </w:tbl>
    <w:p w:rsidR="00FB5EE8" w:rsidRPr="001C7FC9" w:rsidRDefault="00FB5EE8" w:rsidP="00FB5EE8">
      <w:pPr>
        <w:pStyle w:val="AmOrLang"/>
        <w:rPr>
          <w:lang w:val="sv-SE"/>
        </w:rPr>
      </w:pPr>
      <w:r w:rsidRPr="001C7FC9">
        <w:rPr>
          <w:lang w:val="sv-SE"/>
        </w:rPr>
        <w:t xml:space="preserve">Or. </w:t>
      </w:r>
      <w:r w:rsidRPr="001C7FC9">
        <w:rPr>
          <w:rStyle w:val="HideTWBExt"/>
          <w:lang w:val="sv-SE"/>
        </w:rPr>
        <w:t>&lt;Original&gt;</w:t>
      </w:r>
      <w:r w:rsidRPr="001C7FC9">
        <w:rPr>
          <w:rStyle w:val="HideTWBInt"/>
          <w:lang w:val="sv-SE"/>
        </w:rPr>
        <w:t>{EN}</w:t>
      </w:r>
      <w:r w:rsidRPr="001C7FC9">
        <w:rPr>
          <w:lang w:val="sv-SE"/>
        </w:rPr>
        <w:t>en</w:t>
      </w:r>
      <w:r w:rsidRPr="001C7FC9">
        <w:rPr>
          <w:rStyle w:val="HideTWBExt"/>
          <w:lang w:val="sv-SE"/>
        </w:rPr>
        <w:t>&lt;/Original&gt;</w:t>
      </w:r>
    </w:p>
    <w:p w:rsidR="00FB5EE8" w:rsidRPr="001C7FC9" w:rsidRDefault="00FB5EE8" w:rsidP="00FB5EE8">
      <w:pPr>
        <w:rPr>
          <w:lang w:val="sv-SE"/>
        </w:rPr>
      </w:pPr>
      <w:r w:rsidRPr="001C7FC9">
        <w:rPr>
          <w:rStyle w:val="HideTWBExt"/>
          <w:lang w:val="sv-SE"/>
        </w:rPr>
        <w:t>&lt;/Amend&gt;</w:t>
      </w:r>
    </w:p>
    <w:p w:rsidR="00FB5EE8" w:rsidRPr="001C7FC9" w:rsidRDefault="00FB5EE8" w:rsidP="001C7FC9">
      <w:pPr>
        <w:pStyle w:val="AmNumberTabs"/>
        <w:keepNext/>
        <w:keepLines/>
        <w:widowControl/>
        <w:rPr>
          <w:lang w:val="sv-SE"/>
        </w:rPr>
      </w:pPr>
      <w:r w:rsidRPr="001C7FC9">
        <w:rPr>
          <w:rStyle w:val="HideTWBExt"/>
          <w:lang w:val="sv-SE"/>
        </w:rPr>
        <w:t>&lt;Amend&gt;</w:t>
      </w:r>
      <w:r w:rsidRPr="001C7FC9">
        <w:rPr>
          <w:lang w:val="sv-SE"/>
        </w:rPr>
        <w:t>Tarkistus</w:t>
      </w:r>
      <w:r w:rsidRPr="001C7FC9">
        <w:rPr>
          <w:lang w:val="sv-SE"/>
        </w:rPr>
        <w:tab/>
      </w:r>
      <w:r w:rsidRPr="001C7FC9">
        <w:rPr>
          <w:lang w:val="sv-SE"/>
        </w:rPr>
        <w:tab/>
      </w:r>
      <w:r w:rsidRPr="001C7FC9">
        <w:rPr>
          <w:rStyle w:val="HideTWBExt"/>
          <w:lang w:val="sv-SE"/>
        </w:rPr>
        <w:t>&lt;NumAm&gt;</w:t>
      </w:r>
      <w:r w:rsidRPr="001C7FC9">
        <w:rPr>
          <w:lang w:val="sv-SE"/>
        </w:rPr>
        <w:t>10</w:t>
      </w:r>
      <w:r w:rsidRPr="001C7FC9">
        <w:rPr>
          <w:rStyle w:val="HideTWBExt"/>
          <w:lang w:val="sv-SE"/>
        </w:rPr>
        <w:t>&lt;/NumAm&gt;</w:t>
      </w:r>
    </w:p>
    <w:p w:rsidR="00FB5EE8" w:rsidRPr="001C7FC9" w:rsidRDefault="00FB5EE8" w:rsidP="001C7FC9">
      <w:pPr>
        <w:pStyle w:val="NormalBold"/>
        <w:keepNext/>
        <w:keepLines/>
        <w:widowControl/>
        <w:rPr>
          <w:lang w:val="sv-SE"/>
        </w:rPr>
      </w:pPr>
      <w:r w:rsidRPr="001C7FC9">
        <w:rPr>
          <w:rStyle w:val="HideTWBExt"/>
          <w:b w:val="0"/>
          <w:lang w:val="sv-SE"/>
        </w:rPr>
        <w:t>&lt;RepeatBlock-By&gt;&lt;Members&gt;</w:t>
      </w:r>
      <w:r w:rsidRPr="001C7FC9">
        <w:rPr>
          <w:lang w:val="sv-SE"/>
        </w:rPr>
        <w:t>Tamás Deutsch, Ondřej Knotek</w:t>
      </w:r>
      <w:r w:rsidRPr="001C7FC9">
        <w:rPr>
          <w:rStyle w:val="HideTWBExt"/>
          <w:b w:val="0"/>
          <w:lang w:val="sv-SE"/>
        </w:rPr>
        <w:t>&lt;/Members&gt;</w:t>
      </w:r>
    </w:p>
    <w:p w:rsidR="00FB5EE8" w:rsidRPr="001C7FC9" w:rsidRDefault="00FB5EE8" w:rsidP="001C7FC9">
      <w:pPr>
        <w:pStyle w:val="NormalBold"/>
        <w:keepNext/>
        <w:keepLines/>
        <w:widowControl/>
        <w:rPr>
          <w:lang w:val="sv-SE"/>
        </w:rPr>
      </w:pPr>
      <w:r w:rsidRPr="001C7FC9">
        <w:rPr>
          <w:rStyle w:val="HideTWBExt"/>
          <w:b w:val="0"/>
          <w:lang w:val="sv-SE"/>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11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11 a.</w:t>
            </w:r>
            <w:r w:rsidRPr="001C7FC9">
              <w:tab/>
            </w:r>
            <w:r w:rsidRPr="001C7FC9">
              <w:rPr>
                <w:b/>
                <w:i/>
              </w:rPr>
              <w:t>muistuttaa, että Euroopan unionista tehdyn sopimuksen mukaan EU ja sen toimielimet kunnioittavat jäsenvaltioiden tasa-arvoa perussopimuksia sovellettaessa sekä niiden kansallista identiteettiä, joka on olennainen osa niiden poliittisia ja valtiosäännön rakenteita, myös alueellisen ja paikallisen itsehallinnon osalta;</w:t>
            </w:r>
          </w:p>
        </w:tc>
      </w:tr>
    </w:tbl>
    <w:p w:rsidR="00FB5EE8" w:rsidRPr="001C7FC9" w:rsidRDefault="00FB5EE8" w:rsidP="00FB5EE8">
      <w:pPr>
        <w:pStyle w:val="AmOrLang"/>
        <w:rPr>
          <w:lang w:val="sv-SE"/>
        </w:rPr>
      </w:pPr>
      <w:r w:rsidRPr="001C7FC9">
        <w:rPr>
          <w:lang w:val="sv-SE"/>
        </w:rPr>
        <w:t xml:space="preserve">Or. </w:t>
      </w:r>
      <w:r w:rsidRPr="001C7FC9">
        <w:rPr>
          <w:rStyle w:val="HideTWBExt"/>
          <w:lang w:val="sv-SE"/>
        </w:rPr>
        <w:t>&lt;Original&gt;</w:t>
      </w:r>
      <w:r w:rsidRPr="001C7FC9">
        <w:rPr>
          <w:rStyle w:val="HideTWBInt"/>
          <w:lang w:val="sv-SE"/>
        </w:rPr>
        <w:t>{EN}</w:t>
      </w:r>
      <w:r w:rsidRPr="001C7FC9">
        <w:rPr>
          <w:lang w:val="sv-SE"/>
        </w:rPr>
        <w:t>en</w:t>
      </w:r>
      <w:r w:rsidRPr="001C7FC9">
        <w:rPr>
          <w:rStyle w:val="HideTWBExt"/>
          <w:lang w:val="sv-SE"/>
        </w:rPr>
        <w:t>&lt;/Original&gt;</w:t>
      </w:r>
    </w:p>
    <w:p w:rsidR="00FB5EE8" w:rsidRPr="001C7FC9" w:rsidRDefault="00FB5EE8" w:rsidP="00FB5EE8">
      <w:pPr>
        <w:rPr>
          <w:lang w:val="sv-SE"/>
        </w:rPr>
      </w:pPr>
      <w:r w:rsidRPr="001C7FC9">
        <w:rPr>
          <w:rStyle w:val="HideTWBExt"/>
          <w:lang w:val="sv-SE"/>
        </w:rPr>
        <w:t>&lt;/Amend&gt;</w:t>
      </w:r>
    </w:p>
    <w:p w:rsidR="00FB5EE8" w:rsidRPr="001C7FC9" w:rsidRDefault="00FB5EE8" w:rsidP="00FB5EE8">
      <w:pPr>
        <w:pStyle w:val="AmNumberTabs"/>
        <w:rPr>
          <w:lang w:val="sv-SE"/>
        </w:rPr>
      </w:pPr>
      <w:r w:rsidRPr="001C7FC9">
        <w:rPr>
          <w:rStyle w:val="HideTWBExt"/>
          <w:lang w:val="sv-SE"/>
        </w:rPr>
        <w:t>&lt;Amend&gt;</w:t>
      </w:r>
      <w:r w:rsidRPr="001C7FC9">
        <w:rPr>
          <w:lang w:val="sv-SE"/>
        </w:rPr>
        <w:t>Tarkistus</w:t>
      </w:r>
      <w:r w:rsidRPr="001C7FC9">
        <w:rPr>
          <w:lang w:val="sv-SE"/>
        </w:rPr>
        <w:tab/>
      </w:r>
      <w:r w:rsidRPr="001C7FC9">
        <w:rPr>
          <w:lang w:val="sv-SE"/>
        </w:rPr>
        <w:tab/>
      </w:r>
      <w:r w:rsidRPr="001C7FC9">
        <w:rPr>
          <w:rStyle w:val="HideTWBExt"/>
          <w:lang w:val="sv-SE"/>
        </w:rPr>
        <w:t>&lt;NumAm&gt;</w:t>
      </w:r>
      <w:r w:rsidRPr="001C7FC9">
        <w:rPr>
          <w:lang w:val="sv-SE"/>
        </w:rPr>
        <w:t>11</w:t>
      </w:r>
      <w:r w:rsidRPr="001C7FC9">
        <w:rPr>
          <w:rStyle w:val="HideTWBExt"/>
          <w:lang w:val="sv-SE"/>
        </w:rPr>
        <w:t>&lt;/NumAm&gt;</w:t>
      </w:r>
    </w:p>
    <w:p w:rsidR="00FB5EE8" w:rsidRPr="001C7FC9" w:rsidRDefault="00FB5EE8" w:rsidP="00FB5EE8">
      <w:pPr>
        <w:pStyle w:val="NormalBold"/>
        <w:rPr>
          <w:lang w:val="sv-SE"/>
        </w:rPr>
      </w:pPr>
      <w:r w:rsidRPr="001C7FC9">
        <w:rPr>
          <w:rStyle w:val="HideTWBExt"/>
          <w:b w:val="0"/>
          <w:lang w:val="sv-SE"/>
        </w:rPr>
        <w:t>&lt;RepeatBlock-By&gt;&lt;Members&gt;</w:t>
      </w:r>
      <w:r w:rsidRPr="001C7FC9">
        <w:rPr>
          <w:lang w:val="sv-SE"/>
        </w:rPr>
        <w:t>Tamás Deutsch, Ondřej Knotek</w:t>
      </w:r>
      <w:r w:rsidRPr="001C7FC9">
        <w:rPr>
          <w:rStyle w:val="HideTWBExt"/>
          <w:b w:val="0"/>
          <w:lang w:val="sv-SE"/>
        </w:rPr>
        <w:t>&lt;/Members&gt;</w:t>
      </w:r>
    </w:p>
    <w:p w:rsidR="00FB5EE8" w:rsidRPr="001C7FC9" w:rsidRDefault="00FB5EE8" w:rsidP="00FB5EE8">
      <w:pPr>
        <w:pStyle w:val="NormalBold"/>
        <w:rPr>
          <w:lang w:val="sv-SE"/>
        </w:rPr>
      </w:pPr>
      <w:r w:rsidRPr="001C7FC9">
        <w:rPr>
          <w:rStyle w:val="HideTWBExt"/>
          <w:b w:val="0"/>
          <w:lang w:val="sv-SE"/>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11 b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11 b.</w:t>
            </w:r>
            <w:r w:rsidRPr="001C7FC9">
              <w:tab/>
            </w:r>
            <w:r w:rsidRPr="001C7FC9">
              <w:rPr>
                <w:b/>
                <w:i/>
              </w:rPr>
              <w:t>kehottaa toimielintä aina kunnioittamaan jäsenvaltioiden tasa-arvoa ja kohtelemaan kaikkia jäsenvaltioita yhdenvertaisesti, kunnioittamaan niiden suvereniteettia ja kansallisia identiteettejä, jotka ovat ominaisia niiden perusrakenteille, kuten poliittisille ja perustuslaillisille rakenteille, mukaan lukien alueellinen ja paikallinen itsehallinto;</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1C7FC9">
      <w:pPr>
        <w:pStyle w:val="AmNumberTabs"/>
        <w:keepNext/>
        <w:keepLines/>
        <w:widowControl/>
      </w:pPr>
      <w:r w:rsidRPr="001C7FC9">
        <w:rPr>
          <w:rStyle w:val="HideTWBExt"/>
        </w:rPr>
        <w:t>&lt;Amend&gt;</w:t>
      </w:r>
      <w:r w:rsidRPr="001C7FC9">
        <w:t>Tarkistus</w:t>
      </w:r>
      <w:r w:rsidRPr="001C7FC9">
        <w:tab/>
      </w:r>
      <w:r w:rsidRPr="001C7FC9">
        <w:tab/>
      </w:r>
      <w:r w:rsidRPr="001C7FC9">
        <w:rPr>
          <w:rStyle w:val="HideTWBExt"/>
        </w:rPr>
        <w:t>&lt;NumAm&gt;</w:t>
      </w:r>
      <w:r w:rsidRPr="001C7FC9">
        <w:t>12</w:t>
      </w:r>
      <w:r w:rsidRPr="001C7FC9">
        <w:rPr>
          <w:rStyle w:val="HideTWBExt"/>
        </w:rPr>
        <w:t>&lt;/NumAm&gt;</w:t>
      </w:r>
    </w:p>
    <w:p w:rsidR="00FB5EE8" w:rsidRPr="001C7FC9" w:rsidRDefault="00FB5EE8" w:rsidP="001C7FC9">
      <w:pPr>
        <w:pStyle w:val="NormalBold"/>
        <w:keepNext/>
        <w:keepLines/>
        <w:widowControl/>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1C7FC9">
      <w:pPr>
        <w:pStyle w:val="NormalBold"/>
        <w:keepNext/>
        <w:keepLines/>
        <w:widowControl/>
      </w:pPr>
      <w:r w:rsidRPr="001C7FC9">
        <w:rPr>
          <w:rStyle w:val="HideTWBExt"/>
          <w:b w:val="0"/>
        </w:rPr>
        <w:t>&lt;/RepeatBlock-By&gt;</w:t>
      </w:r>
    </w:p>
    <w:p w:rsidR="00FB5EE8" w:rsidRPr="001C7FC9" w:rsidRDefault="00FB5EE8" w:rsidP="001C7FC9">
      <w:pPr>
        <w:pStyle w:val="NormalBold"/>
        <w:keepNext/>
        <w:keepLines/>
        <w:widowControl/>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12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12.</w:t>
            </w:r>
            <w:r w:rsidRPr="001C7FC9">
              <w:tab/>
              <w:t xml:space="preserve">panee merkille, että vuonna 2023 komitean tuloksellisuutta koskeva </w:t>
            </w:r>
            <w:r w:rsidRPr="001C7FC9">
              <w:lastRenderedPageBreak/>
              <w:t>raportointi perustui – osana sen vuotuista toimintasuunnitelmaa – 25 tavoitteeseen, joiden saavuttamista arvioitiin 80 määrällisen indikaattorin avulla, ja että näistä indikaattoreista suurimman osan tavoitteet (noin 75 prosenttia) saavutettiin vähintään 90-prosenttisesti;</w:t>
            </w:r>
          </w:p>
        </w:tc>
        <w:tc>
          <w:tcPr>
            <w:tcW w:w="4876" w:type="dxa"/>
            <w:tcBorders>
              <w:top w:val="nil"/>
              <w:left w:val="nil"/>
              <w:bottom w:val="nil"/>
              <w:right w:val="nil"/>
            </w:tcBorders>
          </w:tcPr>
          <w:p w:rsidR="00FB5EE8" w:rsidRPr="001C7FC9" w:rsidRDefault="00FB5EE8" w:rsidP="00EC2C43">
            <w:pPr>
              <w:pStyle w:val="Normal6a"/>
            </w:pPr>
            <w:r w:rsidRPr="001C7FC9">
              <w:lastRenderedPageBreak/>
              <w:t>12.</w:t>
            </w:r>
            <w:r w:rsidRPr="001C7FC9">
              <w:tab/>
            </w:r>
            <w:r w:rsidRPr="001C7FC9">
              <w:rPr>
                <w:b/>
                <w:i/>
              </w:rPr>
              <w:t xml:space="preserve">toteaa, että komitealla on keskeinen rooli unionin politiikan </w:t>
            </w:r>
            <w:r w:rsidRPr="001C7FC9">
              <w:rPr>
                <w:b/>
                <w:i/>
              </w:rPr>
              <w:lastRenderedPageBreak/>
              <w:t>kehittämisen ja päätöksentekoprosessien edistämisessä, kun se edustaa unionin paikallis- ja alueviranomaisten etuja;</w:t>
            </w:r>
            <w:r w:rsidRPr="001C7FC9">
              <w:t xml:space="preserve"> panee merkille, että vuonna 2023 komitean tuloksellisuutta koskeva raportointi perustui – osana sen vuotuista toimintasuunnitelmaa – 25 tavoitteeseen, joiden saavuttamista arvioitiin 80 määrällisen indikaattorin avulla, ja että näistä indikaattoreista suurimman osan tavoitteet (noin 75 prosenttia) saavutettiin vähintään 90-prosenttisesti;</w:t>
            </w:r>
          </w:p>
        </w:tc>
      </w:tr>
    </w:tbl>
    <w:p w:rsidR="00FB5EE8" w:rsidRPr="001C7FC9" w:rsidRDefault="00FB5EE8" w:rsidP="00FB5EE8">
      <w:pPr>
        <w:pStyle w:val="AmOrLang"/>
        <w:rPr>
          <w:lang w:val="fr-FR"/>
        </w:rPr>
      </w:pPr>
      <w:r w:rsidRPr="001C7FC9">
        <w:rPr>
          <w:lang w:val="fr-FR"/>
        </w:rPr>
        <w:lastRenderedPageBreak/>
        <w:t xml:space="preserve">Or. </w:t>
      </w:r>
      <w:r w:rsidRPr="001C7FC9">
        <w:rPr>
          <w:rStyle w:val="HideTWBExt"/>
          <w:lang w:val="fr-FR"/>
        </w:rPr>
        <w:t>&lt;Original&gt;</w:t>
      </w:r>
      <w:r w:rsidRPr="001C7FC9">
        <w:rPr>
          <w:rStyle w:val="HideTWBInt"/>
          <w:lang w:val="fr-FR"/>
        </w:rPr>
        <w:t>{EN}</w:t>
      </w:r>
      <w:r w:rsidRPr="001C7FC9">
        <w:rPr>
          <w:lang w:val="fr-FR"/>
        </w:rPr>
        <w:t>en</w:t>
      </w:r>
      <w:r w:rsidRPr="001C7FC9">
        <w:rPr>
          <w:rStyle w:val="HideTWBExt"/>
          <w:lang w:val="fr-FR"/>
        </w:rPr>
        <w:t>&lt;/Original&gt;</w:t>
      </w:r>
    </w:p>
    <w:p w:rsidR="00FB5EE8" w:rsidRPr="001C7FC9" w:rsidRDefault="00FB5EE8" w:rsidP="00FB5EE8">
      <w:pPr>
        <w:rPr>
          <w:lang w:val="fr-FR"/>
        </w:rPr>
      </w:pPr>
      <w:r w:rsidRPr="001C7FC9">
        <w:rPr>
          <w:rStyle w:val="HideTWBExt"/>
          <w:lang w:val="fr-FR"/>
        </w:rPr>
        <w:t>&lt;/Amend&gt;</w:t>
      </w:r>
    </w:p>
    <w:p w:rsidR="00FB5EE8" w:rsidRPr="001C7FC9" w:rsidRDefault="00FB5EE8" w:rsidP="00FB5EE8">
      <w:pPr>
        <w:pStyle w:val="AmNumberTabs"/>
        <w:rPr>
          <w:lang w:val="fr-FR"/>
        </w:rPr>
      </w:pPr>
      <w:r w:rsidRPr="001C7FC9">
        <w:rPr>
          <w:rStyle w:val="HideTWBExt"/>
          <w:lang w:val="fr-FR"/>
        </w:rPr>
        <w:t>&lt;Amend&gt;</w:t>
      </w:r>
      <w:r w:rsidRPr="001C7FC9">
        <w:rPr>
          <w:lang w:val="fr-FR"/>
        </w:rPr>
        <w:t>Tarkistus</w:t>
      </w:r>
      <w:r w:rsidRPr="001C7FC9">
        <w:rPr>
          <w:lang w:val="fr-FR"/>
        </w:rPr>
        <w:tab/>
      </w:r>
      <w:r w:rsidRPr="001C7FC9">
        <w:rPr>
          <w:lang w:val="fr-FR"/>
        </w:rPr>
        <w:tab/>
      </w:r>
      <w:r w:rsidRPr="001C7FC9">
        <w:rPr>
          <w:rStyle w:val="HideTWBExt"/>
          <w:lang w:val="fr-FR"/>
        </w:rPr>
        <w:t>&lt;NumAm&gt;</w:t>
      </w:r>
      <w:r w:rsidRPr="001C7FC9">
        <w:rPr>
          <w:lang w:val="fr-FR"/>
        </w:rPr>
        <w:t>13</w:t>
      </w:r>
      <w:r w:rsidRPr="001C7FC9">
        <w:rPr>
          <w:rStyle w:val="HideTWBExt"/>
          <w:lang w:val="fr-FR"/>
        </w:rPr>
        <w:t>&lt;/NumAm&gt;</w:t>
      </w:r>
    </w:p>
    <w:p w:rsidR="00FB5EE8" w:rsidRPr="001C7FC9" w:rsidRDefault="00FB5EE8" w:rsidP="00FB5EE8">
      <w:pPr>
        <w:pStyle w:val="NormalBold"/>
        <w:rPr>
          <w:lang w:val="fr-FR"/>
        </w:rPr>
      </w:pPr>
      <w:r w:rsidRPr="001C7FC9">
        <w:rPr>
          <w:rStyle w:val="HideTWBExt"/>
          <w:b w:val="0"/>
          <w:lang w:val="fr-FR"/>
        </w:rPr>
        <w:t>&lt;RepeatBlock-By&gt;&lt;Members&gt;</w:t>
      </w:r>
      <w:r w:rsidRPr="001C7FC9">
        <w:rPr>
          <w:lang w:val="fr-FR"/>
        </w:rPr>
        <w:t>Pasquale Tridico</w:t>
      </w:r>
      <w:r w:rsidRPr="001C7FC9">
        <w:rPr>
          <w:rStyle w:val="HideTWBExt"/>
          <w:b w:val="0"/>
          <w:lang w:val="fr-FR"/>
        </w:rPr>
        <w:t>&lt;/Members&gt;</w:t>
      </w:r>
    </w:p>
    <w:p w:rsidR="00FB5EE8" w:rsidRPr="001C7FC9" w:rsidRDefault="00FB5EE8" w:rsidP="00FB5EE8">
      <w:pPr>
        <w:pStyle w:val="NormalBold"/>
        <w:rPr>
          <w:lang w:val="fr-FR"/>
        </w:rPr>
      </w:pPr>
      <w:r w:rsidRPr="001C7FC9">
        <w:rPr>
          <w:rStyle w:val="HideTWBExt"/>
          <w:b w:val="0"/>
          <w:lang w:val="fr-FR"/>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12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12 a.</w:t>
            </w:r>
            <w:r w:rsidRPr="001C7FC9">
              <w:tab/>
            </w:r>
            <w:r w:rsidRPr="001C7FC9">
              <w:rPr>
                <w:b/>
                <w:i/>
              </w:rPr>
              <w:t>muistuttaa, että komitea osallistuu unionin politiikkaan ja päätöksentekoon unionin alue- ja paikallisviranomaisten näkökulmasta ja tarjoaa puitteet paikallis-, alue-, valtio- ja unionitason yhteistyön tehostamiselle ja unionin tuomiselle lähemmäs kansalaisia; pitää valitettavana, että budjettirajoitukset ovat heikentäneet komitean kykyä saavuttaa täysimääräisesti tavoitteensa tuoda kansalaiset lähemmäs unionia ja rajoittavat komitean lisäarvoa;</w:t>
            </w:r>
          </w:p>
        </w:tc>
      </w:tr>
    </w:tbl>
    <w:p w:rsidR="00FB5EE8" w:rsidRPr="001C7FC9" w:rsidRDefault="00FB5EE8" w:rsidP="00FB5EE8">
      <w:pPr>
        <w:pStyle w:val="AmOrLang"/>
        <w:rPr>
          <w:lang w:val="sv-SE"/>
        </w:rPr>
      </w:pPr>
      <w:r w:rsidRPr="001C7FC9">
        <w:rPr>
          <w:lang w:val="sv-SE"/>
        </w:rPr>
        <w:t xml:space="preserve">Or. </w:t>
      </w:r>
      <w:r w:rsidRPr="001C7FC9">
        <w:rPr>
          <w:rStyle w:val="HideTWBExt"/>
          <w:lang w:val="sv-SE"/>
        </w:rPr>
        <w:t>&lt;Original&gt;</w:t>
      </w:r>
      <w:r w:rsidRPr="001C7FC9">
        <w:rPr>
          <w:rStyle w:val="HideTWBInt"/>
          <w:lang w:val="sv-SE"/>
        </w:rPr>
        <w:t>{EN}</w:t>
      </w:r>
      <w:r w:rsidRPr="001C7FC9">
        <w:rPr>
          <w:lang w:val="sv-SE"/>
        </w:rPr>
        <w:t>en</w:t>
      </w:r>
      <w:r w:rsidRPr="001C7FC9">
        <w:rPr>
          <w:rStyle w:val="HideTWBExt"/>
          <w:lang w:val="sv-SE"/>
        </w:rPr>
        <w:t>&lt;/Original&gt;</w:t>
      </w:r>
    </w:p>
    <w:p w:rsidR="00FB5EE8" w:rsidRPr="001C7FC9" w:rsidRDefault="00FB5EE8" w:rsidP="00FB5EE8">
      <w:pPr>
        <w:rPr>
          <w:lang w:val="sv-SE"/>
        </w:rPr>
      </w:pPr>
      <w:r w:rsidRPr="001C7FC9">
        <w:rPr>
          <w:rStyle w:val="HideTWBExt"/>
          <w:lang w:val="sv-SE"/>
        </w:rPr>
        <w:t>&lt;/Amend&gt;</w:t>
      </w:r>
    </w:p>
    <w:p w:rsidR="00FB5EE8" w:rsidRPr="001C7FC9" w:rsidRDefault="00FB5EE8" w:rsidP="00FB5EE8">
      <w:pPr>
        <w:pStyle w:val="AmNumberTabs"/>
        <w:rPr>
          <w:lang w:val="sv-SE"/>
        </w:rPr>
      </w:pPr>
      <w:r w:rsidRPr="001C7FC9">
        <w:rPr>
          <w:rStyle w:val="HideTWBExt"/>
          <w:lang w:val="sv-SE"/>
        </w:rPr>
        <w:t>&lt;Amend&gt;</w:t>
      </w:r>
      <w:r w:rsidRPr="001C7FC9">
        <w:rPr>
          <w:lang w:val="sv-SE"/>
        </w:rPr>
        <w:t>Tarkistus</w:t>
      </w:r>
      <w:r w:rsidRPr="001C7FC9">
        <w:rPr>
          <w:lang w:val="sv-SE"/>
        </w:rPr>
        <w:tab/>
      </w:r>
      <w:r w:rsidRPr="001C7FC9">
        <w:rPr>
          <w:lang w:val="sv-SE"/>
        </w:rPr>
        <w:tab/>
      </w:r>
      <w:r w:rsidRPr="001C7FC9">
        <w:rPr>
          <w:rStyle w:val="HideTWBExt"/>
          <w:lang w:val="sv-SE"/>
        </w:rPr>
        <w:t>&lt;NumAm&gt;</w:t>
      </w:r>
      <w:r w:rsidRPr="001C7FC9">
        <w:rPr>
          <w:lang w:val="sv-SE"/>
        </w:rPr>
        <w:t>14</w:t>
      </w:r>
      <w:r w:rsidRPr="001C7FC9">
        <w:rPr>
          <w:rStyle w:val="HideTWBExt"/>
          <w:lang w:val="sv-SE"/>
        </w:rPr>
        <w:t>&lt;/NumAm&gt;</w:t>
      </w:r>
    </w:p>
    <w:p w:rsidR="00FB5EE8" w:rsidRPr="001C7FC9" w:rsidRDefault="00FB5EE8" w:rsidP="00FB5EE8">
      <w:pPr>
        <w:pStyle w:val="NormalBold"/>
        <w:rPr>
          <w:lang w:val="sv-SE"/>
        </w:rPr>
      </w:pPr>
      <w:r w:rsidRPr="001C7FC9">
        <w:rPr>
          <w:rStyle w:val="HideTWBExt"/>
          <w:b w:val="0"/>
          <w:lang w:val="sv-SE"/>
        </w:rPr>
        <w:t>&lt;RepeatBlock-By&gt;&lt;Members&gt;</w:t>
      </w:r>
      <w:r w:rsidRPr="001C7FC9">
        <w:rPr>
          <w:lang w:val="sv-SE"/>
        </w:rPr>
        <w:t>Tamás Deutsch, Ondřej Knotek</w:t>
      </w:r>
      <w:r w:rsidRPr="001C7FC9">
        <w:rPr>
          <w:rStyle w:val="HideTWBExt"/>
          <w:b w:val="0"/>
          <w:lang w:val="sv-SE"/>
        </w:rPr>
        <w:t>&lt;/Members&gt;</w:t>
      </w:r>
    </w:p>
    <w:p w:rsidR="00FB5EE8" w:rsidRPr="001C7FC9" w:rsidRDefault="00FB5EE8" w:rsidP="00FB5EE8">
      <w:pPr>
        <w:pStyle w:val="NormalBold"/>
        <w:rPr>
          <w:lang w:val="sv-SE"/>
        </w:rPr>
      </w:pPr>
      <w:r w:rsidRPr="001C7FC9">
        <w:rPr>
          <w:rStyle w:val="HideTWBExt"/>
          <w:b w:val="0"/>
          <w:lang w:val="sv-SE"/>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12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lastRenderedPageBreak/>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12 a.</w:t>
            </w:r>
            <w:r w:rsidRPr="001C7FC9">
              <w:tab/>
            </w:r>
            <w:r w:rsidRPr="001C7FC9">
              <w:rPr>
                <w:b/>
                <w:i/>
              </w:rPr>
              <w:t>muistuttaa Euroopan unionista tehdystä sopimuksesta, että EU:n ja sen toimielinten tavoitteena on edistää rauhaa, sen arvoja ja kansojen hyvinvointia, säilyttää rauha, ehkäistä konflikteja ja vahvistaa kansainvälistä turvallisuutta;</w:t>
            </w:r>
          </w:p>
        </w:tc>
      </w:tr>
    </w:tbl>
    <w:p w:rsidR="00FB5EE8" w:rsidRPr="001C7FC9" w:rsidRDefault="00FB5EE8" w:rsidP="00FB5EE8">
      <w:pPr>
        <w:pStyle w:val="AmOrLang"/>
        <w:rPr>
          <w:lang w:val="fr-FR"/>
        </w:rPr>
      </w:pPr>
      <w:r w:rsidRPr="001C7FC9">
        <w:rPr>
          <w:lang w:val="fr-FR"/>
        </w:rPr>
        <w:t xml:space="preserve">Or. </w:t>
      </w:r>
      <w:r w:rsidRPr="001C7FC9">
        <w:rPr>
          <w:rStyle w:val="HideTWBExt"/>
          <w:lang w:val="fr-FR"/>
        </w:rPr>
        <w:t>&lt;Original&gt;</w:t>
      </w:r>
      <w:r w:rsidRPr="001C7FC9">
        <w:rPr>
          <w:rStyle w:val="HideTWBInt"/>
          <w:lang w:val="fr-FR"/>
        </w:rPr>
        <w:t>{EN}</w:t>
      </w:r>
      <w:r w:rsidRPr="001C7FC9">
        <w:rPr>
          <w:lang w:val="fr-FR"/>
        </w:rPr>
        <w:t>en</w:t>
      </w:r>
      <w:r w:rsidRPr="001C7FC9">
        <w:rPr>
          <w:rStyle w:val="HideTWBExt"/>
          <w:lang w:val="fr-FR"/>
        </w:rPr>
        <w:t>&lt;/Original&gt;</w:t>
      </w:r>
    </w:p>
    <w:p w:rsidR="00FB5EE8" w:rsidRPr="001C7FC9" w:rsidRDefault="00FB5EE8" w:rsidP="00FB5EE8">
      <w:pPr>
        <w:rPr>
          <w:lang w:val="fr-FR"/>
        </w:rPr>
      </w:pPr>
      <w:r w:rsidRPr="001C7FC9">
        <w:rPr>
          <w:rStyle w:val="HideTWBExt"/>
          <w:lang w:val="fr-FR"/>
        </w:rPr>
        <w:t>&lt;/Amend&gt;</w:t>
      </w:r>
    </w:p>
    <w:p w:rsidR="00FB5EE8" w:rsidRPr="001C7FC9" w:rsidRDefault="00FB5EE8" w:rsidP="00FB5EE8">
      <w:pPr>
        <w:pStyle w:val="AmNumberTabs"/>
        <w:rPr>
          <w:lang w:val="fr-FR"/>
        </w:rPr>
      </w:pPr>
      <w:r w:rsidRPr="001C7FC9">
        <w:rPr>
          <w:rStyle w:val="HideTWBExt"/>
          <w:lang w:val="fr-FR"/>
        </w:rPr>
        <w:t>&lt;Amend&gt;</w:t>
      </w:r>
      <w:r w:rsidRPr="001C7FC9">
        <w:rPr>
          <w:lang w:val="fr-FR"/>
        </w:rPr>
        <w:t>Tarkistus</w:t>
      </w:r>
      <w:r w:rsidRPr="001C7FC9">
        <w:rPr>
          <w:lang w:val="fr-FR"/>
        </w:rPr>
        <w:tab/>
      </w:r>
      <w:r w:rsidRPr="001C7FC9">
        <w:rPr>
          <w:lang w:val="fr-FR"/>
        </w:rPr>
        <w:tab/>
      </w:r>
      <w:r w:rsidRPr="001C7FC9">
        <w:rPr>
          <w:rStyle w:val="HideTWBExt"/>
          <w:lang w:val="fr-FR"/>
        </w:rPr>
        <w:t>&lt;NumAm&gt;</w:t>
      </w:r>
      <w:r w:rsidRPr="001C7FC9">
        <w:rPr>
          <w:lang w:val="fr-FR"/>
        </w:rPr>
        <w:t>15</w:t>
      </w:r>
      <w:r w:rsidRPr="001C7FC9">
        <w:rPr>
          <w:rStyle w:val="HideTWBExt"/>
          <w:lang w:val="fr-FR"/>
        </w:rPr>
        <w:t>&lt;/NumAm&gt;</w:t>
      </w:r>
    </w:p>
    <w:p w:rsidR="00FB5EE8" w:rsidRPr="001C7FC9" w:rsidRDefault="00FB5EE8" w:rsidP="00FB5EE8">
      <w:pPr>
        <w:pStyle w:val="NormalBold"/>
        <w:rPr>
          <w:lang w:val="fr-FR"/>
        </w:rPr>
      </w:pPr>
      <w:r w:rsidRPr="001C7FC9">
        <w:rPr>
          <w:rStyle w:val="HideTWBExt"/>
          <w:b w:val="0"/>
          <w:lang w:val="fr-FR"/>
        </w:rPr>
        <w:t>&lt;RepeatBlock-By&gt;&lt;Members&gt;</w:t>
      </w:r>
      <w:r w:rsidRPr="001C7FC9">
        <w:rPr>
          <w:lang w:val="fr-FR"/>
        </w:rPr>
        <w:t>Pasquale Tridico</w:t>
      </w:r>
      <w:r w:rsidRPr="001C7FC9">
        <w:rPr>
          <w:rStyle w:val="HideTWBExt"/>
          <w:b w:val="0"/>
          <w:lang w:val="fr-FR"/>
        </w:rPr>
        <w:t>&lt;/Members&gt;</w:t>
      </w:r>
    </w:p>
    <w:p w:rsidR="00FB5EE8" w:rsidRPr="001C7FC9" w:rsidRDefault="00FB5EE8" w:rsidP="00FB5EE8">
      <w:pPr>
        <w:pStyle w:val="NormalBold"/>
        <w:rPr>
          <w:lang w:val="fr-FR"/>
        </w:rPr>
      </w:pPr>
      <w:r w:rsidRPr="001C7FC9">
        <w:rPr>
          <w:rStyle w:val="HideTWBExt"/>
          <w:b w:val="0"/>
          <w:lang w:val="fr-FR"/>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12 b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12 b.</w:t>
            </w:r>
            <w:r w:rsidRPr="001C7FC9">
              <w:tab/>
            </w:r>
            <w:r w:rsidRPr="001C7FC9">
              <w:rPr>
                <w:b/>
                <w:i/>
              </w:rPr>
              <w:t>ottaa huomioon komitean tärkeän roolin unionin lainsäädännön demokraattisen legitiimiyden lisäämisessä alue- ja paikallisviranomaisten aktiivisella koordinoinnilla ja tukee komiteaa sen pyrkimyksissä laatia entistä enemmän alueellisten vaikutusten arviointeja, myös Euroopan tulevaisuuskonferenssin loppuraportin ja suositusten mukaisesti;</w:t>
            </w:r>
          </w:p>
        </w:tc>
      </w:tr>
    </w:tbl>
    <w:p w:rsidR="00FB5EE8" w:rsidRPr="001C7FC9" w:rsidRDefault="00FB5EE8" w:rsidP="00FB5EE8">
      <w:pPr>
        <w:pStyle w:val="AmOrLang"/>
        <w:rPr>
          <w:lang w:val="sv-SE"/>
        </w:rPr>
      </w:pPr>
      <w:r w:rsidRPr="001C7FC9">
        <w:rPr>
          <w:lang w:val="sv-SE"/>
        </w:rPr>
        <w:t xml:space="preserve">Or. </w:t>
      </w:r>
      <w:r w:rsidRPr="001C7FC9">
        <w:rPr>
          <w:rStyle w:val="HideTWBExt"/>
          <w:lang w:val="sv-SE"/>
        </w:rPr>
        <w:t>&lt;Original&gt;</w:t>
      </w:r>
      <w:r w:rsidRPr="001C7FC9">
        <w:rPr>
          <w:rStyle w:val="HideTWBInt"/>
          <w:lang w:val="sv-SE"/>
        </w:rPr>
        <w:t>{EN}</w:t>
      </w:r>
      <w:r w:rsidRPr="001C7FC9">
        <w:rPr>
          <w:lang w:val="sv-SE"/>
        </w:rPr>
        <w:t>en</w:t>
      </w:r>
      <w:r w:rsidRPr="001C7FC9">
        <w:rPr>
          <w:rStyle w:val="HideTWBExt"/>
          <w:lang w:val="sv-SE"/>
        </w:rPr>
        <w:t>&lt;/Original&gt;</w:t>
      </w:r>
    </w:p>
    <w:p w:rsidR="00FB5EE8" w:rsidRPr="001C7FC9" w:rsidRDefault="00FB5EE8" w:rsidP="00FB5EE8">
      <w:pPr>
        <w:rPr>
          <w:lang w:val="sv-SE"/>
        </w:rPr>
      </w:pPr>
      <w:r w:rsidRPr="001C7FC9">
        <w:rPr>
          <w:rStyle w:val="HideTWBExt"/>
          <w:lang w:val="sv-SE"/>
        </w:rPr>
        <w:t>&lt;/Amend&gt;</w:t>
      </w:r>
    </w:p>
    <w:p w:rsidR="00FB5EE8" w:rsidRPr="001C7FC9" w:rsidRDefault="00FB5EE8" w:rsidP="00FB5EE8">
      <w:pPr>
        <w:pStyle w:val="AmNumberTabs"/>
        <w:rPr>
          <w:lang w:val="sv-SE"/>
        </w:rPr>
      </w:pPr>
      <w:r w:rsidRPr="001C7FC9">
        <w:rPr>
          <w:rStyle w:val="HideTWBExt"/>
          <w:lang w:val="sv-SE"/>
        </w:rPr>
        <w:t>&lt;Amend&gt;</w:t>
      </w:r>
      <w:r w:rsidRPr="001C7FC9">
        <w:rPr>
          <w:lang w:val="sv-SE"/>
        </w:rPr>
        <w:t>Tarkistus</w:t>
      </w:r>
      <w:r w:rsidRPr="001C7FC9">
        <w:rPr>
          <w:lang w:val="sv-SE"/>
        </w:rPr>
        <w:tab/>
      </w:r>
      <w:r w:rsidRPr="001C7FC9">
        <w:rPr>
          <w:lang w:val="sv-SE"/>
        </w:rPr>
        <w:tab/>
      </w:r>
      <w:r w:rsidRPr="001C7FC9">
        <w:rPr>
          <w:rStyle w:val="HideTWBExt"/>
          <w:lang w:val="sv-SE"/>
        </w:rPr>
        <w:t>&lt;NumAm&gt;</w:t>
      </w:r>
      <w:r w:rsidRPr="001C7FC9">
        <w:rPr>
          <w:lang w:val="sv-SE"/>
        </w:rPr>
        <w:t>16</w:t>
      </w:r>
      <w:r w:rsidRPr="001C7FC9">
        <w:rPr>
          <w:rStyle w:val="HideTWBExt"/>
          <w:lang w:val="sv-SE"/>
        </w:rPr>
        <w:t>&lt;/NumAm&gt;</w:t>
      </w:r>
    </w:p>
    <w:p w:rsidR="00FB5EE8" w:rsidRPr="001C7FC9" w:rsidRDefault="00FB5EE8" w:rsidP="00FB5EE8">
      <w:pPr>
        <w:pStyle w:val="NormalBold"/>
        <w:rPr>
          <w:lang w:val="sv-SE"/>
        </w:rPr>
      </w:pPr>
      <w:r w:rsidRPr="001C7FC9">
        <w:rPr>
          <w:rStyle w:val="HideTWBExt"/>
          <w:b w:val="0"/>
          <w:lang w:val="sv-SE"/>
        </w:rPr>
        <w:t>&lt;RepeatBlock-By&gt;&lt;Members&gt;</w:t>
      </w:r>
      <w:r w:rsidRPr="001C7FC9">
        <w:rPr>
          <w:lang w:val="sv-SE"/>
        </w:rPr>
        <w:t>Tamás Deutsch, Ondřej Knotek</w:t>
      </w:r>
      <w:r w:rsidRPr="001C7FC9">
        <w:rPr>
          <w:rStyle w:val="HideTWBExt"/>
          <w:b w:val="0"/>
          <w:lang w:val="sv-SE"/>
        </w:rPr>
        <w:t>&lt;/Members&gt;</w:t>
      </w:r>
    </w:p>
    <w:p w:rsidR="00FB5EE8" w:rsidRPr="001C7FC9" w:rsidRDefault="00FB5EE8" w:rsidP="00FB5EE8">
      <w:pPr>
        <w:pStyle w:val="NormalBold"/>
        <w:rPr>
          <w:lang w:val="sv-SE"/>
        </w:rPr>
      </w:pPr>
      <w:r w:rsidRPr="001C7FC9">
        <w:rPr>
          <w:rStyle w:val="HideTWBExt"/>
          <w:b w:val="0"/>
          <w:lang w:val="sv-SE"/>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12 b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12 b.</w:t>
            </w:r>
            <w:r w:rsidRPr="001C7FC9">
              <w:tab/>
            </w:r>
            <w:r w:rsidRPr="001C7FC9">
              <w:rPr>
                <w:b/>
                <w:i/>
              </w:rPr>
              <w:t xml:space="preserve">kehottaa toimielintä omistautumaan täysipainoisesti ja maksimoimaan ponnistelunsa kaikilla käytettävissä olevilla toimenpiteillään ja </w:t>
            </w:r>
            <w:r w:rsidRPr="001C7FC9">
              <w:rPr>
                <w:b/>
                <w:i/>
              </w:rPr>
              <w:lastRenderedPageBreak/>
              <w:t>voimavaroillaan rauhan edistämiseksi ja Ukrainan sodan lopettamiseksi mahdollisimman pian sekä rauhan säilyttämiseksi ja Euroopan turvallisuuden vahvistamiseksi;</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17</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Tomáš Zdechovský</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13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13.</w:t>
            </w:r>
            <w:r w:rsidRPr="001C7FC9">
              <w:tab/>
              <w:t>antaa komitealle tunnustusta sen poliittisista saavutuksista sen keskeisillä painopistealoilla vuonna 2023; panee merkille, että komitea hoitaa tehtäväänsä antamalla lausuntoja, jotka koskevat komission tekemiä lainsäädäntöehdotuksia (lausuntopyynnöt), ja oma-aloitteisia lausuntoja, joissa kehotetaan unionin toimielimiä toimimaan, ja päätöslauselmia, joissa esitetään komitean kannat tiettyihin aiheisiin; panee merkille, että vuonna 2023 komitea antoi 53 lausuntoa ja kuusi päätöslauselmaa, mikä on vähemmän kuin vuonna 2022 annetut 55 lausuntoa ja kahdeksan päätöslauselmaa;</w:t>
            </w:r>
          </w:p>
        </w:tc>
        <w:tc>
          <w:tcPr>
            <w:tcW w:w="4876" w:type="dxa"/>
            <w:tcBorders>
              <w:top w:val="nil"/>
              <w:left w:val="nil"/>
              <w:bottom w:val="nil"/>
              <w:right w:val="nil"/>
            </w:tcBorders>
          </w:tcPr>
          <w:p w:rsidR="00FB5EE8" w:rsidRPr="001C7FC9" w:rsidRDefault="00FB5EE8" w:rsidP="00EC2C43">
            <w:pPr>
              <w:pStyle w:val="Normal6a"/>
            </w:pPr>
            <w:r w:rsidRPr="001C7FC9">
              <w:t>13.</w:t>
            </w:r>
            <w:r w:rsidRPr="001C7FC9">
              <w:tab/>
              <w:t xml:space="preserve">antaa komitealle tunnustusta sen poliittisista saavutuksista sen keskeisillä painopistealoilla vuonna 2023; panee merkille, että komitea hoitaa tehtäväänsä antamalla lausuntoja, jotka koskevat komission tekemiä lainsäädäntöehdotuksia (lausuntopyynnöt), ja oma-aloitteisia lausuntoja, joissa kehotetaan unionin toimielimiä toimimaan, ja päätöslauselmia, joissa esitetään komitean kannat tiettyihin aiheisiin; panee merkille, että vuonna 2023 komitea antoi 53 lausuntoa ja kuusi päätöslauselmaa, mikä on vähemmän kuin vuonna 2022 annetut 55 lausuntoa ja kahdeksan päätöslauselmaa </w:t>
            </w:r>
            <w:r w:rsidRPr="001C7FC9">
              <w:rPr>
                <w:b/>
                <w:i/>
              </w:rPr>
              <w:t>huolimatta määrärahojen ja henkilöstön lisäyksestä</w:t>
            </w:r>
            <w:r w:rsidRPr="001C7FC9">
              <w:t>;</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1C7FC9">
      <w:pPr>
        <w:pStyle w:val="AmNumberTabs"/>
        <w:keepNext/>
        <w:keepLines/>
        <w:widowControl/>
      </w:pPr>
      <w:r w:rsidRPr="001C7FC9">
        <w:rPr>
          <w:rStyle w:val="HideTWBExt"/>
        </w:rPr>
        <w:t>&lt;Amend&gt;</w:t>
      </w:r>
      <w:r w:rsidRPr="001C7FC9">
        <w:t>Tarkistus</w:t>
      </w:r>
      <w:r w:rsidRPr="001C7FC9">
        <w:tab/>
      </w:r>
      <w:r w:rsidRPr="001C7FC9">
        <w:tab/>
      </w:r>
      <w:r w:rsidRPr="001C7FC9">
        <w:rPr>
          <w:rStyle w:val="HideTWBExt"/>
        </w:rPr>
        <w:t>&lt;NumAm&gt;</w:t>
      </w:r>
      <w:r w:rsidRPr="001C7FC9">
        <w:t>18</w:t>
      </w:r>
      <w:r w:rsidRPr="001C7FC9">
        <w:rPr>
          <w:rStyle w:val="HideTWBExt"/>
        </w:rPr>
        <w:t>&lt;/NumAm&gt;</w:t>
      </w:r>
    </w:p>
    <w:p w:rsidR="00FB5EE8" w:rsidRPr="001C7FC9" w:rsidRDefault="00FB5EE8" w:rsidP="001C7FC9">
      <w:pPr>
        <w:pStyle w:val="NormalBold"/>
        <w:keepNext/>
        <w:keepLines/>
        <w:widowControl/>
      </w:pPr>
      <w:r w:rsidRPr="001C7FC9">
        <w:rPr>
          <w:rStyle w:val="HideTWBExt"/>
          <w:b w:val="0"/>
        </w:rPr>
        <w:t>&lt;RepeatBlock-By&gt;&lt;Members&gt;</w:t>
      </w:r>
      <w:r w:rsidRPr="001C7FC9">
        <w:t>Tomáš Zdechovský</w:t>
      </w:r>
      <w:r w:rsidRPr="001C7FC9">
        <w:rPr>
          <w:rStyle w:val="HideTWBExt"/>
          <w:b w:val="0"/>
        </w:rPr>
        <w:t>&lt;/Members&gt;</w:t>
      </w:r>
    </w:p>
    <w:p w:rsidR="00FB5EE8" w:rsidRPr="001C7FC9" w:rsidRDefault="00FB5EE8" w:rsidP="001C7FC9">
      <w:pPr>
        <w:pStyle w:val="NormalBold"/>
        <w:keepNext/>
        <w:keepLines/>
        <w:widowControl/>
      </w:pPr>
      <w:r w:rsidRPr="001C7FC9">
        <w:rPr>
          <w:rStyle w:val="HideTWBExt"/>
          <w:b w:val="0"/>
        </w:rPr>
        <w:t>&lt;/RepeatBlock-By&gt;</w:t>
      </w:r>
    </w:p>
    <w:p w:rsidR="00FB5EE8" w:rsidRPr="001C7FC9" w:rsidRDefault="00FB5EE8" w:rsidP="001C7FC9">
      <w:pPr>
        <w:pStyle w:val="NormalBold"/>
        <w:keepNext/>
        <w:keepLines/>
        <w:widowControl/>
      </w:pPr>
      <w:r w:rsidRPr="001C7FC9">
        <w:rPr>
          <w:rStyle w:val="HideTWBExt"/>
        </w:rPr>
        <w:t>&lt;DocAmend&gt;</w:t>
      </w:r>
      <w:r w:rsidRPr="001C7FC9">
        <w:t>Päätöslauselmaesitys</w:t>
      </w:r>
      <w:r w:rsidRPr="001C7FC9">
        <w:rPr>
          <w:rStyle w:val="HideTWBExt"/>
        </w:rPr>
        <w:t>&lt;/DocAmend&gt;</w:t>
      </w:r>
    </w:p>
    <w:p w:rsidR="00FB5EE8" w:rsidRPr="001C7FC9" w:rsidRDefault="00FB5EE8" w:rsidP="001C7FC9">
      <w:pPr>
        <w:pStyle w:val="NormalBold"/>
        <w:keepNext/>
        <w:keepLines/>
        <w:widowControl/>
      </w:pPr>
      <w:r w:rsidRPr="001C7FC9">
        <w:rPr>
          <w:rStyle w:val="HideTWBExt"/>
        </w:rPr>
        <w:t>&lt;Article&gt;</w:t>
      </w:r>
      <w:r w:rsidRPr="001C7FC9">
        <w:t>13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13 a.</w:t>
            </w:r>
            <w:r w:rsidRPr="001C7FC9">
              <w:tab/>
            </w:r>
            <w:r w:rsidRPr="001C7FC9">
              <w:rPr>
                <w:b/>
                <w:i/>
              </w:rPr>
              <w:t xml:space="preserve">kannustaa komiteaa jatkamaan </w:t>
            </w:r>
            <w:r w:rsidRPr="001C7FC9">
              <w:rPr>
                <w:b/>
                <w:i/>
              </w:rPr>
              <w:lastRenderedPageBreak/>
              <w:t>työtään tuloksellisuuden ja tehokkuuden parantamiseksi; suhtautuu myönteisesti komitean pyrkimyksiin ottaa käyttöön uudistavia ja innovatiivisia ratkaisuja, virtaviivaistaa hallintoa ja välttää päällekkäisiä rooleja muiden elinten kanssa;</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19</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Virginie Joron, Tamás Deutsch, Julien Sanchez</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13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13 a.</w:t>
            </w:r>
            <w:r w:rsidRPr="001C7FC9">
              <w:tab/>
            </w:r>
            <w:r w:rsidRPr="001C7FC9">
              <w:rPr>
                <w:b/>
                <w:i/>
              </w:rPr>
              <w:t>pyytää, että Euroopan parlamentin sihteeristö asettaa alueiden komitean kertomukset parlamentin jäsenten ja yleisön saataville Euroopan parlamentin eCommittee-sovelluksesta käytävien keskustelujen ja sitä koskevien äänestysten aikana;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{FR}</w:t>
      </w:r>
      <w:r w:rsidRPr="001C7FC9">
        <w:t>fr</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20</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16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16.</w:t>
            </w:r>
            <w:r w:rsidRPr="001C7FC9">
              <w:tab/>
              <w:t xml:space="preserve">panee merkille komitean työn vaikutuksen ja erityisesti sen lausunnot, joista osa heijastui myös komission, parlamentin tai neuvoston päätöslauselmiin, kantoihin, ehdotuksiin, mietintöihin, katsauksiin, päätelmiin tai trilogeihin vuonna 2023; kehottaa komiteaa edelleen toimittamaan hyödyllisiä ja </w:t>
            </w:r>
            <w:r w:rsidRPr="001C7FC9">
              <w:lastRenderedPageBreak/>
              <w:t>merkityksellisiä tietoja, kuten kentältä saatuja tietoja ja analyysejä, unionin toimielimille ja muille unionin politiikoista hyötyville; pitää myönteisenä komitean vahvempaa osallistumista unionin poliittisen ja lainsäädäntösyklin kaikkiin vaiheisiin komission, parlamentin ja Euroopan investointipankin kanssa tehtyjen yhteistyösopimusten ja toimintasuunnitelmien myötä; panee merkille, että vuonna 2023 komitean jäsenet tapasivat myös neuvoston ja pysyvien edustustojen edustajia ja osallistuivat neuvoston puheenjohtajavaltion järjestämiin tapahtumiin sen varmistamiseksi, että komitean kannat otetaan huomioon unionin lainsäädännössä; onnittelee komiteaa siitä, että se on lisännyt osallistumistaan lainsäädäntöä koskeviin trilogineuvotteluihin erityisesti saatuaan vuonna 2023 ensimmäistä kertaa oikeuden tutustua trilogikokousten asiakirjoihin;</w:t>
            </w:r>
          </w:p>
        </w:tc>
        <w:tc>
          <w:tcPr>
            <w:tcW w:w="4876" w:type="dxa"/>
            <w:tcBorders>
              <w:top w:val="nil"/>
              <w:left w:val="nil"/>
              <w:bottom w:val="nil"/>
              <w:right w:val="nil"/>
            </w:tcBorders>
          </w:tcPr>
          <w:p w:rsidR="00FB5EE8" w:rsidRPr="001C7FC9" w:rsidRDefault="00FB5EE8" w:rsidP="00EC2C43">
            <w:pPr>
              <w:pStyle w:val="Normal6a"/>
            </w:pPr>
            <w:r w:rsidRPr="001C7FC9">
              <w:lastRenderedPageBreak/>
              <w:t>16.</w:t>
            </w:r>
            <w:r w:rsidRPr="001C7FC9">
              <w:tab/>
              <w:t xml:space="preserve">panee merkille komitean työn vaikutuksen ja erityisesti sen lausunnot, joista osa heijastui myös komission, parlamentin tai neuvoston päätöslauselmiin, kantoihin, ehdotuksiin, mietintöihin, katsauksiin, päätelmiin tai trilogeihin vuonna 2023; kehottaa komiteaa edelleen toimittamaan hyödyllisiä ja </w:t>
            </w:r>
            <w:r w:rsidRPr="001C7FC9">
              <w:lastRenderedPageBreak/>
              <w:t xml:space="preserve">merkityksellisiä tietoja, kuten kentältä saatuja tietoja ja analyysejä, unionin toimielimille ja muille unionin politiikoista hyötyville; pitää myönteisenä komitean vahvempaa osallistumista unionin poliittisen ja lainsäädäntösyklin kaikkiin vaiheisiin komission, parlamentin ja Euroopan investointipankin kanssa tehtyjen yhteistyösopimusten ja toimintasuunnitelmien myötä; </w:t>
            </w:r>
            <w:r w:rsidRPr="001C7FC9">
              <w:rPr>
                <w:b/>
                <w:i/>
              </w:rPr>
              <w:t>katsoo, että komitean ja ETSK:n jäseniä olisi kutsuttava asiaankuuluviin parlamentaarisiin kokouksiin asioista, jotka kuuluvat niiden vastuualueelle;</w:t>
            </w:r>
            <w:r w:rsidRPr="001C7FC9">
              <w:t xml:space="preserve"> panee merkille, että vuonna 2023 komitean jäsenet tapasivat myös neuvoston ja pysyvien edustustojen edustajia ja osallistuivat neuvoston puheenjohtajavaltion järjestämiin tapahtumiin sen varmistamiseksi, että komitean kannat otetaan huomioon unionin lainsäädännössä; onnittelee komiteaa siitä, että se on lisännyt osallistumistaan lainsäädäntöä koskeviin trilogineuvotteluihin erityisesti saatuaan vuonna 2023 ensimmäistä kertaa oikeuden tutustua trilogikokousten asiakirjoihin;</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21</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Damian Boeselager</w:t>
      </w:r>
      <w:r w:rsidRPr="001C7FC9">
        <w:rPr>
          <w:rStyle w:val="HideTWBExt"/>
          <w:b w:val="0"/>
        </w:rPr>
        <w:t>&lt;/Members&gt;</w:t>
      </w:r>
    </w:p>
    <w:p w:rsidR="00FB5EE8" w:rsidRPr="001C7FC9" w:rsidRDefault="00FB5EE8" w:rsidP="00FB5EE8">
      <w:r w:rsidRPr="001C7FC9">
        <w:rPr>
          <w:rStyle w:val="HideTWBExt"/>
        </w:rPr>
        <w:t>&lt;AuNomDe&gt;</w:t>
      </w:r>
      <w:r w:rsidRPr="001C7FC9">
        <w:rPr>
          <w:rStyle w:val="HideTWBInt"/>
        </w:rPr>
        <w:t>{Greens/EFA}</w:t>
      </w:r>
      <w:r w:rsidRPr="001C7FC9">
        <w:t>Verts/ALE-ryhmän puolesta</w:t>
      </w:r>
      <w:r w:rsidRPr="001C7FC9">
        <w:rPr>
          <w:rStyle w:val="HideTWBExt"/>
        </w:rPr>
        <w:t>&lt;/AuNomDe&gt;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16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16 a.</w:t>
            </w:r>
            <w:r w:rsidRPr="001C7FC9">
              <w:tab/>
            </w:r>
            <w:r w:rsidRPr="001C7FC9">
              <w:rPr>
                <w:b/>
                <w:i/>
              </w:rPr>
              <w:t xml:space="preserve">kehottaa komiteaa varmistamaan alue- ja paikallishallintojen vahvemman osallistumisen EU:n päätöksentekoon luomalla jäsenneltyjä kuulemismekanismeja alue- ja paikallisviranomaisten, kuten parlamenttien, kuntien ja paikallisten </w:t>
            </w:r>
            <w:r w:rsidRPr="001C7FC9">
              <w:rPr>
                <w:b/>
                <w:i/>
              </w:rPr>
              <w:lastRenderedPageBreak/>
              <w:t>kansalaisyhteiskunnan organisaatioiden, kanssa ennen lausuntojen antamista; kehottaa komiteaa edistämään pakollista kuulemisprosessia lainsäädäntökysymyksissä, jotka vaikuttavat merkittävästi aluekehitykseen ja koheesiopolitiikkaan;</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22</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Caterina Chinnici</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16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16 a.</w:t>
            </w:r>
            <w:r w:rsidRPr="001C7FC9">
              <w:tab/>
            </w:r>
            <w:r w:rsidRPr="001C7FC9">
              <w:rPr>
                <w:b/>
                <w:i/>
              </w:rPr>
              <w:t>panee merkille, että vuonna 2023 käynnistettiin standardien noudattamisen ja vaikuttavuuden arviointi, jonka tavoitteena oli arvioida, missä määrin komitea noudatti valittuja sisäisen valvonnan standardeja ja missä määrin niiden täytäntöönpano oli vaikuttavaa; panee merkille, että arviointi osoitti, että valittujen sisäisen valvonnan standardien täytäntöönpano ja vaikuttavuus olivat tehostuneet vuoteen 2022 verrattuna; kannustaa komiteaa jatkamaan ponnistelujaan tehostaakseen edelleen käytössä olevien sisäisen valvonnan toimenpiteiden noudattamista ja vaikuttavuutta;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1C7FC9">
      <w:pPr>
        <w:pStyle w:val="AmNumberTabs"/>
        <w:keepNext/>
        <w:keepLines/>
        <w:widowControl/>
      </w:pPr>
      <w:r w:rsidRPr="001C7FC9">
        <w:rPr>
          <w:rStyle w:val="HideTWBExt"/>
        </w:rPr>
        <w:t>&lt;Amend&gt;</w:t>
      </w:r>
      <w:r w:rsidRPr="001C7FC9">
        <w:t>Tarkistus</w:t>
      </w:r>
      <w:r w:rsidRPr="001C7FC9">
        <w:tab/>
      </w:r>
      <w:r w:rsidRPr="001C7FC9">
        <w:tab/>
      </w:r>
      <w:r w:rsidRPr="001C7FC9">
        <w:rPr>
          <w:rStyle w:val="HideTWBExt"/>
        </w:rPr>
        <w:t>&lt;NumAm&gt;</w:t>
      </w:r>
      <w:r w:rsidRPr="001C7FC9">
        <w:t>23</w:t>
      </w:r>
      <w:r w:rsidRPr="001C7FC9">
        <w:rPr>
          <w:rStyle w:val="HideTWBExt"/>
        </w:rPr>
        <w:t>&lt;/NumAm&gt;</w:t>
      </w:r>
    </w:p>
    <w:p w:rsidR="00FB5EE8" w:rsidRPr="001C7FC9" w:rsidRDefault="00FB5EE8" w:rsidP="001C7FC9">
      <w:pPr>
        <w:pStyle w:val="NormalBold"/>
        <w:keepNext/>
        <w:keepLines/>
        <w:widowControl/>
      </w:pPr>
      <w:r w:rsidRPr="001C7FC9">
        <w:rPr>
          <w:rStyle w:val="HideTWBExt"/>
          <w:b w:val="0"/>
        </w:rPr>
        <w:t>&lt;RepeatBlock-By&gt;&lt;Members&gt;</w:t>
      </w:r>
      <w:r w:rsidRPr="001C7FC9">
        <w:t>Caterina Chinnici</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17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lastRenderedPageBreak/>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17.</w:t>
            </w:r>
            <w:r w:rsidRPr="001C7FC9">
              <w:tab/>
              <w:t>panee komitean uuden sisäisen valvonnan kehyksen osalta merkille, että komitea otti käyttöön uuden jälkitarkastusmenetelmän</w:t>
            </w:r>
            <w:r w:rsidRPr="001C7FC9">
              <w:rPr>
                <w:b/>
                <w:i/>
              </w:rPr>
              <w:t>, jossa</w:t>
            </w:r>
            <w:r w:rsidRPr="001C7FC9">
              <w:t xml:space="preserve"> keskityttiin </w:t>
            </w:r>
            <w:r w:rsidRPr="001C7FC9">
              <w:rPr>
                <w:b/>
                <w:i/>
              </w:rPr>
              <w:t>vuonna 2023</w:t>
            </w:r>
            <w:r w:rsidRPr="001C7FC9">
              <w:t xml:space="preserve"> peruspalkkaan ja työaikaan ja </w:t>
            </w:r>
            <w:r w:rsidRPr="001C7FC9">
              <w:rPr>
                <w:b/>
                <w:i/>
              </w:rPr>
              <w:t>jossa</w:t>
            </w:r>
            <w:r w:rsidRPr="001C7FC9">
              <w:t xml:space="preserve"> tarkastettiin 55 tapausta; panee lisäksi merkille, että vuonna 2023 komitea uudisti standardien noudattamisen ja vaikuttavuuden arviointinsa määrittääkseen, missä määrin komitea noudattaa tiettyjä sisäisen valvonnan standardeja ja miten vaikuttavasti ne on pantu täytäntöön; antaa komitealle tunnustusta siitä, että tulokset ovat parantuneet vuoteen 2022 verrattuna; panee tyytyväisenä merkille uusien erityistä luotettavuutta edellyttäviä tehtäviä koskevien toimintaperiaatteiden osalta, että komitea toteutti vuonna 2023 tutkimuksen, jossa yksilöitiin kunkin tehtävän riskitaso ja siten se, missä määrin edellytetään erityistä luotettavuutta, sekä tarvittavat toimenpiteet asiaankuuluvien riskien lieventämiseksi;</w:t>
            </w:r>
          </w:p>
        </w:tc>
        <w:tc>
          <w:tcPr>
            <w:tcW w:w="4876" w:type="dxa"/>
            <w:tcBorders>
              <w:top w:val="nil"/>
              <w:left w:val="nil"/>
              <w:bottom w:val="nil"/>
              <w:right w:val="nil"/>
            </w:tcBorders>
          </w:tcPr>
          <w:p w:rsidR="00FB5EE8" w:rsidRPr="001C7FC9" w:rsidRDefault="00FB5EE8" w:rsidP="00EC2C43">
            <w:pPr>
              <w:pStyle w:val="Normal6a"/>
            </w:pPr>
            <w:r w:rsidRPr="001C7FC9">
              <w:t>17.</w:t>
            </w:r>
            <w:r w:rsidRPr="001C7FC9">
              <w:tab/>
              <w:t xml:space="preserve">panee komitean uuden sisäisen valvonnan kehyksen osalta merkille, että komitea otti </w:t>
            </w:r>
            <w:r w:rsidRPr="001C7FC9">
              <w:rPr>
                <w:b/>
                <w:i/>
              </w:rPr>
              <w:t>vuodesta 2023</w:t>
            </w:r>
            <w:r w:rsidRPr="001C7FC9">
              <w:t xml:space="preserve"> käyttöön uuden jälkitarkastusmenetelmän</w:t>
            </w:r>
            <w:r w:rsidRPr="001C7FC9">
              <w:rPr>
                <w:b/>
                <w:i/>
              </w:rPr>
              <w:t>, jonka tavoitteena on yksinkertaistaa ja yhdenmukaistaa lähestymistapa muiden EU:n toimielinten käytäntöön siten, että jälkitarkastukset on nyt keskitetty aiemman hajautetun käytännön sijasta</w:t>
            </w:r>
            <w:r w:rsidRPr="001C7FC9">
              <w:t>;</w:t>
            </w:r>
            <w:r w:rsidRPr="001C7FC9">
              <w:rPr>
                <w:b/>
                <w:i/>
              </w:rPr>
              <w:t xml:space="preserve"> panee merkille, että vuonna 2023 jälkitarkastuksissa</w:t>
            </w:r>
            <w:r w:rsidRPr="001C7FC9">
              <w:t xml:space="preserve"> keskityttiin peruspalkkaan ja työaikaan ja </w:t>
            </w:r>
            <w:r w:rsidRPr="001C7FC9">
              <w:rPr>
                <w:b/>
                <w:i/>
              </w:rPr>
              <w:t>niissä</w:t>
            </w:r>
            <w:r w:rsidRPr="001C7FC9">
              <w:t xml:space="preserve"> tarkastettiin 55 tapausta </w:t>
            </w:r>
            <w:r w:rsidRPr="001C7FC9">
              <w:rPr>
                <w:b/>
                <w:i/>
              </w:rPr>
              <w:t>ja että tilastollinen arvio perusjoukkoon vaikuttavasta virheestä oli 0 prosenttia</w:t>
            </w:r>
            <w:r w:rsidRPr="001C7FC9">
              <w:t>; panee lisäksi merkille, että vuonna 2023 komitea uudisti standardien noudattamisen ja vaikuttavuuden arviointinsa määrittääkseen, missä määrin komitea noudattaa tiettyjä sisäisen valvonnan standardeja ja miten vaikuttavasti ne on pantu täytäntöön; antaa komitealle tunnustusta siitä, että tulokset ovat parantuneet vuoteen 2022 verrattuna; panee tyytyväisenä merkille uusien erityistä luotettavuutta edellyttäviä tehtäviä koskevien toimintaperiaatteiden osalta, että komitea toteutti vuonna 2023 tutkimuksen, jossa yksilöitiin kunkin tehtävän riskitaso ja siten se, missä määrin edellytetään erityistä luotettavuutta, sekä tarvittavat toimenpiteet asiaankuuluvien riskien lieventämiseksi;</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1C7FC9">
      <w:pPr>
        <w:pStyle w:val="AmNumberTabs"/>
        <w:keepNext/>
        <w:keepLines/>
        <w:widowControl/>
      </w:pPr>
      <w:r w:rsidRPr="001C7FC9">
        <w:rPr>
          <w:rStyle w:val="HideTWBExt"/>
        </w:rPr>
        <w:t>&lt;Amend&gt;</w:t>
      </w:r>
      <w:r w:rsidRPr="001C7FC9">
        <w:t>Tarkistus</w:t>
      </w:r>
      <w:r w:rsidRPr="001C7FC9">
        <w:tab/>
      </w:r>
      <w:r w:rsidRPr="001C7FC9">
        <w:tab/>
      </w:r>
      <w:r w:rsidRPr="001C7FC9">
        <w:rPr>
          <w:rStyle w:val="HideTWBExt"/>
        </w:rPr>
        <w:t>&lt;NumAm&gt;</w:t>
      </w:r>
      <w:r w:rsidRPr="001C7FC9">
        <w:t>24</w:t>
      </w:r>
      <w:r w:rsidRPr="001C7FC9">
        <w:rPr>
          <w:rStyle w:val="HideTWBExt"/>
        </w:rPr>
        <w:t>&lt;/NumAm&gt;</w:t>
      </w:r>
    </w:p>
    <w:p w:rsidR="00FB5EE8" w:rsidRPr="001C7FC9" w:rsidRDefault="00FB5EE8" w:rsidP="001C7FC9">
      <w:pPr>
        <w:pStyle w:val="NormalBold"/>
        <w:keepNext/>
        <w:keepLines/>
        <w:widowControl/>
      </w:pPr>
      <w:r w:rsidRPr="001C7FC9">
        <w:rPr>
          <w:rStyle w:val="HideTWBExt"/>
          <w:b w:val="0"/>
        </w:rPr>
        <w:t>&lt;RepeatBlock-By&gt;&lt;Members&gt;</w:t>
      </w:r>
      <w:r w:rsidRPr="001C7FC9">
        <w:t>Tomáš Zdechovský</w:t>
      </w:r>
      <w:r w:rsidRPr="001C7FC9">
        <w:rPr>
          <w:rStyle w:val="HideTWBExt"/>
          <w:b w:val="0"/>
        </w:rPr>
        <w:t>&lt;/Members&gt;</w:t>
      </w:r>
    </w:p>
    <w:p w:rsidR="00FB5EE8" w:rsidRPr="001C7FC9" w:rsidRDefault="00FB5EE8" w:rsidP="001C7FC9">
      <w:pPr>
        <w:pStyle w:val="NormalBold"/>
        <w:keepNext/>
        <w:keepLines/>
        <w:widowControl/>
      </w:pPr>
      <w:r w:rsidRPr="001C7FC9">
        <w:rPr>
          <w:rStyle w:val="HideTWBExt"/>
          <w:b w:val="0"/>
        </w:rPr>
        <w:t>&lt;/RepeatBlock-By&gt;</w:t>
      </w:r>
    </w:p>
    <w:p w:rsidR="00FB5EE8" w:rsidRPr="001C7FC9" w:rsidRDefault="00FB5EE8" w:rsidP="001C7FC9">
      <w:pPr>
        <w:pStyle w:val="NormalBold"/>
        <w:keepNext/>
        <w:keepLines/>
        <w:widowControl/>
      </w:pPr>
      <w:r w:rsidRPr="001C7FC9">
        <w:rPr>
          <w:rStyle w:val="HideTWBExt"/>
        </w:rPr>
        <w:t>&lt;DocAmend&gt;</w:t>
      </w:r>
      <w:r w:rsidRPr="001C7FC9">
        <w:t>Päätöslauselmaesitys</w:t>
      </w:r>
      <w:r w:rsidRPr="001C7FC9">
        <w:rPr>
          <w:rStyle w:val="HideTWBExt"/>
        </w:rPr>
        <w:t>&lt;/DocAmend&gt;</w:t>
      </w:r>
    </w:p>
    <w:p w:rsidR="00FB5EE8" w:rsidRPr="001C7FC9" w:rsidRDefault="00FB5EE8" w:rsidP="001C7FC9">
      <w:pPr>
        <w:pStyle w:val="NormalBold"/>
        <w:keepNext/>
        <w:keepLines/>
        <w:widowControl/>
      </w:pPr>
      <w:r w:rsidRPr="001C7FC9">
        <w:rPr>
          <w:rStyle w:val="HideTWBExt"/>
        </w:rPr>
        <w:t>&lt;Article&gt;</w:t>
      </w:r>
      <w:r w:rsidRPr="001C7FC9">
        <w:t>19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lastRenderedPageBreak/>
              <w:t>19.</w:t>
            </w:r>
            <w:r w:rsidRPr="001C7FC9">
              <w:tab/>
              <w:t>panee merkille, että vuoden 2023 lopussa komiteassa oli yhteensä 559 henkilöstön jäsentä (pois lukien kansalliset asiantuntijat, väliaikaiset työntekijät, sisäiset toimeksisaajat ja harjoittelijat), kun vastaava luku vuonna 2022 oli 533; panee merkille, että vuoden 2023 lopussa komitean palveluksessa oli 74 sopimussuhteista toimihenkilöä ja 96 väliaikaista toimihenkilöä, kun vuonna 2022 palveluksessa oli 56 sopimussuhteista toimihenkilöä ja 89 väliaikaista toimihenkilöä, ja että heistä 21 sopimussuhteisella toimihenkilöllä oli toistaiseksi voimassa oleva sopimus, 53 sopimussuhteisella toimihenkilöllä oli määräaikainen sopimus, 53 vakinaiseen virkaan palkatulla väliaikaisella toimihenkilöllä oli määräaikainen sopimus, 50 väliaikaisella toimihenkilöllä oli toistaiseksi voimassa oleva sopimus ja kolmella väliaikaisella toimihenkilöllä oli väliaikainen toimi (kahdella heistä oli toistaiseksi voimassa oleva sopimus ja pääsihteerillä viiden vuoden määräaikainen sopimus); panee lisäksi merkille, että komitean palveluksessa oli viisi paikan päällä työskennellyttä tilapäistä toimihenkilöä ja 12 ulkopuolista henkilöstön jäsentä, mihin ei luettu mukaan ulkopuolisia palveluntarjoajia logistiikan ja tietotekniikan alalla; panee merkille, että vuonna 2023 henkilöstötaulukon toimien täyttöaste oli 98 prosenttia (eli suurempi kuin edellisen vuoden 96 prosenttia) ja vaihtuvuus 6,6 prosenttia (eli pienempi kuin edellisen vuoden 10,8 prosenttia);</w:t>
            </w:r>
          </w:p>
        </w:tc>
        <w:tc>
          <w:tcPr>
            <w:tcW w:w="4876" w:type="dxa"/>
            <w:tcBorders>
              <w:top w:val="nil"/>
              <w:left w:val="nil"/>
              <w:bottom w:val="nil"/>
              <w:right w:val="nil"/>
            </w:tcBorders>
          </w:tcPr>
          <w:p w:rsidR="00FB5EE8" w:rsidRPr="001C7FC9" w:rsidRDefault="00FB5EE8" w:rsidP="00EC2C43">
            <w:pPr>
              <w:pStyle w:val="Normal6a"/>
            </w:pPr>
            <w:r w:rsidRPr="001C7FC9">
              <w:t>19.</w:t>
            </w:r>
            <w:r w:rsidRPr="001C7FC9">
              <w:tab/>
              <w:t>panee merkille, että vuoden 2023 lopussa komiteassa oli yhteensä 559 henkilöstön jäsentä (pois lukien kansalliset asiantuntijat, väliaikaiset työntekijät, sisäiset toimeksisaajat ja harjoittelijat), kun vastaava luku vuonna 2022 oli 533; panee merkille, että vuoden 2023 lopussa komitean palveluksessa oli 74 sopimussuhteista toimihenkilöä ja 96 väliaikaista toimihenkilöä, kun vuonna 2022 palveluksessa oli 56 sopimussuhteista toimihenkilöä ja 89 väliaikaista toimihenkilöä, ja että heistä 21 sopimussuhteisella toimihenkilöllä oli toistaiseksi voimassa oleva sopimus, 53 sopimussuhteisella toimihenkilöllä oli määräaikainen sopimus, 53 vakinaiseen virkaan palkatulla väliaikaisella toimihenkilöllä oli määräaikainen sopimus, 50 väliaikaisella toimihenkilöllä oli toistaiseksi voimassa oleva sopimus ja kolmella väliaikaisella toimihenkilöllä oli väliaikainen toimi (kahdella heistä oli toistaiseksi voimassa oleva sopimus ja pääsihteerillä viiden vuoden määräaikainen sopimus); panee lisäksi merkille, että komitean palveluksessa oli viisi paikan päällä työskennellyttä tilapäistä toimihenkilöä ja 12 ulkopuolista henkilöstön jäsentä, mihin ei luettu mukaan ulkopuolisia palveluntarjoajia logistiikan ja tietotekniikan alalla; </w:t>
            </w:r>
            <w:r w:rsidRPr="001C7FC9">
              <w:rPr>
                <w:b/>
                <w:i/>
              </w:rPr>
              <w:t>toivoo, että henkilöstön lisääminen on perusteltua;</w:t>
            </w:r>
            <w:r w:rsidRPr="001C7FC9">
              <w:t xml:space="preserve"> panee merkille, että vuonna 2023 henkilöstötaulukon toimien täyttöaste oli 98 prosenttia (eli suurempi kuin edellisen vuoden 96 prosenttia) ja vaihtuvuus 6,6 prosenttia (eli pienempi kuin edellisen vuoden 10,8 prosenttia);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25</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Tamás Deutsch</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lastRenderedPageBreak/>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19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19 a.</w:t>
            </w:r>
            <w:r w:rsidRPr="001C7FC9">
              <w:tab/>
            </w:r>
            <w:r w:rsidRPr="001C7FC9">
              <w:rPr>
                <w:b/>
                <w:i/>
              </w:rPr>
              <w:t>muistuttaa Euroopan unionista tehdystä sopimuksesta, jonka mukaan EU ja sen toimielimet edistävät naisten ja miesten välistä solidaarisuutta ja tasa-arvoa;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26</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Virginie Joron, Julien Sanchez</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20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20.</w:t>
            </w:r>
            <w:r w:rsidRPr="001C7FC9">
              <w:tab/>
              <w:t xml:space="preserve">panee merkille, että komitea tukeutuu yhä enemmän sopimussuhteisiin ja väliaikaisiin toimihenkilöihin (jopa 26 prosenttia komitean henkilöstöstä); panee kyselyn perusteella merkille, että tämä johtuu erityisesti siitä, ettei EPSO ole laatinut varallaololuetteloja yleisvirkamiesten profiileista vuoden 2018 jälkeen; on huolissaan siitä, että komitean pitkän aikavälin vakautta ja toiminnan jatkuvuutta uhkaa se, että tarjotut määräaikaiset sopimukset eivät ole houkuttelevia; </w:t>
            </w:r>
            <w:r w:rsidRPr="001C7FC9">
              <w:rPr>
                <w:b/>
                <w:i/>
              </w:rPr>
              <w:t xml:space="preserve">tukee komitean pyrkimyksiä vastata näihin haasteisiin esimerkiksi järjestämällä sisäisiä kilpailuja; </w:t>
            </w:r>
            <w:r w:rsidRPr="001C7FC9">
              <w:t xml:space="preserve">pyytää komiteaa tiedottamaan vastuuvapauden myöntävälle viranomaiselle </w:t>
            </w:r>
            <w:r w:rsidRPr="001C7FC9">
              <w:rPr>
                <w:b/>
                <w:i/>
              </w:rPr>
              <w:t>tällaisista</w:t>
            </w:r>
            <w:r w:rsidRPr="001C7FC9">
              <w:t xml:space="preserve"> vuonna 2024 järjestetyistä kilpailuista;</w:t>
            </w:r>
          </w:p>
        </w:tc>
        <w:tc>
          <w:tcPr>
            <w:tcW w:w="4876" w:type="dxa"/>
            <w:tcBorders>
              <w:top w:val="nil"/>
              <w:left w:val="nil"/>
              <w:bottom w:val="nil"/>
              <w:right w:val="nil"/>
            </w:tcBorders>
          </w:tcPr>
          <w:p w:rsidR="00FB5EE8" w:rsidRPr="001C7FC9" w:rsidRDefault="00FB5EE8" w:rsidP="00EC2C43">
            <w:pPr>
              <w:pStyle w:val="Normal6a"/>
            </w:pPr>
            <w:r w:rsidRPr="001C7FC9">
              <w:t>20.</w:t>
            </w:r>
            <w:r w:rsidRPr="001C7FC9">
              <w:tab/>
              <w:t xml:space="preserve">panee merkille, että komitea tukeutuu yhä enemmän sopimussuhteisiin ja väliaikaisiin toimihenkilöihin (jopa 26 prosenttia komitean henkilöstöstä); panee kyselyn perusteella merkille, että tämä johtuu erityisesti siitä, ettei EPSO ole laatinut varallaololuetteloja yleisvirkamiesten profiileista vuoden 2018 jälkeen; on huolissaan siitä, että komitean pitkän aikavälin vakautta ja toiminnan jatkuvuutta uhkaa se, että tarjotut määräaikaiset sopimukset eivät ole houkuttelevia; pyytää komiteaa tiedottamaan vastuuvapauden myöntävälle viranomaiselle vuonna 2024 järjestetyistä </w:t>
            </w:r>
            <w:r w:rsidRPr="001C7FC9">
              <w:rPr>
                <w:b/>
                <w:i/>
              </w:rPr>
              <w:t>sopimussuhteisia ja väliaikaisia toimihenkilöitä sekä vakinaista henkilöstöä koskevista</w:t>
            </w:r>
            <w:r w:rsidRPr="001C7FC9">
              <w:t xml:space="preserve"> kilpailuista;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{FR}</w:t>
      </w:r>
      <w:r w:rsidRPr="001C7FC9">
        <w:t>fr</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27</w:t>
      </w:r>
      <w:r w:rsidRPr="001C7FC9">
        <w:rPr>
          <w:rStyle w:val="HideTWBExt"/>
        </w:rPr>
        <w:t>&lt;/NumAm&gt;</w:t>
      </w:r>
    </w:p>
    <w:p w:rsidR="00FB5EE8" w:rsidRPr="001C7FC9" w:rsidRDefault="00FB5EE8" w:rsidP="00FB5EE8">
      <w:pPr>
        <w:pStyle w:val="NormalBold"/>
      </w:pPr>
      <w:r w:rsidRPr="001C7FC9">
        <w:rPr>
          <w:rStyle w:val="HideTWBExt"/>
          <w:b w:val="0"/>
        </w:rPr>
        <w:lastRenderedPageBreak/>
        <w:t>&lt;RepeatBlock-By&gt;&lt;Members&gt;</w:t>
      </w:r>
      <w:r w:rsidRPr="001C7FC9">
        <w:t>Michal Wiezik, Olivier Chastel, Vlad Vasile-Voiculescu, Gilles Boyer</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20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20.</w:t>
            </w:r>
            <w:r w:rsidRPr="001C7FC9">
              <w:tab/>
              <w:t>panee merkille, että komitea tukeutuu yhä enemmän sopimussuhteisiin ja väliaikaisiin toimihenkilöihin (jopa 26 prosenttia komitean henkilöstöstä); panee kyselyn perusteella merkille, että tämä johtuu erityisesti siitä, ettei EPSO ole laatinut varallaololuetteloja yleisvirkamiesten profiileista vuoden 2018 jälkeen; on huolissaan siitä, että komitean pitkän aikavälin vakautta ja toiminnan jatkuvuutta uhkaa se, että tarjotut määräaikaiset sopimukset eivät ole houkuttelevia; tukee komitean pyrkimyksiä vastata näihin haasteisiin esimerkiksi järjestämällä sisäisiä kilpailuja; pyytää komiteaa tiedottamaan vastuuvapauden myöntävälle viranomaiselle tällaisista vuonna 2024 järjestetyistä kilpailuista;</w:t>
            </w:r>
          </w:p>
        </w:tc>
        <w:tc>
          <w:tcPr>
            <w:tcW w:w="4876" w:type="dxa"/>
            <w:tcBorders>
              <w:top w:val="nil"/>
              <w:left w:val="nil"/>
              <w:bottom w:val="nil"/>
              <w:right w:val="nil"/>
            </w:tcBorders>
          </w:tcPr>
          <w:p w:rsidR="00FB5EE8" w:rsidRPr="001C7FC9" w:rsidRDefault="00FB5EE8" w:rsidP="00EC2C43">
            <w:pPr>
              <w:pStyle w:val="Normal6a"/>
            </w:pPr>
            <w:r w:rsidRPr="001C7FC9">
              <w:t>20.</w:t>
            </w:r>
            <w:r w:rsidRPr="001C7FC9">
              <w:tab/>
              <w:t xml:space="preserve">panee merkille, että komitea tukeutuu yhä enemmän sopimussuhteisiin ja väliaikaisiin toimihenkilöihin (jopa 26 prosenttia komitean henkilöstöstä); panee kyselyn perusteella merkille, että tämä johtuu erityisesti siitä, ettei EPSO ole laatinut varallaololuetteloja yleisvirkamiesten profiileista vuoden 2018 jälkeen; on huolissaan siitä, että komitean pitkän aikavälin vakautta ja toiminnan jatkuvuutta uhkaa se, että tarjotut määräaikaiset sopimukset eivät ole houkuttelevia; </w:t>
            </w:r>
            <w:r w:rsidRPr="001C7FC9">
              <w:rPr>
                <w:b/>
                <w:i/>
              </w:rPr>
              <w:t>korostaa vakinaisen henkilöstön merkitystä taitojen, jatkuvuuden ja tuottavan työympäristön ylläpitämisessä;</w:t>
            </w:r>
            <w:r w:rsidRPr="001C7FC9">
              <w:t xml:space="preserve"> tukee komitean pyrkimyksiä vastata näihin haasteisiin esimerkiksi järjestämällä sisäisiä kilpailuja; pyytää komiteaa tiedottamaan vastuuvapauden myöntävälle viranomaiselle tällaisista vuonna 2024 järjestetyistä kilpailuista;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28</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20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20.</w:t>
            </w:r>
            <w:r w:rsidRPr="001C7FC9">
              <w:tab/>
              <w:t xml:space="preserve">panee merkille, että komitea tukeutuu yhä enemmän sopimussuhteisiin ja väliaikaisiin toimihenkilöihin (jopa 26 prosenttia komitean henkilöstöstä); panee kyselyn perusteella merkille, että tämä johtuu erityisesti siitä, ettei EPSO ole </w:t>
            </w:r>
            <w:r w:rsidRPr="001C7FC9">
              <w:lastRenderedPageBreak/>
              <w:t>laatinut varallaololuetteloja yleisvirkamiesten profiileista vuoden 2018 jälkeen; on huolissaan siitä, että komitean pitkän aikavälin vakautta ja toiminnan jatkuvuutta uhkaa se, että tarjotut määräaikaiset sopimukset eivät ole houkuttelevia; tukee komitean pyrkimyksiä vastata näihin haasteisiin</w:t>
            </w:r>
            <w:r w:rsidRPr="001C7FC9">
              <w:rPr>
                <w:b/>
                <w:i/>
              </w:rPr>
              <w:t xml:space="preserve"> esimerkiksi järjestämällä sisäisiä kilpailuja</w:t>
            </w:r>
            <w:r w:rsidRPr="001C7FC9">
              <w:t>; pyytää komiteaa tiedottamaan vastuuvapauden myöntävälle viranomaiselle tällaisista vuonna 2024 järjestetyistä kilpailuista;</w:t>
            </w:r>
          </w:p>
        </w:tc>
        <w:tc>
          <w:tcPr>
            <w:tcW w:w="4876" w:type="dxa"/>
            <w:tcBorders>
              <w:top w:val="nil"/>
              <w:left w:val="nil"/>
              <w:bottom w:val="nil"/>
              <w:right w:val="nil"/>
            </w:tcBorders>
          </w:tcPr>
          <w:p w:rsidR="00FB5EE8" w:rsidRPr="001C7FC9" w:rsidRDefault="00FB5EE8" w:rsidP="00EC2C43">
            <w:pPr>
              <w:pStyle w:val="Normal6a"/>
            </w:pPr>
            <w:r w:rsidRPr="001C7FC9">
              <w:lastRenderedPageBreak/>
              <w:t>20.</w:t>
            </w:r>
            <w:r w:rsidRPr="001C7FC9">
              <w:tab/>
              <w:t xml:space="preserve">panee merkille, että komitea tukeutuu yhä enemmän sopimussuhteisiin ja väliaikaisiin toimihenkilöihin (jopa 26 prosenttia komitean henkilöstöstä); panee kyselyn perusteella merkille, että tämä johtuu erityisesti siitä, ettei EPSO ole </w:t>
            </w:r>
            <w:r w:rsidRPr="001C7FC9">
              <w:lastRenderedPageBreak/>
              <w:t xml:space="preserve">laatinut varallaololuetteloja yleisvirkamiesten profiileista vuoden 2018 jälkeen; on huolissaan siitä, että komitean pitkän aikavälin vakautta ja toiminnan jatkuvuutta uhkaa se, että tarjotut määräaikaiset sopimukset eivät ole houkuttelevia; </w:t>
            </w:r>
            <w:r w:rsidRPr="001C7FC9">
              <w:rPr>
                <w:b/>
                <w:i/>
              </w:rPr>
              <w:t>panee merkille, että komitea järjesti vuonna 2024 sisäisen kilpailun viiden palkkaluokan (AST/SC1, AST1, AST3, AD5 ja AD7) yleisvirkamiehille;</w:t>
            </w:r>
            <w:r w:rsidRPr="001C7FC9">
              <w:t xml:space="preserve"> tukee komitean pyrkimyksiä vastata näihin haasteisiin; pyytää komiteaa tiedottamaan vastuuvapauden myöntävälle viranomaiselle tällaisista vuonna 2024 järjestetyistä kilpailuista;</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29</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20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20 a.</w:t>
            </w:r>
            <w:r w:rsidRPr="001C7FC9">
              <w:tab/>
            </w:r>
            <w:r w:rsidRPr="001C7FC9">
              <w:rPr>
                <w:b/>
                <w:i/>
              </w:rPr>
              <w:t>panee merkille, että vuoden 2023 lopussa komitea työllisti 56,9 prosenttia naisia ja 43,1 prosenttia miehiä; suosittelee toimenpiteitä, joilla lisätään osallisuutta avoimia työpaikkoja koskevissa ilmoituksissa ja kannustetaan naisia osallistumaan enemmän ylemmän johdon ja keskijohdon tehtäviin, mukaan lukien tasapuolinen edustus valintalautakunnissa, kohdennetut koulutusmahdollisuudet johtotehtäviin pyrkivälle naispuoliselle henkilöstölle ja joustavampien työjärjestelyjen edistäminen;</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lastRenderedPageBreak/>
        <w:t>&lt;Amend&gt;</w:t>
      </w:r>
      <w:r w:rsidRPr="001C7FC9">
        <w:t>Tarkistus</w:t>
      </w:r>
      <w:r w:rsidRPr="001C7FC9">
        <w:tab/>
      </w:r>
      <w:r w:rsidRPr="001C7FC9">
        <w:tab/>
      </w:r>
      <w:r w:rsidRPr="001C7FC9">
        <w:rPr>
          <w:rStyle w:val="HideTWBExt"/>
        </w:rPr>
        <w:t>&lt;NumAm&gt;</w:t>
      </w:r>
      <w:r w:rsidRPr="001C7FC9">
        <w:t>30</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Damian Boeselager</w:t>
      </w:r>
      <w:r w:rsidRPr="001C7FC9">
        <w:rPr>
          <w:rStyle w:val="HideTWBExt"/>
          <w:b w:val="0"/>
        </w:rPr>
        <w:t>&lt;/Members&gt;</w:t>
      </w:r>
    </w:p>
    <w:p w:rsidR="00FB5EE8" w:rsidRPr="001C7FC9" w:rsidRDefault="00FB5EE8" w:rsidP="00FB5EE8">
      <w:r w:rsidRPr="001C7FC9">
        <w:rPr>
          <w:rStyle w:val="HideTWBExt"/>
        </w:rPr>
        <w:t>&lt;AuNomDe&gt;</w:t>
      </w:r>
      <w:r w:rsidRPr="001C7FC9">
        <w:rPr>
          <w:rStyle w:val="HideTWBInt"/>
        </w:rPr>
        <w:t>{Greens/EFA}</w:t>
      </w:r>
      <w:r w:rsidRPr="001C7FC9">
        <w:t>Verts/ALE-ryhmän puolesta</w:t>
      </w:r>
      <w:r w:rsidRPr="001C7FC9">
        <w:rPr>
          <w:rStyle w:val="HideTWBExt"/>
        </w:rPr>
        <w:t>&lt;/AuNomDe&gt;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20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20 a.</w:t>
            </w:r>
            <w:r w:rsidRPr="001C7FC9">
              <w:tab/>
            </w:r>
            <w:r w:rsidRPr="001C7FC9">
              <w:rPr>
                <w:b/>
                <w:i/>
              </w:rPr>
              <w:t>pitää valitettavana, että sukupuolten tasa-arvoa ei ole vielä saavutettu AK:n johtotehtävissä; kehottaa komiteaa hyväksymään sukupuolten tasapuolista edustusta koskevat sitovat tavoitteet ylemmälle johdolle ja vaatimaan jäsenvaltioita nimeämään sekä mies- että naisehdokkaan AK:n nimityksiin edustuksen parantamiseksi kaikilla tasoilla;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31</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20 b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20 b.</w:t>
            </w:r>
            <w:r w:rsidRPr="001C7FC9">
              <w:tab/>
            </w:r>
            <w:r w:rsidRPr="001C7FC9">
              <w:rPr>
                <w:b/>
                <w:i/>
              </w:rPr>
              <w:t>panee tyytyväisenä merkille, että komitea hyväksyi 7. heinäkuuta 2022 uuden viisivuotisen monimuotoisuutta ja osallisuutta koskevan strategian ja toimintasuunnitelman vuosille 2022–2026; panee merkille tämän kehyksen puitteissa saavutetun merkittävän edistyksen, mukaan lukien naisten osuuden merkittävä kasvu ylemmän johdon viroissa 37,5 prosentista vuonna 2022 44,4 prosenttiin vuonna 2023; kannustaa komiteaa jatkamaan ponnistelujaan ja tukee perimmäistä tavoitetta sukupuolten tasapuolisen edustuksen saavuttamisesta;</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32</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21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21.</w:t>
            </w:r>
            <w:r w:rsidRPr="001C7FC9">
              <w:tab/>
              <w:t>panee merkille, että vuonna 2022 käynnistetyn hybridityötä koskevan pilottihankkeen ja henkilöstön tyytyväisyystutkimuksen tuloksena komitea hyväksyi 1. tammikuuta 2024 päätöksen, jossa säädetään hybridityöjärjestelystä ja yksilöllisestä viikoittaisesta työaikataulusta kullekin henkilöstön jäsenelle sekä mahdollisuudesta työskennellä kotoa käsin enintään 60 prosenttia työajasta (lukuun ottamatta henkilöstöryhmiä, joille etätyö ei sovellu) ja työskentelypaikkakunnan ulkopuolelta enintään 15 päivää vuodessa;</w:t>
            </w:r>
          </w:p>
        </w:tc>
        <w:tc>
          <w:tcPr>
            <w:tcW w:w="4876" w:type="dxa"/>
            <w:tcBorders>
              <w:top w:val="nil"/>
              <w:left w:val="nil"/>
              <w:bottom w:val="nil"/>
              <w:right w:val="nil"/>
            </w:tcBorders>
          </w:tcPr>
          <w:p w:rsidR="00FB5EE8" w:rsidRPr="001C7FC9" w:rsidRDefault="00FB5EE8" w:rsidP="00EC2C43">
            <w:pPr>
              <w:pStyle w:val="Normal6a"/>
            </w:pPr>
            <w:r w:rsidRPr="001C7FC9">
              <w:t>21.</w:t>
            </w:r>
            <w:r w:rsidRPr="001C7FC9">
              <w:tab/>
              <w:t xml:space="preserve">panee merkille, että vuonna 2022 käynnistetyn hybridityötä koskevan pilottihankkeen ja henkilöstön tyytyväisyystutkimuksen tuloksena komitea hyväksyi 1. tammikuuta 2024 päätöksen, jossa säädetään hybridityöjärjestelystä ja yksilöllisestä viikoittaisesta työaikataulusta kullekin henkilöstön jäsenelle sekä mahdollisuudesta työskennellä kotoa käsin enintään 60 prosenttia työajasta (lukuun ottamatta henkilöstöryhmiä, joille etätyö ei sovellu) ja työskentelypaikkakunnan ulkopuolelta enintään 15 päivää vuodessa; </w:t>
            </w:r>
            <w:r w:rsidRPr="001C7FC9">
              <w:rPr>
                <w:b/>
                <w:i/>
              </w:rPr>
              <w:t>toteaa, että näillä toimenpiteillä pyritään parantamaan työ- ja yksityiselämän tasapainoa säilyttäen samalla toiminnan tehokkuus ja henkilöstön tyytyväisyys;</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33</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23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23.</w:t>
            </w:r>
            <w:r w:rsidRPr="001C7FC9">
              <w:tab/>
            </w:r>
            <w:r w:rsidRPr="001C7FC9">
              <w:rPr>
                <w:b/>
                <w:i/>
              </w:rPr>
              <w:t>panee merkille</w:t>
            </w:r>
            <w:r w:rsidRPr="001C7FC9">
              <w:t xml:space="preserve">, että vuonna 2023 komiteassa ilmoitettiin 18 työuupumustapauksesta </w:t>
            </w:r>
            <w:r w:rsidRPr="001C7FC9">
              <w:rPr>
                <w:b/>
                <w:i/>
              </w:rPr>
              <w:t>(vuonna 2022 tapauksia oli 16)</w:t>
            </w:r>
            <w:r w:rsidRPr="001C7FC9">
              <w:t xml:space="preserve">; panee lisäksi merkille, että vuonna 2023 pitkään sairauslomaan liittyvän yksilöllisen seurannan ansiosta </w:t>
            </w:r>
            <w:r w:rsidRPr="001C7FC9">
              <w:lastRenderedPageBreak/>
              <w:t>16 henkilöstön jäsentä palasi onnistuneesti takaisin työhön työuupumuksen aiheuttaman pitkäaikaisen poissaolon jälkeen; suhtautuu myönteisesti komitean toteuttamiin ennaltaehkäiseviin toimiin psykososiaalisten riskien ja työuupumuksen vähentämiseksi; panee tässä yhteydessä tyytyväisenä merkille työterveyshuollon ennakoivan toimintamallin sekä komitean järjestämät konferenssit, koulutukset ja kurssit tietämyksen lisäämiseksi;</w:t>
            </w:r>
          </w:p>
        </w:tc>
        <w:tc>
          <w:tcPr>
            <w:tcW w:w="4876" w:type="dxa"/>
            <w:tcBorders>
              <w:top w:val="nil"/>
              <w:left w:val="nil"/>
              <w:bottom w:val="nil"/>
              <w:right w:val="nil"/>
            </w:tcBorders>
          </w:tcPr>
          <w:p w:rsidR="00FB5EE8" w:rsidRPr="001C7FC9" w:rsidRDefault="00FB5EE8" w:rsidP="00EC2C43">
            <w:pPr>
              <w:pStyle w:val="Normal6a"/>
            </w:pPr>
            <w:r w:rsidRPr="001C7FC9">
              <w:lastRenderedPageBreak/>
              <w:t>23.</w:t>
            </w:r>
            <w:r w:rsidRPr="001C7FC9">
              <w:tab/>
            </w:r>
            <w:r w:rsidRPr="001C7FC9">
              <w:rPr>
                <w:b/>
                <w:i/>
              </w:rPr>
              <w:t>ilmaisee syvän huolensa siitä</w:t>
            </w:r>
            <w:r w:rsidRPr="001C7FC9">
              <w:t>, että vuonna 2023 komiteassa ilmoitettiin 18 työuupumustapauksesta</w:t>
            </w:r>
            <w:r w:rsidRPr="001C7FC9">
              <w:rPr>
                <w:b/>
                <w:i/>
              </w:rPr>
              <w:t>, mikä merkitsee kasvua 16 tapauksesta vuonna 2022</w:t>
            </w:r>
            <w:r w:rsidRPr="001C7FC9">
              <w:t>;</w:t>
            </w:r>
            <w:r w:rsidRPr="001C7FC9">
              <w:rPr>
                <w:b/>
                <w:i/>
              </w:rPr>
              <w:t xml:space="preserve"> korostaa työuupumuksen merkittävää sosiaalista ja ammatillista vaikutusta </w:t>
            </w:r>
            <w:r w:rsidRPr="001C7FC9">
              <w:rPr>
                <w:b/>
                <w:i/>
              </w:rPr>
              <w:lastRenderedPageBreak/>
              <w:t>henkilöstön hyvinvointiin ja suoriutumiseen;</w:t>
            </w:r>
            <w:r w:rsidRPr="001C7FC9">
              <w:t xml:space="preserve"> panee lisäksi merkille, että vuonna 2023 pitkään sairauslomaan liittyvän yksilöllisen seurannan ansiosta 16 henkilöstön jäsentä palasi onnistuneesti takaisin työhön työuupumuksen aiheuttaman pitkäaikaisen poissaolon jälkeen; suhtautuu myönteisesti komitean toteuttamiin ennaltaehkäiseviin toimiin psykososiaalisten riskien ja työuupumuksen vähentämiseksi; panee tässä yhteydessä tyytyväisenä merkille työterveyshuollon ennakoivan toimintamallin sekä komitean järjestämät konferenssit, koulutukset ja kurssit tietämyksen lisäämiseksi; </w:t>
            </w:r>
            <w:r w:rsidRPr="001C7FC9">
              <w:rPr>
                <w:b/>
                <w:i/>
              </w:rPr>
              <w:t>korostaa kuitenkin tarvetta vahvistaa edelleen toimia, joilla puututaan työuupumuksen perimmäisiin syihin ja edistetään terveellisempää työympäristöä;</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34</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Michal Wiezik, Olivier Chastel, Vlad Vasile-Voiculescu, Gilles Boyer</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23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23.</w:t>
            </w:r>
            <w:r w:rsidRPr="001C7FC9">
              <w:tab/>
              <w:t xml:space="preserve">panee merkille, että vuonna 2023 komiteassa ilmoitettiin 18 työuupumustapauksesta (vuonna 2022 tapauksia oli 16); panee lisäksi merkille, että vuonna 2023 pitkään sairauslomaan liittyvän yksilöllisen seurannan ansiosta 16 henkilöstön jäsentä palasi onnistuneesti takaisin työhön työuupumuksen aiheuttaman pitkäaikaisen poissaolon jälkeen; suhtautuu myönteisesti komitean toteuttamiin ennaltaehkäiseviin toimiin psykososiaalisten riskien ja työuupumuksen vähentämiseksi; panee tässä yhteydessä tyytyväisenä merkille työterveyshuollon ennakoivan </w:t>
            </w:r>
            <w:r w:rsidRPr="001C7FC9">
              <w:lastRenderedPageBreak/>
              <w:t>toimintamallin sekä komitean järjestämät konferenssit, koulutukset ja kurssit tietämyksen lisäämiseksi;</w:t>
            </w:r>
          </w:p>
        </w:tc>
        <w:tc>
          <w:tcPr>
            <w:tcW w:w="4876" w:type="dxa"/>
            <w:tcBorders>
              <w:top w:val="nil"/>
              <w:left w:val="nil"/>
              <w:bottom w:val="nil"/>
              <w:right w:val="nil"/>
            </w:tcBorders>
          </w:tcPr>
          <w:p w:rsidR="00FB5EE8" w:rsidRPr="001C7FC9" w:rsidRDefault="00FB5EE8" w:rsidP="00EC2C43">
            <w:pPr>
              <w:pStyle w:val="Normal6a"/>
            </w:pPr>
            <w:r w:rsidRPr="001C7FC9">
              <w:lastRenderedPageBreak/>
              <w:t>23.</w:t>
            </w:r>
            <w:r w:rsidRPr="001C7FC9">
              <w:tab/>
              <w:t xml:space="preserve">panee </w:t>
            </w:r>
            <w:r w:rsidRPr="001C7FC9">
              <w:rPr>
                <w:b/>
                <w:i/>
              </w:rPr>
              <w:t>huolestuneena</w:t>
            </w:r>
            <w:r w:rsidRPr="001C7FC9">
              <w:t xml:space="preserve"> merkille, että vuonna 2023 komiteassa ilmoitettiin 18 työuupumustapauksesta (vuonna 2022 tapauksia oli 16); panee lisäksi merkille, että vuonna 2023 pitkään sairauslomaan liittyvän yksilöllisen seurannan ansiosta 16 henkilöstön jäsentä palasi onnistuneesti takaisin työhön työuupumuksen aiheuttaman pitkäaikaisen poissaolon jälkeen; suhtautuu myönteisesti komitean toteuttamiin ennaltaehkäiseviin toimiin psykososiaalisten riskien ja työuupumuksen vähentämiseksi; panee tässä yhteydessä tyytyväisenä merkille työterveyshuollon ennakoivan </w:t>
            </w:r>
            <w:r w:rsidRPr="001C7FC9">
              <w:lastRenderedPageBreak/>
              <w:t>toimintamallin sekä komitean järjestämät konferenssit, koulutukset ja kurssit tietämyksen lisäämiseksi;</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35</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24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24.</w:t>
            </w:r>
            <w:r w:rsidRPr="001C7FC9">
              <w:tab/>
              <w:t>panee merkille, että komitea jatkoi vuonna 2023 tiedottamista toimenpiteistä, jotka oli otettu käyttöön työpaikkakiusaamisen ehkäisemiseksi ja torjumiseksi ja jotka perustuivat sen 26. huhtikuuta 2021 antamaan päätökseen ihmisarvon suojelusta työssä, konfliktien hallinnasta ja häirinnän torjunnasta; panee merkille, että tätä tehtiin erityisesti asiaa koskevan ohjeistuksen ja sisäisen viestinnän välityksellä sekä järjestämällä useita tiedotustilaisuuksia henkilöstölle ja johtajille; pitää erityisen myönteisenä, että vuonna 2023 järjestettiin viisi koulutustilaisuutta, joissa käsiteltiin työpaikkakiusaamisen ja seksuaalisen häirinnän ehkäisemistä sekä keskinäistä kunnioitusta ja ihmisarvoa hyvin suoriutuvassa tiimissä;</w:t>
            </w:r>
          </w:p>
        </w:tc>
        <w:tc>
          <w:tcPr>
            <w:tcW w:w="4876" w:type="dxa"/>
            <w:tcBorders>
              <w:top w:val="nil"/>
              <w:left w:val="nil"/>
              <w:bottom w:val="nil"/>
              <w:right w:val="nil"/>
            </w:tcBorders>
          </w:tcPr>
          <w:p w:rsidR="00FB5EE8" w:rsidRPr="001C7FC9" w:rsidRDefault="00FB5EE8" w:rsidP="00EC2C43">
            <w:pPr>
              <w:pStyle w:val="Normal6a"/>
            </w:pPr>
            <w:r w:rsidRPr="001C7FC9">
              <w:t>24.</w:t>
            </w:r>
            <w:r w:rsidRPr="001C7FC9">
              <w:tab/>
              <w:t xml:space="preserve">panee merkille, että komitea jatkoi vuonna 2023 tiedottamista toimenpiteistä, jotka oli otettu käyttöön työpaikkakiusaamisen ehkäisemiseksi ja torjumiseksi ja jotka perustuivat sen 26. huhtikuuta 2021 antamaan päätökseen ihmisarvon suojelusta työssä, konfliktien hallinnasta ja häirinnän torjunnasta; panee merkille, että tätä tehtiin erityisesti asiaa koskevan ohjeistuksen ja sisäisen viestinnän välityksellä sekä järjestämällä useita tiedotustilaisuuksia henkilöstölle ja johtajille; pitää erityisen myönteisenä, että vuonna 2023 järjestettiin viisi koulutustilaisuutta, joissa käsiteltiin työpaikkakiusaamisen ja seksuaalisen häirinnän ehkäisemistä sekä keskinäistä kunnioitusta ja ihmisarvoa hyvin suoriutuvassa tiimissä; </w:t>
            </w:r>
            <w:r w:rsidRPr="001C7FC9">
              <w:rPr>
                <w:b/>
                <w:i/>
              </w:rPr>
              <w:t>panee lisäksi tyytyväisenä merkille, että vuoden aikana ei ilmoitettu uusista, meneillään olevista tai päätetyistä seksuaalista häirintää koskevista tapauksista;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36</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Michal Wiezik, Olivier Chastel, Vlad Vasile-Voiculescu, Gilles Boyer</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lastRenderedPageBreak/>
        <w:t>&lt;Article&gt;</w:t>
      </w:r>
      <w:r w:rsidRPr="001C7FC9">
        <w:t>24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24.</w:t>
            </w:r>
            <w:r w:rsidRPr="001C7FC9">
              <w:tab/>
              <w:t>panee merkille, että komitea jatkoi vuonna 2023 tiedottamista toimenpiteistä, jotka oli otettu käyttöön työpaikkakiusaamisen ehkäisemiseksi ja torjumiseksi ja jotka perustuivat sen 26. huhtikuuta 2021 antamaan päätökseen ihmisarvon suojelusta työssä, konfliktien hallinnasta ja häirinnän torjunnasta; panee merkille, että tätä tehtiin erityisesti asiaa koskevan ohjeistuksen ja sisäisen viestinnän välityksellä sekä järjestämällä useita tiedotustilaisuuksia henkilöstölle ja johtajille; pitää erityisen myönteisenä, että vuonna 2023 järjestettiin viisi koulutustilaisuutta, joissa käsiteltiin työpaikkakiusaamisen ja seksuaalisen häirinnän ehkäisemistä sekä keskinäistä kunnioitusta ja ihmisarvoa hyvin suoriutuvassa tiimissä;</w:t>
            </w:r>
          </w:p>
        </w:tc>
        <w:tc>
          <w:tcPr>
            <w:tcW w:w="4876" w:type="dxa"/>
            <w:tcBorders>
              <w:top w:val="nil"/>
              <w:left w:val="nil"/>
              <w:bottom w:val="nil"/>
              <w:right w:val="nil"/>
            </w:tcBorders>
          </w:tcPr>
          <w:p w:rsidR="00FB5EE8" w:rsidRPr="001C7FC9" w:rsidRDefault="00FB5EE8" w:rsidP="00EC2C43">
            <w:pPr>
              <w:pStyle w:val="Normal6a"/>
            </w:pPr>
            <w:r w:rsidRPr="001C7FC9">
              <w:t>24.</w:t>
            </w:r>
            <w:r w:rsidRPr="001C7FC9">
              <w:tab/>
              <w:t>panee merkille, että komitea jatkoi vuonna 2023 tiedottamista toimenpiteistä, jotka oli otettu käyttöön työpaikkakiusaamisen ehkäisemiseksi ja torjumiseksi ja jotka perustuivat sen 26. huhtikuuta 2021 antamaan päätökseen ihmisarvon suojelusta työssä, konfliktien hallinnasta ja häirinnän torjunnasta; panee merkille, että tätä tehtiin erityisesti asiaa koskevan ohjeistuksen ja sisäisen viestinnän välityksellä sekä järjestämällä useita tiedotustilaisuuksia henkilöstölle ja johtajille; pitää erityisen myönteisenä, että vuonna 2023 järjestettiin viisi koulutustilaisuutta, joissa käsiteltiin työpaikkakiusaamisen ja seksuaalisen häirinnän ehkäisemistä sekä keskinäistä kunnioitusta ja ihmisarvoa hyvin suoriutuvassa tiimissä</w:t>
            </w:r>
            <w:r w:rsidRPr="001C7FC9">
              <w:rPr>
                <w:b/>
                <w:i/>
              </w:rPr>
              <w:t>, ja suosittelee tämän aloitteen jatkamista</w:t>
            </w:r>
            <w:r w:rsidRPr="001C7FC9">
              <w:t>;</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37</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26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26.</w:t>
            </w:r>
            <w:r w:rsidRPr="001C7FC9">
              <w:tab/>
              <w:t xml:space="preserve">panee merkille, että vuonna </w:t>
            </w:r>
            <w:r w:rsidRPr="001C7FC9">
              <w:rPr>
                <w:b/>
                <w:i/>
              </w:rPr>
              <w:t>2022</w:t>
            </w:r>
            <w:r w:rsidRPr="001C7FC9">
              <w:t xml:space="preserve"> komitean henkilöstöön lukeutui kaikkia EU:n kansalaisuuksia (ja yksi Ukrainan kansalainen) ja että osa kansalaisuuksista oli yliedustettuna (esim. Belgia); suhtautuu myönteisesti komitean lisäponnisteluihin, joilla pyritään tasapainottamaan henkilöstön maantieteellistä jakaumaa pyrkimällä levittämään sopimussuhteisia ja väliaikaisia toimihenkilöitä koskevat kiinnostuksenilmaisupyynnöt laajemmalle </w:t>
            </w:r>
            <w:r w:rsidRPr="001C7FC9">
              <w:lastRenderedPageBreak/>
              <w:t>yleisölle siten, että ne julkaistaan komitean verkkosivustolla ja sosiaalisessa mediassa; kehottaa komiteaa tiedottamaan vastuuvapauden myöntävälle viranomaiselle näiden toimien tuloksista;</w:t>
            </w:r>
          </w:p>
        </w:tc>
        <w:tc>
          <w:tcPr>
            <w:tcW w:w="4876" w:type="dxa"/>
            <w:tcBorders>
              <w:top w:val="nil"/>
              <w:left w:val="nil"/>
              <w:bottom w:val="nil"/>
              <w:right w:val="nil"/>
            </w:tcBorders>
          </w:tcPr>
          <w:p w:rsidR="00FB5EE8" w:rsidRPr="001C7FC9" w:rsidRDefault="00FB5EE8" w:rsidP="00EC2C43">
            <w:pPr>
              <w:pStyle w:val="Normal6a"/>
            </w:pPr>
            <w:r w:rsidRPr="001C7FC9">
              <w:lastRenderedPageBreak/>
              <w:t>26.</w:t>
            </w:r>
            <w:r w:rsidRPr="001C7FC9">
              <w:tab/>
              <w:t xml:space="preserve">panee merkille, että vuonna </w:t>
            </w:r>
            <w:r w:rsidRPr="001C7FC9">
              <w:rPr>
                <w:b/>
                <w:i/>
              </w:rPr>
              <w:t>2023</w:t>
            </w:r>
            <w:r w:rsidRPr="001C7FC9">
              <w:t xml:space="preserve"> komitean henkilöstöön lukeutui kaikkia EU:n kansalaisuuksia (ja yksi Ukrainan kansalainen) ja että osa kansalaisuuksista oli yliedustettuna (esim. Belgia); suhtautuu myönteisesti komitean lisäponnisteluihin, joilla pyritään tasapainottamaan henkilöstön maantieteellistä jakaumaa pyrkimällä levittämään sopimussuhteisia ja väliaikaisia toimihenkilöitä koskevat kiinnostuksenilmaisupyynnöt laajemmalle </w:t>
            </w:r>
            <w:r w:rsidRPr="001C7FC9">
              <w:lastRenderedPageBreak/>
              <w:t xml:space="preserve">yleisölle siten, että ne julkaistaan komitean verkkosivustolla ja sosiaalisessa mediassa; </w:t>
            </w:r>
            <w:r w:rsidRPr="001C7FC9">
              <w:rPr>
                <w:b/>
                <w:i/>
              </w:rPr>
              <w:t>pitää valitettavana komitean henkilöstön jatkuvaa maantieteellisen tasapainon puutetta ja sitä, että tietyt kansallisuudet ovat edelleen yliedustettuina muihin nähden; kannustaa komiteaa tehostamaan toimiaan maantieteellisen jakautumisen tasapainottamiseksi erityisesti johtotasolla;</w:t>
            </w:r>
            <w:r w:rsidRPr="001C7FC9">
              <w:t xml:space="preserve"> kehottaa komiteaa tiedottamaan vastuuvapauden myöntävälle viranomaiselle näiden toimien tuloksista;</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38</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26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26 a.</w:t>
            </w:r>
            <w:r w:rsidRPr="001C7FC9">
              <w:tab/>
            </w:r>
            <w:r w:rsidRPr="001C7FC9">
              <w:rPr>
                <w:b/>
                <w:i/>
              </w:rPr>
              <w:t>suhtautuu myönteisesti komitean harjoittelupaikkatoimiston osallistumiseen toisen kerran peräkkäin huhtikuussa 2023 pidettyyn tapahtumaan ”Mahdollisuudet romaninuorille”; on tyytyväinen aloitteeseen esitellä komitean harjoittelujärjestelmää nuorille ja motivoituneille romaneille ja muille kuin romaniosallistujille, mikä kuvastaa vahvaa sitoutumista osallisuuden, monimuotoisuuden ja yhtäläisten mahdollisuuksien edistämiseen; kannustaa jatkamaan ja laajentamaan tällaisia aloitteita aliedustettujen ryhmien osallistamiseksi ja osallistavamman EU:n työvoiman edistämiseksi;</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39</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Caterina Chinnici</w:t>
      </w:r>
      <w:r w:rsidRPr="001C7FC9">
        <w:rPr>
          <w:rStyle w:val="HideTWBExt"/>
          <w:b w:val="0"/>
        </w:rPr>
        <w:t>&lt;/Members&gt;</w:t>
      </w:r>
    </w:p>
    <w:p w:rsidR="00FB5EE8" w:rsidRPr="001C7FC9" w:rsidRDefault="00FB5EE8" w:rsidP="00FB5EE8">
      <w:pPr>
        <w:pStyle w:val="NormalBold"/>
      </w:pPr>
      <w:r w:rsidRPr="001C7FC9">
        <w:rPr>
          <w:rStyle w:val="HideTWBExt"/>
          <w:b w:val="0"/>
        </w:rPr>
        <w:lastRenderedPageBreak/>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26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26 a.</w:t>
            </w:r>
            <w:r w:rsidRPr="001C7FC9">
              <w:tab/>
            </w:r>
            <w:r w:rsidRPr="001C7FC9">
              <w:rPr>
                <w:b/>
                <w:i/>
              </w:rPr>
              <w:t>suhtautuu myönteisesti sukupuolten tasapuolisessa edustuksessa saavutettuun edistykseen johdossa ja naisten osuuden kasvuun sekä keskijohdon tehtävissä (29,7 prosentista vuonna 2022 32,5 prosenttiin vuonna 2023) että ylemmän johdon tehtävissä (37,5 prosentista vuonna 2022 44,4 prosenttiin vuonna 2023);</w:t>
            </w:r>
          </w:p>
        </w:tc>
      </w:tr>
    </w:tbl>
    <w:p w:rsidR="00FB5EE8" w:rsidRPr="001C7FC9" w:rsidRDefault="00FB5EE8" w:rsidP="00FB5EE8">
      <w:pPr>
        <w:pStyle w:val="AmOrLang"/>
        <w:rPr>
          <w:lang w:val="fr-FR"/>
        </w:rPr>
      </w:pPr>
      <w:r w:rsidRPr="001C7FC9">
        <w:rPr>
          <w:lang w:val="fr-FR"/>
        </w:rPr>
        <w:t xml:space="preserve">Or. </w:t>
      </w:r>
      <w:r w:rsidRPr="001C7FC9">
        <w:rPr>
          <w:rStyle w:val="HideTWBExt"/>
          <w:lang w:val="fr-FR"/>
        </w:rPr>
        <w:t>&lt;Original&gt;</w:t>
      </w:r>
      <w:r w:rsidRPr="001C7FC9">
        <w:rPr>
          <w:rStyle w:val="HideTWBInt"/>
          <w:lang w:val="fr-FR"/>
        </w:rPr>
        <w:t>{EN}</w:t>
      </w:r>
      <w:r w:rsidRPr="001C7FC9">
        <w:rPr>
          <w:lang w:val="fr-FR"/>
        </w:rPr>
        <w:t>en</w:t>
      </w:r>
      <w:r w:rsidRPr="001C7FC9">
        <w:rPr>
          <w:rStyle w:val="HideTWBExt"/>
          <w:lang w:val="fr-FR"/>
        </w:rPr>
        <w:t>&lt;/Original&gt;</w:t>
      </w:r>
    </w:p>
    <w:p w:rsidR="00FB5EE8" w:rsidRPr="001C7FC9" w:rsidRDefault="00FB5EE8" w:rsidP="00FB5EE8">
      <w:pPr>
        <w:rPr>
          <w:lang w:val="fr-FR"/>
        </w:rPr>
      </w:pPr>
      <w:r w:rsidRPr="001C7FC9">
        <w:rPr>
          <w:rStyle w:val="HideTWBExt"/>
          <w:lang w:val="fr-FR"/>
        </w:rPr>
        <w:t>&lt;/Amend&gt;</w:t>
      </w:r>
    </w:p>
    <w:p w:rsidR="00FB5EE8" w:rsidRPr="001C7FC9" w:rsidRDefault="00FB5EE8" w:rsidP="00FB5EE8">
      <w:pPr>
        <w:pStyle w:val="AmNumberTabs"/>
        <w:rPr>
          <w:lang w:val="fr-FR"/>
        </w:rPr>
      </w:pPr>
      <w:r w:rsidRPr="001C7FC9">
        <w:rPr>
          <w:rStyle w:val="HideTWBExt"/>
          <w:lang w:val="fr-FR"/>
        </w:rPr>
        <w:t>&lt;Amend&gt;</w:t>
      </w:r>
      <w:r w:rsidRPr="001C7FC9">
        <w:rPr>
          <w:lang w:val="fr-FR"/>
        </w:rPr>
        <w:t>Tarkistus</w:t>
      </w:r>
      <w:r w:rsidRPr="001C7FC9">
        <w:rPr>
          <w:lang w:val="fr-FR"/>
        </w:rPr>
        <w:tab/>
      </w:r>
      <w:r w:rsidRPr="001C7FC9">
        <w:rPr>
          <w:lang w:val="fr-FR"/>
        </w:rPr>
        <w:tab/>
      </w:r>
      <w:r w:rsidRPr="001C7FC9">
        <w:rPr>
          <w:rStyle w:val="HideTWBExt"/>
          <w:lang w:val="fr-FR"/>
        </w:rPr>
        <w:t>&lt;NumAm&gt;</w:t>
      </w:r>
      <w:r w:rsidRPr="001C7FC9">
        <w:rPr>
          <w:lang w:val="fr-FR"/>
        </w:rPr>
        <w:t>40</w:t>
      </w:r>
      <w:r w:rsidRPr="001C7FC9">
        <w:rPr>
          <w:rStyle w:val="HideTWBExt"/>
          <w:lang w:val="fr-FR"/>
        </w:rPr>
        <w:t>&lt;/NumAm&gt;</w:t>
      </w:r>
    </w:p>
    <w:p w:rsidR="00FB5EE8" w:rsidRPr="001C7FC9" w:rsidRDefault="00FB5EE8" w:rsidP="00FB5EE8">
      <w:pPr>
        <w:pStyle w:val="NormalBold"/>
        <w:rPr>
          <w:lang w:val="fr-FR"/>
        </w:rPr>
      </w:pPr>
      <w:r w:rsidRPr="001C7FC9">
        <w:rPr>
          <w:rStyle w:val="HideTWBExt"/>
          <w:b w:val="0"/>
          <w:lang w:val="fr-FR"/>
        </w:rPr>
        <w:t>&lt;RepeatBlock-By&gt;&lt;Members&gt;</w:t>
      </w:r>
      <w:r w:rsidRPr="001C7FC9">
        <w:rPr>
          <w:lang w:val="fr-FR"/>
        </w:rPr>
        <w:t>Pasquale Tridico</w:t>
      </w:r>
      <w:r w:rsidRPr="001C7FC9">
        <w:rPr>
          <w:rStyle w:val="HideTWBExt"/>
          <w:b w:val="0"/>
          <w:lang w:val="fr-FR"/>
        </w:rPr>
        <w:t>&lt;/Members&gt;</w:t>
      </w:r>
    </w:p>
    <w:p w:rsidR="00FB5EE8" w:rsidRPr="001C7FC9" w:rsidRDefault="00FB5EE8" w:rsidP="00FB5EE8">
      <w:pPr>
        <w:pStyle w:val="NormalBold"/>
        <w:rPr>
          <w:lang w:val="fr-FR"/>
        </w:rPr>
      </w:pPr>
      <w:r w:rsidRPr="001C7FC9">
        <w:rPr>
          <w:rStyle w:val="HideTWBExt"/>
          <w:b w:val="0"/>
          <w:lang w:val="fr-FR"/>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26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26 a.</w:t>
            </w:r>
            <w:r w:rsidRPr="001C7FC9">
              <w:tab/>
            </w:r>
            <w:r w:rsidRPr="001C7FC9">
              <w:rPr>
                <w:b/>
                <w:i/>
              </w:rPr>
              <w:t>pitää valitettavana, että naisten osuus ylemmässä johdossa ja keskijohdossa on edelleen alhainen vuonna 2023 huolimatta uuden naisjohtajan nimittämisestä vuonna 2023 ja joistakin toimista, joilla pyritään houkuttelemaan enemmän naisia johtotehtäviin; suhtautuu kuitenkin myönteisesti siihen, että komitea pitää henkilöstönsä ja erityisesti ylemmän johdon sukupuolijakaumaa tärkeänä tekijänä, ja kehottaa komiteaa parantamaan tilannetta;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41</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Damian Boeselager</w:t>
      </w:r>
      <w:r w:rsidRPr="001C7FC9">
        <w:rPr>
          <w:rStyle w:val="HideTWBExt"/>
          <w:b w:val="0"/>
        </w:rPr>
        <w:t>&lt;/Members&gt;</w:t>
      </w:r>
    </w:p>
    <w:p w:rsidR="00FB5EE8" w:rsidRPr="001C7FC9" w:rsidRDefault="00FB5EE8" w:rsidP="00FB5EE8">
      <w:r w:rsidRPr="001C7FC9">
        <w:rPr>
          <w:rStyle w:val="HideTWBExt"/>
        </w:rPr>
        <w:lastRenderedPageBreak/>
        <w:t>&lt;AuNomDe&gt;</w:t>
      </w:r>
      <w:r w:rsidRPr="001C7FC9">
        <w:rPr>
          <w:rStyle w:val="HideTWBInt"/>
        </w:rPr>
        <w:t>{Greens/EFA}</w:t>
      </w:r>
      <w:r w:rsidRPr="001C7FC9">
        <w:t>Verts/ALE-ryhmän puolesta</w:t>
      </w:r>
      <w:r w:rsidRPr="001C7FC9">
        <w:rPr>
          <w:rStyle w:val="HideTWBExt"/>
        </w:rPr>
        <w:t>&lt;/AuNomDe&gt;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26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26 a.</w:t>
            </w:r>
            <w:r w:rsidRPr="001C7FC9">
              <w:tab/>
            </w:r>
            <w:r w:rsidRPr="001C7FC9">
              <w:rPr>
                <w:b/>
                <w:i/>
              </w:rPr>
              <w:t>kehottaa komiteaa toteuttamaan vuotuisen monimuotoisuustarkastuksen ja julkaisemaan eriteltyjä tietoja sukupuolesta, kansallisuudesta ja työpaikkaluokasta; kehottaa komiteaa toteuttamaan lisätoimenpiteitä aliedustettujen jäsenvaltioiden edustuksen lisäämiseksi henkilöstössään;</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42</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Tamás Deutsch</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26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26 a.</w:t>
            </w:r>
            <w:r w:rsidRPr="001C7FC9">
              <w:tab/>
            </w:r>
            <w:r w:rsidRPr="001C7FC9">
              <w:rPr>
                <w:b/>
                <w:i/>
              </w:rPr>
              <w:t>kehottaa toimielintä hankkimaan kokemuksia ja tekemään johtopäätöksiä omien sisäisten sääntöjensä ja menettelyjensä kohdalla ottaen huomioon parlamentin työjärjestyksen ja käytännesääntöjen uudelleentarkastelu syyskuussa 2023; suosittelee kuitenkin, että toimielin kehittää lisää ja tehokkaampia tapoja torjua petoksia ja suojella kaikilta osin EU:n taloudellisia etuja;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43</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Tamás Deutsch</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lastRenderedPageBreak/>
        <w:t>&lt;Article&gt;</w:t>
      </w:r>
      <w:r w:rsidRPr="001C7FC9">
        <w:t>27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27 a.</w:t>
            </w:r>
            <w:r w:rsidRPr="001C7FC9">
              <w:tab/>
            </w:r>
            <w:r w:rsidRPr="001C7FC9">
              <w:rPr>
                <w:b/>
                <w:i/>
              </w:rPr>
              <w:t>kehottaa toimielintä arvioimaan, miten korruption ja petosten torjuntaa koskeva Euroopan parlamentin sääntelykehys on epäonnistunut ja miten on mahdollista, että Euroopan parlamentin jäsenet ovat useiden vuosien ajan paljastumatta osallistuneet korruptiota ja rahanpesua harjoittavan mafiankaltaisen verkoston toimintaan;</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44</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28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28.</w:t>
            </w:r>
            <w:r w:rsidRPr="001C7FC9">
              <w:tab/>
              <w:t xml:space="preserve">panee merkille, että OLAF käsitteli vuonna 2023 kahta tapausta, joista yksi koski komitean jäsenen väitettyä ulkopuolista ansiotoimintaa ja toinen väitteitä henkilöstön jäsenen luvattoman ulkoisen toiminnan uusimisesta; panee merkille, että ensin mainitussa tapauksessa OLAFin tutkimusta ei aloitettu siksi, että tutkimuksen suorittamiseen tarvittavien resurssien ja odotettujen tulosten välinen suhde ei ollut oikeasuhtainen, sillä komitea katsoi, ettei eturistiriitaa ei ollut, koska komitean jäsenet eivät saa unionilta minkäänlaista korvausta eikä heitä vaadita ilmoittamaan ammatillisesta toiminnastaan, johon mahdollisesti kuuluvista paikallisista tai alueellisista tehtävistä heille voidaan maksaa; panee merkille, että jälkimmäisessä tapauksessa OLAF käynnisti tutkimuksen, jonka tuloksena annettiin kaksi suositusta, jotka komitea pani täytäntöön käynnistämällä </w:t>
            </w:r>
            <w:r w:rsidRPr="001C7FC9">
              <w:lastRenderedPageBreak/>
              <w:t>kurinpitomenettelyn asianomaista henkilöstön jäsentä vastaan ja perimällä takaisin kyseisen henkilön luvattomasta ulkopuolisesta toiminnasta saadun hyödyn; palauttaa mieleen vuonna 2022 päättyneen tutkimuksen, joka koski väitteitä taloudellisista väärinkäytöksistä, häirinnästä ja huonosta hallinnosta komitean ja ETSK:n yhteisessä yksikössä ja jonka tuloksena järjestettiin konfliktinhallintatoimi, johon asianomaiset henkilöt osallistuivat, sekä laadittiin viisikohtainen toimintasuunnitelma; panee tyytyväisenä merkille, että kyseinen toimintasuunnitelma oli pantu kokonaisuudessaan täytäntöön vuoden 2023 loppuun mennessä, mikä kävi ilmi komitean seurantakertomuksesta, joka oli laadittu vastauksena parlamentin päätökseen vastuuvapauden myöntämistä komitean talousarvion toteuttamisesta varainhoitovuonna 2022;</w:t>
            </w:r>
          </w:p>
        </w:tc>
        <w:tc>
          <w:tcPr>
            <w:tcW w:w="4876" w:type="dxa"/>
            <w:tcBorders>
              <w:top w:val="nil"/>
              <w:left w:val="nil"/>
              <w:bottom w:val="nil"/>
              <w:right w:val="nil"/>
            </w:tcBorders>
          </w:tcPr>
          <w:p w:rsidR="00FB5EE8" w:rsidRPr="001C7FC9" w:rsidRDefault="00FB5EE8" w:rsidP="00EC2C43">
            <w:pPr>
              <w:pStyle w:val="Normal6a"/>
            </w:pPr>
            <w:r w:rsidRPr="001C7FC9">
              <w:lastRenderedPageBreak/>
              <w:t>28.</w:t>
            </w:r>
            <w:r w:rsidRPr="001C7FC9">
              <w:tab/>
              <w:t xml:space="preserve">panee merkille, että </w:t>
            </w:r>
            <w:r w:rsidRPr="001C7FC9">
              <w:rPr>
                <w:b/>
                <w:i/>
              </w:rPr>
              <w:t>Euroopan petostentorjuntavirasto (</w:t>
            </w:r>
            <w:r w:rsidRPr="001C7FC9">
              <w:t>OLAF</w:t>
            </w:r>
            <w:r w:rsidRPr="001C7FC9">
              <w:rPr>
                <w:b/>
                <w:i/>
              </w:rPr>
              <w:t>)</w:t>
            </w:r>
            <w:r w:rsidRPr="001C7FC9">
              <w:t xml:space="preserve"> käsitteli vuonna 2023 kahta tapausta, joista yksi koski komitean jäsenen väitettyä ulkopuolista ansiotoimintaa ja toinen väitteitä henkilöstön jäsenen luvattoman ulkoisen toiminnan uusimisesta; panee merkille, että ensin mainitussa tapauksessa OLAFin tutkimusta ei aloitettu siksi, että tutkimuksen suorittamiseen tarvittavien resurssien ja odotettujen tulosten välinen suhde ei ollut oikeasuhtainen, sillä komitea katsoi, ettei eturistiriitaa ei ollut, koska komitean jäsenet eivät saa unionilta minkäänlaista korvausta eikä heitä vaadita ilmoittamaan ammatillisesta toiminnastaan, johon mahdollisesti kuuluvista paikallisista tai alueellisista tehtävistä heille voidaan maksaa; panee merkille, että jälkimmäisessä tapauksessa OLAF käynnisti tutkimuksen, jonka tuloksena annettiin kaksi suositusta, jotka komitea </w:t>
            </w:r>
            <w:r w:rsidRPr="001C7FC9">
              <w:lastRenderedPageBreak/>
              <w:t>pani täytäntöön käynnistämällä kurinpitomenettelyn asianomaista henkilöstön jäsentä vastaan ja perimällä takaisin kyseisen henkilön luvattomasta ulkopuolisesta toiminnasta saadun hyödyn; palauttaa mieleen vuonna 2022 päättyneen tutkimuksen, joka koski väitteitä taloudellisista väärinkäytöksistä, häirinnästä ja huonosta hallinnosta komitean ja ETSK:n yhteisessä yksikössä ja jonka tuloksena järjestettiin konfliktinhallintatoimi, johon asianomaiset henkilöt osallistuivat, sekä laadittiin viisikohtainen toimintasuunnitelma; panee tyytyväisenä merkille, että kyseinen toimintasuunnitelma oli pantu kokonaisuudessaan täytäntöön vuoden 2023 loppuun mennessä, mikä kävi ilmi komitean seurantakertomuksesta, joka oli laadittu vastauksena parlamentin päätökseen vastuuvapauden myöntämistä komitean talousarvion toteuttamisesta varainhoitovuonna 2022;</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45</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Damian Boeselager</w:t>
      </w:r>
      <w:r w:rsidRPr="001C7FC9">
        <w:rPr>
          <w:rStyle w:val="HideTWBExt"/>
          <w:b w:val="0"/>
        </w:rPr>
        <w:t>&lt;/Members&gt;</w:t>
      </w:r>
    </w:p>
    <w:p w:rsidR="00FB5EE8" w:rsidRPr="001C7FC9" w:rsidRDefault="00FB5EE8" w:rsidP="00FB5EE8">
      <w:r w:rsidRPr="001C7FC9">
        <w:rPr>
          <w:rStyle w:val="HideTWBExt"/>
        </w:rPr>
        <w:t>&lt;AuNomDe&gt;</w:t>
      </w:r>
      <w:r w:rsidRPr="001C7FC9">
        <w:rPr>
          <w:rStyle w:val="HideTWBInt"/>
        </w:rPr>
        <w:t>{Greens/EFA}</w:t>
      </w:r>
      <w:r w:rsidRPr="001C7FC9">
        <w:t>Verts/ALE-ryhmän puolesta</w:t>
      </w:r>
      <w:r w:rsidRPr="001C7FC9">
        <w:rPr>
          <w:rStyle w:val="HideTWBExt"/>
        </w:rPr>
        <w:t>&lt;/AuNomDe&gt;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29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29 a.</w:t>
            </w:r>
            <w:r w:rsidRPr="001C7FC9">
              <w:tab/>
            </w:r>
            <w:r w:rsidRPr="001C7FC9">
              <w:rPr>
                <w:b/>
                <w:i/>
              </w:rPr>
              <w:t>kehottaa komiteaa tehostamaan eturistiriitojen havaitsemista ja ehkäisemistä ottamalla käyttöön pakollisen karenssiajan pois lähteville jäsenille, ennen kuin he voivat osallistua EU:n toimielinten lobbaus- tai neuvontatehtäviin; kehottaa julkaisemaan ennakoivasti kaikki AK:n jäsenten eturistiriitojen vuoksi tekemät esteellisyyspäätökset;</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1C7FC9">
      <w:pPr>
        <w:pStyle w:val="AmNumberTabs"/>
        <w:keepNext/>
        <w:keepLines/>
        <w:widowControl/>
      </w:pPr>
      <w:r w:rsidRPr="001C7FC9">
        <w:rPr>
          <w:rStyle w:val="HideTWBExt"/>
        </w:rPr>
        <w:t>&lt;Amend&gt;</w:t>
      </w:r>
      <w:r w:rsidRPr="001C7FC9">
        <w:t>Tarkistus</w:t>
      </w:r>
      <w:r w:rsidRPr="001C7FC9">
        <w:tab/>
      </w:r>
      <w:r w:rsidRPr="001C7FC9">
        <w:tab/>
      </w:r>
      <w:r w:rsidRPr="001C7FC9">
        <w:rPr>
          <w:rStyle w:val="HideTWBExt"/>
        </w:rPr>
        <w:t>&lt;NumAm&gt;</w:t>
      </w:r>
      <w:r w:rsidRPr="001C7FC9">
        <w:t>46</w:t>
      </w:r>
      <w:r w:rsidRPr="001C7FC9">
        <w:rPr>
          <w:rStyle w:val="HideTWBExt"/>
        </w:rPr>
        <w:t>&lt;/NumAm&gt;</w:t>
      </w:r>
    </w:p>
    <w:p w:rsidR="00FB5EE8" w:rsidRPr="001C7FC9" w:rsidRDefault="00FB5EE8" w:rsidP="001C7FC9">
      <w:pPr>
        <w:pStyle w:val="NormalBold"/>
        <w:keepNext/>
        <w:keepLines/>
        <w:widowControl/>
      </w:pPr>
      <w:r w:rsidRPr="001C7FC9">
        <w:rPr>
          <w:rStyle w:val="HideTWBExt"/>
          <w:b w:val="0"/>
        </w:rPr>
        <w:t>&lt;RepeatBlock-By&gt;&lt;Members&gt;</w:t>
      </w:r>
      <w:r w:rsidRPr="001C7FC9">
        <w:t>Michal Wiezik, Olivier Chastel, Vlad Vasile-Voiculescu, Gilles Boyer</w:t>
      </w:r>
      <w:r w:rsidRPr="001C7FC9">
        <w:rPr>
          <w:rStyle w:val="HideTWBExt"/>
          <w:b w:val="0"/>
        </w:rPr>
        <w:t>&lt;/Members&gt;</w:t>
      </w:r>
    </w:p>
    <w:p w:rsidR="00FB5EE8" w:rsidRPr="001C7FC9" w:rsidRDefault="00FB5EE8" w:rsidP="001C7FC9">
      <w:pPr>
        <w:pStyle w:val="NormalBold"/>
        <w:keepNext/>
        <w:keepLines/>
        <w:widowControl/>
      </w:pPr>
      <w:r w:rsidRPr="001C7FC9">
        <w:rPr>
          <w:rStyle w:val="HideTWBExt"/>
          <w:b w:val="0"/>
        </w:rPr>
        <w:t>&lt;/RepeatBlock-By&gt;</w:t>
      </w:r>
    </w:p>
    <w:p w:rsidR="00FB5EE8" w:rsidRPr="001C7FC9" w:rsidRDefault="00FB5EE8" w:rsidP="001C7FC9">
      <w:pPr>
        <w:pStyle w:val="NormalBold"/>
        <w:keepNext/>
        <w:keepLines/>
        <w:widowControl/>
      </w:pPr>
      <w:r w:rsidRPr="001C7FC9">
        <w:rPr>
          <w:rStyle w:val="HideTWBExt"/>
        </w:rPr>
        <w:t>&lt;DocAmend&gt;</w:t>
      </w:r>
      <w:r w:rsidRPr="001C7FC9">
        <w:t>Päätöslauselmaesitys</w:t>
      </w:r>
      <w:r w:rsidRPr="001C7FC9">
        <w:rPr>
          <w:rStyle w:val="HideTWBExt"/>
        </w:rPr>
        <w:t>&lt;/DocAmend&gt;</w:t>
      </w:r>
    </w:p>
    <w:p w:rsidR="00FB5EE8" w:rsidRPr="001C7FC9" w:rsidRDefault="00FB5EE8" w:rsidP="001C7FC9">
      <w:pPr>
        <w:pStyle w:val="NormalBold"/>
        <w:keepNext/>
        <w:keepLines/>
        <w:widowControl/>
      </w:pPr>
      <w:r w:rsidRPr="001C7FC9">
        <w:rPr>
          <w:rStyle w:val="HideTWBExt"/>
        </w:rPr>
        <w:t>&lt;Article&gt;</w:t>
      </w:r>
      <w:r w:rsidRPr="001C7FC9">
        <w:t>31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1C7FC9">
            <w:pPr>
              <w:keepNext/>
              <w:keepLines/>
              <w:widowControl/>
            </w:pPr>
          </w:p>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31.</w:t>
            </w:r>
            <w:r w:rsidRPr="001C7FC9">
              <w:tab/>
              <w:t>panee merkille, että komitealle ei vuonna 2023 ilmoitettu väärinkäytöksistä, lukuun ottamatta OLAFilta saatuja tietoja komitean henkilöstön jäsentä koskevasta väärinkäytösten paljastamistapauksesta, jonka OLAF lopulta hylkäsi; panee merkille, että komitea ei hyväksynyt vuonna 2023 uusia väärinkäytösten paljastamista koskevia toimenpiteitä, vaan tukeutui edelleen vuodesta 2015 lähtien käytössä olleisiin toimenpiteisiin edistäen niitä etiikkaa koskevan koulutuksen avulla;</w:t>
            </w:r>
          </w:p>
        </w:tc>
        <w:tc>
          <w:tcPr>
            <w:tcW w:w="4876" w:type="dxa"/>
            <w:tcBorders>
              <w:top w:val="nil"/>
              <w:left w:val="nil"/>
              <w:bottom w:val="nil"/>
              <w:right w:val="nil"/>
            </w:tcBorders>
          </w:tcPr>
          <w:p w:rsidR="00FB5EE8" w:rsidRPr="001C7FC9" w:rsidRDefault="00FB5EE8" w:rsidP="00EC2C43">
            <w:pPr>
              <w:pStyle w:val="Normal6a"/>
            </w:pPr>
            <w:r w:rsidRPr="001C7FC9">
              <w:t>31.</w:t>
            </w:r>
            <w:r w:rsidRPr="001C7FC9">
              <w:tab/>
              <w:t xml:space="preserve">panee merkille, että komitealle ei vuonna 2023 ilmoitettu väärinkäytöksistä, lukuun ottamatta OLAFilta saatuja tietoja komitean henkilöstön jäsentä koskevasta väärinkäytösten paljastamistapauksesta, jonka OLAF lopulta hylkäsi; panee merkille, että komitea ei hyväksynyt vuonna 2023 uusia väärinkäytösten paljastamista koskevia toimenpiteitä, vaan tukeutui edelleen vuodesta 2015 lähtien käytössä olleisiin toimenpiteisiin edistäen niitä etiikkaa koskevan koulutuksen avulla; </w:t>
            </w:r>
            <w:r w:rsidRPr="001C7FC9">
              <w:rPr>
                <w:b/>
                <w:i/>
              </w:rPr>
              <w:t>tukee säännöllistä pakollista etiikkaa koskevaa koulutusta sekä henkilöstölle että johtajille;</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47</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31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31.</w:t>
            </w:r>
            <w:r w:rsidRPr="001C7FC9">
              <w:tab/>
              <w:t xml:space="preserve">panee merkille, että komitealle ei vuonna 2023 ilmoitettu väärinkäytöksistä, lukuun ottamatta OLAFilta saatuja tietoja komitean henkilöstön jäsentä koskevasta väärinkäytösten paljastamistapauksesta, jonka OLAF lopulta hylkäsi; panee merkille, että komitea ei hyväksynyt vuonna 2023 uusia väärinkäytösten paljastamista koskevia toimenpiteitä, vaan </w:t>
            </w:r>
            <w:r w:rsidRPr="001C7FC9">
              <w:lastRenderedPageBreak/>
              <w:t>tukeutui edelleen vuodesta 2015 lähtien käytössä olleisiin toimenpiteisiin edistäen niitä etiikkaa koskevan koulutuksen avulla;</w:t>
            </w:r>
          </w:p>
        </w:tc>
        <w:tc>
          <w:tcPr>
            <w:tcW w:w="4876" w:type="dxa"/>
            <w:tcBorders>
              <w:top w:val="nil"/>
              <w:left w:val="nil"/>
              <w:bottom w:val="nil"/>
              <w:right w:val="nil"/>
            </w:tcBorders>
          </w:tcPr>
          <w:p w:rsidR="00FB5EE8" w:rsidRPr="001C7FC9" w:rsidRDefault="00FB5EE8" w:rsidP="00EC2C43">
            <w:pPr>
              <w:pStyle w:val="Normal6a"/>
            </w:pPr>
            <w:r w:rsidRPr="001C7FC9">
              <w:lastRenderedPageBreak/>
              <w:t>31.</w:t>
            </w:r>
            <w:r w:rsidRPr="001C7FC9">
              <w:tab/>
              <w:t xml:space="preserve">panee merkille, että komitealle ei vuonna 2023 ilmoitettu väärinkäytöksistä, lukuun ottamatta OLAFilta saatuja tietoja komitean henkilöstön jäsentä koskevasta väärinkäytösten paljastamistapauksesta, jonka OLAF lopulta hylkäsi; panee merkille, että komitea ei hyväksynyt vuonna 2023 uusia väärinkäytösten paljastamista koskevia toimenpiteitä, vaan </w:t>
            </w:r>
            <w:r w:rsidRPr="001C7FC9">
              <w:lastRenderedPageBreak/>
              <w:t xml:space="preserve">tukeutui edelleen vuodesta 2015 lähtien käytössä olleisiin toimenpiteisiin edistäen niitä etiikkaa koskevan koulutuksen </w:t>
            </w:r>
            <w:r w:rsidRPr="001C7FC9">
              <w:rPr>
                <w:b/>
                <w:i/>
              </w:rPr>
              <w:t>ja tiedotuksen</w:t>
            </w:r>
            <w:r w:rsidRPr="001C7FC9">
              <w:t xml:space="preserve"> avulla;</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48</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Michal Wiezik, Olivier Chastel, Vlad Vasile-Voiculescu, Gilles Boyer</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32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32.</w:t>
            </w:r>
            <w:r w:rsidRPr="001C7FC9">
              <w:tab/>
              <w:t>panee merkille, että komitealla on ollut käytössään erilaisia petostentorjuntatoimenpiteitä ja -toimia, joita sovelletaan sen jäseniin ja henkilöstöön ja joiden toteuttamisesta eri yksiköt huolehtivat; panee kyselyn perusteella tyytyväisenä merkille, että komitea on sitoutunut edelleen vahvistamaan nykyisiä petostentorjuntatoimenpiteitä ja aikoo hyväksyä petostentorjuntastrategian vuonna 2025; pyytää komiteaa pitämään vastuuvapauden myöntävän viranomaisen ajan tasalla tästä asiasta;</w:t>
            </w:r>
          </w:p>
        </w:tc>
        <w:tc>
          <w:tcPr>
            <w:tcW w:w="4876" w:type="dxa"/>
            <w:tcBorders>
              <w:top w:val="nil"/>
              <w:left w:val="nil"/>
              <w:bottom w:val="nil"/>
              <w:right w:val="nil"/>
            </w:tcBorders>
          </w:tcPr>
          <w:p w:rsidR="00FB5EE8" w:rsidRPr="001C7FC9" w:rsidRDefault="00FB5EE8" w:rsidP="00EC2C43">
            <w:pPr>
              <w:pStyle w:val="Normal6a"/>
            </w:pPr>
            <w:r w:rsidRPr="001C7FC9">
              <w:t>32.</w:t>
            </w:r>
            <w:r w:rsidRPr="001C7FC9">
              <w:tab/>
              <w:t xml:space="preserve">panee merkille, että komitealla on ollut käytössään erilaisia petostentorjuntatoimenpiteitä ja -toimia, joita sovelletaan sen jäseniin ja henkilöstöön ja joiden toteuttamisesta eri yksiköt huolehtivat; panee kyselyn perusteella tyytyväisenä merkille, että komitea on sitoutunut edelleen vahvistamaan nykyisiä petostentorjuntatoimenpiteitä ja aikoo hyväksyä petostentorjuntastrategian vuonna 2025; </w:t>
            </w:r>
            <w:r w:rsidRPr="001C7FC9">
              <w:rPr>
                <w:b/>
                <w:i/>
              </w:rPr>
              <w:t>kannustaa komiteaa edistämään säännöllistä ja pakollista petostentorjuntakoulutusta osana kyseistä strategiaa;</w:t>
            </w:r>
            <w:r w:rsidRPr="001C7FC9">
              <w:t xml:space="preserve"> pyytää komiteaa pitämään vastuuvapauden myöntävän viranomaisen ajan tasalla tästä asiasta;</w:t>
            </w:r>
          </w:p>
        </w:tc>
      </w:tr>
    </w:tbl>
    <w:p w:rsidR="00FB5EE8" w:rsidRPr="001C7FC9" w:rsidRDefault="00FB5EE8" w:rsidP="00FB5EE8">
      <w:pPr>
        <w:pStyle w:val="AmOrLang"/>
        <w:rPr>
          <w:lang w:val="fr-FR"/>
        </w:rPr>
      </w:pPr>
      <w:r w:rsidRPr="001C7FC9">
        <w:rPr>
          <w:lang w:val="fr-FR"/>
        </w:rPr>
        <w:t xml:space="preserve">Or. </w:t>
      </w:r>
      <w:r w:rsidRPr="001C7FC9">
        <w:rPr>
          <w:rStyle w:val="HideTWBExt"/>
          <w:lang w:val="fr-FR"/>
        </w:rPr>
        <w:t>&lt;Original&gt;</w:t>
      </w:r>
      <w:r w:rsidRPr="001C7FC9">
        <w:rPr>
          <w:rStyle w:val="HideTWBInt"/>
          <w:lang w:val="fr-FR"/>
        </w:rPr>
        <w:t>{EN}</w:t>
      </w:r>
      <w:r w:rsidRPr="001C7FC9">
        <w:rPr>
          <w:lang w:val="fr-FR"/>
        </w:rPr>
        <w:t>en</w:t>
      </w:r>
      <w:r w:rsidRPr="001C7FC9">
        <w:rPr>
          <w:rStyle w:val="HideTWBExt"/>
          <w:lang w:val="fr-FR"/>
        </w:rPr>
        <w:t>&lt;/Original&gt;</w:t>
      </w:r>
    </w:p>
    <w:p w:rsidR="00FB5EE8" w:rsidRPr="001C7FC9" w:rsidRDefault="00FB5EE8" w:rsidP="00FB5EE8">
      <w:pPr>
        <w:rPr>
          <w:lang w:val="fr-FR"/>
        </w:rPr>
      </w:pPr>
      <w:r w:rsidRPr="001C7FC9">
        <w:rPr>
          <w:rStyle w:val="HideTWBExt"/>
          <w:lang w:val="fr-FR"/>
        </w:rPr>
        <w:t>&lt;/Amend&gt;</w:t>
      </w:r>
    </w:p>
    <w:p w:rsidR="00FB5EE8" w:rsidRPr="001C7FC9" w:rsidRDefault="00FB5EE8" w:rsidP="00FB5EE8">
      <w:pPr>
        <w:pStyle w:val="AmNumberTabs"/>
        <w:rPr>
          <w:lang w:val="fr-FR"/>
        </w:rPr>
      </w:pPr>
      <w:r w:rsidRPr="001C7FC9">
        <w:rPr>
          <w:rStyle w:val="HideTWBExt"/>
          <w:lang w:val="fr-FR"/>
        </w:rPr>
        <w:t>&lt;Amend&gt;</w:t>
      </w:r>
      <w:r w:rsidRPr="001C7FC9">
        <w:rPr>
          <w:lang w:val="fr-FR"/>
        </w:rPr>
        <w:t>Tarkistus</w:t>
      </w:r>
      <w:r w:rsidRPr="001C7FC9">
        <w:rPr>
          <w:lang w:val="fr-FR"/>
        </w:rPr>
        <w:tab/>
      </w:r>
      <w:r w:rsidRPr="001C7FC9">
        <w:rPr>
          <w:lang w:val="fr-FR"/>
        </w:rPr>
        <w:tab/>
      </w:r>
      <w:r w:rsidRPr="001C7FC9">
        <w:rPr>
          <w:rStyle w:val="HideTWBExt"/>
          <w:lang w:val="fr-FR"/>
        </w:rPr>
        <w:t>&lt;NumAm&gt;</w:t>
      </w:r>
      <w:r w:rsidRPr="001C7FC9">
        <w:rPr>
          <w:lang w:val="fr-FR"/>
        </w:rPr>
        <w:t>49</w:t>
      </w:r>
      <w:r w:rsidRPr="001C7FC9">
        <w:rPr>
          <w:rStyle w:val="HideTWBExt"/>
          <w:lang w:val="fr-FR"/>
        </w:rPr>
        <w:t>&lt;/NumAm&gt;</w:t>
      </w:r>
    </w:p>
    <w:p w:rsidR="00FB5EE8" w:rsidRPr="001C7FC9" w:rsidRDefault="00FB5EE8" w:rsidP="00FB5EE8">
      <w:pPr>
        <w:pStyle w:val="NormalBold"/>
        <w:rPr>
          <w:lang w:val="fr-FR"/>
        </w:rPr>
      </w:pPr>
      <w:r w:rsidRPr="001C7FC9">
        <w:rPr>
          <w:rStyle w:val="HideTWBExt"/>
          <w:b w:val="0"/>
          <w:lang w:val="fr-FR"/>
        </w:rPr>
        <w:t>&lt;RepeatBlock-By&gt;&lt;Members&gt;</w:t>
      </w:r>
      <w:r w:rsidRPr="001C7FC9">
        <w:rPr>
          <w:lang w:val="fr-FR"/>
        </w:rPr>
        <w:t>Pasquale Tridico</w:t>
      </w:r>
      <w:r w:rsidRPr="001C7FC9">
        <w:rPr>
          <w:rStyle w:val="HideTWBExt"/>
          <w:b w:val="0"/>
          <w:lang w:val="fr-FR"/>
        </w:rPr>
        <w:t>&lt;/Members&gt;</w:t>
      </w:r>
    </w:p>
    <w:p w:rsidR="00FB5EE8" w:rsidRPr="001C7FC9" w:rsidRDefault="00FB5EE8" w:rsidP="00FB5EE8">
      <w:pPr>
        <w:pStyle w:val="NormalBold"/>
        <w:rPr>
          <w:lang w:val="fr-FR"/>
        </w:rPr>
      </w:pPr>
      <w:r w:rsidRPr="001C7FC9">
        <w:rPr>
          <w:rStyle w:val="HideTWBExt"/>
          <w:b w:val="0"/>
          <w:lang w:val="fr-FR"/>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32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32.</w:t>
            </w:r>
            <w:r w:rsidRPr="001C7FC9">
              <w:tab/>
              <w:t xml:space="preserve">panee merkille, että komitealla on </w:t>
            </w:r>
            <w:r w:rsidRPr="001C7FC9">
              <w:lastRenderedPageBreak/>
              <w:t>ollut käytössään erilaisia petostentorjuntatoimenpiteitä ja -toimia, joita sovelletaan sen jäseniin ja henkilöstöön ja joiden toteuttamisesta eri yksiköt huolehtivat; panee kyselyn perusteella tyytyväisenä merkille, että komitea on sitoutunut edelleen vahvistamaan nykyisiä petostentorjuntatoimenpiteitä ja aikoo hyväksyä petostentorjuntastrategian vuonna 2025; pyytää komiteaa pitämään vastuuvapauden myöntävän viranomaisen ajan tasalla tästä asiasta;</w:t>
            </w:r>
          </w:p>
        </w:tc>
        <w:tc>
          <w:tcPr>
            <w:tcW w:w="4876" w:type="dxa"/>
            <w:tcBorders>
              <w:top w:val="nil"/>
              <w:left w:val="nil"/>
              <w:bottom w:val="nil"/>
              <w:right w:val="nil"/>
            </w:tcBorders>
          </w:tcPr>
          <w:p w:rsidR="00FB5EE8" w:rsidRPr="001C7FC9" w:rsidRDefault="00FB5EE8" w:rsidP="00EC2C43">
            <w:pPr>
              <w:pStyle w:val="Normal6a"/>
            </w:pPr>
            <w:r w:rsidRPr="001C7FC9">
              <w:lastRenderedPageBreak/>
              <w:t>32.</w:t>
            </w:r>
            <w:r w:rsidRPr="001C7FC9">
              <w:tab/>
              <w:t xml:space="preserve">panee merkille, että komitealla on </w:t>
            </w:r>
            <w:r w:rsidRPr="001C7FC9">
              <w:lastRenderedPageBreak/>
              <w:t xml:space="preserve">ollut käytössään erilaisia petostentorjuntatoimenpiteitä ja -toimia, joita sovelletaan sen jäseniin ja henkilöstöön ja joiden toteuttamisesta eri yksiköt huolehtivat </w:t>
            </w:r>
            <w:r w:rsidRPr="001C7FC9">
              <w:rPr>
                <w:b/>
                <w:i/>
              </w:rPr>
              <w:t>mutta että petostentorjuntastrategiaa ei ollut vieläkään otettu käyttöön vuonna 2023 parlamentin pyynnöstä huolimatta</w:t>
            </w:r>
            <w:r w:rsidRPr="001C7FC9">
              <w:t>; panee kyselyn perusteella tyytyväisenä merkille, että komitea on sitoutunut edelleen vahvistamaan nykyisiä petostentorjuntatoimenpiteitä ja aikoo hyväksyä petostentorjuntastrategian vuonna 2025; pyytää komiteaa pitämään vastuuvapauden myöntävän viranomaisen ajan tasalla tästä asiasta;</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50</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32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32.</w:t>
            </w:r>
            <w:r w:rsidRPr="001C7FC9">
              <w:tab/>
              <w:t>panee merkille, että komitealla on ollut käytössään erilaisia petostentorjuntatoimenpiteitä ja -toimia, joita sovelletaan sen jäseniin ja henkilöstöön ja joiden toteuttamisesta eri yksiköt huolehtivat; panee kyselyn perusteella tyytyväisenä merkille, että komitea on sitoutunut edelleen vahvistamaan nykyisiä petostentorjuntatoimenpiteitä ja aikoo hyväksyä petostentorjuntastrategian vuonna 2025; pyytää komiteaa pitämään vastuuvapauden myöntävän viranomaisen ajan tasalla tästä asiasta;</w:t>
            </w:r>
          </w:p>
        </w:tc>
        <w:tc>
          <w:tcPr>
            <w:tcW w:w="4876" w:type="dxa"/>
            <w:tcBorders>
              <w:top w:val="nil"/>
              <w:left w:val="nil"/>
              <w:bottom w:val="nil"/>
              <w:right w:val="nil"/>
            </w:tcBorders>
          </w:tcPr>
          <w:p w:rsidR="00FB5EE8" w:rsidRPr="001C7FC9" w:rsidRDefault="00FB5EE8" w:rsidP="00EC2C43">
            <w:pPr>
              <w:pStyle w:val="Normal6a"/>
            </w:pPr>
            <w:r w:rsidRPr="001C7FC9">
              <w:t>32.</w:t>
            </w:r>
            <w:r w:rsidRPr="001C7FC9">
              <w:tab/>
              <w:t xml:space="preserve">panee merkille, että komitealla on ollut käytössään erilaisia petostentorjuntatoimenpiteitä ja -toimia, joita sovelletaan sen jäseniin ja henkilöstöön ja joiden toteuttamisesta eri yksiköt huolehtivat; panee </w:t>
            </w:r>
            <w:r w:rsidRPr="001C7FC9">
              <w:rPr>
                <w:b/>
                <w:i/>
              </w:rPr>
              <w:t>parlamentin suosituksen ja</w:t>
            </w:r>
            <w:r w:rsidRPr="001C7FC9">
              <w:t xml:space="preserve"> kyselyn perusteella tyytyväisenä merkille, että komitea on sitoutunut edelleen vahvistamaan nykyisiä petostentorjuntatoimenpiteitä ja aikoo hyväksyä petostentorjuntastrategian vuonna 2025; pyytää komiteaa pitämään vastuuvapauden myöntävän viranomaisen ajan tasalla tästä asiasta;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lastRenderedPageBreak/>
        <w:t>&lt;Amend&gt;</w:t>
      </w:r>
      <w:r w:rsidRPr="001C7FC9">
        <w:t>Tarkistus</w:t>
      </w:r>
      <w:r w:rsidRPr="001C7FC9">
        <w:tab/>
      </w:r>
      <w:r w:rsidRPr="001C7FC9">
        <w:tab/>
      </w:r>
      <w:r w:rsidRPr="001C7FC9">
        <w:rPr>
          <w:rStyle w:val="HideTWBExt"/>
        </w:rPr>
        <w:t>&lt;NumAm&gt;</w:t>
      </w:r>
      <w:r w:rsidRPr="001C7FC9">
        <w:t>51</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Damian Boeselager</w:t>
      </w:r>
      <w:r w:rsidRPr="001C7FC9">
        <w:rPr>
          <w:rStyle w:val="HideTWBExt"/>
          <w:b w:val="0"/>
        </w:rPr>
        <w:t>&lt;/Members&gt;</w:t>
      </w:r>
    </w:p>
    <w:p w:rsidR="00FB5EE8" w:rsidRPr="001C7FC9" w:rsidRDefault="00FB5EE8" w:rsidP="00FB5EE8">
      <w:r w:rsidRPr="001C7FC9">
        <w:rPr>
          <w:rStyle w:val="HideTWBExt"/>
        </w:rPr>
        <w:t>&lt;AuNomDe&gt;</w:t>
      </w:r>
      <w:r w:rsidRPr="001C7FC9">
        <w:rPr>
          <w:rStyle w:val="HideTWBInt"/>
        </w:rPr>
        <w:t>{Greens/EFA}</w:t>
      </w:r>
      <w:r w:rsidRPr="001C7FC9">
        <w:t>Verts/ALE-ryhmän puolesta</w:t>
      </w:r>
      <w:r w:rsidRPr="001C7FC9">
        <w:rPr>
          <w:rStyle w:val="HideTWBExt"/>
        </w:rPr>
        <w:t>&lt;/AuNomDe&gt;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34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34 a.</w:t>
            </w:r>
            <w:r w:rsidRPr="001C7FC9">
              <w:tab/>
            </w:r>
            <w:r w:rsidRPr="001C7FC9">
              <w:rPr>
                <w:b/>
                <w:i/>
              </w:rPr>
              <w:t>panee tyytyväisenä merkille komitean uuden digitaalistrategian vuosille 2024–2026; kehottaa komiteaa nopeuttamaan digitalisaatiotoimia varmistamalla sähköisten työnkulkujen, sähköisten allekirjoitusten ja digitaalisten asianhallintavälineiden täysimääräisen täytäntöönpanon vuoteen 2026 mennessä, vähentämällä paperipohjaisia prosesseja kestävyyssitoumusten mukaisesti ja siirtymällä kohti paperittomampaa hallintoa;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52</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Michal Wiezik, Olivier Chastel, Vlad Vasile-Voiculescu, Gilles Boyer</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35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35.</w:t>
            </w:r>
            <w:r w:rsidRPr="001C7FC9">
              <w:tab/>
              <w:t xml:space="preserve">panee tyytyväisenä merkille, että 90 prosenttia ”Going for IMPact” -aloitteeseen kuuluvista digitalisaation avulla toteutettavista yksinkertaistamishankkeista oli pantu kokonaisuudessaan täytäntöön vuoden 2023 loppuun mennessä; panee lisäksi merkille, että toimintaa tehostettiin edelleen tietotekniikkahankkeella, jossa määriteltiin paras väline lomakkeisiin perustuvien työnkulkujen sähköistä hallinnointia varten, minkä tuloksena monia komitean prosesseja on alettu yksinkertaistaa ja digitalisoida </w:t>
            </w:r>
            <w:r w:rsidRPr="001C7FC9">
              <w:lastRenderedPageBreak/>
              <w:t>Microsoft 365 ‑työkalujen avulla; panee tyytyväisenä merkille, että komitea käyttää hankinnoissa vuonna 2023 käyttöön ottamiaan moduuleja, kuten e-Tendering, e-Notices, e-Submission ja MyWorkplace, sekä hyväksyttyä sähköistä allekirjoitusvälinettä sopimusten allekirjoittamiseen; suhtautuu myönteisesti siihen, että komitea on hyväksynyt tekoälyn käyttöä koskevat sisäiset suuntaviivat, joilla luodaan perusta mahdollisille tuleville ratkaisuille;</w:t>
            </w:r>
          </w:p>
        </w:tc>
        <w:tc>
          <w:tcPr>
            <w:tcW w:w="4876" w:type="dxa"/>
            <w:tcBorders>
              <w:top w:val="nil"/>
              <w:left w:val="nil"/>
              <w:bottom w:val="nil"/>
              <w:right w:val="nil"/>
            </w:tcBorders>
          </w:tcPr>
          <w:p w:rsidR="00FB5EE8" w:rsidRPr="001C7FC9" w:rsidRDefault="00FB5EE8" w:rsidP="00EC2C43">
            <w:pPr>
              <w:pStyle w:val="Normal6a"/>
            </w:pPr>
            <w:r w:rsidRPr="001C7FC9">
              <w:lastRenderedPageBreak/>
              <w:t>35.</w:t>
            </w:r>
            <w:r w:rsidRPr="001C7FC9">
              <w:tab/>
              <w:t xml:space="preserve">panee tyytyväisenä merkille, että 90 prosenttia ”Going for IMPact” -aloitteeseen kuuluvista digitalisaation avulla toteutettavista yksinkertaistamishankkeista oli pantu kokonaisuudessaan täytäntöön vuoden 2023 loppuun mennessä; panee lisäksi merkille, että toimintaa tehostettiin edelleen tietotekniikkahankkeella, jossa määriteltiin paras väline lomakkeisiin perustuvien työnkulkujen sähköistä hallinnointia varten, minkä tuloksena monia komitean prosesseja on alettu yksinkertaistaa ja digitalisoida </w:t>
            </w:r>
            <w:r w:rsidRPr="001C7FC9">
              <w:lastRenderedPageBreak/>
              <w:t>Microsoft 365 ‑työkalujen avulla; panee tyytyväisenä merkille, että komitea käyttää hankinnoissa vuonna 2023 käyttöön ottamiaan moduuleja, kuten e-Tendering, e-Notices, e-Submission ja MyWorkplace, sekä hyväksyttyä sähköistä allekirjoitusvälinettä sopimusten allekirjoittamiseen; suhtautuu myönteisesti siihen, että komitea on hyväksynyt tekoälyn käyttöä koskevat sisäiset suuntaviivat, joilla luodaan perusta mahdollisille tuleville ratkaisuille</w:t>
            </w:r>
            <w:r w:rsidRPr="001C7FC9">
              <w:rPr>
                <w:b/>
                <w:i/>
              </w:rPr>
              <w:t>, ja kannustaa ottamaan käyttöön säännöllisiä pakollisia koulutuksia tekoälyn turvallisesta käytöstä</w:t>
            </w:r>
            <w:r w:rsidRPr="001C7FC9">
              <w:t>;</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53</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37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37.</w:t>
            </w:r>
            <w:r w:rsidRPr="001C7FC9">
              <w:tab/>
              <w:t xml:space="preserve">panee merkille, että vuonna 2023 komiteaan ei kohdistunut muita kyberhyökkäyksiä kuin joitakin palvelunestohyökkäyksiä komitean ulkoisesti ylläpidetylle verkkosivustolle; panee kyselyn perusteella merkille komitean välineet ja strategiat reaaliaikaiseen uhkien seurantaan ja haavoittuvuuksien tunnistamiseen komitean järjestelmissä; antaa komitealle tunnustusta siitä, että se on noudattanut standardeja kyberturvallisuuteen liittyvien riskien arviointeihin liittyvissä asioissa ja että se on ottanut käyttöön järjestelmän, joka perustuu poikkeamia koskeviin valmiussuunnitelmiin, palautumistoimenpiteisiin ja saatuihin kokemuksiin; panee tyytyväisenä merkille, että komitea ja ETSK ottivat vuonna 2023 käyttöön NIST-kyberturvallisuuskehyksen, </w:t>
            </w:r>
            <w:r w:rsidRPr="001C7FC9">
              <w:lastRenderedPageBreak/>
              <w:t>jonka keskeiset periaatteet ovat suojaaminen ja havaitseminen;</w:t>
            </w:r>
          </w:p>
        </w:tc>
        <w:tc>
          <w:tcPr>
            <w:tcW w:w="4876" w:type="dxa"/>
            <w:tcBorders>
              <w:top w:val="nil"/>
              <w:left w:val="nil"/>
              <w:bottom w:val="nil"/>
              <w:right w:val="nil"/>
            </w:tcBorders>
          </w:tcPr>
          <w:p w:rsidR="00FB5EE8" w:rsidRPr="001C7FC9" w:rsidRDefault="00FB5EE8" w:rsidP="00EC2C43">
            <w:pPr>
              <w:pStyle w:val="Normal6a"/>
            </w:pPr>
            <w:r w:rsidRPr="001C7FC9">
              <w:lastRenderedPageBreak/>
              <w:t>37.</w:t>
            </w:r>
            <w:r w:rsidRPr="001C7FC9">
              <w:tab/>
              <w:t xml:space="preserve">panee merkille, että vuonna 2023 komiteaan ei kohdistunut muita kyberhyökkäyksiä kuin joitakin palvelunestohyökkäyksiä komitean ulkoisesti ylläpidetylle verkkosivustolle; panee kyselyn perusteella merkille komitean välineet ja strategiat reaaliaikaiseen uhkien seurantaan ja haavoittuvuuksien tunnistamiseen komitean järjestelmissä; antaa komitealle tunnustusta siitä, että se on noudattanut standardeja kyberturvallisuuteen liittyvien riskien arviointeihin liittyvissä asioissa ja että se on ottanut käyttöön järjestelmän, joka perustuu poikkeamia koskeviin valmiussuunnitelmiin, palautumistoimenpiteisiin ja saatuihin kokemuksiin; panee tyytyväisenä merkille, että komitea ja ETSK ottivat vuonna 2023 käyttöön NIST-kyberturvallisuuskehyksen, </w:t>
            </w:r>
            <w:r w:rsidRPr="001C7FC9">
              <w:lastRenderedPageBreak/>
              <w:t xml:space="preserve">jonka keskeiset periaatteet ovat suojaaminen ja havaitseminen; </w:t>
            </w:r>
            <w:r w:rsidRPr="001C7FC9">
              <w:rPr>
                <w:b/>
                <w:i/>
              </w:rPr>
              <w:t>kannustaa komiteaa lisäämään jäsenten ja henkilöstön tietoisuutta kyberturvallisuudesta, tekemään säännöllisiä riskinarviointeja tietoteknisestä infrastruktuuristaan ja varmistamaan kyberpuolustuksensa säännöllisen tarkastamisen ja testaamisen;</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54</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Tamás Deutsch</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42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42 a.</w:t>
            </w:r>
            <w:r w:rsidRPr="001C7FC9">
              <w:tab/>
            </w:r>
            <w:r w:rsidRPr="001C7FC9">
              <w:rPr>
                <w:b/>
                <w:i/>
              </w:rPr>
              <w:t>pyytää toimielintä antamaan Euroopan parlamentille ja sen talousarvion valvontavaliokunnalle suosituksia uusista tavoista torjua väärinkäytöksiä ja EU:n varojen väärinkäyttöä omien institutionaalisten kokemustensa ja aiempien tapausten yhteydessä hankkimiensa kokemusten perusteella ja jakamaan parhaita käytäntöjä, koska on näytetty toteen, että Euroopan unionin taloudellisia etuja ei suojeltu Euroopan parlamentissa asianmukaisesti; katsoo, että kuten rikosasian ja tutkimusten yhteydessä on käynyt ilmi, parlamentti voisi hyötyä uudesta näkökulmasta asiaan ja toimielimeltä saadusta panoksesta;</w:t>
            </w:r>
          </w:p>
        </w:tc>
      </w:tr>
    </w:tbl>
    <w:p w:rsidR="00FB5EE8" w:rsidRPr="001C7FC9" w:rsidRDefault="00FB5EE8" w:rsidP="00FB5EE8">
      <w:pPr>
        <w:pStyle w:val="AmOrLang"/>
        <w:rPr>
          <w:lang w:val="fr-FR"/>
        </w:rPr>
      </w:pPr>
      <w:r w:rsidRPr="001C7FC9">
        <w:rPr>
          <w:lang w:val="fr-FR"/>
        </w:rPr>
        <w:t xml:space="preserve">Or. </w:t>
      </w:r>
      <w:r w:rsidRPr="001C7FC9">
        <w:rPr>
          <w:rStyle w:val="HideTWBExt"/>
          <w:lang w:val="fr-FR"/>
        </w:rPr>
        <w:t>&lt;Original&gt;</w:t>
      </w:r>
      <w:r w:rsidRPr="001C7FC9">
        <w:rPr>
          <w:rStyle w:val="HideTWBInt"/>
          <w:lang w:val="fr-FR"/>
        </w:rPr>
        <w:t>{EN}</w:t>
      </w:r>
      <w:r w:rsidRPr="001C7FC9">
        <w:rPr>
          <w:lang w:val="fr-FR"/>
        </w:rPr>
        <w:t>en</w:t>
      </w:r>
      <w:r w:rsidRPr="001C7FC9">
        <w:rPr>
          <w:rStyle w:val="HideTWBExt"/>
          <w:lang w:val="fr-FR"/>
        </w:rPr>
        <w:t>&lt;/Original&gt;</w:t>
      </w:r>
    </w:p>
    <w:p w:rsidR="00FB5EE8" w:rsidRPr="001C7FC9" w:rsidRDefault="00FB5EE8" w:rsidP="00FB5EE8">
      <w:pPr>
        <w:rPr>
          <w:lang w:val="fr-FR"/>
        </w:rPr>
      </w:pPr>
      <w:r w:rsidRPr="001C7FC9">
        <w:rPr>
          <w:rStyle w:val="HideTWBExt"/>
          <w:lang w:val="fr-FR"/>
        </w:rPr>
        <w:t>&lt;/Amend&gt;</w:t>
      </w:r>
    </w:p>
    <w:p w:rsidR="00FB5EE8" w:rsidRPr="001C7FC9" w:rsidRDefault="00FB5EE8" w:rsidP="00FB5EE8">
      <w:pPr>
        <w:pStyle w:val="AmNumberTabs"/>
        <w:rPr>
          <w:lang w:val="fr-FR"/>
        </w:rPr>
      </w:pPr>
      <w:r w:rsidRPr="001C7FC9">
        <w:rPr>
          <w:rStyle w:val="HideTWBExt"/>
          <w:lang w:val="fr-FR"/>
        </w:rPr>
        <w:t>&lt;Amend&gt;</w:t>
      </w:r>
      <w:r w:rsidRPr="001C7FC9">
        <w:rPr>
          <w:lang w:val="fr-FR"/>
        </w:rPr>
        <w:t>Tarkistus</w:t>
      </w:r>
      <w:r w:rsidRPr="001C7FC9">
        <w:rPr>
          <w:lang w:val="fr-FR"/>
        </w:rPr>
        <w:tab/>
      </w:r>
      <w:r w:rsidRPr="001C7FC9">
        <w:rPr>
          <w:lang w:val="fr-FR"/>
        </w:rPr>
        <w:tab/>
      </w:r>
      <w:r w:rsidRPr="001C7FC9">
        <w:rPr>
          <w:rStyle w:val="HideTWBExt"/>
          <w:lang w:val="fr-FR"/>
        </w:rPr>
        <w:t>&lt;NumAm&gt;</w:t>
      </w:r>
      <w:r w:rsidRPr="001C7FC9">
        <w:rPr>
          <w:lang w:val="fr-FR"/>
        </w:rPr>
        <w:t>55</w:t>
      </w:r>
      <w:r w:rsidRPr="001C7FC9">
        <w:rPr>
          <w:rStyle w:val="HideTWBExt"/>
          <w:lang w:val="fr-FR"/>
        </w:rPr>
        <w:t>&lt;/NumAm&gt;</w:t>
      </w:r>
    </w:p>
    <w:p w:rsidR="00FB5EE8" w:rsidRPr="001C7FC9" w:rsidRDefault="00FB5EE8" w:rsidP="00FB5EE8">
      <w:pPr>
        <w:pStyle w:val="NormalBold"/>
        <w:rPr>
          <w:lang w:val="fr-FR"/>
        </w:rPr>
      </w:pPr>
      <w:r w:rsidRPr="001C7FC9">
        <w:rPr>
          <w:rStyle w:val="HideTWBExt"/>
          <w:b w:val="0"/>
          <w:lang w:val="fr-FR"/>
        </w:rPr>
        <w:t>&lt;RepeatBlock-By&gt;&lt;Members&gt;</w:t>
      </w:r>
      <w:r w:rsidRPr="001C7FC9">
        <w:rPr>
          <w:lang w:val="fr-FR"/>
        </w:rPr>
        <w:t>Pasquale Tridico</w:t>
      </w:r>
      <w:r w:rsidRPr="001C7FC9">
        <w:rPr>
          <w:rStyle w:val="HideTWBExt"/>
          <w:b w:val="0"/>
          <w:lang w:val="fr-FR"/>
        </w:rPr>
        <w:t>&lt;/Members&gt;</w:t>
      </w:r>
    </w:p>
    <w:p w:rsidR="00FB5EE8" w:rsidRPr="001C7FC9" w:rsidRDefault="00FB5EE8" w:rsidP="00FB5EE8">
      <w:pPr>
        <w:pStyle w:val="NormalBold"/>
        <w:rPr>
          <w:lang w:val="fr-FR"/>
        </w:rPr>
      </w:pPr>
      <w:r w:rsidRPr="001C7FC9">
        <w:rPr>
          <w:rStyle w:val="HideTWBExt"/>
          <w:b w:val="0"/>
          <w:lang w:val="fr-FR"/>
        </w:rPr>
        <w:t>&lt;/RepeatBlock-By&gt;</w:t>
      </w:r>
    </w:p>
    <w:p w:rsidR="00FB5EE8" w:rsidRPr="001C7FC9" w:rsidRDefault="00FB5EE8" w:rsidP="00FB5EE8">
      <w:pPr>
        <w:pStyle w:val="NormalBold"/>
      </w:pPr>
      <w:r w:rsidRPr="001C7FC9">
        <w:rPr>
          <w:rStyle w:val="HideTWBExt"/>
        </w:rPr>
        <w:lastRenderedPageBreak/>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43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43.</w:t>
            </w:r>
            <w:r w:rsidRPr="001C7FC9">
              <w:tab/>
              <w:t>suhtautuu myönteisesti toimielinten välisellä yhteistyöllä saavutettuihin talousarviosäästöihin ja hallinnollisiin säästöihin ja erityisesti ETSK:n kanssa luotuun tiiviiseen hallinnolliseen yhteistyöhön, sillä komitealla on ETSK:n kanssa yhteiset toimitilat ja yhteiset palvelut kääntämisen, infrastruktuurin, logistiikan ja tietotekniikan aloilla, ja vuonna 2023 komitean yhteisissä palveluissa työskenteli lähes 470 henkilöstön jäsentä ja niiden yhteiset menot kattoivat noin 60 miljoonaa euroa (pois lukien palkkoihin liittyvät kulut); panee tyytyväisenä merkille, että komitea laajensi entisestään yhteistyötään ETSK:n kanssa ja lisäsi synergiaa yhteisten terveyspalvelujen ja yhteisen keskitetyn tietosuojarekisterin myötä sekä komiteoiden vuonna 2023 allekirjoittamaan yhteiseen rekisterinpitäjäjärjestelyyn perustuvien käsittelytoimien avulla;</w:t>
            </w:r>
          </w:p>
        </w:tc>
        <w:tc>
          <w:tcPr>
            <w:tcW w:w="4876" w:type="dxa"/>
            <w:tcBorders>
              <w:top w:val="nil"/>
              <w:left w:val="nil"/>
              <w:bottom w:val="nil"/>
              <w:right w:val="nil"/>
            </w:tcBorders>
          </w:tcPr>
          <w:p w:rsidR="00FB5EE8" w:rsidRPr="001C7FC9" w:rsidRDefault="00FB5EE8" w:rsidP="00EC2C43">
            <w:pPr>
              <w:pStyle w:val="Normal6a"/>
            </w:pPr>
            <w:r w:rsidRPr="001C7FC9">
              <w:t>43.</w:t>
            </w:r>
            <w:r w:rsidRPr="001C7FC9">
              <w:tab/>
              <w:t xml:space="preserve">suhtautuu myönteisesti toimielinten välisellä yhteistyöllä saavutettuihin talousarviosäästöihin ja hallinnollisiin säästöihin ja erityisesti ETSK:n kanssa luotuun tiiviiseen hallinnolliseen yhteistyöhön, sillä komitealla on ETSK:n kanssa yhteiset toimitilat ja yhteiset palvelut kääntämisen, infrastruktuurin, logistiikan ja tietotekniikan aloilla, ja vuonna 2023 komitean yhteisissä palveluissa työskenteli lähes 470 henkilöstön jäsentä ja niiden yhteiset menot kattoivat noin 60 miljoonaa euroa (pois lukien palkkoihin liittyvät kulut); panee tyytyväisenä merkille, että komitea laajensi entisestään yhteistyötään ETSK:n kanssa ja lisäsi synergiaa yhteisten terveyspalvelujen ja yhteisen keskitetyn tietosuojarekisterin myötä sekä komiteoiden vuonna 2023 allekirjoittamaan yhteiseen rekisterinpitäjäjärjestelyyn perustuvien käsittelytoimien avulla; </w:t>
            </w:r>
            <w:r w:rsidRPr="001C7FC9">
              <w:rPr>
                <w:b/>
                <w:i/>
              </w:rPr>
              <w:t>kehottaa jälleen komiteaa jatkamaan ja laajentamaan tätä yhteistyötä muilla aloilla päällekkäisyyksien välttämiseksi ja komitean ja ETSK:n yhteisissä tiloissa tarjottavien palvelujen toimintakustannusten järkeistämiseksi edelleen; kehottaa komiteaa ja ETSK:ta tutkimaan mahdollisuutta perustaa yhteisille yksiköilleen yhteinen hallintorakenne, jossa olisi erilliset osastot tai yksiköt niiden erityisiin ja riippumattomiin toimeksiantoihin liittyville asioille;</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56</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Caterina Chinnici</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lastRenderedPageBreak/>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43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43.</w:t>
            </w:r>
            <w:r w:rsidRPr="001C7FC9">
              <w:tab/>
              <w:t>suhtautuu myönteisesti toimielinten välisellä yhteistyöllä saavutettuihin talousarviosäästöihin ja hallinnollisiin säästöihin ja erityisesti ETSK:n kanssa luotuun tiiviiseen hallinnolliseen yhteistyöhön, sillä komitealla on ETSK:n kanssa yhteiset toimitilat ja yhteiset palvelut kääntämisen, infrastruktuurin, logistiikan ja tietotekniikan aloilla, ja vuonna 2023 komitean yhteisissä palveluissa työskenteli lähes 470 henkilöstön jäsentä ja niiden yhteiset menot kattoivat noin 60 miljoonaa euroa (pois lukien palkkoihin liittyvät kulut); panee tyytyväisenä merkille, että komitea laajensi entisestään yhteistyötään ETSK:n kanssa ja lisäsi synergiaa yhteisten terveyspalvelujen ja yhteisen keskitetyn tietosuojarekisterin myötä sekä komiteoiden vuonna 2023 allekirjoittamaan yhteiseen rekisterinpitäjäjärjestelyyn perustuvien käsittelytoimien avulla;</w:t>
            </w:r>
          </w:p>
        </w:tc>
        <w:tc>
          <w:tcPr>
            <w:tcW w:w="4876" w:type="dxa"/>
            <w:tcBorders>
              <w:top w:val="nil"/>
              <w:left w:val="nil"/>
              <w:bottom w:val="nil"/>
              <w:right w:val="nil"/>
            </w:tcBorders>
          </w:tcPr>
          <w:p w:rsidR="00FB5EE8" w:rsidRPr="001C7FC9" w:rsidRDefault="00FB5EE8" w:rsidP="00EC2C43">
            <w:pPr>
              <w:pStyle w:val="Normal6a"/>
            </w:pPr>
            <w:r w:rsidRPr="001C7FC9">
              <w:t>43.</w:t>
            </w:r>
            <w:r w:rsidRPr="001C7FC9">
              <w:tab/>
              <w:t xml:space="preserve">suhtautuu myönteisesti toimielinten välisellä yhteistyöllä saavutettuihin talousarviosäästöihin ja hallinnollisiin säästöihin ja erityisesti ETSK:n kanssa luotuun tiiviiseen hallinnolliseen yhteistyöhön, sillä komitealla on ETSK:n kanssa yhteiset toimitilat ja yhteiset palvelut kääntämisen, infrastruktuurin, logistiikan ja tietotekniikan aloilla, ja vuonna 2023 komitean yhteisissä palveluissa työskenteli lähes 470 henkilöstön jäsentä ja niiden yhteiset menot kattoivat noin 60 miljoonaa euroa (pois lukien palkkoihin liittyvät kulut); panee tyytyväisenä merkille, että komitea laajensi entisestään yhteistyötään ETSK:n kanssa ja lisäsi synergiaa yhteisten terveyspalvelujen ja yhteisen keskitetyn tietosuojarekisterin myötä sekä komiteoiden vuonna 2023 allekirjoittamaan yhteiseen rekisterinpitäjäjärjestelyyn perustuvien käsittelytoimien avulla; </w:t>
            </w:r>
            <w:r w:rsidRPr="001C7FC9">
              <w:rPr>
                <w:b/>
                <w:i/>
              </w:rPr>
              <w:t>kannustaa komiteaa ja ETSK:ta jatkamaan ponnistelujaan yhteistyön ja synergioiden kehittämiseksi edelleen;</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57</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Damian Boeselager</w:t>
      </w:r>
      <w:r w:rsidRPr="001C7FC9">
        <w:rPr>
          <w:rStyle w:val="HideTWBExt"/>
          <w:b w:val="0"/>
        </w:rPr>
        <w:t>&lt;/Members&gt;</w:t>
      </w:r>
    </w:p>
    <w:p w:rsidR="00FB5EE8" w:rsidRPr="001C7FC9" w:rsidRDefault="00FB5EE8" w:rsidP="00FB5EE8">
      <w:r w:rsidRPr="001C7FC9">
        <w:rPr>
          <w:rStyle w:val="HideTWBExt"/>
        </w:rPr>
        <w:t>&lt;AuNomDe&gt;</w:t>
      </w:r>
      <w:r w:rsidRPr="001C7FC9">
        <w:rPr>
          <w:rStyle w:val="HideTWBInt"/>
        </w:rPr>
        <w:t>{Greens/EFA}</w:t>
      </w:r>
      <w:r w:rsidRPr="001C7FC9">
        <w:t>Verts/ALE-ryhmän puolesta</w:t>
      </w:r>
      <w:r w:rsidRPr="001C7FC9">
        <w:rPr>
          <w:rStyle w:val="HideTWBExt"/>
        </w:rPr>
        <w:t>&lt;/AuNomDe&gt;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44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44 a.</w:t>
            </w:r>
            <w:r w:rsidRPr="001C7FC9">
              <w:tab/>
            </w:r>
            <w:r w:rsidRPr="001C7FC9">
              <w:rPr>
                <w:b/>
                <w:i/>
              </w:rPr>
              <w:t xml:space="preserve">kehottaa komiteaa syventämään yhteistyötään Euroopan parlamentin ja komission kanssa käynnistämällä AK:n edustajien ja EU:n lainsäätäjien välisen </w:t>
            </w:r>
            <w:r w:rsidRPr="001C7FC9">
              <w:rPr>
                <w:b/>
                <w:i/>
              </w:rPr>
              <w:lastRenderedPageBreak/>
              <w:t>jäsennellyn vuotuisen vuoropuhelun aluekehitykseen, ilmastopolitiikkaan ja sosiaaliseen yhteenkuuluvuuteen vaikuttavista keskeisistä lainsäädäntöasioista; kehottaa komiteaa tutkimaan yhteisiä aloitteita Euroopan parlamentin aluekehitysvaliokunnan ja ympäristön, ilmaston ja elintarvikkeiden turvallisuuden valiokunnan kanssa kestävien alueellisten investointien edistämiseksi;</w:t>
            </w:r>
          </w:p>
        </w:tc>
      </w:tr>
    </w:tbl>
    <w:p w:rsidR="00FB5EE8" w:rsidRPr="001C7FC9" w:rsidRDefault="00FB5EE8" w:rsidP="00FB5EE8">
      <w:pPr>
        <w:pStyle w:val="AmOrLang"/>
        <w:rPr>
          <w:lang w:val="fr-FR"/>
        </w:rPr>
      </w:pPr>
      <w:r w:rsidRPr="001C7FC9">
        <w:rPr>
          <w:lang w:val="fr-FR"/>
        </w:rPr>
        <w:lastRenderedPageBreak/>
        <w:t xml:space="preserve">Or. </w:t>
      </w:r>
      <w:r w:rsidRPr="001C7FC9">
        <w:rPr>
          <w:rStyle w:val="HideTWBExt"/>
          <w:lang w:val="fr-FR"/>
        </w:rPr>
        <w:t>&lt;Original&gt;</w:t>
      </w:r>
      <w:r w:rsidRPr="001C7FC9">
        <w:rPr>
          <w:rStyle w:val="HideTWBInt"/>
          <w:lang w:val="fr-FR"/>
        </w:rPr>
        <w:t>{EN}</w:t>
      </w:r>
      <w:r w:rsidRPr="001C7FC9">
        <w:rPr>
          <w:lang w:val="fr-FR"/>
        </w:rPr>
        <w:t>en</w:t>
      </w:r>
      <w:r w:rsidRPr="001C7FC9">
        <w:rPr>
          <w:rStyle w:val="HideTWBExt"/>
          <w:lang w:val="fr-FR"/>
        </w:rPr>
        <w:t>&lt;/Original&gt;</w:t>
      </w:r>
    </w:p>
    <w:p w:rsidR="00FB5EE8" w:rsidRPr="001C7FC9" w:rsidRDefault="00FB5EE8" w:rsidP="00FB5EE8">
      <w:pPr>
        <w:rPr>
          <w:lang w:val="fr-FR"/>
        </w:rPr>
      </w:pPr>
      <w:r w:rsidRPr="001C7FC9">
        <w:rPr>
          <w:rStyle w:val="HideTWBExt"/>
          <w:lang w:val="fr-FR"/>
        </w:rPr>
        <w:t>&lt;/Amend&gt;</w:t>
      </w:r>
    </w:p>
    <w:p w:rsidR="00FB5EE8" w:rsidRPr="001C7FC9" w:rsidRDefault="00FB5EE8" w:rsidP="00FB5EE8">
      <w:pPr>
        <w:pStyle w:val="AmNumberTabs"/>
        <w:rPr>
          <w:lang w:val="fr-FR"/>
        </w:rPr>
      </w:pPr>
      <w:r w:rsidRPr="001C7FC9">
        <w:rPr>
          <w:rStyle w:val="HideTWBExt"/>
          <w:lang w:val="fr-FR"/>
        </w:rPr>
        <w:t>&lt;Amend&gt;</w:t>
      </w:r>
      <w:r w:rsidRPr="001C7FC9">
        <w:rPr>
          <w:lang w:val="fr-FR"/>
        </w:rPr>
        <w:t>Tarkistus</w:t>
      </w:r>
      <w:r w:rsidRPr="001C7FC9">
        <w:rPr>
          <w:lang w:val="fr-FR"/>
        </w:rPr>
        <w:tab/>
      </w:r>
      <w:r w:rsidRPr="001C7FC9">
        <w:rPr>
          <w:lang w:val="fr-FR"/>
        </w:rPr>
        <w:tab/>
      </w:r>
      <w:r w:rsidRPr="001C7FC9">
        <w:rPr>
          <w:rStyle w:val="HideTWBExt"/>
          <w:lang w:val="fr-FR"/>
        </w:rPr>
        <w:t>&lt;NumAm&gt;</w:t>
      </w:r>
      <w:r w:rsidRPr="001C7FC9">
        <w:rPr>
          <w:lang w:val="fr-FR"/>
        </w:rPr>
        <w:t>58</w:t>
      </w:r>
      <w:r w:rsidRPr="001C7FC9">
        <w:rPr>
          <w:rStyle w:val="HideTWBExt"/>
          <w:lang w:val="fr-FR"/>
        </w:rPr>
        <w:t>&lt;/NumAm&gt;</w:t>
      </w:r>
    </w:p>
    <w:p w:rsidR="00FB5EE8" w:rsidRPr="001C7FC9" w:rsidRDefault="00FB5EE8" w:rsidP="00FB5EE8">
      <w:pPr>
        <w:pStyle w:val="NormalBold"/>
        <w:rPr>
          <w:lang w:val="fr-FR"/>
        </w:rPr>
      </w:pPr>
      <w:r w:rsidRPr="001C7FC9">
        <w:rPr>
          <w:rStyle w:val="HideTWBExt"/>
          <w:b w:val="0"/>
          <w:lang w:val="fr-FR"/>
        </w:rPr>
        <w:t>&lt;RepeatBlock-By&gt;&lt;Members&gt;</w:t>
      </w:r>
      <w:r w:rsidRPr="001C7FC9">
        <w:rPr>
          <w:lang w:val="fr-FR"/>
        </w:rPr>
        <w:t>Pasquale Tridico</w:t>
      </w:r>
      <w:r w:rsidRPr="001C7FC9">
        <w:rPr>
          <w:rStyle w:val="HideTWBExt"/>
          <w:b w:val="0"/>
          <w:lang w:val="fr-FR"/>
        </w:rPr>
        <w:t>&lt;/Members&gt;</w:t>
      </w:r>
    </w:p>
    <w:p w:rsidR="00FB5EE8" w:rsidRPr="001C7FC9" w:rsidRDefault="00FB5EE8" w:rsidP="00FB5EE8">
      <w:pPr>
        <w:pStyle w:val="NormalBold"/>
        <w:rPr>
          <w:lang w:val="fr-FR"/>
        </w:rPr>
      </w:pPr>
      <w:r w:rsidRPr="001C7FC9">
        <w:rPr>
          <w:rStyle w:val="HideTWBExt"/>
          <w:b w:val="0"/>
          <w:lang w:val="fr-FR"/>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45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45 a.</w:t>
            </w:r>
            <w:r w:rsidRPr="001C7FC9">
              <w:tab/>
            </w:r>
            <w:r w:rsidRPr="001C7FC9">
              <w:rPr>
                <w:b/>
                <w:i/>
              </w:rPr>
              <w:t>on tyytyväinen komitean ja parlamentin välisen yhteistyösopimuksen uudelleentarkasteluun vuonna 2023 silmällä pitäen sen lopullista allekirjoittamista vuonna 2024; tukee komitean yhteistyötä useiden parlamentin valiokuntien, laajennettujen työryhmien ja pääosastojen kanssa ja pitää tärkeänä, että komitean ja ETSK:n jäseniä kutsutaan säännöllisesti ja järjestelmällisesti asiaankuuluviin parlamentin keskusteluihin, mukaan lukien valiokuntien kokouksiin, kysymyksistä, joita ne käsittelevät;</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59</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Virginie Joron, Tamás Deutsch</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46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46.</w:t>
            </w:r>
            <w:r w:rsidRPr="001C7FC9">
              <w:tab/>
              <w:t>panee merkille, että komitean viestintätoimissa keskitytään suhteisiin lehdistön kanssa, tapahtumien järjestämiseen, digitaaliseen sisältöön ja sosiaaliseen mediaan ja että niiden kokonaisbudjetti (kyseisen vuoden määrärahat) oli noin 2,8 miljoonaa euroa vuonna 2023; pitää valitettavana erittäin alhaista maksujen toteutusastetta näillä aloilla (24,7–48,2 prosenttia); panee kuitenkin merkille, että C8-määrärahojen (siirretty vuodelta 2022 vuodelle 2023) käyttöaste oli korkea, 98–100 prosenttia; pyytää komiteaa ryhtymään toimiin parantaakseen budjettisuunnitteluaan viestintään liittyvien budjettikohtien osalta;</w:t>
            </w:r>
          </w:p>
        </w:tc>
        <w:tc>
          <w:tcPr>
            <w:tcW w:w="4876" w:type="dxa"/>
            <w:tcBorders>
              <w:top w:val="nil"/>
              <w:left w:val="nil"/>
              <w:bottom w:val="nil"/>
              <w:right w:val="nil"/>
            </w:tcBorders>
          </w:tcPr>
          <w:p w:rsidR="00FB5EE8" w:rsidRPr="001C7FC9" w:rsidRDefault="00FB5EE8" w:rsidP="00EC2C43">
            <w:pPr>
              <w:pStyle w:val="Normal6a"/>
            </w:pPr>
            <w:r w:rsidRPr="001C7FC9">
              <w:t>46.</w:t>
            </w:r>
            <w:r w:rsidRPr="001C7FC9">
              <w:tab/>
              <w:t xml:space="preserve">panee merkille, että komitean viestintätoimissa keskitytään suhteisiin lehdistön kanssa, tapahtumien järjestämiseen, digitaaliseen sisältöön ja sosiaaliseen mediaan ja että niiden </w:t>
            </w:r>
            <w:r w:rsidRPr="001C7FC9">
              <w:rPr>
                <w:b/>
                <w:i/>
              </w:rPr>
              <w:t>hyvin korkea</w:t>
            </w:r>
            <w:r w:rsidRPr="001C7FC9">
              <w:t xml:space="preserve"> kokonaisbudjetti (kyseisen vuoden määrärahat) oli noin 2,8 miljoonaa euroa vuonna 2023; pitää valitettavana erittäin alhaista maksujen toteutusastetta näillä aloilla (24,7–48,2 prosenttia); panee kuitenkin merkille, että C8-määrärahojen (siirretty vuodelta 2022 vuodelle 2023) käyttöaste oli korkea, 98–100 prosenttia; pyytää komiteaa ryhtymään toimiin parantaakseen budjettisuunnitteluaan viestintään liittyvien budjettikohtien osalta;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{FR}</w:t>
      </w:r>
      <w:r w:rsidRPr="001C7FC9">
        <w:t>fr</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60</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Tomáš Zdechovský</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46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46.</w:t>
            </w:r>
            <w:r w:rsidRPr="001C7FC9">
              <w:tab/>
              <w:t xml:space="preserve">panee merkille, että komitean viestintätoimissa keskitytään suhteisiin lehdistön kanssa, tapahtumien järjestämiseen, digitaaliseen sisältöön ja sosiaaliseen mediaan ja että niiden kokonaisbudjetti (kyseisen vuoden määrärahat) oli noin 2,8 miljoonaa euroa vuonna 2023; pitää valitettavana erittäin alhaista maksujen toteutusastetta näillä aloilla (24,7–48,2 prosenttia); panee kuitenkin merkille, että C8-määrärahojen (siirretty vuodelta 2022 vuodelle 2023) käyttöaste oli korkea, 98–100 prosenttia; </w:t>
            </w:r>
            <w:r w:rsidRPr="001C7FC9">
              <w:rPr>
                <w:b/>
                <w:i/>
              </w:rPr>
              <w:t>pyytää</w:t>
            </w:r>
            <w:r w:rsidRPr="001C7FC9">
              <w:t xml:space="preserve"> komiteaa ryhtymään toimiin parantaakseen budjettisuunnitteluaan viestintään liittyvien budjettikohtien osalta;</w:t>
            </w:r>
          </w:p>
        </w:tc>
        <w:tc>
          <w:tcPr>
            <w:tcW w:w="4876" w:type="dxa"/>
            <w:tcBorders>
              <w:top w:val="nil"/>
              <w:left w:val="nil"/>
              <w:bottom w:val="nil"/>
              <w:right w:val="nil"/>
            </w:tcBorders>
          </w:tcPr>
          <w:p w:rsidR="00FB5EE8" w:rsidRPr="001C7FC9" w:rsidRDefault="00FB5EE8" w:rsidP="00EC2C43">
            <w:pPr>
              <w:pStyle w:val="Normal6a"/>
            </w:pPr>
            <w:r w:rsidRPr="001C7FC9">
              <w:t>46.</w:t>
            </w:r>
            <w:r w:rsidRPr="001C7FC9">
              <w:tab/>
              <w:t xml:space="preserve">panee merkille, että komitean viestintätoimissa keskitytään suhteisiin lehdistön kanssa, tapahtumien järjestämiseen, digitaaliseen sisältöön ja sosiaaliseen mediaan ja että niiden kokonaisbudjetti (kyseisen vuoden määrärahat) oli noin 2,8 miljoonaa euroa vuonna 2023; pitää valitettavana erittäin alhaista maksujen toteutusastetta näillä aloilla (24,7–48,2 prosenttia); panee kuitenkin merkille, että C8-määrärahojen (siirretty vuodelta 2022 vuodelle 2023) käyttöaste oli korkea, 98–100 prosenttia; </w:t>
            </w:r>
            <w:r w:rsidRPr="001C7FC9">
              <w:rPr>
                <w:b/>
                <w:i/>
              </w:rPr>
              <w:t>kehottaa</w:t>
            </w:r>
            <w:r w:rsidRPr="001C7FC9">
              <w:t xml:space="preserve"> komiteaa ryhtymään toimiin parantaakseen budjettisuunnitteluaan viestintään liittyvien budjettikohtien osalta;</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61</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Tamás Deutsch</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46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46 a.</w:t>
            </w:r>
            <w:r w:rsidRPr="001C7FC9">
              <w:tab/>
            </w:r>
            <w:r w:rsidRPr="001C7FC9">
              <w:rPr>
                <w:b/>
                <w:i/>
              </w:rPr>
              <w:t>kehottaa toimielintä pidättäytymään sukupuoli- ja woke-ideologian edistämisestä, levittämisestä ja tukemisesta ja kunnioittamaan perustamissopimusta ja sen määräyksiä sekä jäsenvaltioiden kansallisia identiteettejä, jotka ovat olennainen osa niiden perusrakenteita, historiaa, uskontoa ja perinteitä;</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62</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Csaba Molnár, Claudiu Manda</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47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47.</w:t>
            </w:r>
            <w:r w:rsidRPr="001C7FC9">
              <w:tab/>
              <w:t xml:space="preserve">panee tyytyväisenä merkille komitean saavutukset unionin politiikkojen ja ohjelmien edistämisessä paikallis- ja aluetasolla, neuvoa-antavan työn tavoittavuuden parantamisessa sekä komitean näkyvyyden ja vaikutuksen lisäämisessä; panee tässä yhteydessä merkille komitean vuonna 2023 toteuttamat viestintätoimet muun muassa seuraavilla aloilla: koheesio (esim. Euroopan alueiden ja kuntien teemaviikon kampanja Yhteenkuuluvuuden edistäminen unionin perusarvona, jossa oli mukana yli 8 000 osallistujaa), ilmastonmuutos (esim. Selviytymiskykyisten alue- ja </w:t>
            </w:r>
            <w:r w:rsidRPr="001C7FC9">
              <w:lastRenderedPageBreak/>
              <w:t>paikallisyhteisöjen luominen ‑kampanja), demokratia (esim. Uusi luku eurooppalaisessa demokratiassa ‑kampanja, johon kuuluvaan 14. EuropCom ‑konferenssiin oli ilmoittautunut yli 1 400 osallistujaa) ja maaseudun kehittäminen (vuoden 2023 European LEADER Congress ‑konferenssi); antaa komitealle tunnustusta alue- ja paikallisvaltuutettujen eurooppalaiseen verkostoon rekisteröityjen henkilöiden määrän kasvusta (2 307 vuonna 2022 ja 3 000 vuonna 2023) samoin kuin nuorten päättäjien ohjelman osallistujamäärän kasvusta (775 vuonna 2022 ja 836 vuonna 2023);</w:t>
            </w:r>
          </w:p>
        </w:tc>
        <w:tc>
          <w:tcPr>
            <w:tcW w:w="4876" w:type="dxa"/>
            <w:tcBorders>
              <w:top w:val="nil"/>
              <w:left w:val="nil"/>
              <w:bottom w:val="nil"/>
              <w:right w:val="nil"/>
            </w:tcBorders>
          </w:tcPr>
          <w:p w:rsidR="00FB5EE8" w:rsidRPr="001C7FC9" w:rsidRDefault="00FB5EE8" w:rsidP="00EC2C43">
            <w:pPr>
              <w:pStyle w:val="Normal6a"/>
            </w:pPr>
            <w:r w:rsidRPr="001C7FC9">
              <w:lastRenderedPageBreak/>
              <w:t>47.</w:t>
            </w:r>
            <w:r w:rsidRPr="001C7FC9">
              <w:tab/>
              <w:t>panee tyytyväisenä merkille komitean saavutukset unionin politiikkojen ja ohjelmien edistämisessä paikallis- ja aluetasolla, neuvoa-antavan työn tavoittavuuden parantamisessa sekä komitean näkyvyyden ja vaikutuksen lisäämisessä;</w:t>
            </w:r>
            <w:r w:rsidRPr="001C7FC9">
              <w:rPr>
                <w:b/>
                <w:i/>
              </w:rPr>
              <w:t xml:space="preserve"> panee merkille, että komitean viestintästrategialla pyritään vahvistamaan sen institutionaalista ja poliittista profiilia unionin alueiden, kaupunkien, kylien ja kuntien äänenä samalla, kun se osoittaa jäsentensä keskeisen panoksen unionin politiikkojen ja kansalaisten välisissä yhteyksissä ja osallistumisen edistämisen paikallisella ja </w:t>
            </w:r>
            <w:r w:rsidRPr="001C7FC9">
              <w:rPr>
                <w:b/>
                <w:i/>
              </w:rPr>
              <w:lastRenderedPageBreak/>
              <w:t>alueellisella tasolla;</w:t>
            </w:r>
            <w:r w:rsidRPr="001C7FC9">
              <w:t xml:space="preserve"> panee tässä yhteydessä merkille komitean vuonna 2023 toteuttamat viestintätoimet muun muassa seuraavilla aloilla: koheesio (esim. Euroopan alueiden ja kuntien teemaviikon kampanja Yhteenkuuluvuuden edistäminen unionin perusarvona, jossa oli mukana yli 8 000 osallistujaa), ilmastonmuutos (esim. Selviytymiskykyisten alue- ja paikallisyhteisöjen luominen ‑kampanja), demokratia (esim. Uusi luku eurooppalaisessa demokratiassa ‑kampanja, johon kuuluvaan 14. EuropCom ‑konferenssiin oli ilmoittautunut yli 1 400 osallistujaa) ja maaseudun kehittäminen (vuoden 2023 European LEADER Congress ‑konferenssi); antaa komitealle tunnustusta alue- ja paikallisvaltuutettujen eurooppalaiseen verkostoon rekisteröityjen henkilöiden määrän kasvusta (2 307 vuonna 2022 ja 3 000 vuonna 2023) samoin kuin nuorten päättäjien ohjelman osallistujamäärän kasvusta (775 vuonna 2022 ja 836 vuonna 2023);</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63</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Damian Boeselager</w:t>
      </w:r>
      <w:r w:rsidRPr="001C7FC9">
        <w:rPr>
          <w:rStyle w:val="HideTWBExt"/>
          <w:b w:val="0"/>
        </w:rPr>
        <w:t>&lt;/Members&gt;</w:t>
      </w:r>
    </w:p>
    <w:p w:rsidR="00FB5EE8" w:rsidRPr="001C7FC9" w:rsidRDefault="00FB5EE8" w:rsidP="00FB5EE8">
      <w:r w:rsidRPr="001C7FC9">
        <w:rPr>
          <w:rStyle w:val="HideTWBExt"/>
        </w:rPr>
        <w:t>&lt;AuNomDe&gt;</w:t>
      </w:r>
      <w:r w:rsidRPr="001C7FC9">
        <w:rPr>
          <w:rStyle w:val="HideTWBInt"/>
        </w:rPr>
        <w:t>{Greens/EFA}</w:t>
      </w:r>
      <w:r w:rsidRPr="001C7FC9">
        <w:t>Verts/ALE-ryhmän puolesta</w:t>
      </w:r>
      <w:r w:rsidRPr="001C7FC9">
        <w:rPr>
          <w:rStyle w:val="HideTWBExt"/>
        </w:rPr>
        <w:t>&lt;/AuNomDe&gt;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47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47 a.</w:t>
            </w:r>
            <w:r w:rsidRPr="001C7FC9">
              <w:tab/>
            </w:r>
            <w:r w:rsidRPr="001C7FC9">
              <w:rPr>
                <w:b/>
                <w:i/>
              </w:rPr>
              <w:t xml:space="preserve">suhtautuu myönteisesti komitean pyrkimyksiin lisätä aluehallintojen ja paikallisyhteisöjen tavoittamista, mukaan lukien alue- ja paikallisvaltuutettujen eurooppalaisen verkoston ja nuorten päättäjien ohjelman laajentaminen; kehottaa komiteaa osoittamaan lisäresursseja sellaisten alueellisten valmiuksien kehittämisohjelmien tukemiseen, jotka antavat </w:t>
            </w:r>
            <w:r w:rsidRPr="001C7FC9">
              <w:rPr>
                <w:b/>
                <w:i/>
              </w:rPr>
              <w:lastRenderedPageBreak/>
              <w:t>paikallishallinnoille mahdollisuuden panna EU:n politiikkoja paremmin täytäntöön;</w:t>
            </w:r>
          </w:p>
        </w:tc>
      </w:tr>
    </w:tbl>
    <w:p w:rsidR="00FB5EE8" w:rsidRPr="001C7FC9" w:rsidRDefault="00FB5EE8" w:rsidP="00FB5EE8">
      <w:pPr>
        <w:pStyle w:val="AmOrLang"/>
      </w:pPr>
      <w:r w:rsidRPr="001C7FC9">
        <w:lastRenderedPageBreak/>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64</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Virginie Joron, Julien Sanchez</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48 kohta</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r w:rsidRPr="001C7FC9">
              <w:t>48.</w:t>
            </w:r>
            <w:r w:rsidRPr="001C7FC9">
              <w:tab/>
              <w:t xml:space="preserve">panee merkille komitean </w:t>
            </w:r>
            <w:r w:rsidRPr="001C7FC9">
              <w:rPr>
                <w:b/>
                <w:i/>
              </w:rPr>
              <w:t>onnistuneen</w:t>
            </w:r>
            <w:r w:rsidRPr="001C7FC9">
              <w:t xml:space="preserve"> tiedottamisen tiedotusvälineille, sillä vuoden 2023 tilastojen mukaan komitea mainittiin tiedotusvälineissä 13 210 kertaa ja sen verkkosivuston kävijämäärä kasvoi 129 prosenttia ja seuraajamäärä 11 prosenttia; panee merkille, että digitaalisen osallistumisen osalta komitea ei saavuttanut vuodelle 2023 asetettua tavoitettaan; panee merkille, että vuoden 2023 lopussa komitealla oli sosiaalisen median kanavillaan 200 000 seuraajaa eli 15 prosenttia enemmän kuin vuonna 2022 ja heistä 57 603 seuraajaa X:ssä (aiemmin Twitter) (kasvua 5 prosenttia), 61 170 seuraajaa Facebookissa (kasvua 5 prosenttia), 68 613 seuraajaa LinkedInissä (kasvua 31 prosenttia) ja 15 392 seuraajaa Instagramissa (kasvua 47 prosenttia);</w:t>
            </w:r>
          </w:p>
        </w:tc>
        <w:tc>
          <w:tcPr>
            <w:tcW w:w="4876" w:type="dxa"/>
            <w:tcBorders>
              <w:top w:val="nil"/>
              <w:left w:val="nil"/>
              <w:bottom w:val="nil"/>
              <w:right w:val="nil"/>
            </w:tcBorders>
          </w:tcPr>
          <w:p w:rsidR="00FB5EE8" w:rsidRPr="001C7FC9" w:rsidRDefault="00FB5EE8" w:rsidP="00EC2C43">
            <w:pPr>
              <w:pStyle w:val="Normal6a"/>
            </w:pPr>
            <w:r w:rsidRPr="001C7FC9">
              <w:t>48.</w:t>
            </w:r>
            <w:r w:rsidRPr="001C7FC9">
              <w:tab/>
              <w:t xml:space="preserve">panee merkille komitean </w:t>
            </w:r>
            <w:r w:rsidRPr="001C7FC9">
              <w:rPr>
                <w:b/>
                <w:i/>
              </w:rPr>
              <w:t>suhteellisen epäonnistuneen</w:t>
            </w:r>
            <w:r w:rsidRPr="001C7FC9">
              <w:t xml:space="preserve"> tiedottamisen tiedotusvälineille, sillä vuoden 2023 tilastojen mukaan komitea mainittiin tiedotusvälineissä 13 210 kertaa ja sen verkkosivuston kävijämäärä kasvoi 129 prosenttia ja seuraajamäärä 11 prosenttia panee merkille, että digitaalisen osallistumisen osalta komitea ei saavuttanut vuodelle 2023 asetettua tavoitettaan; panee merkille, että vuoden 2023 lopussa komitealla oli sosiaalisen median kanavillaan 200 000 seuraajaa eli 15 prosenttia enemmän kuin vuonna 2022 ja heistä 57 603 seuraajaa X:ssä (aiemmin Twitter) (kasvua 5 prosenttia), 61 170 seuraajaa Facebookissa (kasvua 5 prosenttia), 68 613 seuraajaa LinkedInissä (kasvua 31 prosenttia) ja 15 392 seuraajaa Instagramissa (kasvua 47 prosenttia);</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{FR}</w:t>
      </w:r>
      <w:r w:rsidRPr="001C7FC9">
        <w:t>fr</w:t>
      </w:r>
      <w:r w:rsidRPr="001C7FC9">
        <w:rPr>
          <w:rStyle w:val="HideTWBExt"/>
        </w:rPr>
        <w:t>&lt;/Original&gt;</w:t>
      </w:r>
    </w:p>
    <w:p w:rsidR="00FB5EE8" w:rsidRPr="001C7FC9" w:rsidRDefault="00FB5EE8" w:rsidP="00FB5EE8">
      <w:r w:rsidRPr="001C7FC9">
        <w:rPr>
          <w:rStyle w:val="HideTWBExt"/>
        </w:rPr>
        <w:t>&lt;/Amend&gt;</w:t>
      </w:r>
    </w:p>
    <w:p w:rsidR="00FB5EE8" w:rsidRPr="001C7FC9" w:rsidRDefault="00FB5EE8" w:rsidP="00FB5EE8">
      <w:pPr>
        <w:pStyle w:val="AmNumberTabs"/>
      </w:pPr>
      <w:r w:rsidRPr="001C7FC9">
        <w:rPr>
          <w:rStyle w:val="HideTWBExt"/>
        </w:rPr>
        <w:t>&lt;Amend&gt;</w:t>
      </w:r>
      <w:r w:rsidRPr="001C7FC9">
        <w:t>Tarkistus</w:t>
      </w:r>
      <w:r w:rsidRPr="001C7FC9">
        <w:tab/>
      </w:r>
      <w:r w:rsidRPr="001C7FC9">
        <w:tab/>
      </w:r>
      <w:r w:rsidRPr="001C7FC9">
        <w:rPr>
          <w:rStyle w:val="HideTWBExt"/>
        </w:rPr>
        <w:t>&lt;NumAm&gt;</w:t>
      </w:r>
      <w:r w:rsidRPr="001C7FC9">
        <w:t>65</w:t>
      </w:r>
      <w:r w:rsidRPr="001C7FC9">
        <w:rPr>
          <w:rStyle w:val="HideTWBExt"/>
        </w:rPr>
        <w:t>&lt;/NumAm&gt;</w:t>
      </w:r>
    </w:p>
    <w:p w:rsidR="00FB5EE8" w:rsidRPr="001C7FC9" w:rsidRDefault="00FB5EE8" w:rsidP="00FB5EE8">
      <w:pPr>
        <w:pStyle w:val="NormalBold"/>
      </w:pPr>
      <w:r w:rsidRPr="001C7FC9">
        <w:rPr>
          <w:rStyle w:val="HideTWBExt"/>
          <w:b w:val="0"/>
        </w:rPr>
        <w:t>&lt;RepeatBlock-By&gt;&lt;Members&gt;</w:t>
      </w:r>
      <w:r w:rsidRPr="001C7FC9">
        <w:t>Tamás Deutsch</w:t>
      </w:r>
      <w:r w:rsidRPr="001C7FC9">
        <w:rPr>
          <w:rStyle w:val="HideTWBExt"/>
          <w:b w:val="0"/>
        </w:rPr>
        <w:t>&lt;/Members&gt;</w:t>
      </w:r>
    </w:p>
    <w:p w:rsidR="00FB5EE8" w:rsidRPr="001C7FC9" w:rsidRDefault="00FB5EE8" w:rsidP="00FB5EE8">
      <w:pPr>
        <w:pStyle w:val="NormalBold"/>
      </w:pPr>
      <w:r w:rsidRPr="001C7FC9">
        <w:rPr>
          <w:rStyle w:val="HideTWBExt"/>
          <w:b w:val="0"/>
        </w:rPr>
        <w:t>&lt;/RepeatBlock-By&gt;</w:t>
      </w:r>
    </w:p>
    <w:p w:rsidR="00FB5EE8" w:rsidRPr="001C7FC9" w:rsidRDefault="00FB5EE8" w:rsidP="00FB5EE8">
      <w:pPr>
        <w:pStyle w:val="NormalBold"/>
      </w:pPr>
      <w:r w:rsidRPr="001C7FC9">
        <w:rPr>
          <w:rStyle w:val="HideTWBExt"/>
        </w:rPr>
        <w:t>&lt;DocAmend&gt;</w:t>
      </w:r>
      <w:r w:rsidRPr="001C7FC9">
        <w:t>Päätöslauselmaesitys</w:t>
      </w:r>
      <w:r w:rsidRPr="001C7FC9">
        <w:rPr>
          <w:rStyle w:val="HideTWBExt"/>
        </w:rPr>
        <w:t>&lt;/DocAmend&gt;</w:t>
      </w:r>
    </w:p>
    <w:p w:rsidR="00FB5EE8" w:rsidRPr="001C7FC9" w:rsidRDefault="00FB5EE8" w:rsidP="00FB5EE8">
      <w:pPr>
        <w:pStyle w:val="NormalBold"/>
      </w:pPr>
      <w:r w:rsidRPr="001C7FC9">
        <w:rPr>
          <w:rStyle w:val="HideTWBExt"/>
        </w:rPr>
        <w:t>&lt;Article&gt;</w:t>
      </w:r>
      <w:r w:rsidRPr="001C7FC9">
        <w:t>49 a kohta (uusi)</w:t>
      </w:r>
      <w:r w:rsidRPr="001C7FC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5EE8" w:rsidRPr="001C7FC9" w:rsidTr="00EC2C43">
        <w:trPr>
          <w:trHeight w:hRule="exact" w:val="240"/>
          <w:jc w:val="center"/>
        </w:trPr>
        <w:tc>
          <w:tcPr>
            <w:tcW w:w="9752" w:type="dxa"/>
            <w:gridSpan w:val="2"/>
            <w:tcBorders>
              <w:top w:val="nil"/>
              <w:left w:val="nil"/>
              <w:bottom w:val="nil"/>
              <w:right w:val="nil"/>
            </w:tcBorders>
          </w:tcPr>
          <w:p w:rsidR="00FB5EE8" w:rsidRPr="001C7FC9" w:rsidRDefault="00FB5EE8" w:rsidP="00EC2C43"/>
        </w:tc>
      </w:tr>
      <w:tr w:rsidR="00FB5EE8" w:rsidRPr="001C7FC9" w:rsidTr="00EC2C43">
        <w:trPr>
          <w:trHeight w:val="240"/>
          <w:jc w:val="center"/>
        </w:trPr>
        <w:tc>
          <w:tcPr>
            <w:tcW w:w="4876" w:type="dxa"/>
            <w:tcBorders>
              <w:top w:val="nil"/>
              <w:left w:val="nil"/>
              <w:bottom w:val="nil"/>
              <w:right w:val="nil"/>
            </w:tcBorders>
          </w:tcPr>
          <w:p w:rsidR="00FB5EE8" w:rsidRPr="001C7FC9" w:rsidRDefault="00FB5EE8" w:rsidP="00EC2C43">
            <w:pPr>
              <w:pStyle w:val="AmColumnHeading"/>
            </w:pPr>
            <w:r w:rsidRPr="001C7FC9">
              <w:t>Päätöslauselmaesitys</w:t>
            </w:r>
          </w:p>
        </w:tc>
        <w:tc>
          <w:tcPr>
            <w:tcW w:w="4876" w:type="dxa"/>
            <w:tcBorders>
              <w:top w:val="nil"/>
              <w:left w:val="nil"/>
              <w:bottom w:val="nil"/>
              <w:right w:val="nil"/>
            </w:tcBorders>
          </w:tcPr>
          <w:p w:rsidR="00FB5EE8" w:rsidRPr="001C7FC9" w:rsidRDefault="00FB5EE8" w:rsidP="00EC2C43">
            <w:pPr>
              <w:pStyle w:val="AmColumnHeading"/>
            </w:pPr>
            <w:r w:rsidRPr="001C7FC9">
              <w:t>Tarkistus</w:t>
            </w:r>
          </w:p>
        </w:tc>
      </w:tr>
      <w:tr w:rsidR="00FB5EE8" w:rsidRPr="001C7FC9" w:rsidTr="00EC2C43">
        <w:trPr>
          <w:jc w:val="center"/>
        </w:trPr>
        <w:tc>
          <w:tcPr>
            <w:tcW w:w="4876" w:type="dxa"/>
            <w:tcBorders>
              <w:top w:val="nil"/>
              <w:left w:val="nil"/>
              <w:bottom w:val="nil"/>
              <w:right w:val="nil"/>
            </w:tcBorders>
          </w:tcPr>
          <w:p w:rsidR="00FB5EE8" w:rsidRPr="001C7FC9" w:rsidRDefault="00FB5EE8" w:rsidP="00EC2C43">
            <w:pPr>
              <w:pStyle w:val="Normal6a"/>
            </w:pPr>
          </w:p>
        </w:tc>
        <w:tc>
          <w:tcPr>
            <w:tcW w:w="4876" w:type="dxa"/>
            <w:tcBorders>
              <w:top w:val="nil"/>
              <w:left w:val="nil"/>
              <w:bottom w:val="nil"/>
              <w:right w:val="nil"/>
            </w:tcBorders>
          </w:tcPr>
          <w:p w:rsidR="00FB5EE8" w:rsidRPr="001C7FC9" w:rsidRDefault="00FB5EE8" w:rsidP="00EC2C43">
            <w:pPr>
              <w:pStyle w:val="Normal6a"/>
            </w:pPr>
            <w:r w:rsidRPr="001C7FC9">
              <w:rPr>
                <w:b/>
                <w:i/>
              </w:rPr>
              <w:t>49 a.</w:t>
            </w:r>
            <w:r w:rsidRPr="001C7FC9">
              <w:tab/>
            </w:r>
            <w:r w:rsidRPr="001C7FC9">
              <w:rPr>
                <w:b/>
                <w:i/>
              </w:rPr>
              <w:t>ehdottaa alueiden komitean taloudellisen kestävyyden ja riippumattomuuden parantamiseksi, että neuvoa-antava elin siirtyy jäsenmaksuihin perustuvaan itseään ylläpitävään rahoitusmalliin; katsoo, että näitä maksuja olisi perittävä useilta sidosryhmiltä, kuten paikallis- ja alueviranomaisilta (esimerkiksi alueet, läänit, maakunnat, kunnat ja kaupungit) ja muilta komitean työhön aktiivisesti osallistuvilta tahoilta; katsoo, että maksurakenne olisi porrastettava siten, että hinnat kuvastavat jäseninä olevien yhteisöjen sitoutumisen määrää ja tasoa; katsoo, että saadut tulot olisi käytettävä yksinomaan toimintakustannuksiin ja että varojen käytön avoimuus olisi varmistettava vuositilinpäätöksellä; odottaa, että tämän mallin vaiheittainen täytäntöönpano vähentää vähitellen riippuvuutta EU:n yleisestä talousarviosta ja että täysi o</w:t>
            </w:r>
            <w:r w:rsidR="00EE0A03">
              <w:rPr>
                <w:b/>
                <w:i/>
              </w:rPr>
              <w:t>mavaraisuus saavutetaan vuoteen </w:t>
            </w:r>
            <w:bookmarkStart w:id="0" w:name="_GoBack"/>
            <w:bookmarkEnd w:id="0"/>
            <w:r w:rsidRPr="001C7FC9">
              <w:rPr>
                <w:b/>
                <w:i/>
              </w:rPr>
              <w:t>2028 mennessä.</w:t>
            </w:r>
          </w:p>
        </w:tc>
      </w:tr>
    </w:tbl>
    <w:p w:rsidR="00FB5EE8" w:rsidRPr="001C7FC9" w:rsidRDefault="00FB5EE8" w:rsidP="00FB5EE8">
      <w:pPr>
        <w:pStyle w:val="AmOrLang"/>
      </w:pPr>
      <w:r w:rsidRPr="001C7FC9">
        <w:t xml:space="preserve">Or. </w:t>
      </w:r>
      <w:r w:rsidRPr="001C7FC9">
        <w:rPr>
          <w:rStyle w:val="HideTWBExt"/>
        </w:rPr>
        <w:t>&lt;Original&gt;</w:t>
      </w:r>
      <w:r w:rsidRPr="001C7FC9">
        <w:rPr>
          <w:rStyle w:val="HideTWBInt"/>
        </w:rPr>
        <w:t>{EN}</w:t>
      </w:r>
      <w:r w:rsidRPr="001C7FC9">
        <w:t>en</w:t>
      </w:r>
      <w:r w:rsidRPr="001C7FC9">
        <w:rPr>
          <w:rStyle w:val="HideTWBExt"/>
        </w:rPr>
        <w:t>&lt;/Original&gt;</w:t>
      </w:r>
    </w:p>
    <w:p w:rsidR="00FB5EE8" w:rsidRPr="001C7FC9" w:rsidRDefault="00FB5EE8" w:rsidP="00FB5EE8">
      <w:r w:rsidRPr="001C7FC9">
        <w:rPr>
          <w:rStyle w:val="HideTWBExt"/>
        </w:rPr>
        <w:t>&lt;/Amend&gt;&lt;/RepeatBlock-Amend&gt;</w:t>
      </w:r>
    </w:p>
    <w:p w:rsidR="00D357A5" w:rsidRPr="001C7FC9" w:rsidRDefault="00D357A5" w:rsidP="00FB5EE8"/>
    <w:sectPr w:rsidR="00D357A5" w:rsidRPr="001C7FC9" w:rsidSect="00291CCD">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C43" w:rsidRPr="00F7667C" w:rsidRDefault="00EC2C43">
      <w:r w:rsidRPr="00F7667C">
        <w:separator/>
      </w:r>
    </w:p>
  </w:endnote>
  <w:endnote w:type="continuationSeparator" w:id="0">
    <w:p w:rsidR="00EC2C43" w:rsidRPr="00F7667C" w:rsidRDefault="00EC2C43">
      <w:r w:rsidRPr="00F766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C43" w:rsidRPr="001C7FC9" w:rsidRDefault="00EC2C43" w:rsidP="00291CCD">
    <w:pPr>
      <w:pStyle w:val="EPFooter"/>
      <w:rPr>
        <w:lang w:val="de-DE"/>
      </w:rPr>
    </w:pPr>
    <w:r w:rsidRPr="001C7FC9">
      <w:rPr>
        <w:lang w:val="de-DE"/>
      </w:rPr>
      <w:t>PE</w:t>
    </w:r>
    <w:r w:rsidRPr="001C7FC9">
      <w:rPr>
        <w:rStyle w:val="HideTWBExt"/>
        <w:lang w:val="de-DE"/>
      </w:rPr>
      <w:t>&lt;NoPE&gt;</w:t>
    </w:r>
    <w:r w:rsidRPr="001C7FC9">
      <w:rPr>
        <w:lang w:val="de-DE"/>
      </w:rPr>
      <w:t>768.129</w:t>
    </w:r>
    <w:r w:rsidRPr="001C7FC9">
      <w:rPr>
        <w:rStyle w:val="HideTWBExt"/>
        <w:lang w:val="de-DE"/>
      </w:rPr>
      <w:t>&lt;/NoPE&gt;&lt;Version&gt;</w:t>
    </w:r>
    <w:r w:rsidRPr="001C7FC9">
      <w:rPr>
        <w:lang w:val="de-DE"/>
      </w:rPr>
      <w:t>v01-00</w:t>
    </w:r>
    <w:r w:rsidRPr="001C7FC9">
      <w:rPr>
        <w:rStyle w:val="HideTWBExt"/>
        <w:lang w:val="de-DE"/>
      </w:rPr>
      <w:t>&lt;/Version&gt;</w:t>
    </w:r>
    <w:r w:rsidRPr="001C7FC9">
      <w:rPr>
        <w:lang w:val="de-DE"/>
      </w:rPr>
      <w:tab/>
    </w:r>
    <w:r w:rsidRPr="00F7667C">
      <w:fldChar w:fldCharType="begin"/>
    </w:r>
    <w:r w:rsidRPr="001C7FC9">
      <w:rPr>
        <w:lang w:val="de-DE"/>
      </w:rPr>
      <w:instrText xml:space="preserve"> PAGE  \* MERGEFORMAT </w:instrText>
    </w:r>
    <w:r w:rsidRPr="00F7667C">
      <w:fldChar w:fldCharType="separate"/>
    </w:r>
    <w:r w:rsidR="00EE0A03">
      <w:rPr>
        <w:noProof/>
        <w:lang w:val="de-DE"/>
      </w:rPr>
      <w:t>44</w:t>
    </w:r>
    <w:r w:rsidRPr="00F7667C">
      <w:fldChar w:fldCharType="end"/>
    </w:r>
    <w:r w:rsidRPr="001C7FC9">
      <w:rPr>
        <w:lang w:val="de-DE"/>
      </w:rPr>
      <w:t>/</w:t>
    </w:r>
    <w:r>
      <w:fldChar w:fldCharType="begin"/>
    </w:r>
    <w:r w:rsidRPr="001C7FC9">
      <w:rPr>
        <w:lang w:val="de-DE"/>
      </w:rPr>
      <w:instrText xml:space="preserve"> NUMPAGES  \* MERGEFORMAT </w:instrText>
    </w:r>
    <w:r>
      <w:fldChar w:fldCharType="separate"/>
    </w:r>
    <w:r w:rsidR="00EE0A03">
      <w:rPr>
        <w:noProof/>
        <w:lang w:val="de-DE"/>
      </w:rPr>
      <w:t>44</w:t>
    </w:r>
    <w:r>
      <w:rPr>
        <w:noProof/>
      </w:rPr>
      <w:fldChar w:fldCharType="end"/>
    </w:r>
    <w:r w:rsidRPr="001C7FC9">
      <w:rPr>
        <w:lang w:val="de-DE"/>
      </w:rPr>
      <w:tab/>
    </w:r>
    <w:r w:rsidRPr="001C7FC9">
      <w:rPr>
        <w:rStyle w:val="HideTWBExt"/>
        <w:lang w:val="de-DE"/>
      </w:rPr>
      <w:t>&lt;PathFdR&gt;</w:t>
    </w:r>
    <w:r w:rsidRPr="001C7FC9">
      <w:rPr>
        <w:lang w:val="de-DE"/>
      </w:rPr>
      <w:t>AM\1314479FI.docx</w:t>
    </w:r>
    <w:r w:rsidRPr="001C7FC9">
      <w:rPr>
        <w:rStyle w:val="HideTWBExt"/>
        <w:lang w:val="de-DE"/>
      </w:rPr>
      <w:t>&lt;/PathFdR&gt;</w:t>
    </w:r>
  </w:p>
  <w:p w:rsidR="00EC2C43" w:rsidRPr="00F7667C" w:rsidRDefault="00EC2C43" w:rsidP="00291CCD">
    <w:pPr>
      <w:pStyle w:val="EPFooter2"/>
    </w:pPr>
    <w:r w:rsidRPr="00F7667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C43" w:rsidRPr="001C7FC9" w:rsidRDefault="00EC2C43" w:rsidP="00291CCD">
    <w:pPr>
      <w:pStyle w:val="EPFooter"/>
      <w:rPr>
        <w:lang w:val="de-DE"/>
      </w:rPr>
    </w:pPr>
    <w:r w:rsidRPr="001C7FC9">
      <w:rPr>
        <w:rStyle w:val="HideTWBExt"/>
        <w:lang w:val="de-DE"/>
      </w:rPr>
      <w:t>&lt;PathFdR&gt;</w:t>
    </w:r>
    <w:r w:rsidRPr="001C7FC9">
      <w:rPr>
        <w:lang w:val="de-DE"/>
      </w:rPr>
      <w:t>AM\1314479FI.docx</w:t>
    </w:r>
    <w:r w:rsidRPr="001C7FC9">
      <w:rPr>
        <w:rStyle w:val="HideTWBExt"/>
        <w:lang w:val="de-DE"/>
      </w:rPr>
      <w:t>&lt;/PathFdR&gt;</w:t>
    </w:r>
    <w:r w:rsidRPr="001C7FC9">
      <w:rPr>
        <w:lang w:val="de-DE"/>
      </w:rPr>
      <w:tab/>
    </w:r>
    <w:r w:rsidRPr="00F7667C">
      <w:fldChar w:fldCharType="begin"/>
    </w:r>
    <w:r w:rsidRPr="001C7FC9">
      <w:rPr>
        <w:lang w:val="de-DE"/>
      </w:rPr>
      <w:instrText xml:space="preserve"> PAGE  \* MERGEFORMAT </w:instrText>
    </w:r>
    <w:r w:rsidRPr="00F7667C">
      <w:fldChar w:fldCharType="separate"/>
    </w:r>
    <w:r w:rsidR="00EE0A03">
      <w:rPr>
        <w:noProof/>
        <w:lang w:val="de-DE"/>
      </w:rPr>
      <w:t>43</w:t>
    </w:r>
    <w:r w:rsidRPr="00F7667C">
      <w:fldChar w:fldCharType="end"/>
    </w:r>
    <w:r w:rsidRPr="001C7FC9">
      <w:rPr>
        <w:lang w:val="de-DE"/>
      </w:rPr>
      <w:t>/</w:t>
    </w:r>
    <w:r>
      <w:fldChar w:fldCharType="begin"/>
    </w:r>
    <w:r w:rsidRPr="001C7FC9">
      <w:rPr>
        <w:lang w:val="de-DE"/>
      </w:rPr>
      <w:instrText xml:space="preserve"> NUMPAGES  \* MERGEFORMAT </w:instrText>
    </w:r>
    <w:r>
      <w:fldChar w:fldCharType="separate"/>
    </w:r>
    <w:r w:rsidR="00EE0A03">
      <w:rPr>
        <w:noProof/>
        <w:lang w:val="de-DE"/>
      </w:rPr>
      <w:t>44</w:t>
    </w:r>
    <w:r>
      <w:rPr>
        <w:noProof/>
      </w:rPr>
      <w:fldChar w:fldCharType="end"/>
    </w:r>
    <w:r w:rsidRPr="001C7FC9">
      <w:rPr>
        <w:lang w:val="de-DE"/>
      </w:rPr>
      <w:tab/>
      <w:t>PE</w:t>
    </w:r>
    <w:r w:rsidRPr="001C7FC9">
      <w:rPr>
        <w:rStyle w:val="HideTWBExt"/>
        <w:lang w:val="de-DE"/>
      </w:rPr>
      <w:t>&lt;NoPE&gt;</w:t>
    </w:r>
    <w:r w:rsidRPr="001C7FC9">
      <w:rPr>
        <w:lang w:val="de-DE"/>
      </w:rPr>
      <w:t>768.129</w:t>
    </w:r>
    <w:r w:rsidRPr="001C7FC9">
      <w:rPr>
        <w:rStyle w:val="HideTWBExt"/>
        <w:lang w:val="de-DE"/>
      </w:rPr>
      <w:t>&lt;/NoPE&gt;&lt;Version&gt;</w:t>
    </w:r>
    <w:r w:rsidRPr="001C7FC9">
      <w:rPr>
        <w:lang w:val="de-DE"/>
      </w:rPr>
      <w:t>v01-00</w:t>
    </w:r>
    <w:r w:rsidRPr="001C7FC9">
      <w:rPr>
        <w:rStyle w:val="HideTWBExt"/>
        <w:lang w:val="de-DE"/>
      </w:rPr>
      <w:t>&lt;/Version&gt;</w:t>
    </w:r>
  </w:p>
  <w:p w:rsidR="00EC2C43" w:rsidRPr="00F7667C" w:rsidRDefault="00EC2C43" w:rsidP="00291CCD">
    <w:pPr>
      <w:pStyle w:val="EPFooter2"/>
    </w:pPr>
    <w:r w:rsidRPr="001C7FC9">
      <w:rPr>
        <w:lang w:val="de-DE"/>
      </w:rPr>
      <w:tab/>
    </w:r>
    <w:r w:rsidRPr="001C7FC9">
      <w:rPr>
        <w:lang w:val="de-DE"/>
      </w:rPr>
      <w:tab/>
    </w:r>
    <w:r w:rsidRPr="00F7667C">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C43" w:rsidRPr="001C7FC9" w:rsidRDefault="00EC2C43" w:rsidP="00291CCD">
    <w:pPr>
      <w:pStyle w:val="EPFooter"/>
      <w:rPr>
        <w:lang w:val="de-DE"/>
      </w:rPr>
    </w:pPr>
    <w:r w:rsidRPr="001C7FC9">
      <w:rPr>
        <w:rStyle w:val="HideTWBExt"/>
        <w:lang w:val="de-DE"/>
      </w:rPr>
      <w:t>&lt;PathFdR&gt;</w:t>
    </w:r>
    <w:r w:rsidRPr="001C7FC9">
      <w:rPr>
        <w:lang w:val="de-DE"/>
      </w:rPr>
      <w:t>AM\1314479FI.docx</w:t>
    </w:r>
    <w:r w:rsidRPr="001C7FC9">
      <w:rPr>
        <w:rStyle w:val="HideTWBExt"/>
        <w:lang w:val="de-DE"/>
      </w:rPr>
      <w:t>&lt;/PathFdR&gt;</w:t>
    </w:r>
    <w:r w:rsidRPr="001C7FC9">
      <w:rPr>
        <w:lang w:val="de-DE"/>
      </w:rPr>
      <w:tab/>
    </w:r>
    <w:r w:rsidRPr="001C7FC9">
      <w:rPr>
        <w:lang w:val="de-DE"/>
      </w:rPr>
      <w:tab/>
      <w:t>PE</w:t>
    </w:r>
    <w:r w:rsidRPr="001C7FC9">
      <w:rPr>
        <w:rStyle w:val="HideTWBExt"/>
        <w:lang w:val="de-DE"/>
      </w:rPr>
      <w:t>&lt;NoPE&gt;</w:t>
    </w:r>
    <w:r w:rsidRPr="001C7FC9">
      <w:rPr>
        <w:lang w:val="de-DE"/>
      </w:rPr>
      <w:t>768.129</w:t>
    </w:r>
    <w:r w:rsidRPr="001C7FC9">
      <w:rPr>
        <w:rStyle w:val="HideTWBExt"/>
        <w:lang w:val="de-DE"/>
      </w:rPr>
      <w:t>&lt;/NoPE&gt;&lt;Version&gt;</w:t>
    </w:r>
    <w:r w:rsidRPr="001C7FC9">
      <w:rPr>
        <w:lang w:val="de-DE"/>
      </w:rPr>
      <w:t>v01-00</w:t>
    </w:r>
    <w:r w:rsidRPr="001C7FC9">
      <w:rPr>
        <w:rStyle w:val="HideTWBExt"/>
        <w:lang w:val="de-DE"/>
      </w:rPr>
      <w:t>&lt;/Version&gt;</w:t>
    </w:r>
  </w:p>
  <w:p w:rsidR="00EC2C43" w:rsidRPr="00F7667C" w:rsidRDefault="00EC2C43" w:rsidP="00291CCD">
    <w:pPr>
      <w:pStyle w:val="EPFooter2"/>
    </w:pPr>
    <w:r w:rsidRPr="00F7667C">
      <w:t>FI</w:t>
    </w:r>
    <w:r w:rsidRPr="00F7667C">
      <w:tab/>
    </w:r>
    <w:r w:rsidRPr="00F7667C">
      <w:rPr>
        <w:b w:val="0"/>
        <w:i/>
        <w:color w:val="C0C0C0"/>
        <w:sz w:val="22"/>
      </w:rPr>
      <w:t>Moninaisuudessaan yhtenäinen</w:t>
    </w:r>
    <w:r w:rsidRPr="00F7667C">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C43" w:rsidRPr="00F7667C" w:rsidRDefault="00EC2C43">
      <w:r w:rsidRPr="00F7667C">
        <w:separator/>
      </w:r>
    </w:p>
  </w:footnote>
  <w:footnote w:type="continuationSeparator" w:id="0">
    <w:p w:rsidR="00EC2C43" w:rsidRPr="00F7667C" w:rsidRDefault="00EC2C43">
      <w:r w:rsidRPr="00F766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C43" w:rsidRDefault="00EC2C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C43" w:rsidRDefault="00EC2C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C43" w:rsidRDefault="00EC2C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FI"/>
    <w:docVar w:name="TXTLANGUEMIN" w:val="fi"/>
    <w:docVar w:name="TXTNRPE" w:val="768.129"/>
    <w:docVar w:name="TXTPEorAP" w:val="PE"/>
    <w:docVar w:name="TXTROUTE" w:val="AM\1314479FI.docx"/>
    <w:docVar w:name="TXTVERSION" w:val="01-00"/>
  </w:docVars>
  <w:rsids>
    <w:rsidRoot w:val="00A77B3E"/>
    <w:rsid w:val="0016447E"/>
    <w:rsid w:val="001C7FC9"/>
    <w:rsid w:val="00280848"/>
    <w:rsid w:val="00291CCD"/>
    <w:rsid w:val="00393BAB"/>
    <w:rsid w:val="00403920"/>
    <w:rsid w:val="0048518C"/>
    <w:rsid w:val="00A77B3E"/>
    <w:rsid w:val="00CA2A55"/>
    <w:rsid w:val="00D357A5"/>
    <w:rsid w:val="00EC2C43"/>
    <w:rsid w:val="00EE0A03"/>
    <w:rsid w:val="00F7667C"/>
    <w:rsid w:val="00FB5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9BFD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8518C"/>
    <w:pPr>
      <w:tabs>
        <w:tab w:val="center" w:pos="4680"/>
        <w:tab w:val="right" w:pos="9360"/>
      </w:tabs>
    </w:pPr>
  </w:style>
  <w:style w:type="character" w:customStyle="1" w:styleId="HeaderChar">
    <w:name w:val="Header Char"/>
    <w:basedOn w:val="DefaultParagraphFont"/>
    <w:link w:val="Header"/>
    <w:rsid w:val="0048518C"/>
    <w:rPr>
      <w:sz w:val="24"/>
      <w:szCs w:val="24"/>
    </w:rPr>
  </w:style>
  <w:style w:type="paragraph" w:styleId="Footer">
    <w:name w:val="footer"/>
    <w:basedOn w:val="Normal"/>
    <w:link w:val="FooterChar"/>
    <w:semiHidden/>
    <w:unhideWhenUsed/>
    <w:rsid w:val="00FB5EE8"/>
    <w:pPr>
      <w:tabs>
        <w:tab w:val="center" w:pos="4680"/>
        <w:tab w:val="right" w:pos="9360"/>
      </w:tabs>
    </w:pPr>
  </w:style>
  <w:style w:type="character" w:customStyle="1" w:styleId="FooterChar">
    <w:name w:val="Footer Char"/>
    <w:basedOn w:val="DefaultParagraphFont"/>
    <w:link w:val="Footer"/>
    <w:semiHidden/>
    <w:rsid w:val="00FB5EE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9E967E3142814880549B4B6470CA97" ma:contentTypeVersion="0" ma:contentTypeDescription="Create a new document." ma:contentTypeScope="" ma:versionID="4b75f33e04c19bebd680280843956ea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790574A-B327-472C-A4E2-22CBF1155726}">
  <ds:schemaRefs>
    <ds:schemaRef ds:uri="http://schemas.microsoft.com/sharepoint/v3/contenttype/forms"/>
  </ds:schemaRefs>
</ds:datastoreItem>
</file>

<file path=customXml/itemProps2.xml><?xml version="1.0" encoding="utf-8"?>
<ds:datastoreItem xmlns:ds="http://schemas.openxmlformats.org/officeDocument/2006/customXml" ds:itemID="{23373CFB-DB0E-40E6-8AF4-0A197072C91D}">
  <ds:schemaRefs>
    <ds:schemaRef ds:uri="http://schemas.microsoft.com/office/2006/metadata/properties"/>
  </ds:schemaRefs>
</ds:datastoreItem>
</file>

<file path=customXml/itemProps3.xml><?xml version="1.0" encoding="utf-8"?>
<ds:datastoreItem xmlns:ds="http://schemas.openxmlformats.org/officeDocument/2006/customXml" ds:itemID="{C937AA35-3E88-4E08-A924-446D2E184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8256</Words>
  <Characters>67040</Characters>
  <Application>Microsoft Office Word</Application>
  <DocSecurity>0</DocSecurity>
  <Lines>2530</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2025-02-21T12:14:00Z</dcterms:created>
  <dcterms:modified xsi:type="dcterms:W3CDTF">2025-02-21T12:14:00Z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0x010100FE9E967E3142814880549B4B6470CA97</vt:lpwstr>
  </property>
  <property fmtid="{D5CDD505-2E9C-101B-9397-08002B2CF9AE}" pid="3" name="&lt;Model&gt;">
    <vt:lpwstr>AM_Com_NonLegReport</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768.129</vt:lpwstr>
  </property>
  <property fmtid="{D5CDD505-2E9C-101B-9397-08002B2CF9AE}" pid="7" name="LastEdited with">
    <vt:lpwstr>10.0.1 Build [20250114]</vt:lpwstr>
  </property>
  <property fmtid="{D5CDD505-2E9C-101B-9397-08002B2CF9AE}" pid="8" name="&lt;FdR&gt;">
    <vt:lpwstr>1314479</vt:lpwstr>
  </property>
  <property fmtid="{D5CDD505-2E9C-101B-9397-08002B2CF9AE}" pid="9" name="FooterPath">
    <vt:lpwstr>AM\1314479FI.docx</vt:lpwstr>
  </property>
  <property fmtid="{D5CDD505-2E9C-101B-9397-08002B2CF9AE}" pid="10" name="Bookout">
    <vt:lpwstr>OK - 2025/02/21 13:14</vt:lpwstr>
  </property>
</Properties>
</file>