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Komisja Kontroli Budżetowej</w:t>
      </w:r>
      <w:r>
        <w:rPr>
          <w:rStyle w:val="HideTWBExt"/>
        </w:rPr>
        <w:t>&lt;/Commission&gt;</w:t>
      </w:r>
    </w:p>
    <w:p>
      <w:pPr>
        <w:pStyle w:val="LineBottom"/>
      </w:pPr>
      <w:r>
        <w:t xml:space="preserve"> </w:t>
      </w:r>
    </w:p>
    <w:p>
      <w:pPr>
        <w:pStyle w:val="CoverReference"/>
      </w:pPr>
      <w:r>
        <w:rPr>
          <w:rStyle w:val="HideTWBExt"/>
        </w:rPr>
        <w:t>&lt;RefProc&gt;</w:t>
      </w:r>
      <w:r>
        <w:t>2024/2026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{10/02/2025}</w:t>
      </w:r>
      <w:r>
        <w:t>10.2.2025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65</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Joachim Stanisław Brudziński</w:t>
      </w:r>
      <w:r>
        <w:rPr>
          <w:rStyle w:val="HideTWBExt"/>
        </w:rPr>
        <w:t>&lt;/Rapporteur&gt;</w:t>
      </w:r>
    </w:p>
    <w:p>
      <w:pPr>
        <w:pStyle w:val="CoverNormal24a"/>
      </w:pPr>
      <w:r>
        <w:rPr>
          <w:rStyle w:val="HideTWBExt"/>
        </w:rPr>
        <w:t>&lt;DocRefPE&gt;</w:t>
      </w:r>
      <w:r>
        <w:t>(PE764.992v01-00)</w:t>
      </w:r>
      <w:r>
        <w:rPr>
          <w:rStyle w:val="HideTWBExt"/>
        </w:rPr>
        <w:t>&lt;/DocRefPE&gt;</w:t>
      </w:r>
    </w:p>
    <w:p>
      <w:pPr>
        <w:pStyle w:val="CoverNormal"/>
      </w:pPr>
      <w:r>
        <w:rPr>
          <w:rStyle w:val="HideTWBExt"/>
        </w:rPr>
        <w:t>&lt;Titre&gt;</w:t>
      </w:r>
      <w:r>
        <w:t>Absolutorium za rok 2023: budżet ogólny UE – Komitet Regionów</w:t>
      </w:r>
      <w:r>
        <w:rPr>
          <w:rStyle w:val="HideTWBExt"/>
        </w:rPr>
        <w:t>&lt;/Titre&gt;</w:t>
      </w:r>
    </w:p>
    <w:p>
      <w:pPr>
        <w:pStyle w:val="CoverNormal24a"/>
      </w:pPr>
      <w:r>
        <w:rPr>
          <w:rStyle w:val="HideTWBExt"/>
        </w:rPr>
        <w:t>&lt;DocRef&gt;</w:t>
      </w:r>
      <w:r>
        <w:t>(2024/2026(DEC))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Komitet Regionów (Komitet) jest zgromadzeniem politycznym liczącym 329 członków wybieranych w regionach, miastach, wsiach i gminach 27 państw członkowskich Unii, działającym jako organ doradczy instytucji Unii, którego misją jest współuczestnictwo w kształtowaniu polityki unijnej i w procesie decyzyjnym z punktu widzenia władz lokalnych i regionalnych</w:t>
            </w:r>
            <w:r>
              <w:rPr>
                <w:b/>
                <w:i/>
              </w:rPr>
              <w:t>, a jednocześnie przyczynianie się do tego, by Unia stała się skuteczniejsza i bliższa obywatelom</w:t>
            </w:r>
            <w:r>
              <w:t>;</w:t>
            </w:r>
          </w:p>
        </w:tc>
        <w:tc>
          <w:tcPr>
            <w:tcW w:w="4876" w:type="dxa"/>
            <w:tcBorders>
              <w:top w:val="nil"/>
              <w:left w:val="nil"/>
              <w:bottom w:val="nil"/>
              <w:right w:val="nil"/>
            </w:tcBorders>
          </w:tcPr>
          <w:p>
            <w:pPr>
              <w:pStyle w:val="Normal6a"/>
            </w:pPr>
            <w:r>
              <w:t>B.</w:t>
            </w:r>
            <w:r>
              <w:tab/>
            </w:r>
            <w:r>
              <w:t>mając na uwadze, że Komitet Regionów (Komitet) jest zgromadzeniem politycznym liczącym 329 członków wybieranych w regionach, miastach, wsiach i gminach 27 państw członkowskich Unii, działającym jako organ doradczy instytucji Unii, którego misją jest współuczestnictwo w kształtowaniu polityki unijnej i w procesie decyzyjnym z punktu widzenia władz lokalnych i regionalnych;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 Claudiu Manda,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mając na uwadze, że rozporządzenie (UE) 2021/1060</w:t>
            </w:r>
            <w:r>
              <w:rPr>
                <w:vertAlign w:val="superscript"/>
              </w:rPr>
              <w:t>2</w:t>
            </w:r>
            <w:r>
              <w:t>regulujące unijną politykę spójności i finansowanie w latach 2021–2027, które weszło w życie w lipcu 2021 r., zawiera odniesienia do zasady partnerstwa i wielopoziomowego sprawowania rządów, popieranej przez Komitet i Parlament oraz pociągającej za sobą zaangażowanie regionów;</w:t>
            </w:r>
          </w:p>
        </w:tc>
        <w:tc>
          <w:tcPr>
            <w:tcW w:w="4876" w:type="dxa"/>
            <w:tcBorders>
              <w:top w:val="nil"/>
              <w:left w:val="nil"/>
              <w:bottom w:val="nil"/>
              <w:right w:val="nil"/>
            </w:tcBorders>
          </w:tcPr>
          <w:p>
            <w:pPr>
              <w:pStyle w:val="Normal6a"/>
            </w:pPr>
            <w:r>
              <w:t>H.</w:t>
            </w:r>
            <w:r>
              <w:tab/>
            </w:r>
            <w:r>
              <w:t>mając na uwadze, że rozporządzenie (UE) 2021/1060</w:t>
            </w:r>
            <w:r>
              <w:rPr>
                <w:vertAlign w:val="superscript"/>
              </w:rPr>
              <w:t>2</w:t>
            </w:r>
            <w:r>
              <w:t xml:space="preserve"> regulujące unijną politykę spójności i finansowanie w latach 2021–2027, które weszło w życie w lipcu 2021 r., zawiera odniesienia do zasady partnerstwa i wielopoziomowego sprawowania rządów, popieranej przez Komitet i Parlament oraz pociągającej za sobą zaangażowanie regionów </w:t>
            </w:r>
            <w:r>
              <w:rPr>
                <w:b/>
                <w:i/>
              </w:rPr>
              <w:t>i władz lokalnych i regionalnych;</w:t>
            </w:r>
            <w:r>
              <w:t xml:space="preserve"> </w:t>
            </w:r>
            <w:r>
              <w:rPr>
                <w:b/>
                <w:i/>
              </w:rPr>
              <w:t>zdecydowanie popiera zwiększenie unijnych inwestycji związanych z odpornością regionalną i lokalną w kolejnych wieloletnich ramach finansowych (WRF)</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L 231 z 30.6.2021, s. 159, ELI: http://data.europa.eu/eli/reg/2021/1060/2024-06-30).</w:t>
            </w:r>
          </w:p>
        </w:tc>
        <w:tc>
          <w:tcPr>
            <w:tcW w:w="4876" w:type="dxa"/>
            <w:tcBorders>
              <w:top w:val="nil"/>
              <w:left w:val="nil"/>
              <w:bottom w:val="nil"/>
              <w:right w:val="nil"/>
            </w:tcBorders>
          </w:tcPr>
          <w:p>
            <w:pPr>
              <w:pStyle w:val="Normal6a"/>
            </w:pPr>
            <w:r>
              <w:rPr>
                <w:vertAlign w:val="superscript"/>
              </w:rPr>
              <w:t>2</w:t>
            </w:r>
            <w:r>
              <w:t xml:space="preserve"> </w:t>
            </w:r>
            <w: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L 231 z 30.6.2021, s. 159, ELI: http://data.europa.eu/eli/reg/2021/1060/2024-06-30).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mając na uwadze, że ponad czterysta krajowych i regionalnych programów służących realizacji unijnej polityki spójności w okresie programowania 2021–2027 udostępni około 380 mld EUR w ramach różnych funduszy na sprostanie wyzwaniom gospodarczym, społecznym i środowiskowym, przed którymi stają regiony </w:t>
            </w:r>
            <w:r>
              <w:rPr>
                <w:b/>
                <w:i/>
              </w:rPr>
              <w:t>i miasta</w:t>
            </w:r>
            <w:r>
              <w:t xml:space="preserve"> Unii;</w:t>
            </w:r>
          </w:p>
        </w:tc>
        <w:tc>
          <w:tcPr>
            <w:tcW w:w="4876" w:type="dxa"/>
            <w:tcBorders>
              <w:top w:val="nil"/>
              <w:left w:val="nil"/>
              <w:bottom w:val="nil"/>
              <w:right w:val="nil"/>
            </w:tcBorders>
          </w:tcPr>
          <w:p>
            <w:pPr>
              <w:pStyle w:val="Normal6a"/>
            </w:pPr>
            <w:r>
              <w:t>I.</w:t>
            </w:r>
            <w:r>
              <w:tab/>
            </w:r>
            <w:r>
              <w:t>mając na uwadze, że ponad czterysta krajowych i regionalnych programów służących realizacji unijnej polityki spójności w okresie programowania 2021–2027 udostępni około 380 mld EUR w ramach różnych funduszy na sprostanie wyzwaniom gospodarczym, społecznym i środowiskowym, przed którymi stają regiony</w:t>
            </w:r>
            <w:r>
              <w:rPr>
                <w:b/>
                <w:i/>
              </w:rPr>
              <w:t>, miasta, wsie i gminy</w:t>
            </w:r>
            <w:r>
              <w:t xml:space="preserve">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odnotowuje opinię zawartą w sprawozdaniu Trybunału w odniesieniu do transakcji zawartej przez Komitet w 2023 r., w przypadku której wynoszący 10 lat okres obowiązywania umowy dotyczącej utrzymania budynku nie został wystarczająco uzasadniony;</w:t>
            </w:r>
          </w:p>
        </w:tc>
        <w:tc>
          <w:tcPr>
            <w:tcW w:w="4876" w:type="dxa"/>
            <w:tcBorders>
              <w:top w:val="nil"/>
              <w:left w:val="nil"/>
              <w:bottom w:val="nil"/>
              <w:right w:val="nil"/>
            </w:tcBorders>
          </w:tcPr>
          <w:p>
            <w:pPr>
              <w:pStyle w:val="Normal6a"/>
            </w:pPr>
            <w:r>
              <w:t>4.</w:t>
            </w:r>
            <w:r>
              <w:tab/>
            </w:r>
            <w:r>
              <w:rPr>
                <w:b/>
                <w:i/>
              </w:rPr>
              <w:t>z ubolewaniem</w:t>
            </w:r>
            <w:r>
              <w:t xml:space="preserve"> odnotowuje opinię zawartą w sprawozdaniu Trybunału w odniesieniu do transakcji zawartej przez Komitet w 2023 r., w przypadku której wynoszący 10 lat okres obowiązywania umowy dotyczącej utrzymania budynku nie został wystarczająco uzasadniony;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odnotowuje wzrost</w:t>
            </w:r>
            <w:r>
              <w:t xml:space="preserve"> o około 20 % płatności dokonanych na rzecz członków Komitetu: z 6 573 307 EUR w 2022 r. do 7 955 968 EUR w 2023 r., przy czym płatności pokryły koszty podróży (8119 płatności), diety za czas podróży (4449 płatności), diety za fizyczny udział w posiedzeniach (7845 płatności) i za uczestnictwo zdalne (152 płatności);</w:t>
            </w:r>
          </w:p>
        </w:tc>
        <w:tc>
          <w:tcPr>
            <w:tcW w:w="4876" w:type="dxa"/>
            <w:tcBorders>
              <w:top w:val="nil"/>
              <w:left w:val="nil"/>
              <w:bottom w:val="nil"/>
              <w:right w:val="nil"/>
            </w:tcBorders>
          </w:tcPr>
          <w:p>
            <w:pPr>
              <w:pStyle w:val="Normal6a"/>
            </w:pPr>
            <w:r>
              <w:t>7.</w:t>
            </w:r>
            <w:r>
              <w:tab/>
            </w:r>
            <w:r>
              <w:rPr>
                <w:b/>
                <w:i/>
              </w:rPr>
              <w:t>ubolewa nad wzrostem</w:t>
            </w:r>
            <w:r>
              <w:t xml:space="preserve"> o około 20 % płatności dokonanych na rzecz członków Komitetu:z 6 573 307 EUR w 2022 r. do 7 955 968 EUR w 2023 r., przy czym płatności pokryły koszty podróży (8119 płatności), diety za czas podróży (4449 płatności), diety za fizyczny udział w posiedzeniach (7845 płatności) i za uczestnictwo zdalne (152 płatności);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zauważa, że budżet na podróże służbowe (środki na bieżący rok) pozostał stabilny – w 2023 r. wyniósł </w:t>
            </w:r>
            <w:r>
              <w:rPr>
                <w:b/>
                <w:i/>
              </w:rPr>
              <w:t>420 833</w:t>
            </w:r>
            <w:r>
              <w:t xml:space="preserve"> EUR (w porównaniu z </w:t>
            </w:r>
            <w:r>
              <w:rPr>
                <w:b/>
                <w:i/>
              </w:rPr>
              <w:t>419 657</w:t>
            </w:r>
            <w:r>
              <w:t xml:space="preserve"> EUR w 2022 r.), a wskaźnik wykonania w 2023 r. wyniósł około 80 % (podobnie jak w 2022 r.); zauważa, że pomimo wzrostu średnich kosztów zakwaterowania i podróży budżet Komitetu na podróże służbowe pozostał stabilny ze względu na spadek o 13 % liczby podróży służbowych w 2023 r. w porównaniu z 2022 r.;</w:t>
            </w:r>
          </w:p>
        </w:tc>
        <w:tc>
          <w:tcPr>
            <w:tcW w:w="4876" w:type="dxa"/>
            <w:tcBorders>
              <w:top w:val="nil"/>
              <w:left w:val="nil"/>
              <w:bottom w:val="nil"/>
              <w:right w:val="nil"/>
            </w:tcBorders>
          </w:tcPr>
          <w:p>
            <w:pPr>
              <w:pStyle w:val="Normal6a"/>
            </w:pPr>
            <w:r>
              <w:t>8.</w:t>
            </w:r>
            <w:r>
              <w:tab/>
            </w:r>
            <w:r>
              <w:t xml:space="preserve">zauważa, że budżet na podróże służbowe (środki na bieżący rok) pozostał stabilny – w 2023 r. wyniósł </w:t>
            </w:r>
            <w:r>
              <w:rPr>
                <w:b/>
                <w:i/>
              </w:rPr>
              <w:t>420 833</w:t>
            </w:r>
            <w:r>
              <w:t xml:space="preserve"> EUR (w porównaniu z </w:t>
            </w:r>
            <w:r>
              <w:rPr>
                <w:b/>
                <w:i/>
              </w:rPr>
              <w:t>419 657</w:t>
            </w:r>
            <w:r>
              <w:t xml:space="preserve"> EUR w 2022 r.), a wskaźnik wykonania w 2023 r. wyniósł około 80 % (podobnie jak w 2022 r.); zauważa, że pomimo wzrostu średnich kosztów zakwaterowania i podróży budżet Komitetu na podróże służbowe pozostał stabilny ze względu na spadek o 13 % liczby podróży służbowych w 2023 r. w porównaniu z 2022 r.; </w:t>
            </w:r>
            <w:r>
              <w:rPr>
                <w:b/>
                <w:i/>
              </w:rPr>
              <w:t>z zadowoleniem zauważa, że dodatek dla przewodniczącego i pierwszego wiceprzewodniczącego Komitetu na pokrycie kosztów podróży i posiedzeń, finansowany z budżetu ogólnego na wydatki członków, obniżono z 71 810 EUR w 2022 r. do 62 268 EUR w 2023 r., tj. o 13 %;</w:t>
            </w:r>
            <w:r>
              <w:t xml:space="preserve"> </w:t>
            </w:r>
            <w:r>
              <w:rPr>
                <w:b/>
                <w:i/>
              </w:rPr>
              <w:t>zachęca Komitet, aby nadal racjonalizował i ograniczał wydatki w tym obszarze, zapewniając optymalny przydział zasobów zgodnie z zasadami należytego zarządzania finansami;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odnotowuje wzrost środków na usługi tłumaczenia ustnego w bieżącym roku o około 19 % – z 3,494 mln EUR w 2022 r. do 4,167 mln EUR w 2023 r.; zwraca się do Komitetu o wyjaśnienie przyczyn tego wzrostu, biorąc pod uwagę fakt, że jednocześnie Komitet zgłosił oszczędności związane z korzystaniem ze zdalnego tłumaczenia ustnego w 2023 r.;</w:t>
            </w:r>
          </w:p>
        </w:tc>
        <w:tc>
          <w:tcPr>
            <w:tcW w:w="4876" w:type="dxa"/>
            <w:tcBorders>
              <w:top w:val="nil"/>
              <w:left w:val="nil"/>
              <w:bottom w:val="nil"/>
              <w:right w:val="nil"/>
            </w:tcBorders>
          </w:tcPr>
          <w:p>
            <w:pPr>
              <w:pStyle w:val="Normal6a"/>
            </w:pPr>
            <w:r>
              <w:t>9.</w:t>
            </w:r>
            <w:r>
              <w:tab/>
            </w:r>
            <w:r>
              <w:rPr>
                <w:b/>
                <w:i/>
              </w:rPr>
              <w:t>z zaniepokojeniem</w:t>
            </w:r>
            <w:r>
              <w:t xml:space="preserve"> odnotowuje wzrost środków na usługi tłumaczenia ustnego w bieżącym roku o około 19 % – z 3,494 mln EUR w 2022 r. do 4,167 mln EUR w 2023 r.; zwraca się do Komitetu o wyjaśnienie przyczyn tego wzrostu, biorąc pod uwagę fakt, że jednocześnie Komitet zgłosił oszczędności związane z korzystaniem ze zdalnego tłumaczenia ustnego w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zauważa, że do 23 lipca 2023 r. zryczałtowana dieta za udział w posiedzeniach zdalnych wypłacana przez Komitet członkom, ich zastępcom, a także ekspertom sprawozdawców i prelegentom zaproszonym do udziału w posiedzeniach zdalnych lub hybrydowych wynosiła 200 EUR; zauważa ponadto, że tego dnia weszły w życie nowe przepisy w tej sprawie ustalające zryczałtowaną dietę za udział w posiedzeniach zdalnych na poziomie 50 % zwykłej diety za udział w posiedzeniach, przy czym ta ostatnia wynosi 359 EUR, a zryczałtowana dieta za udział w posiedzeniach zdalnych – 179,50 EUR; zauważa w związku z tym znaczny spadek łącznej kwoty wypłaconej na diety za udział w posiedzeniach zdalnych z </w:t>
            </w:r>
            <w:r>
              <w:rPr>
                <w:b/>
                <w:i/>
              </w:rPr>
              <w:t>1 742 000</w:t>
            </w:r>
            <w:r>
              <w:t xml:space="preserve"> EUR w 2021 r. i </w:t>
            </w:r>
            <w:r>
              <w:rPr>
                <w:b/>
                <w:i/>
              </w:rPr>
              <w:t>489 600</w:t>
            </w:r>
            <w:r>
              <w:t xml:space="preserve"> EUR w 2022 r. do </w:t>
            </w:r>
            <w:r>
              <w:rPr>
                <w:b/>
                <w:i/>
              </w:rPr>
              <w:t>32 632</w:t>
            </w:r>
            <w:r>
              <w:t xml:space="preserve"> EUR w 2023 r., podczas gdy ogólne wydatki związane z linią budżetową 1004 („Zwrot kosztów podróży i pobytu związanych z udziałem w posiedzeniach oraz kosztów dodatkowych”) znacznie wzrosły z około 6,6 mln EUR w 2022 r. do około 8 mln EUR w 2023 r., głównie ze względu na zdecydowany powrót do posiedzeń stacjonarnych w 2023 r. i wzrost cen podróży w następstwie pandemii COVID-19;</w:t>
            </w:r>
          </w:p>
        </w:tc>
        <w:tc>
          <w:tcPr>
            <w:tcW w:w="4876" w:type="dxa"/>
            <w:tcBorders>
              <w:top w:val="nil"/>
              <w:left w:val="nil"/>
              <w:bottom w:val="nil"/>
              <w:right w:val="nil"/>
            </w:tcBorders>
          </w:tcPr>
          <w:p>
            <w:pPr>
              <w:pStyle w:val="Normal6a"/>
            </w:pPr>
            <w:r>
              <w:t>10.</w:t>
            </w:r>
            <w:r>
              <w:tab/>
            </w:r>
            <w:r>
              <w:t xml:space="preserve">zauważa, że do 23 lipca 2023 r. zryczałtowana dieta za udział w posiedzeniach zdalnych wypłacana przez Komitet członkom, ich zastępcom, a także ekspertom sprawozdawców i prelegentom zaproszonym do udziału w posiedzeniach zdalnych lub hybrydowych wynosiła 200 EUR; zauważa ponadto, że tego dnia weszły w życie nowe przepisy w tej sprawie ustalające zryczałtowaną dietę za udział w posiedzeniach zdalnych na poziomie 50 % zwykłej diety za udział w posiedzeniach, przy czym ta ostatnia wynosi 359 EUR, a zryczałtowana dieta za udział w posiedzeniach zdalnych – 179,50 EUR; </w:t>
            </w:r>
            <w:r>
              <w:rPr>
                <w:b/>
                <w:i/>
              </w:rPr>
              <w:t>uważa, że chociaż udział zdalny jest ważnym instrumentem dla nowoczesnych instytucji, ponieważ m.in. zmniejsza koszty posiedzeń i umożliwia szersze uczestnictwo, przyznawanie diety za zdalny udział w posiedzeniach, nawet ograniczonej i przeznaczonej tylko na niektóre rodzaje wydarzeń, jest trudne do zrozumienia dla opinii publicznej, tym bardziej gdy wziąć pod uwagę różnicę w dietach wypłacanych za zdalny udział członkom Komitetu i członkom EKES-u;</w:t>
            </w:r>
            <w:r>
              <w:t xml:space="preserve"> zauważa w związku z tym znaczny spadek łącznej kwoty wypłaconej na diety za udział w posiedzeniach zdalnych z </w:t>
            </w:r>
            <w:r>
              <w:rPr>
                <w:b/>
                <w:i/>
              </w:rPr>
              <w:t>1 742 000</w:t>
            </w:r>
            <w:r>
              <w:t xml:space="preserve"> EUR w 2021 r. i </w:t>
            </w:r>
            <w:r>
              <w:rPr>
                <w:b/>
                <w:i/>
              </w:rPr>
              <w:t>489 600</w:t>
            </w:r>
            <w:r>
              <w:t xml:space="preserve"> EUR w 2022 r. do </w:t>
            </w:r>
            <w:r>
              <w:rPr>
                <w:b/>
                <w:i/>
              </w:rPr>
              <w:t>32 632</w:t>
            </w:r>
            <w:r>
              <w:t> EUR w 2023 r., podczas gdy ogólne wydatki związane z linią budżetową 1004 („Zwrot kosztów podróży i pobytu związanych z udziałem w posiedzeniach oraz kosztów dodatkowych”) znacznie wzrosły z około 6,6 mln EUR w 2022 r. do około 8 mln EUR w 2023 r., głównie ze względu na zdecydowany powrót do posiedzeń stacjonarnych w 2023 r. i wzrost cen podróży w następstwie pandemii COVID-19;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wyraża zaniepokojenie znacznym wzrostem wypłacanych członkom KR-u diet za czas podróży i za udział w posiedzeniach – z 6,6 mln EUR w 2022 r. do 8 mln EUR w 2023 r.;</w:t>
            </w:r>
            <w:r>
              <w:t xml:space="preserve"> </w:t>
            </w:r>
            <w:r>
              <w:rPr>
                <w:b/>
                <w:i/>
              </w:rPr>
              <w:t>wzywa Komitet do przyjęcia jasnej strategii oszczędnościowej w odniesieniu do wydatków na podróże, w tym do szerszego korzystania z uczestnictwa zdalnego i posiedzeń hybrydowych w celu ograniczenia zbędnych kosztów i emisji, przy jednoczesnym utrzymaniu zaangażowania politycznego;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przypomina, że zgodnie z Traktatem o Unii Europejskiej UE i jej instytucje szanują równość państw członkowskich wobec Traktatów, jak również ich tożsamość narodową, nierozerwalnie związaną z ich podstawowymi strukturami politycznymi i konstytucyjnymi, w tym w odniesieniu do samorządu regionalnego i lokalnego;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wzywa instytucję, aby zawsze szanowała równość państw członkowskich i traktowała wszystkie państwa członkowskie jednakowo, a także szanowała ich suwerenność i tożsamość narodową, nierozerwalnie związaną z ich podstawowymi strukturami politycznymi i konstytucyjnymi, w tym z samorządem regionalnym i lokalnym;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zauważa, że w 2023 r., w ramach rocznego planu działania, sprawozdawczość dotycząca wyników Komitetu opierała się na 25 celach, których osiągnięcie oceniono za pomocą 80 wskaźników ilościowych, natomiast wartości docelowe większości tych wskaźników (około 75 %) osiągnięto co najmniej na poziomie 90 %;</w:t>
            </w:r>
          </w:p>
        </w:tc>
        <w:tc>
          <w:tcPr>
            <w:tcW w:w="4876" w:type="dxa"/>
            <w:tcBorders>
              <w:top w:val="nil"/>
              <w:left w:val="nil"/>
              <w:bottom w:val="nil"/>
              <w:right w:val="nil"/>
            </w:tcBorders>
          </w:tcPr>
          <w:p>
            <w:pPr>
              <w:pStyle w:val="Normal6a"/>
            </w:pPr>
            <w:r>
              <w:t>12.</w:t>
            </w:r>
            <w:r>
              <w:tab/>
            </w:r>
            <w:r>
              <w:rPr>
                <w:b/>
                <w:i/>
              </w:rPr>
              <w:t>uznaje, że Komitet odgrywa zasadniczą rolę w w kształtowaniu polityki i w procesach decyzyjnych Unii poprzez reprezentowanie interesów samorządów lokalnych i regionalnych w Unii;</w:t>
            </w:r>
            <w:r>
              <w:t xml:space="preserve"> zauważa, że w 2023 r., w ramach rocznego planu działania, sprawozdawczość dotycząca wyników Komitetu opierała się na 25 celach, których osiągnięcie oceniono za pomocą 80 wskaźników ilościowych, natomiast wartości docelowe większości tych wskaźników (około 75 %) osiągnięto co najmniej na poziomie 90 %;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przypomina, że Komitet wnosi wkład w politykę i proces decyzyjny Unii z perspektywy władz regionalnych i lokalnych w Unii, a także zapewnia ramy służące zacieśnieniu współpracy między szczeblem lokalnym, regionalnym, krajowym i europejskim oraz przybliżeniu Europy jej obywatelom;</w:t>
            </w:r>
            <w:r>
              <w:t xml:space="preserve"> </w:t>
            </w:r>
            <w:r>
              <w:rPr>
                <w:b/>
                <w:i/>
              </w:rPr>
              <w:t>ubolewa, że ograniczenia budżetowe zmniejszyły zdolność Komitetu do pełnej realizacji jego celu, jakim jest zbliżenie obywateli do Unii, i obniżyły jego wartość dodaną;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przypomina, że zgodnie z Traktatem o Unii Europejskiej celem UE i jej instytucji jest wspieranie pokoju, jej wartości i dobrobytu jej narodów, utrzymanie pokoju, zapobieganie konfliktom i umacnianie bezpieczeństwa międzynarodowego;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zważywszy na istotną rolę Komitetu w zwiększaniu legitymacji demokratycznej prawodawstwa Unii przez aktywną koordynację samorządów regionalnych i lokalnych, wspiera Komitet w staraniach o zapewnienie liczniejszych ocen oddziaływania terytorialnego, również zgodnie ze sprawozdaniem końcowym i zaleceniami z Konferencji w sprawie przyszłości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wzywa instytucję do pełnego poświęcenia i zmaksymalizowania wysiłków za pomocą wszystkich dostępnych środków i zasobów na rzecz promowania pokoju i jak najszybszego zakończenia wojny w Ukrainie oraz utrzymania pokoju i wzmocnienia bezpieczeństwa europejskiego;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wyraża uznanie dla Komitetu za jego osiągnięcia polityczne w kluczowych obszarach priorytetowych w 2023 r.; zauważa, że Komitet realizuje swoją misję za pomocą opinii, które odnoszą się do wniosków ustawodawczych Komisji (wnioski o wydanie opinii), opinii z inicjatywy własnej, w których wzywa się instytucje Unii do podjęcia działań, oraz rezolucji, w których Komitet podkreśla swoje stanowisko w konkretnych kwestiach; zauważa, że w 2023 r. Komitet przyjął 53 opinie i 6 rezolucji, co oznacza spadek w porównaniu z 55 opiniami i 8 rezolucjami przyjętymi w 2022 r.;</w:t>
            </w:r>
          </w:p>
        </w:tc>
        <w:tc>
          <w:tcPr>
            <w:tcW w:w="4876" w:type="dxa"/>
            <w:tcBorders>
              <w:top w:val="nil"/>
              <w:left w:val="nil"/>
              <w:bottom w:val="nil"/>
              <w:right w:val="nil"/>
            </w:tcBorders>
          </w:tcPr>
          <w:p>
            <w:pPr>
              <w:pStyle w:val="Normal6a"/>
            </w:pPr>
            <w:r>
              <w:t>13.</w:t>
            </w:r>
            <w:r>
              <w:tab/>
            </w:r>
            <w:r>
              <w:t>wyraża uznanie dla Komitetu za jego osiągnięcia polityczne w kluczowych obszarach priorytetowych w 2023 r.; zauważa, że Komitet realizuje swoją misję za pomocą opinii, które odnoszą się do wniosków ustawodawczych Komisji (wnioski o wydanie opinii), opinii z inicjatywy własnej, w których wzywa się instytucje Unii do podjęcia działań, oraz rezolucji, w których Komitet podkreśla swoje stanowisko w konkretnych kwestiach; zauważa, że w 2023 r. Komitet przyjął 53 opinie i 6 rezolucji, co oznacza spadek w porównaniu z 55 opiniami i 8 rezolucjami przyjętymi w 2022 r.</w:t>
            </w:r>
            <w:r>
              <w:rPr>
                <w:b/>
                <w:i/>
              </w:rPr>
              <w:t>, pomimo zwiększenia środków i personelu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zachęca Komitet do kontynuowania prac nad poprawą wyników, a także nad poprawą efektywności;</w:t>
            </w:r>
            <w:r>
              <w:t xml:space="preserve"> </w:t>
            </w:r>
            <w:r>
              <w:rPr>
                <w:b/>
                <w:i/>
              </w:rPr>
              <w:t>z zadowoleniem odnotowuje wysiłki Komitetu mające na celu wprowadzenie reformatorskich i innowacyjnych rozwiązań, usprawnienie administracji i uniknięcie dublowania ról innych organów;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domaga się, by sekretariat Parlamentu udostępniał – w aplikacji e-committee Parlamentu Europejskiego –sprawozdania Komitetu Regionów posłom i opinii publicznej podczas debat i głosowań;</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dostrzega wpływ prac Komitetu, w szczególności jego opinii, które w części znalazły odzwierciedlenie w rezolucjach, stanowiskach, wnioskach, sprawozdaniach, przeglądach, konkluzjach lub rozmowach trójstronnych Komisji, Parlamentu lub Rady w 2023 r.; zachęca Komitet, aby w dalszym ciągu przekazywał instytucjom Unii i innym beneficjentom polityki Unii użyteczne i istotne informacje, takie jak dane z terenu i analizy; z zadowoleniem przyjmuje większe zaangażowanie Komitetu w całym cyklu politycznym i legislacyjnym Unii przez umowy o współpracy i plany działania z Komisją, Parlamentem i Europejskim Bankiem Inwestycyjnym; zauważa, że w 2023 r. członkowie Komitetu spotkali się również z Radą i stałymi przedstawicielstwami oraz uczestniczyli w wydarzeniach organizowanych przez prezydencję Rady, aby zagwarantować odzwierciedlenie stanowisk Komitetu w prawodawstwie Unii; gratuluje Komitetowi zwiększenia jego zaangażowania w posiedzenia trójstronne, a w szczególności tego, że w 2023 r. po raz pierwszy uzyskał dostęp do dokumentów z tych rozmów;</w:t>
            </w:r>
          </w:p>
        </w:tc>
        <w:tc>
          <w:tcPr>
            <w:tcW w:w="4876" w:type="dxa"/>
            <w:tcBorders>
              <w:top w:val="nil"/>
              <w:left w:val="nil"/>
              <w:bottom w:val="nil"/>
              <w:right w:val="nil"/>
            </w:tcBorders>
          </w:tcPr>
          <w:p>
            <w:pPr>
              <w:pStyle w:val="Normal6a"/>
            </w:pPr>
            <w:r>
              <w:t>16.</w:t>
            </w:r>
            <w:r>
              <w:tab/>
            </w:r>
            <w:r>
              <w:t xml:space="preserve">dostrzega wpływ prac Komitetu, w szczególności jego opinii, które w części znalazły odzwierciedlenie w rezolucjach, stanowiskach, wnioskach, sprawozdaniach, przeglądach, konkluzjach lub rozmowach trójstronnych Komisji, Parlamentu lub Rady w 2023 r.; zachęca Komitet, aby w dalszym ciągu przekazywał instytucjom Unii i innym beneficjentom polityki Unii użyteczne i istotne informacje, takie jak dane z terenu i analizy; z zadowoleniem przyjmuje większe zaangażowanie Komitetu w całym cyklu politycznym i legislacyjnym Unii przez umowy o współpracy i plany działania z Komisją, Parlamentem i Europejskim Bankiem Inwestycyjnym; </w:t>
            </w:r>
            <w:r>
              <w:rPr>
                <w:b/>
                <w:i/>
              </w:rPr>
              <w:t>uważa, że członkowie Komitetu i EKES-u powinni być zapraszani do udziału w odpowiednich posiedzeniach parlamentarnych dotyczących spraw, które wchodzą w zakres ich kompetencji;</w:t>
            </w:r>
            <w:r>
              <w:t xml:space="preserve"> zauważa, że w 2023 r. członkowie Komitetu spotkali się również z Radą i stałymi przedstawicielstwami oraz uczestniczyli w wydarzeniach organizowanych przez prezydencję Rady, aby zagwarantować odzwierciedlenie stanowisk Komitetu w prawodawstwie Unii; gratuluje Komitetowi zwiększenia jego zaangażowania w posiedzenia trójstronne, a w szczególności tego, że w 2023 r. po raz pierwszy uzyskał dostęp do dokumentów z tych rozmów;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wzywa Komitet, aby zapewnił większe zaangażowanie samorządów regionalnych i lokalnych w unijny proces decyzyjny przez stworzenie mechanizmów systematycznych konsultacji z władzami regionalnymi i lokalnymi, w tym parlamentami, gminami, a także z lokalnymi organizacjami społeczeństwa obywatelskiego, przed wydaniem opinii;</w:t>
            </w:r>
            <w:r>
              <w:t xml:space="preserve"> </w:t>
            </w:r>
            <w:r>
              <w:rPr>
                <w:b/>
                <w:i/>
              </w:rPr>
              <w:t>apeluje do Komitetu, aby opowiedział się za obowiązkowym procesem konsultacji w kwestiach ustawodawczych, które znacząco wpływają na rozwój regionalny i politykę spójności;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zauważa, że w 2023 r. przeprowadzono analizę zgodności z wymogami i skuteczności, aby ocenić, w jakim stopniu Komitet przestrzegał wybranych standardów kontroli wewnętrznej i w jakim stopniu ich wdrażanie było skuteczne;</w:t>
            </w:r>
            <w:r>
              <w:t xml:space="preserve"> </w:t>
            </w:r>
            <w:r>
              <w:rPr>
                <w:b/>
                <w:i/>
              </w:rPr>
              <w:t>zauważa, że analiza ta wykazała, że wdrażanie i skuteczność wymogów wynikających z wybranych standardów kontroli wewnętrznej poprawiły się w porównaniu z 2022 r.;</w:t>
            </w:r>
            <w:r>
              <w:t xml:space="preserve"> </w:t>
            </w:r>
            <w:r>
              <w:rPr>
                <w:b/>
                <w:i/>
              </w:rPr>
              <w:t>zachęca Komitet, aby kontynuował wysiłki w celu dalszego podwyższenia zgodności z wymogami oraz skuteczności obowiązujących środków kontroli wewnętrznej;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 odniesieniu do nowych ram kontroli wewnętrznej zauważa, że Komitet wdrożył nową metodykę kontroli ex post</w:t>
            </w:r>
            <w:r>
              <w:rPr>
                <w:b/>
                <w:i/>
              </w:rPr>
              <w:t>, która</w:t>
            </w:r>
            <w:r>
              <w:t xml:space="preserve"> w 2023 r. </w:t>
            </w:r>
            <w:r>
              <w:rPr>
                <w:b/>
                <w:i/>
              </w:rPr>
              <w:t>była ukierunkowana</w:t>
            </w:r>
            <w:r>
              <w:t xml:space="preserve"> na wynagrodzenie podstawowe i przepracowany czas, przy czym zweryfikowano 55 dossier; zauważa ponadto, że w 2023 r. Komitet ponownie przeprowadził badanie zgodności i skuteczności, aby ocenić, do jakiego stopnia przestrzega niektórych standardów kontroli wewnętrznej, i skuteczność ich wdrażania; wyraża uznanie dla Komitetu za poprawę w tej kwestii w porównaniu z wynikami z 2022 r.; jeśli chodzi o nową politykę dotyczącą newralgicznych stanowisk, zauważa z zadowoleniem, że w 2023 r. Komitet przeprowadził przegląd w celu określenia poziomu ryzyka poszczególnych stanowisk, a tym samym ich poziomu wrażliwości, a także środków niezbędnych do ograniczenia tego ryzyka;</w:t>
            </w:r>
          </w:p>
        </w:tc>
        <w:tc>
          <w:tcPr>
            <w:tcW w:w="4876" w:type="dxa"/>
            <w:tcBorders>
              <w:top w:val="nil"/>
              <w:left w:val="nil"/>
              <w:bottom w:val="nil"/>
              <w:right w:val="nil"/>
            </w:tcBorders>
          </w:tcPr>
          <w:p>
            <w:pPr>
              <w:pStyle w:val="Normal6a"/>
            </w:pPr>
            <w:r>
              <w:t>17.</w:t>
            </w:r>
            <w:r>
              <w:tab/>
            </w:r>
            <w:r>
              <w:t xml:space="preserve">w odniesieniu do nowych ram kontroli wewnętrznej zauważa, że </w:t>
            </w:r>
            <w:r>
              <w:rPr>
                <w:b/>
                <w:i/>
              </w:rPr>
              <w:t>w 2023 r.</w:t>
            </w:r>
            <w:r>
              <w:t xml:space="preserve"> Komitet wdrożył nową metodykę kontroli ex post </w:t>
            </w:r>
            <w:r>
              <w:rPr>
                <w:b/>
                <w:i/>
              </w:rPr>
              <w:t>w celu uproszczenia i dostosowania podejścia do praktyki pozostałych instytucji UE, w związku z czym kontrole ex post są obecnie zdecentralizowane, a nie scentralizowane jak wcześniej;</w:t>
            </w:r>
            <w:r>
              <w:t xml:space="preserve"> </w:t>
            </w:r>
            <w:r>
              <w:rPr>
                <w:b/>
                <w:i/>
              </w:rPr>
              <w:t>zauważa, że</w:t>
            </w:r>
            <w:r>
              <w:t xml:space="preserve"> w 2023 r. </w:t>
            </w:r>
            <w:r>
              <w:rPr>
                <w:b/>
                <w:i/>
              </w:rPr>
              <w:t>kontrole ex post były ukierunkowane</w:t>
            </w:r>
            <w:r>
              <w:t xml:space="preserve"> na wynagrodzenie podstawowe i przepracowany czas, przy czym zweryfikowano 55 dossier</w:t>
            </w:r>
            <w:r>
              <w:rPr>
                <w:b/>
                <w:i/>
              </w:rPr>
              <w:t>, oraz że statystyczny szacunek błędu dotyczącego populacji odniesienia wyniósł 0 %</w:t>
            </w:r>
            <w:r>
              <w:t>; zauważa ponadto, że w 2023 r. Komitet ponownie przeprowadził badanie zgodności i skuteczności, aby ocenić, do jakiego stopnia przestrzega niektórych standardów kontroli wewnętrznej, i skuteczność ich wdrażania; wyraża uznanie dla Komitetu za poprawę w tej kwestii w porównaniu z wynikami z 2022 r.; jeśli chodzi o nową politykę dotyczącą newralgicznych stanowisk, zauważa z zadowoleniem, że w 2023 r. Komitet przeprowadził przegląd w celu określenia poziomu ryzyka poszczególnych stanowisk, a tym samym ich poziomu wrażliwości, a także środków niezbędnych do ograniczenia tego ryzyka;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zauważa, że na koniec 2023 r. Komitet zatrudniał łącznie 559 pracowników (z wyłączeniem oddelegowanych ekspertów krajowych, pracowników tymczasowych, pracowników wewnętrznych i stażystów) w porównaniu z 533 w 2022 r.; zauważa, że pod koniec 2023 r. Komitet zatrudniał 74 pracowników kontraktowych (w porównaniu z 56 pracownikami kontraktowymi w 2022 r.) i 96 pracowników zatrudnionych na czas określony (w porównaniu z 89 w 2022 r.), z czego 21 pracowników kontraktowych miało umowę na czas nieokreślony, 53 pracowników kontraktowych miało umowę na czas określony, 53 pracowników zatrudnionych na czas określony było zatrudnionych na stanowiskach stałych na podstawie umowy na czas określony, 50 pracowników zatrudnionych na czas określony miało umowę na czas nieokreślony, a 3 pracowników zatrudnionych na czas określony zajmowało stanowiska na czas określony (w dwóch przypadkach na podstawie umowy na czas nieokreślony, a w przypadku sekretarza generalnego – na okres pięciu lat); zauważa ponadto, że Komitet zatrudniał 5 pracowników tymczasowych i 12 pracowników zewnętrznych pracujących na miejscu, z wyłączeniem zewnętrznych usługodawców w dziedzinie logistyki i IT; zauważa, że w 2023 r. wskaźnik obsadzenia stanowisk w planie zatrudnienia wyniósł 98 % (wzrost z 96 % w 2022 r.), a wskaźnik rotacji wyniósł 6,6 % (spadek z 10,80 % w 2022 r.);</w:t>
            </w:r>
          </w:p>
        </w:tc>
        <w:tc>
          <w:tcPr>
            <w:tcW w:w="4876" w:type="dxa"/>
            <w:tcBorders>
              <w:top w:val="nil"/>
              <w:left w:val="nil"/>
              <w:bottom w:val="nil"/>
              <w:right w:val="nil"/>
            </w:tcBorders>
          </w:tcPr>
          <w:p>
            <w:pPr>
              <w:pStyle w:val="Normal6a"/>
            </w:pPr>
            <w:r>
              <w:t>19.</w:t>
            </w:r>
            <w:r>
              <w:tab/>
            </w:r>
            <w:r>
              <w:t xml:space="preserve">zauważa, że na koniec 2023 r. Komitet zatrudniał łącznie 559 pracowników (z wyłączeniem oddelegowanych ekspertów krajowych, pracowników tymczasowych, pracowników wewnętrznych i stażystów) w porównaniu z 533 w 2022 r.; zauważa, że pod koniec 2023 r. Komitet zatrudniał 74 pracowników kontraktowych (w porównaniu z 56 pracownikami kontraktowymi w 2022 r.) i 96 pracowników zatrudnionych na czas określony (w porównaniu z 89 w 2022 r.), z czego 21 pracowników kontraktowych miało umowę na czas nieokreślony, 53 pracowników kontraktowych miało umowę na czas określony, 53 pracowników zatrudnionych na czas określony było zatrudnionych na stanowiskach stałych na podstawie umowy na czas określony, 50 pracowników zatrudnionych na czas określony miało umowę na czas nieokreślony, a 3 pracowników zatrudnionych na czas określony zajmowało stanowiska na czas określony (w dwóch przypadkach na podstawie umowy na czas nieokreślony, a w przypadku sekretarza generalnego – na okres pięciu lat); zauważa ponadto, że Komitet zatrudniał 5 pracowników tymczasowych i 12 pracowników zewnętrznych pracujących na miejscu, z wyłączeniem zewnętrznych usługodawców w dziedzinie logistyki i IT; </w:t>
            </w:r>
            <w:r>
              <w:rPr>
                <w:b/>
                <w:i/>
              </w:rPr>
              <w:t>wyraża nadzieję, że zwiększenie liczby pracowników jest racjonalnie uzasadnione;</w:t>
            </w:r>
            <w:r>
              <w:t xml:space="preserve"> zauważa, że w 2023 r. wskaźnik obsadzenia stanowisk w planie zatrudnienia wyniósł 98 % (wzrost z 96 % w 2022 r.), a wskaźnik rotacji wyniósł 6,6 % (spadek z 10,80 % w 2022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przypomina, że zgodnie z Traktatem o Unii Europejskiej UE i jej instytucje wspierają solidarność i równość kobiet i mężczyzn;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zauważa, że Komitet w większym stopniu polega na pracownikach kontraktowych i pracownikach zatrudnionych na czas określony (którzy stanowią do 26 % pracowników Komitetu); na podstawie kwestionariusza zauważa, że wspomniana tendencja wynika w szczególności z braku list rezerwowych EPSO dla ogólnych profili administratorów od 2018 r.; wyraża zaniepokojenie, że długoterminowej stabilności i ciągłości działania Komitetu zagraża brak atrakcyjności oferowanych umów na czas określony; </w:t>
            </w:r>
            <w:r>
              <w:rPr>
                <w:b/>
                <w:i/>
              </w:rPr>
              <w:t>wspiera Komitet w jego działaniach na rzecz sprostania tym wyzwaniom, na przykład przez organizację konkursów wewnętrznych;</w:t>
            </w:r>
            <w:r>
              <w:t xml:space="preserve"> zwraca się do Komitetu, aby poinformował organ udzielający absolutorium o </w:t>
            </w:r>
            <w:r>
              <w:rPr>
                <w:b/>
                <w:i/>
              </w:rPr>
              <w:t>takich konkursach</w:t>
            </w:r>
            <w:r>
              <w:t xml:space="preserve"> zorganizowanych w 2024 r.;</w:t>
            </w:r>
          </w:p>
        </w:tc>
        <w:tc>
          <w:tcPr>
            <w:tcW w:w="4876" w:type="dxa"/>
            <w:tcBorders>
              <w:top w:val="nil"/>
              <w:left w:val="nil"/>
              <w:bottom w:val="nil"/>
              <w:right w:val="nil"/>
            </w:tcBorders>
          </w:tcPr>
          <w:p>
            <w:pPr>
              <w:pStyle w:val="Normal6a"/>
            </w:pPr>
            <w:r>
              <w:t>20.</w:t>
            </w:r>
            <w:r>
              <w:tab/>
            </w:r>
            <w:r>
              <w:t xml:space="preserve">zauważa, że Komitet w większym stopniu polega na pracownikach kontraktowych i pracownikach zatrudnionych na czas określony (którzy stanowią do 26 % pracowników Komitetu); na podstawie kwestionariusza zauważa, że wspomniana tendencja wynika w szczególności z braku list rezerwowych EPSO dla ogólnych profili administratorów od 2018 r.; wyraża zaniepokojenie, że długoterminowej stabilności i ciągłości działania Komitetu zagraża brak atrakcyjności oferowanych umów na czas określony; zwraca się do Komitetu, aby poinformował organ udzielający absolutorium o </w:t>
            </w:r>
            <w:r>
              <w:rPr>
                <w:b/>
                <w:i/>
              </w:rPr>
              <w:t>konkursach na stanowiska kontraktowe, tymczasowe i stałe</w:t>
            </w:r>
            <w:r>
              <w:t xml:space="preserve"> zorganizowanych w 2024 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zauważa, że Komitet w większym stopniu polega na pracownikach kontraktowych i pracownikach zatrudnionych na czas określony (którzy stanowią do 26 % pracowników Komitetu); na podstawie kwestionariusza zauważa, że wspomniana tendencja wynika w szczególności z braku list rezerwowych EPSO dla ogólnych profili administratorów od 2018 r.; wyraża zaniepokojenie, że długoterminowej stabilności i ciągłości działania Komitetu zagraża brak atrakcyjności oferowanych umów na czas określony; wspiera Komitet w jego działaniach na rzecz sprostania tym wyzwaniom, na przykład przez organizację konkursów wewnętrznych; zwraca się do Komitetu, aby poinformował organ udzielający absolutorium o takich konkursach zorganizowanych w 2024 r.;</w:t>
            </w:r>
          </w:p>
        </w:tc>
        <w:tc>
          <w:tcPr>
            <w:tcW w:w="4876" w:type="dxa"/>
            <w:tcBorders>
              <w:top w:val="nil"/>
              <w:left w:val="nil"/>
              <w:bottom w:val="nil"/>
              <w:right w:val="nil"/>
            </w:tcBorders>
          </w:tcPr>
          <w:p>
            <w:pPr>
              <w:pStyle w:val="Normal6a"/>
            </w:pPr>
            <w:r>
              <w:t>20.</w:t>
            </w:r>
            <w:r>
              <w:tab/>
            </w:r>
            <w:r>
              <w:t xml:space="preserve">zauważa, że Komitet w większym stopniu polega na pracownikach kontraktowych i pracownikach zatrudnionych na czas określony (którzy stanowią do 26 % pracowników Komitetu); na podstawie kwestionariusza zauważa, że wspomniana tendencja wynika w szczególności z braku list rezerwowych EPSO dla ogólnych profili administratorów od 2018 r.; wyraża zaniepokojenie, że długoterminowej stabilności i ciągłości działania Komitetu zagraża brak atrakcyjności oferowanych umów na czas określony; </w:t>
            </w:r>
            <w:r>
              <w:rPr>
                <w:b/>
                <w:i/>
              </w:rPr>
              <w:t>podkreśla znaczenie stałego personelu dla utrzymania umiejętności, ciągłości i produktywnego środowiska pracy;</w:t>
            </w:r>
            <w:r>
              <w:t xml:space="preserve"> wspiera Komitet w jego działaniach na rzecz sprostania tym wyzwaniom, na przykład przez organizację konkursów wewnętrznych; zwraca się do Komitetu, aby poinformował organ udzielający absolutorium o takich konkursach zorganizowanych w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zauważa, że Komitet w większym stopniu polega na pracownikach kontraktowych i pracownikach zatrudnionych na czas określony (którzy stanowią do 26 % pracowników Komitetu); na podstawie kwestionariusza zauważa, że wspomniana tendencja wynika w szczególności z braku list rezerwowych EPSO dla ogólnych profili administratorów od 2018 r.; wyraża zaniepokojenie, że długoterminowej stabilności i ciągłości działania Komitetu zagraża brak atrakcyjności oferowanych umów na czas określony; wspiera Komitet w jego działaniach na rzecz sprostania tym wyzwaniom</w:t>
            </w:r>
            <w:r>
              <w:rPr>
                <w:b/>
                <w:i/>
              </w:rPr>
              <w:t>, na przykład przez organizację konkursów wewnętrznych</w:t>
            </w:r>
            <w:r>
              <w:t>; zwraca się do Komitetu, aby poinformował organ udzielający absolutorium o takich konkursach zorganizowanych w 2024 r.;</w:t>
            </w:r>
          </w:p>
        </w:tc>
        <w:tc>
          <w:tcPr>
            <w:tcW w:w="4876" w:type="dxa"/>
            <w:tcBorders>
              <w:top w:val="nil"/>
              <w:left w:val="nil"/>
              <w:bottom w:val="nil"/>
              <w:right w:val="nil"/>
            </w:tcBorders>
          </w:tcPr>
          <w:p>
            <w:pPr>
              <w:pStyle w:val="Normal6a"/>
            </w:pPr>
            <w:r>
              <w:t>20.</w:t>
            </w:r>
            <w:r>
              <w:tab/>
            </w:r>
            <w:r>
              <w:t xml:space="preserve">zauważa, że Komitet w większym stopniu polega na pracownikach kontraktowych i pracownikach zatrudnionych na czas określony (którzy stanowią do 26 % pracowników Komitetu); na podstawie kwestionariusza zauważa, że wspomniana tendencja wynika w szczególności z braku list rezerwowych EPSO dla ogólnych profili administratorów od 2018 r.; wyraża zaniepokojenie, że długoterminowej stabilności i ciągłości działania Komitetu zagraża brak atrakcyjności oferowanych umów na czas określony; </w:t>
            </w:r>
            <w:r>
              <w:rPr>
                <w:b/>
                <w:i/>
              </w:rPr>
              <w:t>zauważa, że w 2024 r. Komitet zorganizował konkurs wewnętrzny na stanowiska o profilu ogólnym w pięciu grupach zaszeregowania (AST/SC1, AST1, AST3, AD5 i AD7);</w:t>
            </w:r>
            <w:r>
              <w:t xml:space="preserve"> wspiera Komitet w jego działaniach na rzecz sprostania tym wyzwaniom; zwraca się do Komitetu, aby poinformował organ udzielający absolutorium o takich konkursach zorganizowanych w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zauważa, że na koniec 2023 r. Komitet zatrudniał 56,9 % kobiet i 43,1 % mężczyzn;</w:t>
            </w:r>
            <w:r>
              <w:t xml:space="preserve"> </w:t>
            </w:r>
            <w:r>
              <w:rPr>
                <w:b/>
                <w:i/>
              </w:rPr>
              <w:t>zaleca środki mające zwiększyć inkluzywność ogłoszeń o wakatach i zachęcić większą liczbę kobiet do ubiegania się o stanowiska kierownicze wyższego i średniego szczebla, obejmujące zrównoważoną reprezentację w komisjach konkursowych, ukierunkowane możliwości szkoleniowe dla kobiet aspirujących do stanowisk kierowniczych oraz promowanie bardziej elastycznej organizacji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ubolewa, że w KR nie osiągnięto jeszcze parytetu płci na stanowiskach kierowniczych;</w:t>
            </w:r>
            <w:r>
              <w:t xml:space="preserve"> </w:t>
            </w:r>
            <w:r>
              <w:rPr>
                <w:b/>
                <w:i/>
              </w:rPr>
              <w:t>wzywa Komitet, aby przyjął wiążące cele w zakresie równowagi płci w kadrze kierowniczej wyższego szczebla i aby wymagał od państw członkowskich, by na kandydatów do KR nominowały mężczyznę i kobietę, w celu poprawy reprezentacji na wszystkich szczeblach;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z zadowoleniem odnotowuje, że 7 lipca 2022 r. Komitet przyjął nową pięcioletnią strategię i plan działania na rzecz różnorodności i włączenia społecznego na lata 2022–2026;</w:t>
            </w:r>
            <w:r>
              <w:t xml:space="preserve"> </w:t>
            </w:r>
            <w:r>
              <w:rPr>
                <w:b/>
                <w:i/>
              </w:rPr>
              <w:t>dostrzega znaczne postępy osiągnięte w tych ramach, w tym wyraźny wzrost odsetka kobiet na stanowiskach kierowniczych wyższego szczebla – z 37,5 % w 2022 r. do 44,4 % w 2023 r.;</w:t>
            </w:r>
            <w:r>
              <w:t xml:space="preserve"> </w:t>
            </w:r>
            <w:r>
              <w:rPr>
                <w:b/>
                <w:i/>
              </w:rPr>
              <w:t>zachęca Komitet do dalszych wysiłków i popiera ostateczny cel, jakim jest osiągnięcie równowagi płci;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odnotowuje, że w wyniku rozpoczętego w 2022 r. projektu pilotażowego dotyczącego hybrydowego systemu pracy i badania zadowolenia pracowników Komitet przyjął 1 stycznia 2024 r. decyzję, w której przewidziano hybrydowy system pracy i spersonalizowany tygodniowy harmonogram pracy dla każdego członka personelu, a także możliwość pracy z domu przez maksymalnie 60 % czasu pracy (z wyjątkiem kategorii pracowników, których charakter pracy nie pozwala na pracę zdalną) i pracy spoza miasta zatrudnienia przez okres do 15 dni w roku;</w:t>
            </w:r>
          </w:p>
        </w:tc>
        <w:tc>
          <w:tcPr>
            <w:tcW w:w="4876" w:type="dxa"/>
            <w:tcBorders>
              <w:top w:val="nil"/>
              <w:left w:val="nil"/>
              <w:bottom w:val="nil"/>
              <w:right w:val="nil"/>
            </w:tcBorders>
          </w:tcPr>
          <w:p>
            <w:pPr>
              <w:pStyle w:val="Normal6a"/>
            </w:pPr>
            <w:r>
              <w:t>21.</w:t>
            </w:r>
            <w:r>
              <w:tab/>
            </w:r>
            <w:r>
              <w:t xml:space="preserve">odnotowuje, że w wyniku rozpoczętego w 2022 r. projektu pilotażowego dotyczącego hybrydowego systemu pracy i badania zadowolenia pracowników Komitet przyjął 1 stycznia 2024 r. decyzję, w której przewidziano hybrydowy system pracy i spersonalizowany tygodniowy harmonogram pracy dla każdego członka personelu, a także możliwość pracy z domu przez maksymalnie 60 % czasu pracy (z wyjątkiem kategorii pracowników, których charakter pracy nie pozwala na pracę zdalną) i pracy spoza miasta zatrudnienia przez okres do 15 dni w roku; </w:t>
            </w:r>
            <w:r>
              <w:rPr>
                <w:b/>
                <w:i/>
              </w:rPr>
              <w:t>uznaje, że środki te mają na celu poprawę równowagi między życiem zawodowym a prywatnym, przy jednoczesnym utrzymaniu efektywności operacyjnej i zadowolenia pracowników;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zauważa, że w 2023 r. w Komitecie zgłoszono 18 przypadków wypalenia zawodowego </w:t>
            </w:r>
            <w:r>
              <w:rPr>
                <w:b/>
                <w:i/>
              </w:rPr>
              <w:t>(</w:t>
            </w:r>
            <w:r>
              <w:t>w porównaniu z 16 przypadkami w 2022 r.</w:t>
            </w:r>
            <w:r>
              <w:rPr>
                <w:b/>
                <w:i/>
              </w:rPr>
              <w:t>)</w:t>
            </w:r>
            <w:r>
              <w:t>; zauważa ponadto, że w 2023 r. Komitetowi udało się ponownie zintegrować 16 pracowników po długotrwałej nieobecności spowodowanej wypaleniem zawodowym dzięki zindywidualizowanym działaniom następczym w odniesieniu do długoterminowych zwolnień chorobowych; z zadowoleniem przyjmuje działania zapobiegawcze podjęte przez Komitet, aby ograniczyć zagrożenia psychospołeczne i przypadki wypalenia zawodowego; docenia w związku z tym proaktywne podejście służby medycznej oraz konferencje uświadamiające, szkolenia i kursy organizowane przez Komitet;</w:t>
            </w:r>
          </w:p>
        </w:tc>
        <w:tc>
          <w:tcPr>
            <w:tcW w:w="4876" w:type="dxa"/>
            <w:tcBorders>
              <w:top w:val="nil"/>
              <w:left w:val="nil"/>
              <w:bottom w:val="nil"/>
              <w:right w:val="nil"/>
            </w:tcBorders>
          </w:tcPr>
          <w:p>
            <w:pPr>
              <w:pStyle w:val="Normal6a"/>
            </w:pPr>
            <w:r>
              <w:t>23.</w:t>
            </w:r>
            <w:r>
              <w:tab/>
            </w:r>
            <w:r>
              <w:rPr>
                <w:b/>
                <w:i/>
              </w:rPr>
              <w:t>z głębokim zaniepokojeniem</w:t>
            </w:r>
            <w:r>
              <w:t xml:space="preserve"> zauważa, że w 2023 r. w Komitecie zgłoszono 18 przypadków wypalenia zawodowego</w:t>
            </w:r>
            <w:r>
              <w:rPr>
                <w:b/>
                <w:i/>
              </w:rPr>
              <w:t>, co stanowi wzrost</w:t>
            </w:r>
            <w:r>
              <w:t xml:space="preserve"> w porównaniu z 16 przypadkami w 2022 r.</w:t>
            </w:r>
            <w:r>
              <w:rPr>
                <w:b/>
                <w:i/>
              </w:rPr>
              <w:t>;</w:t>
            </w:r>
            <w:r>
              <w:t xml:space="preserve"> </w:t>
            </w:r>
            <w:r>
              <w:rPr>
                <w:b/>
                <w:i/>
              </w:rPr>
              <w:t>podkreśla znaczący społeczny i zawodowy wpływ wypalenia zawodowego na dobrostan i wyniki pracowników</w:t>
            </w:r>
            <w:r>
              <w:t xml:space="preserve">; zauważa ponadto, że w 2023 r. Komitetowi udało się ponownie zintegrować 16 pracowników po długotrwałej nieobecności spowodowanej wypaleniem zawodowym dzięki zindywidualizowanym działaniom następczym w odniesieniu do długoterminowych zwolnień chorobowych; z zadowoleniem przyjmuje działania zapobiegawcze podjęte przez Komitet, aby ograniczyć zagrożenia psychospołeczne i przypadki wypalenia zawodowego; docenia w związku z tym proaktywne podejście służby medycznej oraz konferencje uświadamiające, szkolenia i kursy organizowane przez Komitet; </w:t>
            </w:r>
            <w:r>
              <w:rPr>
                <w:b/>
                <w:i/>
              </w:rPr>
              <w:t>zaznacza jednak, że trzeba zwiększyć wysiłki, aby zaradzić pierwotnym przyczynom wypalenia zawodowego i wspierać zdrowsze środowisko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zauważa, że w 2023 r. w Komitecie zgłoszono 18 przypadków wypalenia zawodowego (w porównaniu z 16 przypadkami w 2022 r.); zauważa ponadto, że w 2023 r. Komitetowi udało się ponownie zintegrować 16 pracowników po długotrwałej nieobecności spowodowanej wypaleniem zawodowym dzięki zindywidualizowanym działaniom następczym w odniesieniu do długoterminowych zwolnień chorobowych; z zadowoleniem przyjmuje działania zapobiegawcze podjęte przez Komitet, aby ograniczyć zagrożenia psychospołeczne i przypadki wypalenia zawodowego; docenia w związku z tym proaktywne podejście służby medycznej oraz konferencje uświadamiające, szkolenia i kursy organizowane przez Komitet;</w:t>
            </w:r>
          </w:p>
        </w:tc>
        <w:tc>
          <w:tcPr>
            <w:tcW w:w="4876" w:type="dxa"/>
            <w:tcBorders>
              <w:top w:val="nil"/>
              <w:left w:val="nil"/>
              <w:bottom w:val="nil"/>
              <w:right w:val="nil"/>
            </w:tcBorders>
          </w:tcPr>
          <w:p>
            <w:pPr>
              <w:pStyle w:val="Normal6a"/>
            </w:pPr>
            <w:r>
              <w:t>23.</w:t>
            </w:r>
            <w:r>
              <w:tab/>
            </w:r>
            <w:r>
              <w:rPr>
                <w:b/>
                <w:i/>
              </w:rPr>
              <w:t>z zaniepokojeniem</w:t>
            </w:r>
            <w:r>
              <w:t xml:space="preserve"> zauważa, że w 2023 r. w Komitecie zgłoszono 18 przypadków wypalenia zawodowego (w porównaniu z 16 przypadkami w 2022 r.); zauważa ponadto, że w 2023 r. Komitetowi udało się ponownie zintegrować 16 pracowników po długotrwałej nieobecności spowodowanej wypaleniem zawodowym dzięki zindywidualizowanym działaniom następczym w odniesieniu do długoterminowych zwolnień chorobowych; z zadowoleniem przyjmuje działania zapobiegawcze podjęte przez Komitet, aby ograniczyć zagrożenia psychospołeczne i przypadki wypalenia zawodowego; docenia w związku z tym proaktywne podejście służby medycznej oraz konferencje uświadamiające, szkolenia i kursy organizowane przez Komitet;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zauważa, że w 2023 r. Komitet nadal podnosił świadomość na temat środków wprowadzonych w celu zapobiegania molestowaniu w miejscu pracy i jego zwalczania, zgodnie ze swoją decyzją z 26 kwietnia 2021 r. w sprawie ochrony godności w pracy, zarządzania konfliktami i zwalczania molestowania i nękania, w szczególności przez specjalne wytyczne, komunikację wewnętrzną i organizację kilku sesji informacyjnych dla pracowników i kierowników; z zadowoleniem przyjmuje w szczególności zorganizowanie w 2023 r. pięciu sesji szkoleniowych pt. „Zapobieganie nękaniu psychicznemu i molestowaniu seksualnemu” oraz „Szacunek i godność w zespole osiągającym dobre wyniki”;</w:t>
            </w:r>
          </w:p>
        </w:tc>
        <w:tc>
          <w:tcPr>
            <w:tcW w:w="4876" w:type="dxa"/>
            <w:tcBorders>
              <w:top w:val="nil"/>
              <w:left w:val="nil"/>
              <w:bottom w:val="nil"/>
              <w:right w:val="nil"/>
            </w:tcBorders>
          </w:tcPr>
          <w:p>
            <w:pPr>
              <w:pStyle w:val="Normal6a"/>
            </w:pPr>
            <w:r>
              <w:t>24.</w:t>
            </w:r>
            <w:r>
              <w:tab/>
            </w:r>
            <w:r>
              <w:t xml:space="preserve">zauważa, że w 2023 r. Komitet nadal podnosił świadomość na temat środków wprowadzonych w celu zapobiegania molestowaniu w miejscu pracy i jego zwalczania, zgodnie ze swoją decyzją z 26 kwietnia 2021 r. w sprawie ochrony godności w pracy, zarządzania konfliktami i zwalczania molestowania i nękania, w szczególności przez specjalne wytyczne, komunikację wewnętrzną i organizację kilku sesji informacyjnych dla pracowników i kierowników; z zadowoleniem przyjmuje w szczególności zorganizowanie w 2023 r. pięciu sesji szkoleniowych pt. „Zapobieganie nękaniu psychicznemu i molestowaniu seksualnemu” oraz „Szacunek i godność w zespole osiągającym dobre wyniki”; </w:t>
            </w:r>
            <w:r>
              <w:rPr>
                <w:b/>
                <w:i/>
              </w:rPr>
              <w:t>ponadto z zadowoleniem zauważa, że w ciągu roku nie zgłoszono nowych, bieżących ani zamkniętych spraw dotyczących molestowania seksualnego;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zauważa, że w 2023 r. Komitet nadal podnosił świadomość na temat środków wprowadzonych w celu zapobiegania molestowaniu w miejscu pracy i jego zwalczania, zgodnie ze swoją decyzją z 26 kwietnia 2021 r. w sprawie ochrony godności w pracy, zarządzania konfliktami i zwalczania molestowania i nękania, w szczególności przez specjalne wytyczne, komunikację wewnętrzną i organizację kilku sesji informacyjnych dla pracowników i kierowników; z zadowoleniem przyjmuje w szczególności zorganizowanie w 2023 r. pięciu sesji szkoleniowych pt. „Zapobieganie nękaniu psychicznemu i molestowaniu seksualnemu” oraz „Szacunek i godność w zespole osiągającym dobre wyniki”;</w:t>
            </w:r>
          </w:p>
        </w:tc>
        <w:tc>
          <w:tcPr>
            <w:tcW w:w="4876" w:type="dxa"/>
            <w:tcBorders>
              <w:top w:val="nil"/>
              <w:left w:val="nil"/>
              <w:bottom w:val="nil"/>
              <w:right w:val="nil"/>
            </w:tcBorders>
          </w:tcPr>
          <w:p>
            <w:pPr>
              <w:pStyle w:val="Normal6a"/>
            </w:pPr>
            <w:r>
              <w:t>24.</w:t>
            </w:r>
            <w:r>
              <w:tab/>
            </w:r>
            <w:r>
              <w:t xml:space="preserve">zauważa, że w 2023 r. Komitet nadal podnosił świadomość na temat środków wprowadzonych w celu zapobiegania molestowaniu w miejscu pracy i jego zwalczania, zgodnie ze swoją decyzją z 26 kwietnia 2021 r. w sprawie ochrony godności w pracy, zarządzania konfliktami i zwalczania molestowania i nękania, w szczególności przez specjalne wytyczne, komunikację wewnętrzną i organizację kilku sesji informacyjnych dla pracowników i kierowników; z zadowoleniem przyjmuje w szczególności zorganizowanie w 2023 r. pięciu sesji szkoleniowych pt. „Zapobieganie nękaniu psychicznemu i molestowaniu seksualnemu” oraz „Szacunek i godność w zespole osiągającym dobre wyniki” </w:t>
            </w:r>
            <w:r>
              <w:rPr>
                <w:b/>
                <w:i/>
              </w:rPr>
              <w:t>i zaleca kontynuowanie tej inicjatywy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odnotowuje, że w </w:t>
            </w:r>
            <w:r>
              <w:rPr>
                <w:b/>
                <w:i/>
              </w:rPr>
              <w:t>2022</w:t>
            </w:r>
            <w:r>
              <w:t xml:space="preserve"> r. Komitet zatrudniał </w:t>
            </w:r>
            <w:r>
              <w:rPr>
                <w:b/>
                <w:i/>
              </w:rPr>
              <w:t>pracowników reprezentujących wszystkie narodowości UE (i jednego pracownika narodowości ukraińskiej</w:t>
            </w:r>
            <w:r>
              <w:t xml:space="preserve">), przy czym część z nich była nadreprezentowana (np. </w:t>
            </w:r>
            <w:r>
              <w:rPr>
                <w:b/>
                <w:i/>
              </w:rPr>
              <w:t>Belgowie</w:t>
            </w:r>
            <w:r>
              <w:t>); z zadowoleniem przyjmuje dodatkowe wysiłki Komitetu mające zrównoważyć podział geograficzny wśród pracowników – aby dotrzeć do szerszego grona odbiorców, Komitet publikuje na swojej stronie internetowej i w mediach społecznościowych zaproszenia do wyrażenia zainteresowania dla pracowników kontraktowych i pracowników zatrudnionych na czas określony; zwraca się do Komitetu, aby informował organ udzielający absolutorium o wynikach tego typu działań;</w:t>
            </w:r>
          </w:p>
        </w:tc>
        <w:tc>
          <w:tcPr>
            <w:tcW w:w="4876" w:type="dxa"/>
            <w:tcBorders>
              <w:top w:val="nil"/>
              <w:left w:val="nil"/>
              <w:bottom w:val="nil"/>
              <w:right w:val="nil"/>
            </w:tcBorders>
          </w:tcPr>
          <w:p>
            <w:pPr>
              <w:pStyle w:val="Normal6a"/>
            </w:pPr>
            <w:r>
              <w:t>26.</w:t>
            </w:r>
            <w:r>
              <w:tab/>
            </w:r>
            <w:r>
              <w:t xml:space="preserve">odnotowuje, że w </w:t>
            </w:r>
            <w:r>
              <w:rPr>
                <w:b/>
                <w:i/>
              </w:rPr>
              <w:t>2023</w:t>
            </w:r>
            <w:r>
              <w:t xml:space="preserve"> r. Komitet zatrudniał </w:t>
            </w:r>
            <w:r>
              <w:rPr>
                <w:b/>
                <w:i/>
              </w:rPr>
              <w:t>obywateli wszystkich państw UE (i jedną osobę z obywatelstwem Ukrainy</w:t>
            </w:r>
            <w:r>
              <w:t xml:space="preserve">), przy czym część z nich była nadreprezentowana (np. </w:t>
            </w:r>
            <w:r>
              <w:rPr>
                <w:b/>
                <w:i/>
              </w:rPr>
              <w:t>Belgia</w:t>
            </w:r>
            <w:r>
              <w:t>); z zadowoleniem przyjmuje dodatkowe wysiłki Komitetu mające zrównoważyć podział geograficzny wśród pracowników – aby dotrzeć do szerszego grona odbiorców, Komitet publikuje na swojej stronie internetowej i w mediach społecznościowych zaproszenia do wyrażenia zainteresowania dla pracowników kontraktowych i pracowników zatrudnionych na czas określony</w:t>
            </w:r>
            <w:r>
              <w:rPr>
                <w:b/>
                <w:i/>
              </w:rPr>
              <w:t>;</w:t>
            </w:r>
            <w:r>
              <w:t xml:space="preserve"> </w:t>
            </w:r>
            <w:r>
              <w:rPr>
                <w:b/>
                <w:i/>
              </w:rPr>
              <w:t>ubolewa nad utrzymującym się brakiem równowagi geograficznej wśród pracowników Komitetu, tj. nadreprezentacją obywateli niektórych państw w porównaniu z innymi;</w:t>
            </w:r>
            <w:r>
              <w:t xml:space="preserve"> </w:t>
            </w:r>
            <w:r>
              <w:rPr>
                <w:b/>
                <w:i/>
              </w:rPr>
              <w:t>zachęca Komitet do większych wysiłków w celu poprawy równowagi geograficznej, szczególnie na szczeblu kierowniczym</w:t>
            </w:r>
            <w:r>
              <w:t>; zwraca się do Komitetu, aby informował organ udzielający absolutorium o wynikach tego typu działań;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z zadowoleniem odnotowuje, że w kwietniu 2023 r. działające w Komitecie Biuro Staży po raz drugi z rzędu wzięło udział w sesji zatytułowanej „Możliwości dla młodych Romów”;</w:t>
            </w:r>
            <w:r>
              <w:t xml:space="preserve"> </w:t>
            </w:r>
            <w:r>
              <w:rPr>
                <w:b/>
                <w:i/>
              </w:rPr>
              <w:t>pochwala inicjatywę przedstawienia programu staży w Komitecie młodym i zmotywowanym uczestnikom, wśród których byli zarówno Romowie, jak i inne osoby, co odzwierciedla zdecydowane zaangażowanie na rzecz promowania inkluzywności, różnorodności i równych szans;</w:t>
            </w:r>
            <w:r>
              <w:t xml:space="preserve"> </w:t>
            </w:r>
            <w:r>
              <w:rPr>
                <w:b/>
                <w:i/>
              </w:rPr>
              <w:t>zachęca do kontynuowania i rozszerzania takich inicjatyw, aby jeszcze bardziej angażować niedostatecznie reprezentowane społeczności i wspierać większą inkluzywność wśród pracowników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z zadowoleniem przyjmuje postępy w zakresie równowagi płci na stanowiskach kierowniczych, tj. wzrost odsetka kobiet zarówno na stanowiskach kierowniczych średniego szczebla (z 29,7 % w 2022 r. do 32,5 % w 2023 r.), jak i na stanowiskach kierowniczych wyższego szczebla (z 37,5 % w 2022 r. do 44,4 % w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ubolewa, że w 2023 r. odsetek kobiet na stanowiskach kierowniczych wyższego i średniego szczebla pozostawał niski, mimo że w 2023 r. mianowano nową dyrektorkę oraz że poczyniono pewne wysiłki, aby zainteresować więcej kobiet stanowiskami kierowniczymi;</w:t>
            </w:r>
            <w:r>
              <w:t xml:space="preserve"> </w:t>
            </w:r>
            <w:r>
              <w:rPr>
                <w:b/>
                <w:i/>
              </w:rPr>
              <w:t>niemniej jednak z zadowoleniem przyjmuje fakt, że Komitet uznaje równowagę płci wśród personelu, a w szczególności kadry kierowniczej wyższego szczebla, za ważny czynnik, i zwraca się do Komitetu o poprawę sytuacji;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wzywa Komitet do wdrożenia corocznego audytu różnorodności i do publikowania zdezagregowanych danych dotyczących płci, obywatelstwa i kategorii zatrudnienia;</w:t>
            </w:r>
            <w:r>
              <w:t xml:space="preserve"> </w:t>
            </w:r>
            <w:r>
              <w:rPr>
                <w:b/>
                <w:i/>
              </w:rPr>
              <w:t>apeluje do Komitetu o podjęcie dalszych działań w celu zwiększenia reprezentacji państw członkowskich niedostatecznie reprezentowanych wśród personelu;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wzywa instytucję do wyciągnięcia lekcji i wniosków na temat własnych przepisów i procedur wewnętrznych, z uwzględnieniem przeprowadzonego we wrześniu 2023 r. przeglądu Regulaminu Parlamentu i kodeksu postępowania, zaleca jednak, aby instytucja przedstawiła kolejne i ulepszone metody zwalczania nadużyć finansowych i pełnej ochrony interesów finansowych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wzywa instytucję do oceny, w jaki sposób ramy regulacyjne Parlamentu Europejskiego mające na celu zapobieganie korupcji i oszustwom zawiodły, umożliwiając posłom do PE aktywny udział w mafijnej sieci zaangażowanej w korupcję i pranie pieniędzy, której wykrycie zajęło lata;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zauważa, że w 2023 r. </w:t>
            </w:r>
            <w:r>
              <w:rPr>
                <w:b/>
                <w:i/>
              </w:rPr>
              <w:t>OLAF</w:t>
            </w:r>
            <w:r>
              <w:t xml:space="preserve"> rozpatrzył dwie sprawy: jedna sprawa dotyczyła zarzutów prowadzenia zewnętrznej działalności zarobkowej przez członka Komitetu, a druga – zarzutów o ponowne podjęcie nieuprawnionej działalności zewnętrznej przez pracownika; zauważa, że w pierwszym przypadku nie wszczęto dochodzenia OLAF-u ze względu na brak proporcjonalności między zasobami potrzebnymi do przeprowadzenia dochodzenia a oczekiwanymi wynikami, podczas gdy Komitet uznał, że nie ma konfliktu interesów, ponieważ członkowie Komitetu nie otrzymują żadnego wynagrodzenia od Unii ani nie są zobowiązani do deklarowania swojej działalności zawodowej, za którą mogą otrzymywać wynagrodzenie z tytułu sprawowania mandatów lokalnych lub regionalnych; w odniesieniu do drugiej sprawy zauważa, że OLAF wszczął dochodzenie, w wyniku którego wydano dwa zalecenia; aby je wdrożyć, Komitet wszczął postępowanie dyscyplinarne przeciwko odnośnemu pracownikowi i odzyskał zyski związane z podjętą przez tę osobę nieuprawnioną działalnością zewnętrzną; przypomina, że zamknięta w 2022 r. sprawa dotycząca zarzutów o wykroczenia finansowe, nękanie i niegospodarność we wspólnej służbie Komitetu i EKES-u doprowadziła do podjęcia działań w zakresie zarządzania konfliktami z udziałem zainteresowanych osób i ustanowienia pięciopunktowego planu działania; na podstawie sprawozdania z działań następczych Komitetu w związku z decyzją Parlamentu w sprawie absolutorium z wykonania budżetu Komitetu za rok 2022 zauważa z zadowoleniem, że plan działania został w pełni wdrożony do końca 2023 r.;</w:t>
            </w:r>
          </w:p>
        </w:tc>
        <w:tc>
          <w:tcPr>
            <w:tcW w:w="4876" w:type="dxa"/>
            <w:tcBorders>
              <w:top w:val="nil"/>
              <w:left w:val="nil"/>
              <w:bottom w:val="nil"/>
              <w:right w:val="nil"/>
            </w:tcBorders>
          </w:tcPr>
          <w:p>
            <w:pPr>
              <w:pStyle w:val="Normal6a"/>
            </w:pPr>
            <w:r>
              <w:t>28.</w:t>
            </w:r>
            <w:r>
              <w:tab/>
            </w:r>
            <w:r>
              <w:t xml:space="preserve">zauważa, że w 2023 r. </w:t>
            </w:r>
            <w:r>
              <w:rPr>
                <w:b/>
                <w:i/>
              </w:rPr>
              <w:t>Europejski Urząd ds. Zwalczania Nadużyć Finansowych (OLAF)</w:t>
            </w:r>
            <w:r>
              <w:t xml:space="preserve"> rozpatrzył dwie sprawy: jedna sprawa dotyczyła zarzutów prowadzenia zewnętrznej działalności zarobkowej przez członka Komitetu, a druga – zarzutów o ponowne podjęcie nieuprawnionej działalności zewnętrznej przez pracownika; zauważa, że w pierwszym przypadku nie wszczęto dochodzenia OLAF-u ze względu na brak proporcjonalności między zasobami potrzebnymi do przeprowadzenia dochodzenia a oczekiwanymi wynikami, podczas gdy Komitet uznał, że nie ma konfliktu interesów, ponieważ członkowie Komitetu nie otrzymują żadnego wynagrodzenia od Unii ani nie są zobowiązani do deklarowania swojej działalności zawodowej, za którą mogą otrzymywać wynagrodzenie z tytułu sprawowania mandatów lokalnych lub regionalnych; w odniesieniu do drugiej sprawy zauważa, że OLAF wszczął dochodzenie, w wyniku którego wydano dwa zalecenia; aby je wdrożyć, Komitet wszczął postępowanie dyscyplinarne przeciwko odnośnemu pracownikowi i odzyskał zyski związane z podjętą przez tę osobę nieuprawnioną działalnością zewnętrzną; przypomina, że zamknięta w 2022 r. sprawa dotycząca zarzutów o wykroczenia finansowe, nękanie i niegospodarność we wspólnej służbie Komitetu i EKES-u doprowadziła do podjęcia działań w zakresie zarządzania konfliktami z udziałem zainteresowanych osób i ustanowienia pięciopunktowego planu działania; na podstawie sprawozdania z działań następczych Komitetu w związku z decyzją Parlamentu w sprawie absolutorium z wykonania budżetu Komitetu za rok 2022 zauważa z zadowoleniem, że plan działania został w pełni wdrożony do końca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apeluje do Komitetu o poprawę wykrywania konfliktów interesów i zapobiegania im przez wprowadzenie dla ustępujących członków Komitetu obowiązkowej karencji przed objęciem ról lobbingowych lub doradczych związanych z instytucjami UE;</w:t>
            </w:r>
            <w:r>
              <w:t xml:space="preserve"> </w:t>
            </w:r>
            <w:r>
              <w:rPr>
                <w:b/>
                <w:i/>
              </w:rPr>
              <w:t>apeluje o proaktywne publikowanie wszystkich decyzji o wyłączeniu podjętych przez członków KR-u ze względu na konflikty interesów;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odnotowuje, że w 2023 r. nie zgłoszono Komitetowi żadnych przypadków informowania o nieprawidłowościach, z wyjątkiem otrzymanych od OLAF-u informacji o sprawie poinformowania o nieprawidłowościach w stosunku do członka Komitetu, którą to sprawę OLAF ostatecznie oddalił; zauważa, że w 2023 r. Komitet nie przyjął żadnych nowych środków dotyczących informowania o nieprawidłowościach i nadal stosował środki obowiązujące od 2015 r. oraz promował je przez szkolenie z zakresu etyki;</w:t>
            </w:r>
          </w:p>
        </w:tc>
        <w:tc>
          <w:tcPr>
            <w:tcW w:w="4876" w:type="dxa"/>
            <w:tcBorders>
              <w:top w:val="nil"/>
              <w:left w:val="nil"/>
              <w:bottom w:val="nil"/>
              <w:right w:val="nil"/>
            </w:tcBorders>
          </w:tcPr>
          <w:p>
            <w:pPr>
              <w:pStyle w:val="Normal6a"/>
            </w:pPr>
            <w:r>
              <w:t>31.</w:t>
            </w:r>
            <w:r>
              <w:tab/>
            </w:r>
            <w:r>
              <w:t xml:space="preserve">odnotowuje, że w 2023 r. nie zgłoszono Komitetowi żadnych przypadków informowania o nieprawidłowościach, z wyjątkiem otrzymanych od OLAF-u informacji o sprawie poinformowania o nieprawidłowościach w stosunku do członka Komitetu, którą to sprawę OLAF ostatecznie oddalił; zauważa, że w 2023 r. Komitet nie przyjął żadnych nowych środków dotyczących informowania o nieprawidłowościach i nadal stosował środki obowiązujące od 2015 r. oraz promował je przez szkolenie z zakresu etyki; </w:t>
            </w:r>
            <w:r>
              <w:rPr>
                <w:b/>
                <w:i/>
              </w:rPr>
              <w:t>popiera regularne obowiązkowe szkolenia na temat etyki zarówno dla ogółu personelu, jak i dla kadry kierowniczej;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odnotowuje, że w 2023 r. nie zgłoszono Komitetowi żadnych przypadków informowania o nieprawidłowościach, z wyjątkiem otrzymanych od OLAF-u informacji o sprawie poinformowania o nieprawidłowościach w stosunku do członka Komitetu, którą to sprawę OLAF ostatecznie oddalił; zauważa, że w 2023 r. Komitet nie przyjął żadnych nowych środków dotyczących informowania o nieprawidłowościach i nadal stosował środki obowiązujące od 2015 r. oraz promował je przez szkolenie z zakresu etyki;</w:t>
            </w:r>
          </w:p>
        </w:tc>
        <w:tc>
          <w:tcPr>
            <w:tcW w:w="4876" w:type="dxa"/>
            <w:tcBorders>
              <w:top w:val="nil"/>
              <w:left w:val="nil"/>
              <w:bottom w:val="nil"/>
              <w:right w:val="nil"/>
            </w:tcBorders>
          </w:tcPr>
          <w:p>
            <w:pPr>
              <w:pStyle w:val="Normal6a"/>
            </w:pPr>
            <w:r>
              <w:t>31.</w:t>
            </w:r>
            <w:r>
              <w:tab/>
            </w:r>
            <w:r>
              <w:t xml:space="preserve">odnotowuje, że w 2023 r. nie zgłoszono Komitetowi żadnych przypadków informowania o nieprawidłowościach, z wyjątkiem otrzymanych od OLAF-u informacji o sprawie poinformowania o nieprawidłowościach w stosunku do członka Komitetu, którą to sprawę OLAF ostatecznie oddalił; zauważa, że w 2023 r. Komitet nie przyjął żadnych nowych środków dotyczących informowania o nieprawidłowościach i nadal stosował środki obowiązujące od 2015 r. oraz promował je przez szkolenie z zakresu etyki </w:t>
            </w:r>
            <w:r>
              <w:rPr>
                <w:b/>
                <w:i/>
              </w:rPr>
              <w:t>i podnoszenie świadomości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zauważa, że Komitet wprowadził szereg środków i działań w zakresie zwalczania nadużyć finansowych, które mają zastosowanie do jego członków oraz pracowników i które są wdrażane przez różne służby; na podstawie kwestionariusza z zadowoleniem odnotowuje, że Komitet zobowiązuje się do dalszego wzmacniania istniejących środków zwalczania nadużyć finansowych w drodze przyjęcia strategii zwalczania nadużyć finansowych w 2025 r.; zwraca się do Komitetu, aby informował o tej kwestii organ udzielający absolutorium;</w:t>
            </w:r>
          </w:p>
        </w:tc>
        <w:tc>
          <w:tcPr>
            <w:tcW w:w="4876" w:type="dxa"/>
            <w:tcBorders>
              <w:top w:val="nil"/>
              <w:left w:val="nil"/>
              <w:bottom w:val="nil"/>
              <w:right w:val="nil"/>
            </w:tcBorders>
          </w:tcPr>
          <w:p>
            <w:pPr>
              <w:pStyle w:val="Normal6a"/>
            </w:pPr>
            <w:r>
              <w:t>32.</w:t>
            </w:r>
            <w:r>
              <w:tab/>
            </w:r>
            <w:r>
              <w:t xml:space="preserve">zauważa, że Komitet wprowadził szereg środków i działań w zakresie zwalczania nadużyć finansowych, które mają zastosowanie do jego członków oraz pracowników i które są wdrażane przez różne służby; na podstawie kwestionariusza z zadowoleniem odnotowuje, że Komitet zobowiązuje się do dalszego wzmacniania istniejących środków zwalczania nadużyć finansowych w drodze przyjęcia strategii zwalczania nadużyć finansowych w 2025 r.; </w:t>
            </w:r>
            <w:r>
              <w:rPr>
                <w:b/>
                <w:i/>
              </w:rPr>
              <w:t>zachęca Komitet, aby w ramach tej strategii organizował regularne i obowiązkowe szkolenia na temat zwalczania nadużyć finansowych;</w:t>
            </w:r>
            <w:r>
              <w:t xml:space="preserve"> zwraca się do Komitetu, aby informował o tej kwestii organ udzielający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zauważa, że Komitet wprowadził szereg środków i działań w zakresie zwalczania nadużyć finansowych, które mają zastosowanie do jego członków oraz pracowników i które są wdrażane przez różne służby; na podstawie kwestionariusza z zadowoleniem odnotowuje, że Komitet zobowiązuje się do dalszego wzmacniania istniejących środków zwalczania nadużyć finansowych w drodze przyjęcia strategii zwalczania nadużyć finansowych w 2025 r.; zwraca się do Komitetu, aby informował o tej kwestii organ udzielający absolutorium;</w:t>
            </w:r>
          </w:p>
        </w:tc>
        <w:tc>
          <w:tcPr>
            <w:tcW w:w="4876" w:type="dxa"/>
            <w:tcBorders>
              <w:top w:val="nil"/>
              <w:left w:val="nil"/>
              <w:bottom w:val="nil"/>
              <w:right w:val="nil"/>
            </w:tcBorders>
          </w:tcPr>
          <w:p>
            <w:pPr>
              <w:pStyle w:val="Normal6a"/>
            </w:pPr>
            <w:r>
              <w:t>32.</w:t>
            </w:r>
            <w:r>
              <w:tab/>
            </w:r>
            <w:r>
              <w:t>zauważa, że Komitet wprowadził szereg środków i działań w zakresie zwalczania nadużyć finansowych, które mają zastosowanie do jego członków oraz pracowników i które są wdrażane przez różne służby</w:t>
            </w:r>
            <w:r>
              <w:rPr>
                <w:b/>
                <w:i/>
              </w:rPr>
              <w:t>, lecz nadal nie wprowadził strategii zwalczania nadużyć finansowych, mimo że Parlament wnioskował o to w 2023 r.</w:t>
            </w:r>
            <w:r>
              <w:t>; na podstawie kwestionariusza z zadowoleniem odnotowuje, że Komitet zobowiązuje się do dalszego wzmacniania istniejących środków zwalczania nadużyć finansowych w drodze przyjęcia strategii zwalczania nadużyć finansowych w 2025 r.; zwraca się do Komitetu, aby informował o tej kwestii organ udzielający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zauważa, że Komitet wprowadził szereg środków i działań w zakresie zwalczania nadużyć finansowych, które mają zastosowanie do jego członków oraz pracowników i które są wdrażane przez różne służby; </w:t>
            </w:r>
            <w:r>
              <w:rPr>
                <w:b/>
                <w:i/>
              </w:rPr>
              <w:t>na podstawie kwestionariusza</w:t>
            </w:r>
            <w:r>
              <w:t xml:space="preserve"> z zadowoleniem odnotowuje, że Komitet zobowiązuje się do dalszego wzmacniania istniejących środków zwalczania nadużyć finansowych w drodze przyjęcia strategii zwalczania nadużyć finansowych w 2025 r.; zwraca się do Komitetu, aby informował o tej kwestii organ udzielający absolutorium;</w:t>
            </w:r>
          </w:p>
        </w:tc>
        <w:tc>
          <w:tcPr>
            <w:tcW w:w="4876" w:type="dxa"/>
            <w:tcBorders>
              <w:top w:val="nil"/>
              <w:left w:val="nil"/>
              <w:bottom w:val="nil"/>
              <w:right w:val="nil"/>
            </w:tcBorders>
          </w:tcPr>
          <w:p>
            <w:pPr>
              <w:pStyle w:val="Normal6a"/>
            </w:pPr>
            <w:r>
              <w:t>32.</w:t>
            </w:r>
            <w:r>
              <w:tab/>
            </w:r>
            <w:r>
              <w:t xml:space="preserve">zauważa, że Komitet wprowadził szereg środków i działań w zakresie zwalczania nadużyć finansowych, które mają zastosowanie do jego członków oraz pracowników i które są wdrażane przez różne służby; z zadowoleniem odnotowuje, że </w:t>
            </w:r>
            <w:r>
              <w:rPr>
                <w:b/>
                <w:i/>
              </w:rPr>
              <w:t>zgodnie z zaleceniem Parlamentu i jak wskazano w kwestionariuszu</w:t>
            </w:r>
            <w:r>
              <w:t xml:space="preserve"> Komitet zobowiązuje się do dalszego wzmacniania istniejących środków zwalczania nadużyć finansowych w drodze przyjęcia strategii zwalczania nadużyć finansowych w 2025 r.; zwraca się do Komitetu, aby informował o tej kwestii organ udzielający absolutorium;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z zadowoleniem przyjmuje nową strategię cyfrową Komitetu na lata 2024–2026;</w:t>
            </w:r>
            <w:r>
              <w:t xml:space="preserve"> </w:t>
            </w:r>
            <w:r>
              <w:rPr>
                <w:b/>
                <w:i/>
              </w:rPr>
              <w:t>wzywa Komitet, aby przyspieszył działania na rzecz transformacji cyfrowej, zapewniając pełne wdrożenie elektronicznej organizacji pracy, podpisów elektronicznych i cyfrowych narzędzi zarządzania sprawami do 2026 r., ograniczając procedury z wykorzystaniem dokumentów papierowych zgodnie z zobowiązaniami w zakresie zrównoważenia środowiskowego i w większym stopniu przechodząc na administrację bez dokumentów papierowych;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zauważa z zadowoleniem, że 90 % projektów na rzecz uproszczenia przez cyfryzację w ramach inicjatywy „Going for IMPact” zostało w pełni wdrożonych do końca 2023 r.; zauważa ponadto, że dalsze usprawnienia uzyskano dzięki projektowi informatycznemu mającemu określić najlepsze narzędzie do elektronicznego zarządzania przepływami pracy opartymi na formularzach, w wyniku czego wiele procesów Komitetu zaczęło być upraszczanych i poddawanych cyfryzacji za pomocą narzędzi Microsoft 365; z zadowoleniem zauważa, że Komitet korzysta z modułów zamówień takich jak e-Tendering, e-Notices, e-Submission, MyWorkplace, a także z wprowadzonego w 2023 r. kwalifikowanego podpisu elektronicznego do podpisywania umów; z zadowoleniem przyjmuje wewnętrzne wytyczne Komitetu w sprawie wykorzystania sztucznej inteligencji, które tworzą podstawy dla możliwych przyszłych rozwiązań;</w:t>
            </w:r>
          </w:p>
        </w:tc>
        <w:tc>
          <w:tcPr>
            <w:tcW w:w="4876" w:type="dxa"/>
            <w:tcBorders>
              <w:top w:val="nil"/>
              <w:left w:val="nil"/>
              <w:bottom w:val="nil"/>
              <w:right w:val="nil"/>
            </w:tcBorders>
          </w:tcPr>
          <w:p>
            <w:pPr>
              <w:pStyle w:val="Normal6a"/>
            </w:pPr>
            <w:r>
              <w:t>35.</w:t>
            </w:r>
            <w:r>
              <w:tab/>
            </w:r>
            <w:r>
              <w:t>zauważa z zadowoleniem, że 90 % projektów na rzecz uproszczenia przez cyfryzację w ramach inicjatywy „Going for IMPact” zostało w pełni wdrożonych do końca 2023 r.; zauważa ponadto, że dalsze usprawnienia uzyskano dzięki projektowi informatycznemu mającemu określić najlepsze narzędzie do elektronicznego zarządzania przepływami pracy opartymi na formularzach, w wyniku czego wiele procesów Komitetu zaczęło być upraszczanych i poddawanych cyfryzacji za pomocą narzędzi Microsoft 365; z zadowoleniem zauważa, że Komitet korzysta z modułów zamówień takich jak e-Tendering, e-Notices, e-Submission, MyWorkplace, a także z wprowadzonego w 2023 r. kwalifikowanego podpisu elektronicznego do podpisywania umów; z zadowoleniem przyjmuje wewnętrzne wytyczne Komitetu w sprawie wykorzystania sztucznej inteligencji, które tworzą podstawy dla możliwych przyszłych rozwiązań</w:t>
            </w:r>
            <w:r>
              <w:rPr>
                <w:b/>
                <w:i/>
              </w:rPr>
              <w:t>, i zachęca do wprowadzenia regularnych obowiązkowych szkoleń w zakresie bezpiecznego korzystania ze sztucznej inteligencji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zauważa, że w 2023 r. Komitet nie doświadczył żadnych cyberataków poza pewnymi atakami typu „odmowa usługi” wymierzonymi w stronę internetową Komitetu prowadzoną przez podmioty zewnętrzne; na podstawie kwestionariusza odnotowuje istnienie narzędzi i strategii Komitetu w zakresie monitorowania zagrożeń w czasie rzeczywistym i identyfikowania słabych punktów w systemach Komitetu; wyraża uznanie dla Komitetu za przestrzeganie norm w kwestiach odnoszących się do ocen ryzyka związanego z cyberbezpieczeństwem, a także za wprowadzenie systemu opartego na planach reagowania na incydenty, środkach naprawczych i wyciągniętych wnioskach; z zadowoleniem zauważa, że Komitet i EKES przyjęły ramy cyberbezpieczeństwa NIST z naciskiem w 2023 r. na zasady „ochrona” i „wykrywanie”;</w:t>
            </w:r>
          </w:p>
        </w:tc>
        <w:tc>
          <w:tcPr>
            <w:tcW w:w="4876" w:type="dxa"/>
            <w:tcBorders>
              <w:top w:val="nil"/>
              <w:left w:val="nil"/>
              <w:bottom w:val="nil"/>
              <w:right w:val="nil"/>
            </w:tcBorders>
          </w:tcPr>
          <w:p>
            <w:pPr>
              <w:pStyle w:val="Normal6a"/>
            </w:pPr>
            <w:r>
              <w:t>37.</w:t>
            </w:r>
            <w:r>
              <w:tab/>
            </w:r>
            <w:r>
              <w:t xml:space="preserve">zauważa, że w 2023 r. Komitet nie doświadczył żadnych cyberataków poza pewnymi atakami typu „odmowa usługi” wymierzonymi w stronę internetową Komitetu prowadzoną przez podmioty zewnętrzne; na podstawie kwestionariusza odnotowuje istnienie narzędzi i strategii Komitetu w zakresie monitorowania zagrożeń w czasie rzeczywistym i identyfikowania słabych punktów w systemach Komitetu; wyraża uznanie dla Komitetu za przestrzeganie norm w kwestiach odnoszących się do ocen ryzyka związanego z cyberbezpieczeństwem, a także za wprowadzenie systemu opartego na planach reagowania na incydenty, środkach naprawczych i wyciągniętych wnioskach; z zadowoleniem zauważa, że Komitet i EKES przyjęły ramy cyberbezpieczeństwa NIST z naciskiem w 2023 r. na zasady „ochrona” i „wykrywanie”; </w:t>
            </w:r>
            <w:r>
              <w:rPr>
                <w:b/>
                <w:i/>
              </w:rPr>
              <w:t>zachęca Komitet, aby upowszechniał znajomość zasad cyberbezpieczeństwa wśród członków i pracowników, prowadził regularne oceny ryzyka swojej infrastruktury informatycznej oraz zapewnił regularne audyty i testy cyberobrony;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zwraca się do instytucji o wydanie zaleceń dla Parlamentu Europejskiego i Komisji Kontroli Budżetowej w sprawie nowych sposobów zwalczania nadużyć i niewłaściwego wykorzystania funduszy UE w oparciu o własne doświadczenia instytucjonalne i doświadczenia zdobyte w przeszłości, a także o dzielenie się najlepszymi praktykami, ponieważ udowodniono, że interesy finansowe Unii Europejskiej nie były należycie chronione w Parlamencie Europejskim;</w:t>
            </w:r>
            <w:r>
              <w:t xml:space="preserve"> </w:t>
            </w:r>
            <w:r>
              <w:rPr>
                <w:b/>
                <w:i/>
              </w:rPr>
              <w:t>uważa, że Parlament mógłby skorzystać z nowego spojrzenia w tej sprawie i wkładu ze strony instytucji, jak pokazała sprawa karna i dochodzenia;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z zadowoleniem przyjmuje oszczędności budżetowe i administracyjne uzyskane dzięki współpracy międzyinstytucjonalnej, w szczególności ścisłej współpracy na szczeblu administracyjnym z EKES-em, wspólnie z którym Komitet korzysta z pomieszczeń i usług w dziedzinie tłumaczeń, infrastruktury, logistyki oraz IT, w tym 470 pracowników i ok. 60 mln EUR (z wyłączeniem wydatków związanych z wynagrodzeniami) dostępnych dla obu instytucji w 2023 r.; z zadowoleniem zauważa, że Komitet jeszcze bardziej rozszerzył współpracę z EKES-em, wykorzystując dodatkowe synergie dzięki wspólnym służbom medycznym oraz wspólnemu centralnemu rejestrowi ochrony danych i operacjom przetwarzania danych opartym na porozumieniu o współadministrowaniu podpisanym przez Komitet i EKES w 2023 r.;</w:t>
            </w:r>
          </w:p>
        </w:tc>
        <w:tc>
          <w:tcPr>
            <w:tcW w:w="4876" w:type="dxa"/>
            <w:tcBorders>
              <w:top w:val="nil"/>
              <w:left w:val="nil"/>
              <w:bottom w:val="nil"/>
              <w:right w:val="nil"/>
            </w:tcBorders>
          </w:tcPr>
          <w:p>
            <w:pPr>
              <w:pStyle w:val="Normal6a"/>
            </w:pPr>
            <w:r>
              <w:t>43.</w:t>
            </w:r>
            <w:r>
              <w:tab/>
            </w:r>
            <w:r>
              <w:t xml:space="preserve">z zadowoleniem przyjmuje oszczędności budżetowe i administracyjne uzyskane dzięki współpracy międzyinstytucjonalnej, w szczególności ścisłej współpracy na szczeblu administracyjnym z EKES-em, wspólnie z którym Komitet korzysta z pomieszczeń i usług w dziedzinie tłumaczeń, infrastruktury, logistyki oraz IT, w tym 470 pracowników i ok. 60 mln EUR (z wyłączeniem wydatków związanych z wynagrodzeniami) dostępnych dla obu instytucji w 2023 r.; z zadowoleniem zauważa, że Komitet jeszcze bardziej rozszerzył współpracę z EKES-em, wykorzystując dodatkowe synergie dzięki wspólnym służbom medycznym oraz wspólnemu centralnemu rejestrowi ochrony danych i operacjom przetwarzania danych opartym na porozumieniu o współadministrowaniu podpisanym przez Komitet i EKES w 2023 r.; </w:t>
            </w:r>
            <w:r>
              <w:rPr>
                <w:b/>
                <w:i/>
              </w:rPr>
              <w:t>ponownie apeluje do Komitetu o kontynuowanie i rozszerzanie tej współpracy w innych obszarach, aby uniknąć powielania działań i jeszcze bardziej racjonalizować koszty operacyjne usług dostępnych w pomieszczeniach współdzielonych przez Komitet i EKES;</w:t>
            </w:r>
            <w:r>
              <w:t xml:space="preserve"> </w:t>
            </w:r>
            <w:r>
              <w:rPr>
                <w:b/>
                <w:i/>
              </w:rPr>
              <w:t>zachęca Komitet i EKES do zbadania możliwości utworzenia jednej administracji dla ich wspólnych służb, z zachowaniem odrębnych dyrekcji lub jednostek dla służb zajmujących się sprawami związanymi z ich szczególnymi i niezależnymi mandatami;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z zadowoleniem przyjmuje oszczędności budżetowe i administracyjne uzyskane dzięki współpracy międzyinstytucjonalnej, w szczególności ścisłej współpracy na szczeblu administracyjnym z EKES-em, wspólnie z którym Komitet korzysta z pomieszczeń i usług w dziedzinie tłumaczeń, infrastruktury, logistyki oraz IT, w tym 470 pracowników i ok. 60 mln EUR (z wyłączeniem wydatków związanych z wynagrodzeniami) dostępnych dla obu instytucji w 2023 r.; z zadowoleniem zauważa, że Komitet jeszcze bardziej rozszerzył współpracę z EKES-em, wykorzystując dodatkowe synergie dzięki wspólnym służbom medycznym oraz wspólnemu centralnemu rejestrowi ochrony danych i operacjom przetwarzania danych opartym na porozumieniu o współadministrowaniu podpisanym przez Komitet i EKES w 2023 r.;</w:t>
            </w:r>
          </w:p>
        </w:tc>
        <w:tc>
          <w:tcPr>
            <w:tcW w:w="4876" w:type="dxa"/>
            <w:tcBorders>
              <w:top w:val="nil"/>
              <w:left w:val="nil"/>
              <w:bottom w:val="nil"/>
              <w:right w:val="nil"/>
            </w:tcBorders>
          </w:tcPr>
          <w:p>
            <w:pPr>
              <w:pStyle w:val="Normal6a"/>
            </w:pPr>
            <w:r>
              <w:t>43.</w:t>
            </w:r>
            <w:r>
              <w:tab/>
            </w:r>
            <w:r>
              <w:t xml:space="preserve">z zadowoleniem przyjmuje oszczędności budżetowe i administracyjne uzyskane dzięki współpracy międzyinstytucjonalnej, w szczególności ścisłej współpracy na szczeblu administracyjnym z EKES-em, wspólnie z którym Komitet korzysta z pomieszczeń i usług w dziedzinie tłumaczeń, infrastruktury, logistyki oraz IT, w tym 470 pracowników i ok. 60 mln EUR (z wyłączeniem wydatków związanych z wynagrodzeniami) dostępnych dla obu instytucji w 2023 r.; z zadowoleniem zauważa, że Komitet jeszcze bardziej rozszerzył współpracę z EKES-em, wykorzystując dodatkowe synergie dzięki wspólnym służbom medycznym oraz wspólnemu centralnemu rejestrowi ochrony danych i operacjom przetwarzania danych opartym na porozumieniu o współadministrowaniu podpisanym przez Komitet i EKES w 2023 r.; </w:t>
            </w:r>
            <w:r>
              <w:rPr>
                <w:b/>
                <w:i/>
              </w:rPr>
              <w:t>zachęca Komitet i EKES do kontynuowania wysiłków na rzecz dalszego rozwijania współpracy i synergii;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44a.</w:t>
            </w:r>
            <w:r>
              <w:tab/>
            </w:r>
            <w:r>
              <w:rPr>
                <w:b/>
                <w:i/>
              </w:rPr>
              <w:t>wzywa Komitet do pogłębienia współpracy z Parlamentem Europejskim i Komisją przez ustanowienie usystematyzowanego corocznego dialogu między przedstawicielami KR-u a prawodawcami UE na temat kluczowych dossier ustawodawczych wpływających na rozwój regionalny, politykę klimatyczną i spójność społeczną;</w:t>
            </w:r>
            <w:r>
              <w:t xml:space="preserve"> </w:t>
            </w:r>
            <w:r>
              <w:rPr>
                <w:b/>
                <w:i/>
              </w:rPr>
              <w:t>apeluje do Komitetu o rozważenie wspólnych inicjatyw z komisjami REGI i ENVI Parlamentu Europejskiego w celu promowania zrównoważonych inwestycji regionalnych;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z zadowoleniem odnotowuje przegląd umowy o współpracy Komitetu z Parlamentem przeprowadzony w 2023 r. z myślą o jej ostatecznym podpisaniu w 2024 r.;</w:t>
            </w:r>
            <w:r>
              <w:t xml:space="preserve"> </w:t>
            </w:r>
            <w:r>
              <w:rPr>
                <w:b/>
                <w:i/>
              </w:rPr>
              <w:t>popiera współpracę Komitetu z niektórymi komisjami parlamentarnymi, zespołami międzypartyjnymi i dyrekcjami generalnymi Parlamentu i uznaje za niezbędne, aby członkowie Komitetu i EKES-u byli regularnie i systematycznie zapraszani do udziału w odpowiednich dyskusjach parlamentarnych, w tym na posiedzenia komisji, w związku ze sprawami, którymi się zajmują;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odnotowuje, że działania komunikacyjne Komitetu koncentrują się na relacjach z prasą, organizacji wydarzeń i treści cyfrowych oraz mediach społecznościowych, </w:t>
            </w:r>
            <w:r>
              <w:rPr>
                <w:b/>
                <w:i/>
              </w:rPr>
              <w:t>a całkowity</w:t>
            </w:r>
            <w:r>
              <w:t xml:space="preserve"> budżet (środki na bieżący rok) w 2023 r. wyniósł około 2,8 mln EUR; wyraża ubolewanie z powodu bardzo niskiego wskaźnika wykonania płatności w tych obszarach (od 24,70 % do 48,20 %); zauważa jednak wysoki wskaźnik wykonania w odniesieniu do środków C8 (przeniesionych z 2022 r. na 2023 r.) wynoszący 98–100 %; zwraca się do Komitetu o podjęcie działań w celu poprawy planowania budżetowego w odniesieniu do pozycji budżetowych związanych z komunikacją;</w:t>
            </w:r>
          </w:p>
        </w:tc>
        <w:tc>
          <w:tcPr>
            <w:tcW w:w="4876" w:type="dxa"/>
            <w:tcBorders>
              <w:top w:val="nil"/>
              <w:left w:val="nil"/>
              <w:bottom w:val="nil"/>
              <w:right w:val="nil"/>
            </w:tcBorders>
          </w:tcPr>
          <w:p>
            <w:pPr>
              <w:pStyle w:val="Normal6a"/>
            </w:pPr>
            <w:r>
              <w:t>46.</w:t>
            </w:r>
            <w:r>
              <w:tab/>
            </w:r>
            <w:r>
              <w:t xml:space="preserve">odnotowuje, że działania komunikacyjne Komitetu koncentrują się na relacjach z prasą, organizacji wydarzeń i treści cyfrowych oraz mediach społecznościowych, </w:t>
            </w:r>
            <w:r>
              <w:rPr>
                <w:b/>
                <w:i/>
              </w:rPr>
              <w:t>przy czym</w:t>
            </w:r>
            <w:r>
              <w:t xml:space="preserve"> budżet </w:t>
            </w:r>
            <w:r>
              <w:rPr>
                <w:b/>
                <w:i/>
              </w:rPr>
              <w:t>jest bardzo wysoki i ogółem</w:t>
            </w:r>
            <w:r>
              <w:t xml:space="preserve"> (środki na bieżący rok) w 2023 r. wyniósł około 2,8 mln EUR; wyraża ubolewanie z powodu bardzo niskiego wskaźnika wykonania płatności w tych obszarach (od 24,70 % do 48,20 %); zauważa jednak wysoki wskaźnik wykonania w odniesieniu do środków C8 (przeniesionych z 2022 r. na 2023 r.) wynoszący 98–100 %; zwraca się do Komitetu o podjęcie działań w celu poprawy planowania budżetowego w odniesieniu do pozycji budżetowych związanych z komunikacją;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odnotowuje, że działania komunikacyjne Komitetu koncentrują się na relacjach z prasą, organizacji wydarzeń i treści cyfrowych oraz mediach społecznościowych, a całkowity budżet (środki na bieżący rok) w 2023 r. wyniósł około 2,8 mln EUR; wyraża ubolewanie z powodu bardzo niskiego wskaźnika wykonania płatności w tych obszarach (od 24,70 % do 48,20 %); zauważa jednak wysoki wskaźnik wykonania w odniesieniu do środków C8 (przeniesionych z 2022 r. na 2023 r.) wynoszący 98–100 %; </w:t>
            </w:r>
            <w:r>
              <w:rPr>
                <w:b/>
                <w:i/>
              </w:rPr>
              <w:t>zwraca się</w:t>
            </w:r>
            <w:r>
              <w:t xml:space="preserve"> do Komitetu o podjęcie działań w celu poprawy planowania budżetowego w odniesieniu do pozycji budżetowych związanych z komunikacją;</w:t>
            </w:r>
          </w:p>
        </w:tc>
        <w:tc>
          <w:tcPr>
            <w:tcW w:w="4876" w:type="dxa"/>
            <w:tcBorders>
              <w:top w:val="nil"/>
              <w:left w:val="nil"/>
              <w:bottom w:val="nil"/>
              <w:right w:val="nil"/>
            </w:tcBorders>
          </w:tcPr>
          <w:p>
            <w:pPr>
              <w:pStyle w:val="Normal6a"/>
            </w:pPr>
            <w:r>
              <w:t>46.</w:t>
            </w:r>
            <w:r>
              <w:tab/>
            </w:r>
            <w:r>
              <w:t xml:space="preserve">odnotowuje, że działania komunikacyjne Komitetu koncentrują się na relacjach z prasą, organizacji wydarzeń i treści cyfrowych oraz mediach społecznościowych, a całkowity budżet (środki na bieżący rok) w 2023 r. wyniósł około 2,8 mln EUR; wyraża ubolewanie z powodu bardzo niskiego wskaźnika wykonania płatności w tych obszarach (od 24,70 % do 48,20 %); zauważa jednak wysoki wskaźnik wykonania w odniesieniu do środków C8 (przeniesionych z 2022 r. na 2023 r.) wynoszący 98–100 %; </w:t>
            </w:r>
            <w:r>
              <w:rPr>
                <w:b/>
                <w:i/>
              </w:rPr>
              <w:t>apeluje</w:t>
            </w:r>
            <w:r>
              <w:t xml:space="preserve"> do Komitetu o podjęcie działań w celu poprawy planowania budżetowego w odniesieniu do pozycji budżetowych związanych z komunikacją;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wzywa instytucję, by powstrzymała się od promowania, rozpowszechniania i wspierania ideologii „gender” i „woke” oraz respektowała traktat i jego postanowienia, a także by szanowała tożsamość narodową państw członkowskich, nierozerwalnie związaną z ich podstawowymi strukturami, historią, religią i tradycjami;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z zadowoleniem odnotowuje osiągnięcia Komitetu w promowaniu strategii politycznych i programów Unii na szczeblu lokalnym i regionalnym, poprawie zasięgu jego prac konsultacyjnych oraz zwiększeniu jego widoczności i oddziaływania; odnotowuje w tym kontekście działania komunikacyjne Komitetu w 2023 r. w obszarach takich jak: – spójność (np. kampania „Promowanie spójności jako podstawowej wartości Unii” w ramach Europejskiego Tygodnia Regionów i Miast, w którym wzięło udział ponad 8000 uczestników); – zmiana klimatu (np. kampania „Budowanie odpornych i innowacyjnych społeczności lokalnych”); – demokracja (np. kampania „Nowy rozdział dla demokracji w UE” z 1400 zgłoszeniami do udziału w 14. konferencji EuropCom); – rozwój obszarów wiejskich (konferencja na Europejskim Kongresie LEADER w 2023 r.) w 2023 r.; wyraża uznanie dla Komitetu za wzrost liczby osób zarejestrowanych w Europejskiej Sieci Radnych Regionalnych i Lokalnych (z 2307 w 2022 r. do 3000 w 2023 r.) oraz liczby uczestników programu „Młode osoby z mandatem wyborczym” (z 775 w 2022 r. do 836 w 2023 r.);</w:t>
            </w:r>
          </w:p>
        </w:tc>
        <w:tc>
          <w:tcPr>
            <w:tcW w:w="4876" w:type="dxa"/>
            <w:tcBorders>
              <w:top w:val="nil"/>
              <w:left w:val="nil"/>
              <w:bottom w:val="nil"/>
              <w:right w:val="nil"/>
            </w:tcBorders>
          </w:tcPr>
          <w:p>
            <w:pPr>
              <w:pStyle w:val="Normal6a"/>
            </w:pPr>
            <w:r>
              <w:t>47.</w:t>
            </w:r>
            <w:r>
              <w:tab/>
            </w:r>
            <w:r>
              <w:t xml:space="preserve">z zadowoleniem odnotowuje osiągnięcia Komitetu w promowaniu strategii politycznych i programów Unii na szczeblu lokalnym i regionalnym, poprawie zasięgu jego prac konsultacyjnych oraz zwiększeniu jego widoczności i oddziaływania; </w:t>
            </w:r>
            <w:r>
              <w:rPr>
                <w:b/>
                <w:i/>
              </w:rPr>
              <w:t>zauważa, że strategia komunikacyjna Komitetu ma wzmocnić jego instytucjonalny i polityczny wizerunku jako głosu regionów, miast, wsi i gmin Unii, a jednocześnie wyeksponować istotną pracę jego członków, którzy dbają o związek polityk unijnych ze sprawami obywateli oraz wspierają zaangażowanie na szczeblu lokalnym i regionalnym;</w:t>
            </w:r>
            <w:r>
              <w:t xml:space="preserve"> odnotowuje w tym kontekście działania komunikacyjne Komitetu w 2023 r. w obszarach takich jak: – spójność (np. kampania „Promowanie spójności jako podstawowej wartości Unii” w ramach Europejskiego Tygodnia Regionów i Miast, w którym wzięło udział ponad 8000 uczestników); – zmiana klimatu (np. kampania „Budowanie odpornych i innowacyjnych społeczności lokalnych”); – demokracja (np. kampania „Nowy rozdział dla demokracji w UE” z 1400 zgłoszeniami do udziału w 14. konferencji EuropCom); – rozwój obszarów wiejskich (konferencja na Europejskim Kongresie LEADER w 2023 r.) w 2023 r.; wyraża uznanie dla Komitetu za wzrost liczby osób zarejestrowanych w Europejskiej Sieci Radnych Regionalnych i Lokalnych (z 2307 w 2022 r. do 3000 w 2023 r.) oraz liczby uczestników programu „Młode osoby z mandatem wyborczym” (z 775 w 2022 r. do 836 w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z zadowoleniem odnotowuje wysiłki Komitetu na rzecz zacieśnienia kontaktów z samorządami regionalnymi i społecznościami lokalnymi, w tym rozszerzenie Sieci Radnych Regionalnych i Lokalnych UE oraz programu „Młode osoby z mandatem wyborczym”;</w:t>
            </w:r>
            <w:r>
              <w:t xml:space="preserve"> </w:t>
            </w:r>
            <w:r>
              <w:rPr>
                <w:b/>
                <w:i/>
              </w:rPr>
              <w:t>wzywa Komitet do przeznaczenia dodatkowych środków na wspieranie regionalnych programów budowania potencjału, umożliwiających samorządom lokalnym lepszą realizację polityki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odnotowuje </w:t>
            </w:r>
            <w:r>
              <w:rPr>
                <w:b/>
                <w:i/>
              </w:rPr>
              <w:t>sukces</w:t>
            </w:r>
            <w:r>
              <w:t xml:space="preserve"> Komitetu w odniesieniu do działań informacyjnych w mediach, o czym świadczą ogólne wskaźniki za 2023 r., takie jak: 13 210 wzmianek w mediach, wzrost liczby odwiedzających w internecie o 129 % i wzrost liczby obserwujących o 11 %; zauważa, że jeśli chodzi o zaangażowanie cyfrowe, Komitet nie osiągnął swojego celu na 2023 r.; zauważa, że na koniec 2023 r. Komitet miał 200 000 obserwujących na swoich kanałach mediów społecznościowych, tj. o 15 % więcej niż w 2022 r., z czego 57 603 obserwujących (wzrost o 5 %) na X (dawniej Twitter), 61 170 (wzrost o 5 %) na Facebooku, 68 613 (wzrost o 31 %) na LinkedIn i 15 392 (wzrost o 47 %) na Instagramie;</w:t>
            </w:r>
          </w:p>
        </w:tc>
        <w:tc>
          <w:tcPr>
            <w:tcW w:w="4876" w:type="dxa"/>
            <w:tcBorders>
              <w:top w:val="nil"/>
              <w:left w:val="nil"/>
              <w:bottom w:val="nil"/>
              <w:right w:val="nil"/>
            </w:tcBorders>
          </w:tcPr>
          <w:p>
            <w:pPr>
              <w:pStyle w:val="Normal6a"/>
            </w:pPr>
            <w:r>
              <w:t>48.</w:t>
            </w:r>
            <w:r>
              <w:tab/>
            </w:r>
            <w:r>
              <w:t xml:space="preserve">odnotowuje </w:t>
            </w:r>
            <w:r>
              <w:rPr>
                <w:b/>
                <w:i/>
              </w:rPr>
              <w:t>względną porażkę</w:t>
            </w:r>
            <w:r>
              <w:t xml:space="preserve"> Komitetu w odniesieniu do działań informacyjnych w mediach, o czym świadczą ogólne wskaźniki za 2023 r., takie jak: 13 210 wzmianek w mediach, wzrost liczby odwiedzających w internecie o 129 % i wzrost liczby obserwujących o 11 %; zauważa, że jeśli chodzi o zaangażowanie cyfrowe, Komitet nie osiągnął swojego celu na 2023 r.; zauważa, że na koniec 2023 r. Komitet miał 200 000 obserwujących na swoich kanałach mediów społecznościowych, tj. o 15 % więcej niż w 2022 r., z czego 57 603 obserwujących (wzrost o 5 %) na X (dawniej Twitter), 61 170 (wzrost o 5 %) na Facebooku, 68 613 (wzrost o 31 %) na LinkedIn i 15 392 (wzrost o 47 %) na Instagramie;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49a.</w:t>
            </w:r>
            <w:r>
              <w:tab/>
            </w:r>
            <w:r>
              <w:rPr>
                <w:b/>
                <w:i/>
              </w:rPr>
              <w:t>W celu zwiększenia stabilności finansowej i niezależności Komitetu Regionów proponuje, aby ten organ doradczy przyjął samowystarczalny model finansowania oparty na opłatach subskrypcyjnych.</w:t>
            </w:r>
            <w:r>
              <w:t xml:space="preserve"> </w:t>
            </w:r>
            <w:r>
              <w:rPr>
                <w:b/>
                <w:i/>
              </w:rPr>
              <w:t>Opłaty te będą pobierane od szeregu zainteresowanych stron, w tym samorządów lokalnych i regionalnych (regionów, województw, powiatów, gmin, miast) i innych podmiotów aktywnie uczestniczących w pracach Komitetu.</w:t>
            </w:r>
            <w:r>
              <w:t xml:space="preserve"> </w:t>
            </w:r>
            <w:r>
              <w:rPr>
                <w:b/>
                <w:i/>
              </w:rPr>
              <w:t>Struktura opłat będzie wielopoziomowa, a stawki będą odzwierciedlać wielkość i poziom zaangażowania uczestniczących podmiotów.</w:t>
            </w:r>
            <w:r>
              <w:t xml:space="preserve"> </w:t>
            </w:r>
            <w:r>
              <w:rPr>
                <w:b/>
                <w:i/>
              </w:rPr>
              <w:t>Uzyskane przychody będą wykorzystywane wyłącznie na pokrycie kosztów operacyjnych, a roczne sprawozdania finansowe zapewnią przejrzystość wykorzystania środków.</w:t>
            </w:r>
            <w:r>
              <w:t xml:space="preserve"> </w:t>
            </w:r>
            <w:r>
              <w:rPr>
                <w:b/>
                <w:i/>
              </w:rPr>
              <w:t>Oczekuje się, że etapowe wdrażanie tego modelu stopniowo zmniejszy zależność od budżetu ogólnego UE, a do 2028 r. Komitet uzyskałby pełną samowystarczalność;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43</w:t>
    </w:r>
    <w:r>
      <w:fldChar w:fldCharType="end"/>
    </w:r>
    <w:r>
      <w:tab/>
    </w:r>
    <w:r>
      <w:rPr>
        <w:rStyle w:val="HideTWBExt"/>
      </w:rPr>
      <w:t>&lt;PathFdR&gt;</w:t>
    </w:r>
    <w:r>
      <w:t>AM\1314479PL.docx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AM\1314479PL.docx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43</w:t>
    </w:r>
    <w:r>
      <w:fldChar w:fldCharType="end"/>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AM\1314479PL.docx</w:t>
    </w:r>
    <w:r>
      <w:rPr>
        <w:rStyle w:val="HideTWBExt"/>
      </w:rPr>
      <w:t>&lt;/PathFdR&gt;</w:t>
    </w:r>
    <w:r>
      <w:tab/>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10092</Words>
  <Characters>62962</Characters>
  <Application>Microsoft Office Word</Application>
  <DocSecurity>0</DocSecurity>
  <Lines>1</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1314479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133166</vt:lpwstr>
  </property>
  <property fmtid="{D5CDD505-2E9C-101B-9397-08002B2CF9AE}" pid="7" name="dmxml.render.traceId">
    <vt:lpwstr>67bc37acb34466278b4add318be598f3</vt:lpwstr>
  </property>
  <property fmtid="{D5CDD505-2E9C-101B-9397-08002B2CF9AE}" pid="8" name="FooterPath">
    <vt:lpwstr>AM\1314479PL.docx</vt:lpwstr>
  </property>
  <property fmtid="{D5CDD505-2E9C-101B-9397-08002B2CF9AE}" pid="9" name="PE Number">
    <vt:lpwstr>768.129</vt:lpwstr>
  </property>
  <property fmtid="{D5CDD505-2E9C-101B-9397-08002B2CF9AE}" pid="10" name="UID">
    <vt:lpwstr>eu.europa.europarl-DIN1-2025-0000018465_01.00-pl-01.00_text-xml</vt:lpwstr>
  </property>
</Properties>
</file>