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Výbor pro rozpočtovou kontrolu</w:t>
      </w:r>
      <w:r>
        <w:rPr>
          <w:rStyle w:val="HideTWBExt"/>
        </w:rPr>
        <w:t>&lt;/Commission&gt;</w:t>
      </w:r>
    </w:p>
    <w:p>
      <w:pPr>
        <w:pStyle w:val="LineBottom"/>
      </w:pPr>
      <w:r>
        <w:t xml:space="preserve"> </w:t>
      </w:r>
    </w:p>
    <w:p>
      <w:pPr>
        <w:pStyle w:val="CoverReference"/>
      </w:pPr>
      <w:r>
        <w:rPr>
          <w:rStyle w:val="HideTWBExt"/>
        </w:rPr>
        <w:t>&lt;RefProc&gt;</w:t>
      </w:r>
      <w:r>
        <w:t>2024/2028</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{10/02/2025}</w:t>
      </w:r>
      <w:r>
        <w:t>10.2.2025</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1</w:t>
      </w:r>
      <w:r>
        <w:t xml:space="preserve"> - </w:t>
      </w:r>
      <w:r>
        <w:t>50</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Joachim Stanisław Brudziński</w:t>
      </w:r>
      <w:r>
        <w:rPr>
          <w:rStyle w:val="HideTWBExt"/>
        </w:rPr>
        <w:t>&lt;/Rapporteur&gt;</w:t>
      </w:r>
    </w:p>
    <w:p>
      <w:pPr>
        <w:pStyle w:val="CoverNormal24a"/>
      </w:pPr>
      <w:r>
        <w:rPr>
          <w:rStyle w:val="HideTWBExt"/>
        </w:rPr>
        <w:t>&lt;DocRefPE&gt;</w:t>
      </w:r>
      <w:r>
        <w:t>(PE764.990v01-00)</w:t>
      </w:r>
      <w:r>
        <w:rPr>
          <w:rStyle w:val="HideTWBExt"/>
        </w:rPr>
        <w:t>&lt;/DocRefPE&gt;</w:t>
      </w:r>
    </w:p>
    <w:p>
      <w:pPr>
        <w:pStyle w:val="CoverNormal"/>
      </w:pPr>
      <w:r>
        <w:rPr>
          <w:rStyle w:val="HideTWBExt"/>
        </w:rPr>
        <w:t>&lt;Titre&gt;</w:t>
      </w:r>
      <w:r>
        <w:t>Udělení absolutoria za rok 2023: souhrnný rozpočet EU – evropský inspektor ochrany údajů</w:t>
      </w:r>
      <w:r>
        <w:rPr>
          <w:rStyle w:val="HideTWBExt"/>
        </w:rPr>
        <w:t>&lt;/Titre&gt;</w:t>
      </w:r>
    </w:p>
    <w:p>
      <w:pPr>
        <w:pStyle w:val="CoverNormal24a"/>
      </w:pPr>
      <w:r>
        <w:rPr>
          <w:rStyle w:val="HideTWBExt"/>
        </w:rPr>
        <w:t>&lt;DocRef&gt;</w:t>
      </w:r>
      <w:r>
        <w:t>(2024/2028(DEC))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vzhledem k tomu, že EIOÚ vykonává své funkce v úzké spolupráci s dalšími úřady pro ochranu osobních údajů v rámci Evropského sboru pro ochranu osobních údajů (EDPB) a slouží veřejnému zájmu, přičemž se řídí zásadami nestrannosti, integrity, transparentnosti </w:t>
            </w:r>
            <w:r>
              <w:rPr>
                <w:b/>
                <w:i/>
              </w:rPr>
              <w:t>a pragmatismu</w:t>
            </w:r>
            <w:r>
              <w:t>;</w:t>
            </w:r>
          </w:p>
        </w:tc>
        <w:tc>
          <w:tcPr>
            <w:tcW w:w="4876" w:type="dxa"/>
            <w:tcBorders>
              <w:top w:val="nil"/>
              <w:left w:val="nil"/>
              <w:bottom w:val="nil"/>
              <w:right w:val="nil"/>
            </w:tcBorders>
          </w:tcPr>
          <w:p>
            <w:pPr>
              <w:pStyle w:val="Normal6a"/>
            </w:pPr>
            <w:r>
              <w:t>E.</w:t>
            </w:r>
            <w:r>
              <w:tab/>
            </w:r>
            <w:r>
              <w:t>vzhledem k tomu, že EIOÚ vykonává své funkce v úzké spolupráci s dalšími úřady pro ochranu osobních údajů v rámci Evropského sboru pro ochranu osobních údajů (EDPB) a slouží veřejnému zájmu, přičemž se řídí zásadami nestrannosti, integrity, transparentnosti</w:t>
            </w:r>
            <w:r>
              <w:rPr>
                <w:b/>
                <w:i/>
              </w:rPr>
              <w:t>, pragmatismu, a dodržuje právní předpisy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na základě zprávy Účetního dvora konstatuje, že v roce 2023 Účetní dvůr provedl audit platu jednoho úředníka, který naposledy učinil prohlášení o nároku na rodinné a dětské přídavky v roce 2020; připojuje se k obavám Účetního dvora, že zpoždění při přijímání a ověřování takových prohlášení zvyšuje riziko vzniku nezpůsobilých plateb;</w:t>
            </w:r>
          </w:p>
        </w:tc>
        <w:tc>
          <w:tcPr>
            <w:tcW w:w="4876" w:type="dxa"/>
            <w:tcBorders>
              <w:top w:val="nil"/>
              <w:left w:val="nil"/>
              <w:bottom w:val="nil"/>
              <w:right w:val="nil"/>
            </w:tcBorders>
          </w:tcPr>
          <w:p>
            <w:pPr>
              <w:pStyle w:val="Normal6a"/>
            </w:pPr>
            <w:r>
              <w:t>4.</w:t>
            </w:r>
            <w:r>
              <w:tab/>
            </w:r>
            <w:r>
              <w:t xml:space="preserve">na základě zprávy Účetního dvora konstatuje, že v roce 2023 Účetní dvůr provedl audit platu jednoho úředníka, který naposledy učinil prohlášení o nároku na rodinné a dětské přídavky v roce 2020; připojuje se k obavám Účetního dvora, že zpoždění při přijímání a ověřování takových prohlášení zvyšuje riziko vzniku nezpůsobilých plateb; </w:t>
            </w:r>
            <w:r>
              <w:rPr>
                <w:b/>
                <w:i/>
              </w:rPr>
              <w:t>navrhuje, aby bylo zavedeno počítačové sdílení údajů s evropskými školami, čímž by snížila administrativní zátěž týkající se dětí školního věku;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r>
        <w:rPr>
          <w:rStyle w:val="HideTWBExt"/>
          <w:b w:val="0"/>
        </w:rPr>
        <w:t>&lt;AuNomDe&gt;</w:t>
      </w:r>
      <w:r>
        <w:rPr>
          <w:rStyle w:val="HideTWBInt"/>
        </w:rPr>
        <w:t>{EPP}</w:t>
      </w:r>
      <w:r>
        <w:t>za skupinu PPE</w:t>
      </w:r>
      <w:r>
        <w:rPr>
          <w:rStyle w:val="HideTWBExt"/>
          <w:b w:val="0"/>
        </w:rPr>
        <w:t>&lt;/AuNomDe&gt;</w:t>
      </w:r>
    </w:p>
    <w:p>
      <w:pPr>
        <w:pStyle w:val="NormalBold"/>
      </w:pP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s uspokojením konstatuje</w:t>
            </w:r>
            <w:r>
              <w:t>, že úsilí EIOÚ v oblasti monitorování a plánování rozpočtu v rozpočtovém roce 2023 vedlo v roce 2023 k míře plnění rozpočtu u prostředků na závazky v běžném roce 96 % (o něco méně než v roce 2022, kdy tato míra činila 98 %); na základě zprávy o roční účetní závěrce EIOÚ dále konstatuje, že za rok 2023 činila míra čerpání prostředků na platby v běžném roce 84 % (méně než v roce 2022, kdy tato míra činila 88 %); na základě odpovědí EIOÚ na dotazník předložený Výborem pro rozpočtovou kontrolu k udělení absolutoria za rozpočtový rok 2023 (dále jen „dotazník“) dále poznamenává, že celková míra plnění prostředků na platby činila v roce 2023 91,33 %, což je méně než 94,09 % v roce 2022;</w:t>
            </w:r>
          </w:p>
        </w:tc>
        <w:tc>
          <w:tcPr>
            <w:tcW w:w="4876" w:type="dxa"/>
            <w:tcBorders>
              <w:top w:val="nil"/>
              <w:left w:val="nil"/>
              <w:bottom w:val="nil"/>
              <w:right w:val="nil"/>
            </w:tcBorders>
          </w:tcPr>
          <w:p>
            <w:pPr>
              <w:pStyle w:val="Normal6a"/>
            </w:pPr>
            <w:r>
              <w:t>6.</w:t>
            </w:r>
            <w:r>
              <w:tab/>
            </w:r>
            <w:r>
              <w:rPr>
                <w:b/>
                <w:i/>
              </w:rPr>
              <w:t>uznává</w:t>
            </w:r>
            <w:r>
              <w:t>, že úsilí EIOÚ v oblasti monitorování a plánování rozpočtu v rozpočtovém roce 2023 vedlo v roce 2023 k míře plnění rozpočtu u prostředků na závazky v běžném roce 96 % (o něco méně než v roce 2022, kdy tato míra činila 98 %); na základě zprávy o roční účetní závěrce EIOÚ dále konstatuje, že za rok 2023 činila míra čerpání prostředků na platby v běžném roce 84 % (méně než v roce 2022, kdy tato míra činila 88 %); na základě odpovědí EIOÚ na dotazník předložený Výborem pro rozpočtovou kontrolu k udělení absolutoria za rozpočtový rok 2023 (dále jen „dotazník“) dále poznamenává, že celková míra plnění prostředků na platby činila v roce 2023 91,33 %, což je méně než 94,09 % v roce 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r>
        <w:rPr>
          <w:rStyle w:val="HideTWBExt"/>
          <w:b w:val="0"/>
        </w:rPr>
        <w:t>&lt;AuNomDe&gt;</w:t>
      </w:r>
      <w:r>
        <w:rPr>
          <w:rStyle w:val="HideTWBInt"/>
        </w:rPr>
        <w:t>{EPP}</w:t>
      </w:r>
      <w:r>
        <w:t>za skupinu PPE</w:t>
      </w:r>
      <w:r>
        <w:rPr>
          <w:rStyle w:val="HideTWBExt"/>
          <w:b w:val="0"/>
        </w:rPr>
        <w:t>&lt;/AuNomDe&gt;</w:t>
      </w:r>
    </w:p>
    <w:p>
      <w:pPr>
        <w:pStyle w:val="NormalBold"/>
      </w:pP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konstatuje, že důsledky ruské útočné války proti Ukrajině v roce 2023 nadále vytvářely rozpočtový tlak na EIOÚ, mimo jiné prostřednictvím rostoucí inflace a následného zvýšení nákladů na energie, přičemž nejvíce postiženými rozpočtovými položkami byly platy zaměstnanců, zabezpečení a ostraha budov, nájemné, náklady na služební cesty a služby poskytované externími zaměstnanci; chválí v této souvislosti EIOÚ za to, že upravil své priority a provedl vnitřní přerozdělení prostředků v rámci rozpočtových kapitol; chápe, že tato rozpočtová optimalizace byla nezbytná k úspěšnému zvládnutí indexace platů zaměstnanců a nájemného, jakož i zvýšení nákladů na služby externí právní pomoci v důsledku zvýšeného počtu závazných rozhodnutí EIOÚ, což vedlo k většímu počtu případů, které bylo třeba obhajovat před Soudním dvorem Evropské unie (SDEU) s využitím externí právní pomoci; v této souvislosti lituje, že EIOÚ musel odložit některé ze svých činností, jako je studie o proveditelnosti umělé inteligence;</w:t>
            </w:r>
          </w:p>
        </w:tc>
        <w:tc>
          <w:tcPr>
            <w:tcW w:w="4876" w:type="dxa"/>
            <w:tcBorders>
              <w:top w:val="nil"/>
              <w:left w:val="nil"/>
              <w:bottom w:val="nil"/>
              <w:right w:val="nil"/>
            </w:tcBorders>
          </w:tcPr>
          <w:p>
            <w:pPr>
              <w:pStyle w:val="Normal6a"/>
            </w:pPr>
            <w:r>
              <w:t>9.</w:t>
            </w:r>
            <w:r>
              <w:tab/>
            </w:r>
            <w:r>
              <w:t xml:space="preserve">konstatuje, že důsledky </w:t>
            </w:r>
            <w:r>
              <w:rPr>
                <w:b/>
                <w:i/>
              </w:rPr>
              <w:t>nezákonné</w:t>
            </w:r>
            <w:r>
              <w:t xml:space="preserve"> ruské útočné války proti Ukrajině v roce 2023 nadále vytvářely rozpočtový tlak na EIOÚ, mimo jiné prostřednictvím rostoucí inflace a následného zvýšení nákladů na energie, přičemž nejvíce postiženými rozpočtovými položkami byly platy zaměstnanců, zabezpečení a ostraha budov, nájemné, náklady na služební cesty a služby poskytované externími zaměstnanci; chválí v této souvislosti EIOÚ za to, že upravil své priority a provedl vnitřní přerozdělení prostředků v rámci rozpočtových kapitol; chápe, že tato rozpočtová optimalizace byla nezbytná k úspěšnému zvládnutí indexace platů zaměstnanců a nájemného, jakož i zvýšení nákladů na služby externí právní pomoci v důsledku zvýšeného počtu závazných rozhodnutí EIOÚ, což vedlo k většímu počtu případů, které bylo třeba obhajovat před Soudním dvorem Evropské unie (SDEU) s využitím externí právní pomoci; v této souvislosti lituje, že EIOÚ musel odložit některé ze svých činností, jako je studie o proveditelnosti umělé inteligence; </w:t>
            </w:r>
            <w:r>
              <w:rPr>
                <w:b/>
                <w:i/>
              </w:rPr>
              <w:t>vyzývá EIOÚ, aby dodržoval pravomoci svého mandátu ve spolupráci s evropskými orgány a agenturami a aby se vyvaroval zahájení jakýchkoli právních kroků, zejména těch, které jsou zjevně nepřípustné, s cílem zabránit negativním dopadům na řízení zdrojů, a které úřadu EIOÚ neumožňují vykonávat jeho činnost jakožto orgánu;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konstatuje, že </w:t>
            </w:r>
            <w:r>
              <w:rPr>
                <w:b/>
                <w:i/>
              </w:rPr>
              <w:t>důsledky ruské útočné války proti Ukrajině</w:t>
            </w:r>
            <w:r>
              <w:t xml:space="preserve"> v roce </w:t>
            </w:r>
            <w:r>
              <w:rPr>
                <w:b/>
                <w:i/>
              </w:rPr>
              <w:t>2023 nadále vytvářely rozpočtový tlak na EIOÚ</w:t>
            </w:r>
            <w:r>
              <w:t xml:space="preserve">, mimo jiné </w:t>
            </w:r>
            <w:r>
              <w:rPr>
                <w:b/>
                <w:i/>
              </w:rPr>
              <w:t>prostřednictvím</w:t>
            </w:r>
            <w:r>
              <w:t xml:space="preserve"> rostoucí inflace a následného zvýšení nákladů na energie, přičemž nejvíce postiženými rozpočtovými položkami byly platy zaměstnanců, zabezpečení a ostraha budov, nájemné, náklady na služební cesty a služby poskytované externími zaměstnanci; chválí v této souvislosti EIOÚ za to, že upravil své priority a provedl vnitřní přerozdělení prostředků v rámci rozpočtových kapitol; chápe, že tato rozpočtová optimalizace byla nezbytná k úspěšnému zvládnutí indexace platů zaměstnanců a nájemného, jakož i zvýšení nákladů na služby externí právní pomoci v důsledku zvýšeného počtu závazných rozhodnutí EIOÚ, což vedlo k většímu počtu případů, které bylo třeba obhajovat před Soudním dvorem Evropské unie (SDEU) s využitím externí právní pomoci; v této souvislosti lituje, že EIOÚ musel odložit některé ze svých činností, jako je studie o proveditelnosti umělé inteligence;</w:t>
            </w:r>
          </w:p>
        </w:tc>
        <w:tc>
          <w:tcPr>
            <w:tcW w:w="4876" w:type="dxa"/>
            <w:tcBorders>
              <w:top w:val="nil"/>
              <w:left w:val="nil"/>
              <w:bottom w:val="nil"/>
              <w:right w:val="nil"/>
            </w:tcBorders>
          </w:tcPr>
          <w:p>
            <w:pPr>
              <w:pStyle w:val="Normal6a"/>
            </w:pPr>
            <w:r>
              <w:t>9.</w:t>
            </w:r>
            <w:r>
              <w:tab/>
            </w:r>
            <w:r>
              <w:t xml:space="preserve">konstatuje, že </w:t>
            </w:r>
            <w:r>
              <w:rPr>
                <w:b/>
                <w:i/>
              </w:rPr>
              <w:t>úřad EIOÚ čelil</w:t>
            </w:r>
            <w:r>
              <w:t xml:space="preserve"> v roce </w:t>
            </w:r>
            <w:r>
              <w:rPr>
                <w:b/>
                <w:i/>
              </w:rPr>
              <w:t>pokračujícímu rozpočtovému tlaku</w:t>
            </w:r>
            <w:r>
              <w:t xml:space="preserve">, mimo jiné </w:t>
            </w:r>
            <w:r>
              <w:rPr>
                <w:b/>
                <w:i/>
              </w:rPr>
              <w:t>v důsledku</w:t>
            </w:r>
            <w:r>
              <w:t xml:space="preserve"> rostoucí inflace a následného zvýšení nákladů na energie, přičemž nejvíce postiženými rozpočtovými položkami byly platy zaměstnanců, zabezpečení a ostraha budov, nájemné, náklady na služební cesty a služby poskytované externími zaměstnanci; chválí v této souvislosti EIOÚ za to, že upravil své priority a provedl vnitřní přerozdělení prostředků v rámci rozpočtových kapitol; chápe, že tato rozpočtová optimalizace byla nezbytná k úspěšnému zvládnutí indexace platů zaměstnanců a nájemného, jakož i zvýšení nákladů na služby externí právní pomoci v důsledku zvýšeného počtu závazných rozhodnutí EIOÚ, což vedlo k většímu počtu případů, které bylo třeba obhajovat před Soudním dvorem Evropské unie (SDEU) s využitím externí právní pomoci; v této souvislosti lituje, že EIOÚ musel odložit některé ze svých činností, jako je studie o proveditelnosti umělé inteligence; </w:t>
            </w:r>
            <w:r>
              <w:rPr>
                <w:b/>
                <w:i/>
              </w:rPr>
              <w:t>vybízí EIOÚ, aby k přerozdělení svých finančních prostředků a snížení nákladů využíval inovativní rozpočtové nástroje, jako je sestavování rozpočtu s nulovým základem;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Vlad Vasile-Voiculescu,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na základě dotazníku konstatuje, že rozpočet EIOÚ na služební cesty zaměstnanců se zvýšil o 28,90 % z 251 000 EUR v roce 2022 na 323 421 EUR v roce 2023 v důsledku zvýšení cen letenek a hotelů; konstatuje, že v rámci tohoto rozpočtu byla na služební cesty inspektora v roce 2023 vyčleněna částka 33 000 EUR; na základě výroční zprávy rovněž konstatuje, že došlo ke zvýšení počtu služebních cest zaměstnanců ze 171 v roce 2022 na 246 v roce 2023;</w:t>
            </w:r>
          </w:p>
        </w:tc>
        <w:tc>
          <w:tcPr>
            <w:tcW w:w="4876" w:type="dxa"/>
            <w:tcBorders>
              <w:top w:val="nil"/>
              <w:left w:val="nil"/>
              <w:bottom w:val="nil"/>
              <w:right w:val="nil"/>
            </w:tcBorders>
          </w:tcPr>
          <w:p>
            <w:pPr>
              <w:pStyle w:val="Normal6a"/>
            </w:pPr>
            <w:r>
              <w:t>10.</w:t>
            </w:r>
            <w:r>
              <w:tab/>
            </w:r>
            <w:r>
              <w:t xml:space="preserve">na základě dotazníku konstatuje, že rozpočet EIOÚ na služební cesty zaměstnanců se zvýšil o 28,90 % z 251 000 EUR v roce 2022 na 323 421 EUR v roce 2023 v důsledku zvýšení cen letenek a hotelů; konstatuje, že v rámci tohoto rozpočtu byla na služební cesty inspektora v roce 2023 vyčleněna částka 33 000 EUR; na základě výroční zprávy rovněž konstatuje, že došlo ke zvýšení počtu služebních cest zaměstnanců ze 171 v roce 2022 na 246 v roce 2023; </w:t>
            </w:r>
            <w:r>
              <w:rPr>
                <w:b/>
                <w:i/>
              </w:rPr>
              <w:t>vybízí EIOÚ, aby podporoval používání videokonferenčních nástrojů tam, kde je to vhodné, neboť by to mohlo přispět ke snížení počtu služebních cest a nákladů;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na základě dotazníku konstatuje, že rozpočet EIOÚ</w:t>
            </w:r>
            <w:r>
              <w:t xml:space="preserve"> na služební cesty zaměstnanců </w:t>
            </w:r>
            <w:r>
              <w:rPr>
                <w:b/>
                <w:i/>
              </w:rPr>
              <w:t>se zvýšil o 28,90 % z 251 000</w:t>
            </w:r>
            <w:r>
              <w:t xml:space="preserve"> EUR v roce 2022 na </w:t>
            </w:r>
            <w:r>
              <w:rPr>
                <w:b/>
                <w:i/>
              </w:rPr>
              <w:t>323 421</w:t>
            </w:r>
            <w:r>
              <w:t xml:space="preserve"> EUR v roce 2023 </w:t>
            </w:r>
            <w:r>
              <w:rPr>
                <w:b/>
                <w:i/>
              </w:rPr>
              <w:t>v důsledku zvýšení cen letenek a hotelů</w:t>
            </w:r>
            <w:r>
              <w:t xml:space="preserve">; konstatuje, že </w:t>
            </w:r>
            <w:r>
              <w:rPr>
                <w:b/>
                <w:i/>
              </w:rPr>
              <w:t>v rámci tohoto rozpočtu byla na služební cesty inspektora v roce 2023 vyčleněna částka 33 000 EUR;</w:t>
            </w:r>
            <w:r>
              <w:t xml:space="preserve"> </w:t>
            </w:r>
            <w:r>
              <w:rPr>
                <w:b/>
                <w:i/>
              </w:rPr>
              <w:t>na základě výroční zprávy rovněž konstatuje, že došlo ke zvýšení počtu služebních cest zaměstnanců ze 171 v roce 2022 na 246 v roce 2023</w:t>
            </w:r>
            <w:r>
              <w:t>;</w:t>
            </w:r>
          </w:p>
        </w:tc>
        <w:tc>
          <w:tcPr>
            <w:tcW w:w="4876" w:type="dxa"/>
            <w:tcBorders>
              <w:top w:val="nil"/>
              <w:left w:val="nil"/>
              <w:bottom w:val="nil"/>
              <w:right w:val="nil"/>
            </w:tcBorders>
          </w:tcPr>
          <w:p>
            <w:pPr>
              <w:pStyle w:val="Normal6a"/>
            </w:pPr>
            <w:r>
              <w:t>10.</w:t>
            </w:r>
            <w:r>
              <w:tab/>
            </w:r>
            <w:r>
              <w:rPr>
                <w:b/>
                <w:i/>
              </w:rPr>
              <w:t>vyjadřuje znepokojení nad výrazným nárůstem nákladů</w:t>
            </w:r>
            <w:r>
              <w:t xml:space="preserve"> na služební cesty zaměstnanců </w:t>
            </w:r>
            <w:r>
              <w:rPr>
                <w:b/>
                <w:i/>
              </w:rPr>
              <w:t>EIOÚ, a to z 28 789 EUR v roce 2021 a 176 903</w:t>
            </w:r>
            <w:r>
              <w:t xml:space="preserve"> EUR v roce 2022 na </w:t>
            </w:r>
            <w:r>
              <w:rPr>
                <w:b/>
                <w:i/>
              </w:rPr>
              <w:t>284 580</w:t>
            </w:r>
            <w:r>
              <w:t> EUR v roce 2023</w:t>
            </w:r>
            <w:r>
              <w:rPr>
                <w:b/>
                <w:i/>
              </w:rPr>
              <w:t>;</w:t>
            </w:r>
            <w:r>
              <w:t xml:space="preserve"> </w:t>
            </w:r>
            <w:r>
              <w:rPr>
                <w:b/>
                <w:i/>
              </w:rPr>
              <w:t>vyzývá EIOÚ, aby posoudil, zda jsou zdroje vynaložené na služební cesty využívány vhodně a efektivně</w:t>
            </w:r>
            <w:r>
              <w:t xml:space="preserve">; konstatuje, že </w:t>
            </w:r>
            <w:r>
              <w:rPr>
                <w:b/>
                <w:i/>
              </w:rPr>
              <w:t>EIOÚ přestal zveřejňovat počet služebních cest financovaných organizátory, jakož i informace o tom, která oddělení (nebo odbory) se jednotlivých služebních cest zúčastnila, čímž se snížila transparentnost, pokud jde o výdaje na služební cesty;</w:t>
            </w:r>
            <w:r>
              <w:t xml:space="preserve"> </w:t>
            </w:r>
            <w:r>
              <w:rPr>
                <w:b/>
                <w:i/>
              </w:rPr>
              <w:t>vyzývá EIOÚ, aby tuto praxi obnovil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vyzývá úřad EPPO, aby zjistil, jak je možné, že selhal regulační rámec Evropského parlamentu pro předcházení korupci a podvodům a umožnil, aby poslanci Evropského parlamentu byli několik let aktivně zapojeni do sítě podobné mafii podílející se na korupci a praní peněz, aniž by byli odhaleni;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vyzývá tento orgán, aby získané zkušenosti a závěry zohlednil ve svých vnitřních pravidlech a postupech a přihlédl i k revizi jednacího řádu a kodexu chování Parlamentu ze září 2023, doporučuje mu však, aby navrhl další a ráznější způsoby, jak zintenzivnit boj proti podvodům a plně chránit finanční zájmy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r>
        <w:rPr>
          <w:rStyle w:val="HideTWBExt"/>
          <w:b w:val="0"/>
        </w:rPr>
        <w:t>&lt;AuNomDe&gt;</w:t>
      </w:r>
      <w:r>
        <w:rPr>
          <w:rStyle w:val="HideTWBInt"/>
        </w:rPr>
        <w:t>{EPP}</w:t>
      </w:r>
      <w:r>
        <w:t>za skupinu PPE</w:t>
      </w:r>
      <w:r>
        <w:rPr>
          <w:rStyle w:val="HideTWBExt"/>
          <w:b w:val="0"/>
        </w:rPr>
        <w:t>&lt;/AuNomDe&gt;</w:t>
      </w:r>
    </w:p>
    <w:p>
      <w:pPr>
        <w:pStyle w:val="NormalBold"/>
      </w:pP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konstatuje, že v roce 2023 provedl EIOÚ osm vyšetřování a pět předběžných šetření, což představuje významný nárůst ve srovnání s předchozími roky; konstatuje, že v roce 2023 se EIOÚ aktivně podílel na celkem 13 vyšetřováních a sedmi předběžných šetřeních, která buď byla zahájena v roce 2023, nebo byla přenesena z předchozích let; konstatuje, že EIOÚ pokračoval ve dvou složitých formálních vyšetřování vyžadujících značné zdroje z roku 2021, která se týkala se používání cloudových služeb orgány, institucemi nebo jinými subjekty Unie od subjektů mimo EU/EHP, včetně zaměření na používání Microsoft 365 ze strany Komise; dále konstatuje, že EIOÚ rovněž zahájil pět vyšetřování na základě stížností na internetové stránky orgánů, institucí nebo jiných subjektů Unie, které jsou široce zaměřené na otázky týkající se soukromí a ochrany údajů, přičemž předběžné posouzení se očekává v roce 2024;</w:t>
            </w:r>
          </w:p>
        </w:tc>
        <w:tc>
          <w:tcPr>
            <w:tcW w:w="4876" w:type="dxa"/>
            <w:tcBorders>
              <w:top w:val="nil"/>
              <w:left w:val="nil"/>
              <w:bottom w:val="nil"/>
              <w:right w:val="nil"/>
            </w:tcBorders>
          </w:tcPr>
          <w:p>
            <w:pPr>
              <w:pStyle w:val="Normal6a"/>
            </w:pPr>
            <w:r>
              <w:t>16.</w:t>
            </w:r>
            <w:r>
              <w:tab/>
            </w:r>
            <w:r>
              <w:t xml:space="preserve">konstatuje, že v roce 2023 provedl EIOÚ osm vyšetřování a pět předběžných šetření, což představuje významný nárůst ve srovnání s předchozími roky; konstatuje, že v roce 2023 se EIOÚ aktivně podílel na celkem 13 vyšetřováních a sedmi předběžných šetřeních, která buď byla zahájena v roce 2023, nebo byla přenesena z předchozích let; konstatuje, že EIOÚ pokračoval ve dvou složitých formálních vyšetřování vyžadujících značné zdroje z roku 2021, která se týkala se používání cloudových služeb orgány, institucemi nebo jinými subjekty Unie od subjektů mimo EU/EHP, včetně zaměření na používání Microsoft 365 ze strany Komise; </w:t>
            </w:r>
            <w:r>
              <w:rPr>
                <w:b/>
                <w:i/>
              </w:rPr>
              <w:t>naléhavě vyzývá, aby toto vyšetřování bylo dokončeno včas, a to s ohledem na jeho značný dopad na fungování orgánů a institucí;</w:t>
            </w:r>
            <w:r>
              <w:t xml:space="preserve"> dále konstatuje, že EIOÚ rovněž zahájil pět vyšetřování na základě stížností na internetové stránky orgánů, institucí nebo jiných subjektů Unie, které jsou široce zaměřené na otázky týkající se soukromí a ochrany údajů, přičemž předběžné posouzení se očekává v roce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naléhavě vyzývá EIOÚ, aby upřednostnil a zlepšil postupy pro nakládání s osobními údaji nezletilých osob mladších 15 let, zejména v souvislosti se systémy Europolu, kde mohou být tyto osoby označeny za podezřelé;</w:t>
            </w:r>
            <w:r>
              <w:t xml:space="preserve"> </w:t>
            </w:r>
            <w:r>
              <w:rPr>
                <w:b/>
                <w:i/>
              </w:rPr>
              <w:t>uznává zvýšenou zranitelnost této skupiny a potřebu spolehlivých záruk;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vyjadřuje politování nad tím, že Komise nezákonně cílila reklamu namířenou na občany tím, že použila citlivé osobní údaje týkající se jejich politických názorů;</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blahopřeje EIOÚ k jeho nasazení při ochraně údajů a k tomu, že přijal rozhodnutí namířené proti Komisi;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r>
        <w:rPr>
          <w:rStyle w:val="HideTWBExt"/>
          <w:b w:val="0"/>
        </w:rPr>
        <w:t>&lt;AuNomDe&gt;</w:t>
      </w:r>
      <w:r>
        <w:rPr>
          <w:rStyle w:val="HideTWBInt"/>
        </w:rPr>
        <w:t>{EPP}</w:t>
      </w:r>
      <w:r>
        <w:t>za skupinu PPE</w:t>
      </w:r>
      <w:r>
        <w:rPr>
          <w:rStyle w:val="HideTWBExt"/>
          <w:b w:val="0"/>
        </w:rPr>
        <w:t>&lt;/AuNomDe&gt;</w:t>
      </w:r>
    </w:p>
    <w:p>
      <w:pPr>
        <w:pStyle w:val="NormalBold"/>
      </w:pP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připomíná, že v roce 2022 podal EIOÚ u Soudního dvora EU žalobu na zrušení dvou ustanovení pozměněného nařízení o Europolu, kterou Soudní dvůr později zamítl; konstatuje, že se EIOÚ rozhodl odvolat proti rozhodnutí Tribunálu ve věci T-578/22, a je přesvědčen, že vznesené otázky by měly být řešeny na nejvyšší úrovni; </w:t>
            </w:r>
            <w:r>
              <w:rPr>
                <w:b/>
                <w:i/>
              </w:rPr>
              <w:t>uznává</w:t>
            </w:r>
            <w:r>
              <w:t xml:space="preserve">, že EIOÚ </w:t>
            </w:r>
            <w:r>
              <w:rPr>
                <w:b/>
                <w:i/>
              </w:rPr>
              <w:t>nenapadl určité</w:t>
            </w:r>
            <w:r>
              <w:t xml:space="preserve"> jednání ze strany Europolu, ale zpětnou změnu právního rámce, jejímž cílem je neutralizovat účinky donucovacích opatření EIOÚ; </w:t>
            </w:r>
            <w:r>
              <w:rPr>
                <w:b/>
                <w:i/>
              </w:rPr>
              <w:t>konstatuje, že Europol v této věci žalované spolunormotvůrce nepodpořil</w:t>
            </w:r>
            <w:r>
              <w:t xml:space="preserve">; dále konstatuje, že EIOÚ rovněž provedl kroky navazující na provádění svého usnesení ze dne 3. ledna 2022, včetně kontrol podávání zpráv ze strany Europolu, </w:t>
            </w:r>
            <w:r>
              <w:rPr>
                <w:b/>
                <w:i/>
              </w:rPr>
              <w:t>přičemž</w:t>
            </w:r>
            <w:r>
              <w:t xml:space="preserve"> závěrečnou zprávu v této věci EIOÚ zaslal </w:t>
            </w:r>
            <w:r>
              <w:rPr>
                <w:b/>
                <w:i/>
              </w:rPr>
              <w:t>dne</w:t>
            </w:r>
            <w:r>
              <w:t xml:space="preserve"> 22. července 2024;</w:t>
            </w:r>
          </w:p>
        </w:tc>
        <w:tc>
          <w:tcPr>
            <w:tcW w:w="4876" w:type="dxa"/>
            <w:tcBorders>
              <w:top w:val="nil"/>
              <w:left w:val="nil"/>
              <w:bottom w:val="nil"/>
              <w:right w:val="nil"/>
            </w:tcBorders>
          </w:tcPr>
          <w:p>
            <w:pPr>
              <w:pStyle w:val="Normal6a"/>
            </w:pPr>
            <w:r>
              <w:t>18.</w:t>
            </w:r>
            <w:r>
              <w:tab/>
            </w:r>
            <w:r>
              <w:t xml:space="preserve">připomíná, že v roce 2022 podal EIOÚ u Soudního dvora EU žalobu na zrušení dvou ustanovení pozměněného nařízení o Europolu, kterou Soudní dvůr později zamítl; konstatuje, že se EIOÚ rozhodl odvolat proti rozhodnutí Tribunálu ve věci T-578/22, a je přesvědčen, že vznesené otázky by měly být řešeny na nejvyšší úrovni; </w:t>
            </w:r>
            <w:r>
              <w:rPr>
                <w:b/>
                <w:i/>
              </w:rPr>
              <w:t>vyjadřuje politování nad tím</w:t>
            </w:r>
            <w:r>
              <w:t xml:space="preserve">, že EIOÚ </w:t>
            </w:r>
            <w:r>
              <w:rPr>
                <w:b/>
                <w:i/>
              </w:rPr>
              <w:t>si neuvědomil zjevnou nepřípustnost svého odvolání, i když tento orgán neměl v úmyslu napadnout</w:t>
            </w:r>
            <w:r>
              <w:t xml:space="preserve"> jednání ze strany Europolu, ale zpětnou změnu právního rámce, jejímž cílem je neutralizovat účinky donucovacích opatření EIOÚ; </w:t>
            </w:r>
            <w:r>
              <w:rPr>
                <w:b/>
                <w:i/>
              </w:rPr>
              <w:t>vyzývá tento orgán, aby před zahájením soudního řízení, které brání plnění jeho mandátu a využívání jeho zdrojů k účelům nebo k zamýšleným účelům, spolupracoval s evropskými orgány a agenturami</w:t>
            </w:r>
            <w:r>
              <w:t xml:space="preserve">; dále konstatuje, že EIOÚ rovněž provedl kroky navazující na provádění svého usnesení ze dne 3. ledna 2022, včetně kontrol podávání zpráv ze strany Europolu, </w:t>
            </w:r>
            <w:r>
              <w:rPr>
                <w:b/>
                <w:i/>
              </w:rPr>
              <w:t>a vyjadřuje politování nad tím, že</w:t>
            </w:r>
            <w:r>
              <w:t xml:space="preserve"> závěrečnou zprávu v této věci EIOÚ zaslal </w:t>
            </w:r>
            <w:r>
              <w:rPr>
                <w:b/>
                <w:i/>
              </w:rPr>
              <w:t>až</w:t>
            </w:r>
            <w:r>
              <w:t xml:space="preserve"> 22. července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připomíná, že v roce 2022 podal EIOÚ u Soudního dvora EU žalobu na zrušení dvou ustanovení pozměněného nařízení o Europolu, kterou Soudní dvůr později zamítl; konstatuje, že se EIOÚ rozhodl odvolat proti rozhodnutí Tribunálu ve věci T-578/22, a je přesvědčen, že vznesené otázky by měly být řešeny na nejvyšší úrovni; uznává, že EIOÚ nenapadl určité jednání ze strany Europolu, ale zpětnou změnu právního rámce, jejímž cílem je neutralizovat účinky donucovacích opatření EIOÚ; konstatuje, že Europol v této věci žalované spolunormotvůrce nepodpořil; dále konstatuje, že EIOÚ rovněž provedl kroky navazující na provádění svého usnesení ze dne 3. ledna 2022, včetně kontrol podávání zpráv ze strany Europolu, přičemž závěrečnou zprávu v této věci EIOÚ zaslal dne 22. července 2024;</w:t>
            </w:r>
          </w:p>
        </w:tc>
        <w:tc>
          <w:tcPr>
            <w:tcW w:w="4876" w:type="dxa"/>
            <w:tcBorders>
              <w:top w:val="nil"/>
              <w:left w:val="nil"/>
              <w:bottom w:val="nil"/>
              <w:right w:val="nil"/>
            </w:tcBorders>
          </w:tcPr>
          <w:p>
            <w:pPr>
              <w:pStyle w:val="Normal6a"/>
            </w:pPr>
            <w:r>
              <w:t>18.</w:t>
            </w:r>
            <w:r>
              <w:tab/>
            </w:r>
            <w:r>
              <w:t xml:space="preserve">připomíná, že v roce 2022 podal EIOÚ u Soudního dvora EU žalobu na zrušení dvou ustanovení pozměněného nařízení o Europolu, kterou Soudní dvůr později zamítl; konstatuje, že se EIOÚ rozhodl odvolat proti rozhodnutí Tribunálu ve věci T-578/22, a je přesvědčen, že vznesené otázky by měly být řešeny na nejvyšší úrovni; uznává, že EIOÚ nenapadl určité jednání ze strany Europolu, ale zpětnou změnu právního rámce, jejímž cílem je neutralizovat účinky donucovacích opatření EIOÚ; konstatuje, že Europol v této věci žalované spolunormotvůrce nepodpořil; dále konstatuje, že EIOÚ rovněž provedl kroky navazující na provádění svého usnesení ze dne 3. ledna 2022, včetně kontrol podávání zpráv ze strany Europolu, přičemž závěrečnou zprávu v této věci EIOÚ zaslal dne 22. července 2024; </w:t>
            </w:r>
            <w:r>
              <w:rPr>
                <w:b/>
                <w:i/>
              </w:rPr>
              <w:t>připomíná, že skutečnost, že se EIOÚ v rámci své dohledové funkce obrací na Soudní dvůr s důležitými právními otázkami, by neměla být vnímána tak, že ohrožuje loajální spolupráci a dobré vztahy mezi EIOÚ a subjekty, nad nimiž vykonává dohled;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připomíná, že v roce 2022 podal EIOÚ u Soudního dvora EU žalobu na zrušení dvou ustanovení pozměněného nařízení o Europolu, kterou Soudní dvůr později zamítl; konstatuje, že se EIOÚ rozhodl odvolat proti rozhodnutí Tribunálu ve věci T-578/22, a je přesvědčen, že vznesené otázky by měly být řešeny na nejvyšší úrovni; uznává, že EIOÚ nenapadl určité jednání ze strany Europolu, ale zpětnou změnu právního rámce, jejímž cílem je neutralizovat účinky donucovacích opatření EIOÚ; </w:t>
            </w:r>
            <w:r>
              <w:rPr>
                <w:b/>
                <w:i/>
              </w:rPr>
              <w:t>konstatuje, že Europol v této věci žalované spolunormotvůrce nepodpořil;</w:t>
            </w:r>
            <w:r>
              <w:t xml:space="preserve"> dále konstatuje, že EIOÚ rovněž provedl kroky navazující na provádění svého usnesení ze dne 3. ledna 2022, včetně kontrol podávání zpráv ze strany Europolu, přičemž závěrečnou zprávu v této věci EIOÚ zaslal dne 22. července 2024;</w:t>
            </w:r>
          </w:p>
        </w:tc>
        <w:tc>
          <w:tcPr>
            <w:tcW w:w="4876" w:type="dxa"/>
            <w:tcBorders>
              <w:top w:val="nil"/>
              <w:left w:val="nil"/>
              <w:bottom w:val="nil"/>
              <w:right w:val="nil"/>
            </w:tcBorders>
          </w:tcPr>
          <w:p>
            <w:pPr>
              <w:pStyle w:val="Normal6a"/>
            </w:pPr>
            <w:r>
              <w:t>18.</w:t>
            </w:r>
            <w:r>
              <w:tab/>
            </w:r>
            <w:r>
              <w:t>připomíná, že v roce 2022 podal EIOÚ u Soudního dvora EU žalobu na zrušení dvou ustanovení pozměněného nařízení o Europolu, kterou Soudní dvůr později zamítl; konstatuje, že se EIOÚ rozhodl odvolat proti rozhodnutí Tribunálu ve věci T-578/22, a je přesvědčen, že vznesené otázky by měly být řešeny na nejvyšší úrovni; uznává, že EIOÚ nenapadl určité jednání ze strany Europolu, ale zpětnou změnu právního rámce, jejímž cílem je neutralizovat účinky donucovacích opatření EIOÚ; dále konstatuje, že EIOÚ rovněž provedl kroky navazující na provádění svého usnesení ze dne 3. ledna 2022, včetně kontrol podávání zpráv ze strany Europolu, přičemž závěrečnou zprávu v této věci EIOÚ zaslal dne 22. července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konstatuje, že Útvar interního auditu (IAS) provedl v roce 2023 audit metodiky pro plánování auditů EIOÚ; konstatuje, že audit byl završen dvěma doporučeními, pro něž EIOÚ předložil IAS akční plán; vyzývá EIOÚ, aby </w:t>
            </w:r>
            <w:r>
              <w:rPr>
                <w:b/>
                <w:i/>
              </w:rPr>
              <w:t>průběžně</w:t>
            </w:r>
            <w:r>
              <w:t xml:space="preserve"> informoval orgán příslušný k udělení absolutoria o pokroku dosaženém v této věci;</w:t>
            </w:r>
          </w:p>
        </w:tc>
        <w:tc>
          <w:tcPr>
            <w:tcW w:w="4876" w:type="dxa"/>
            <w:tcBorders>
              <w:top w:val="nil"/>
              <w:left w:val="nil"/>
              <w:bottom w:val="nil"/>
              <w:right w:val="nil"/>
            </w:tcBorders>
          </w:tcPr>
          <w:p>
            <w:pPr>
              <w:pStyle w:val="Normal6a"/>
            </w:pPr>
            <w:r>
              <w:t>20.</w:t>
            </w:r>
            <w:r>
              <w:tab/>
            </w:r>
            <w:r>
              <w:t xml:space="preserve">konstatuje, že Útvar interního auditu (IAS) provedl v roce 2023 audit metodiky pro plánování auditů EIOÚ; konstatuje, že audit byl završen dvěma doporučeními, pro něž EIOÚ předložil IAS akční plán; vyzývá EIOÚ, aby </w:t>
            </w:r>
            <w:r>
              <w:rPr>
                <w:b/>
                <w:i/>
              </w:rPr>
              <w:t>pravidelně</w:t>
            </w:r>
            <w:r>
              <w:t xml:space="preserve"> informoval orgán příslušný k udělení absolutoria o pokroku dosaženém v této věci;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připomíná, že Smlouva o Evropské unii stanoví, že EU a její orgány podporují solidaritu a rovnost žen a mužů;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konstatuje, že koncem roku 2023 měl EIOÚ celkem 129 zaměstnanců oproti 127 v roce 2022; bere na vědomí, že EIOÚ zaměstnával 50 smluvních zaměstnanců (CA) podle čl. 3 písm. b) služebního řádu úředníků a pracovního řádu ostatních zaměstnanců (52 CA v roce 2022), 7 dočasných zaměstnanců (TA) podle čl. 2 písm. b) a čl. 2 písm. c) (6 TA v roce 2022) a v roce 2023 využíval služeb 12 externích poskytovatelů služeb (EXT) pracujících „intra-muros“ (8 EXT v roce 2022); konstatuje, že EIOÚ měl v roce 2023 mezi svými zaměstnanci zastoupených 23 státních příslušností (z členských států), což je navzdory nadměrnému zastoupení pěti státních příslušností vynikající výsledek na tak malou instituci a jedná se o zlepšení ve srovnání s 22 státními příslušnostmi zastoupenými v roce 2022;</w:t>
            </w:r>
          </w:p>
        </w:tc>
        <w:tc>
          <w:tcPr>
            <w:tcW w:w="4876" w:type="dxa"/>
            <w:tcBorders>
              <w:top w:val="nil"/>
              <w:left w:val="nil"/>
              <w:bottom w:val="nil"/>
              <w:right w:val="nil"/>
            </w:tcBorders>
          </w:tcPr>
          <w:p>
            <w:pPr>
              <w:pStyle w:val="Normal6a"/>
            </w:pPr>
            <w:r>
              <w:t>21.</w:t>
            </w:r>
            <w:r>
              <w:tab/>
            </w:r>
            <w:r>
              <w:t xml:space="preserve">konstatuje, že koncem roku 2023 měl EIOÚ celkem 129 zaměstnanců oproti 127 v roce 2022; bere na vědomí, že EIOÚ zaměstnával 50 smluvních zaměstnanců (CA) podle čl. 3 písm. b) služebního řádu úředníků a pracovního řádu ostatních zaměstnanců (52 CA v roce 2022), 7 dočasných zaměstnanců (TA) podle čl. 2 písm. b) a čl. 2 písm. c) (6 TA v roce 2022) a v roce 2023 využíval služeb 12 externích poskytovatelů služeb (EXT) pracujících „intra-muros“ (8 EXT v roce 2022); konstatuje, že EIOÚ měl v roce 2023 mezi svými zaměstnanci zastoupených 23 státních příslušností (z členských států), což je navzdory nadměrnému zastoupení pěti státních příslušností vynikající výsledek na tak malou instituci a jedná se o zlepšení ve srovnání s 22 státními příslušnostmi zastoupenými v roce 2022; </w:t>
            </w:r>
            <w:r>
              <w:rPr>
                <w:b/>
                <w:i/>
              </w:rPr>
              <w:t>vítá zvýšenou rozmanitost zastoupených národností, avšak s politováním konstatuje, že ženy jsou stále nedostatečně zastoupeny na vyšších vedoucích pozicích;</w:t>
            </w:r>
            <w:r>
              <w:t xml:space="preserve"> </w:t>
            </w:r>
            <w:r>
              <w:rPr>
                <w:b/>
                <w:i/>
              </w:rPr>
              <w:t>vyzývá k přijetí plánu pro rovné zastoupení žen a mužů, včetně proaktivních náborových opatření a programů odborné přípravy v oblasti vedení pro ženy;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Vlad Vasile-Voiculescu,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konstatuje, že koncem roku 2023 měl EIOÚ celkem 129 zaměstnanců oproti 127 v roce 2022; bere na vědomí, že EIOÚ zaměstnával 50 smluvních zaměstnanců (CA) podle čl. 3 písm. b) služebního řádu úředníků a pracovního řádu ostatních zaměstnanců (52 CA v roce 2022), 7 dočasných zaměstnanců (TA) podle čl. 2 písm. b) a čl. 2 písm. c) (6 TA v roce 2022) a v roce 2023 využíval služeb 12 externích poskytovatelů služeb (EXT) pracujících „intra-muros“ (8 EXT v roce 2022); </w:t>
            </w:r>
            <w:r>
              <w:rPr>
                <w:b/>
                <w:i/>
              </w:rPr>
              <w:t>konstatuje, že EIOÚ měl v roce 2023 mezi svými zaměstnanci zastoupených 23 státních příslušností (z členských států), což je navzdory nadměrnému zastoupení pěti státních příslušností vynikající výsledek na tak malou instituci a jedná se o zlepšení ve srovnání s 22 státními příslušnostmi zastoupenými v roce 2022;</w:t>
            </w:r>
          </w:p>
        </w:tc>
        <w:tc>
          <w:tcPr>
            <w:tcW w:w="4876" w:type="dxa"/>
            <w:tcBorders>
              <w:top w:val="nil"/>
              <w:left w:val="nil"/>
              <w:bottom w:val="nil"/>
              <w:right w:val="nil"/>
            </w:tcBorders>
          </w:tcPr>
          <w:p>
            <w:pPr>
              <w:pStyle w:val="Normal6a"/>
            </w:pPr>
            <w:r>
              <w:t>21.</w:t>
            </w:r>
            <w:r>
              <w:tab/>
            </w:r>
            <w:r>
              <w:t>konstatuje, že koncem roku 2023 měl EIOÚ celkem 129 zaměstnanců oproti 127 v roce 2022; bere na vědomí, že EIOÚ zaměstnával 50 smluvních zaměstnanců (CA) podle čl. 3 písm. b) služebního řádu úředníků a pracovního řádu ostatních zaměstnanců (52 CA v roce 2022), 7 dočasných zaměstnanců (TA) podle čl. 2 písm. b) a čl. 2 písm. c) (6 TA v roce 2022) a v roce 2023 využíval služeb 12 externích poskytovatelů služeb (EXT) pracujících „intra-muros“ (8 EXT v roce 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r>
        <w:rPr>
          <w:rStyle w:val="HideTWBExt"/>
          <w:b w:val="0"/>
        </w:rPr>
        <w:t>&lt;AuNomDe&gt;</w:t>
      </w:r>
      <w:r>
        <w:rPr>
          <w:rStyle w:val="HideTWBInt"/>
        </w:rPr>
        <w:t>{EPP}</w:t>
      </w:r>
      <w:r>
        <w:t>za skupinu PPE</w:t>
      </w:r>
      <w:r>
        <w:rPr>
          <w:rStyle w:val="HideTWBExt"/>
          <w:b w:val="0"/>
        </w:rPr>
        <w:t>&lt;/AuNomDe&gt;</w:t>
      </w:r>
    </w:p>
    <w:p>
      <w:pPr>
        <w:pStyle w:val="NormalBold"/>
      </w:pP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konstatuje, že koncem roku 2023 měl EIOÚ celkem 129 zaměstnanců oproti 127 v roce 2022; bere na vědomí, že EIOÚ zaměstnával 50 smluvních zaměstnanců (CA) podle čl. 3 písm. b) služebního řádu úředníků a pracovního řádu ostatních zaměstnanců (52 CA v roce 2022), 7 dočasných zaměstnanců (TA) podle čl. 2 písm. b) a čl. 2 písm. c) (6 TA v roce 2022) a v roce 2023 využíval služeb 12 externích poskytovatelů služeb (EXT) pracujících „intra-muros“ (8 EXT v roce 2022); konstatuje, že EIOÚ měl v roce 2023 mezi svými zaměstnanci zastoupených 23 státních příslušností (z členských států), což je navzdory nadměrnému zastoupení pěti státních příslušností vynikající výsledek na tak malou instituci a jedná se o zlepšení ve srovnání s 22 státními příslušnostmi zastoupenými v roce 2022;</w:t>
            </w:r>
          </w:p>
        </w:tc>
        <w:tc>
          <w:tcPr>
            <w:tcW w:w="4876" w:type="dxa"/>
            <w:tcBorders>
              <w:top w:val="nil"/>
              <w:left w:val="nil"/>
              <w:bottom w:val="nil"/>
              <w:right w:val="nil"/>
            </w:tcBorders>
          </w:tcPr>
          <w:p>
            <w:pPr>
              <w:pStyle w:val="Normal6a"/>
            </w:pPr>
            <w:r>
              <w:t>21.</w:t>
            </w:r>
            <w:r>
              <w:tab/>
            </w:r>
            <w:r>
              <w:t xml:space="preserve">konstatuje, že koncem roku 2023 měl EIOÚ celkem 129 zaměstnanců oproti 127 v roce 2022; bere na vědomí, že EIOÚ zaměstnával 50 smluvních zaměstnanců (CA) podle čl. 3 písm. b) služebního řádu úředníků a pracovního řádu ostatních zaměstnanců (52 CA v roce 2022), 7 dočasných zaměstnanců (TA) podle čl. 2 písm. b) a čl. 2 písm. c) (6 TA v roce 2022) a v roce 2023 využíval služeb 12 externích poskytovatelů služeb (EXT) pracujících „intra-muros“ (8 EXT v roce 2022); konstatuje, že EIOÚ měl v roce 2023 mezi svými zaměstnanci zastoupených 23 státních příslušností (z členských států), což je navzdory nadměrnému zastoupení pěti státních příslušností vynikající výsledek na tak malou instituci a jedná se o zlepšení ve srovnání s 22 státními příslušnostmi zastoupenými v roce 2022; </w:t>
            </w:r>
            <w:r>
              <w:rPr>
                <w:b/>
                <w:i/>
              </w:rPr>
              <w:t>vybízí EIOÚ, aby pokračoval ve svém úsilí o vyváženější zeměpisné zastoupení mezi všemi členskými státy, zejména na manažerské úrovni;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Vlad Vasile-Voiculescu,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konstatuje, že EIOÚ měl v roce 2023 mezi svými zaměstnanci 23 státních příslušností (z členských států), což je ve srovnání s 22 státními příslušnostmi v roce 2022 zlepšení;</w:t>
            </w:r>
            <w:r>
              <w:t xml:space="preserve"> </w:t>
            </w:r>
            <w:r>
              <w:rPr>
                <w:b/>
                <w:i/>
              </w:rPr>
              <w:t>vyjadřuje nespokojenost nadměrným zastoupením pěti státních příslušností a nedostatečným zastoupením ostatních státních příslušností;</w:t>
            </w:r>
            <w:r>
              <w:t xml:space="preserve"> </w:t>
            </w:r>
            <w:r>
              <w:rPr>
                <w:b/>
                <w:i/>
              </w:rPr>
              <w:t>žádá EOIÚ, aby ve svém personálním obsazení i nadále usiloval o dosažení rovnováhy mezi státními příslušníky všech členských států, a to zlepšením komunikace, podporou viditelnosti a zlepšením pracovních podmínek s cílem přilákat nedostatečně zastoupené národnosti;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konstatuje, že EOIÚ nadále zaměstnává více žen než mužů, přičemž tento poměr je vyšší než 60 %;</w:t>
            </w:r>
            <w:r>
              <w:t xml:space="preserve"> </w:t>
            </w:r>
            <w:r>
              <w:rPr>
                <w:b/>
                <w:i/>
              </w:rPr>
              <w:t>vyjadřuje politování nad tím, že ve vrcholném vedení stále nejsou žádné ženy, a vyzývá EIOÚ, aby podporoval ženy i s ohledem na příští volbu inspektora Evropským parlamentem;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konstatuje, že v roce 2023 pracovní síly EIOÚ zahrnovaly 65 % žen a 35 % mužů, což je v souladu s trendy z předchozích let;</w:t>
            </w:r>
            <w:r>
              <w:t xml:space="preserve"> </w:t>
            </w:r>
            <w:r>
              <w:rPr>
                <w:b/>
                <w:i/>
              </w:rPr>
              <w:t>vyjadřuje znepokojení nad tím, že v tomto období nebyly ženy ve vyšších řídících funkcích, a to navzdory dosažení rovného zastoupení žen a mužů na šesti postech středního managementu;</w:t>
            </w:r>
            <w:r>
              <w:t xml:space="preserve"> </w:t>
            </w:r>
            <w:r>
              <w:rPr>
                <w:b/>
                <w:i/>
              </w:rPr>
              <w:t>naléhavě vyzývá EIOÚ, aby zintenzívnil své úsilí o zajištění vyváženého zastoupení žen a mužů na všech úrovních zaměstnanců;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bere na vědomí vysokou obsazenost plánu pracovních míst ve výši 95,65 %, ale také vysokou míru fluktuace zaměstnanců ve výši 13 % v roce 2023; konstatuje, že většina neobsazených pozic byla dána nevhodností uchazečů vzhledem k tomu, že EIOÚ potřebuje vysoce specializované profily a existuje pouze malý okruh způsobilých uchazečů; vítá řešení těchto problémů opětovným zveřejněním oznámení o volném pracovním místě s širším nebo cílenějším šířením nebo přepracováním požadavků; vyzývá EIOÚ, aby nadále řešil problémy při hledání vhodných uchazečů a průběžně informoval orgán příslušný k udělení absolutoria o zlepšeních v oblasti náboru zaměstnanců a fluktuace;</w:t>
            </w:r>
          </w:p>
        </w:tc>
        <w:tc>
          <w:tcPr>
            <w:tcW w:w="4876" w:type="dxa"/>
            <w:tcBorders>
              <w:top w:val="nil"/>
              <w:left w:val="nil"/>
              <w:bottom w:val="nil"/>
              <w:right w:val="nil"/>
            </w:tcBorders>
          </w:tcPr>
          <w:p>
            <w:pPr>
              <w:pStyle w:val="Normal6a"/>
            </w:pPr>
            <w:r>
              <w:t>22.</w:t>
            </w:r>
            <w:r>
              <w:tab/>
            </w:r>
            <w:r>
              <w:t xml:space="preserve">bere na vědomí vysokou obsazenost plánu pracovních míst ve výši 95,65 %, ale také vysokou míru fluktuace zaměstnanců ve výši 13 % v roce 2023; konstatuje, že většina neobsazených pozic byla dána nevhodností uchazečů vzhledem k tomu, že EIOÚ potřebuje vysoce specializované profily a existuje pouze malý okruh způsobilých uchazečů; vítá řešení těchto problémů opětovným zveřejněním oznámení o volném pracovním místě s širším nebo cílenějším šířením nebo přepracováním požadavků; </w:t>
            </w:r>
            <w:r>
              <w:rPr>
                <w:b/>
                <w:i/>
              </w:rPr>
              <w:t>vítá kroky, které přijal EIOÚ v souvislosti s náborovým řízením;</w:t>
            </w:r>
            <w:r>
              <w:t xml:space="preserve"> vyzývá EIOÚ, aby nadále řešil problémy při hledání vhodných uchazečů a průběžně informoval orgán příslušný k udělení absolutoria o zlepšeních v oblasti náboru zaměstnanců a fluktuace;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vyzývá EIOÚ, aby provedl každoroční audit rozmanitosti a zveřejnil zprávu, v níž nastíní opatření přijatá ke zlepšení genderové, zeměpisné a sociální rovnováhy v rámci orgánu, včetně cíleného náboru nedostatečně zastoupených skupin;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r>
        <w:rPr>
          <w:rStyle w:val="HideTWBExt"/>
          <w:b w:val="0"/>
        </w:rPr>
        <w:t>&lt;AuNomDe&gt;</w:t>
      </w:r>
      <w:r>
        <w:rPr>
          <w:rStyle w:val="HideTWBInt"/>
        </w:rPr>
        <w:t>{EPP}</w:t>
      </w:r>
      <w:r>
        <w:t>za skupinu PPE</w:t>
      </w:r>
      <w:r>
        <w:rPr>
          <w:rStyle w:val="HideTWBExt"/>
          <w:b w:val="0"/>
        </w:rPr>
        <w:t>&lt;/AuNomDe&gt;</w:t>
      </w:r>
    </w:p>
    <w:p>
      <w:pPr>
        <w:pStyle w:val="NormalBold"/>
      </w:pP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konstatuje, že v druhé polovině roku 2023 zahájil tým lidských zdrojů (HR) EIOÚ pilotní projekt pro nový proces přijímání nových pracovníků, jehož součástí jsou bloky, které se mimo jiné věnují prezentaci práce hlavních oddělení, etiky, postupů zadávání zakázek a bezpečnosti informací, přičemž v roce 2023 byly zorganizovány tři zaškolovací bloky; vyzývá EIOÚ, aby </w:t>
            </w:r>
            <w:r>
              <w:rPr>
                <w:b/>
                <w:i/>
              </w:rPr>
              <w:t>nováčkům</w:t>
            </w:r>
            <w:r>
              <w:t xml:space="preserve"> i nadále nabízel </w:t>
            </w:r>
            <w:r>
              <w:rPr>
                <w:b/>
                <w:i/>
              </w:rPr>
              <w:t>„zaškolovací“ bloky, které zahrnují odbornou přípravu na téma etiky</w:t>
            </w:r>
            <w:r>
              <w:t xml:space="preserve">, neboť se v evropských orgánech staly </w:t>
            </w:r>
            <w:r>
              <w:rPr>
                <w:b/>
                <w:i/>
              </w:rPr>
              <w:t>standardem</w:t>
            </w:r>
            <w:r>
              <w:t>; dále poznamenává, že v roce 2023 bylo nabídnuto 12 individuálních bloků pro zaměstnance EIOÚ a EDPB, šest bloků skupinového koučování, na nichž se účastníci (na úrovni vedoucích pracovníků) učili jeden od druhého, a také jednoroční týmové koučování s návrhářem rozvoje vůdcovských dovedností v Evropské správní škole;</w:t>
            </w:r>
          </w:p>
        </w:tc>
        <w:tc>
          <w:tcPr>
            <w:tcW w:w="4876" w:type="dxa"/>
            <w:tcBorders>
              <w:top w:val="nil"/>
              <w:left w:val="nil"/>
              <w:bottom w:val="nil"/>
              <w:right w:val="nil"/>
            </w:tcBorders>
          </w:tcPr>
          <w:p>
            <w:pPr>
              <w:pStyle w:val="Normal6a"/>
            </w:pPr>
            <w:r>
              <w:t>23.</w:t>
            </w:r>
            <w:r>
              <w:tab/>
            </w:r>
            <w:r>
              <w:t xml:space="preserve">konstatuje, že v druhé polovině roku 2023 zahájil tým lidských zdrojů (HR) EIOÚ pilotní projekt pro nový proces přijímání nových pracovníků, jehož součástí jsou bloky, které se mimo jiné věnují prezentaci práce hlavních oddělení, etiky, postupů zadávání zakázek a bezpečnosti informací, přičemž v roce 2023 byly zorganizovány tři zaškolovací bloky; vyzývá EIOÚ, aby i nadále nabízel </w:t>
            </w:r>
            <w:r>
              <w:rPr>
                <w:b/>
                <w:i/>
              </w:rPr>
              <w:t>nově příchozím a všem zaměstnancům nabízel povinná školení, která připomínají význam zásad, jako je etika, střet zájmů, transparentnost, vnitřní kontrola a boj proti podvodům</w:t>
            </w:r>
            <w:r>
              <w:t xml:space="preserve">, neboť </w:t>
            </w:r>
            <w:r>
              <w:rPr>
                <w:b/>
                <w:i/>
              </w:rPr>
              <w:t>takovéto zásady</w:t>
            </w:r>
            <w:r>
              <w:t xml:space="preserve"> se v evropských orgánech staly </w:t>
            </w:r>
            <w:r>
              <w:rPr>
                <w:b/>
                <w:i/>
              </w:rPr>
              <w:t>normou</w:t>
            </w:r>
            <w:r>
              <w:t>; dále poznamenává, že v roce 2023 bylo nabídnuto 12 individuálních bloků pro zaměstnance EIOÚ a EDPB, šest bloků skupinového koučování, na nichž se účastníci (na úrovni vedoucích pracovníků) učili jeden od druhého, a také jednoroční týmové koučování s návrhářem rozvoje vůdcovských dovedností v Evropské správní škole;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Vlad Vasile-Voiculescu,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na základě obsahu dotazníku konstatuje, že EIOÚ nabízí flexibilní a hybridní uspořádání pracovní doby, která vítají zaměstnanci, kteří mohou mimo jiné využívat rodičovskou dovolenou, časové kredity, práci na částečný úvazek nebo práci ze zahraničí na omezený počet dní v roce; konstatuje, že v roce 2023 tyto pracovní podmínky využila většina zaměstnanců, zatímco v roce 2023 pracovalo na dálku 86,30 % zaměstnanců;</w:t>
            </w:r>
          </w:p>
        </w:tc>
        <w:tc>
          <w:tcPr>
            <w:tcW w:w="4876" w:type="dxa"/>
            <w:tcBorders>
              <w:top w:val="nil"/>
              <w:left w:val="nil"/>
              <w:bottom w:val="nil"/>
              <w:right w:val="nil"/>
            </w:tcBorders>
          </w:tcPr>
          <w:p>
            <w:pPr>
              <w:pStyle w:val="Normal6a"/>
            </w:pPr>
            <w:r>
              <w:t>24.</w:t>
            </w:r>
            <w:r>
              <w:tab/>
            </w:r>
            <w:r>
              <w:t xml:space="preserve">na základě obsahu dotazníku konstatuje, že EIOÚ nabízí flexibilní a hybridní uspořádání pracovní doby, která vítají zaměstnanci, kteří mohou mimo jiné využívat rodičovskou dovolenou, časové kredity, práci na částečný úvazek nebo práci ze zahraničí na omezený počet dní v roce; konstatuje, že v roce 2023 tyto pracovní podmínky využila většina zaměstnanců, zatímco v roce 2023 pracovalo na dálku 86,30 % zaměstnanců; </w:t>
            </w:r>
            <w:r>
              <w:rPr>
                <w:b/>
                <w:i/>
              </w:rPr>
              <w:t>domnívá se, že infrastruktura budov by měla být optimalizována tak, aby odrážela tuto vysokou míru práce z domova, která by mohla přispět ke snížení provozních nákladů a k zajištění účinnějšího využívání kancelářských prostor;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vítá dlouhodobou snahu EIOÚ o aktivní zlepšování fyzické a duševní pohody svých zaměstnanců;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na základě dotazníku konstatuje, že EIOÚ považuje veškeré informace o případech syndromu vyhoření, včetně jejich počtu, za důvěrné; nesouhlasí s tímto stanoviskem a </w:t>
            </w:r>
            <w:r>
              <w:rPr>
                <w:b/>
                <w:i/>
              </w:rPr>
              <w:t>žádá</w:t>
            </w:r>
            <w:r>
              <w:t xml:space="preserve"> EIOÚ, aby orgánu příslušnému k udělení absolutoria poskytl každoročně počet případů syndromu vyhoření; s uspokojením konstatuje, že v roce 2023 nebyly u EIOÚ hlášeny žádné případy obtěžování; vítá skutečnost, že v roce 2023 EIOÚ nadále nabízel prezentaci proti obtěžování, kterou provedl jeden z důvěrných poradců EIOÚ, jako součást úvodního školení nazvaného „Uvítací den v EIOÚ“; chválí zveřejnění rozhodnutí o boji proti obtěžování a úlohu důvěrných poradců na intranetu EIOÚ;</w:t>
            </w:r>
          </w:p>
        </w:tc>
        <w:tc>
          <w:tcPr>
            <w:tcW w:w="4876" w:type="dxa"/>
            <w:tcBorders>
              <w:top w:val="nil"/>
              <w:left w:val="nil"/>
              <w:bottom w:val="nil"/>
              <w:right w:val="nil"/>
            </w:tcBorders>
          </w:tcPr>
          <w:p>
            <w:pPr>
              <w:pStyle w:val="Normal6a"/>
            </w:pPr>
            <w:r>
              <w:t>26.</w:t>
            </w:r>
            <w:r>
              <w:tab/>
            </w:r>
            <w:r>
              <w:t xml:space="preserve">na základě dotazníku konstatuje, že EIOÚ považuje veškeré informace o případech syndromu vyhoření, včetně jejich počtu, za důvěrné; nesouhlasí s tímto stanoviskem a </w:t>
            </w:r>
            <w:r>
              <w:rPr>
                <w:b/>
                <w:i/>
              </w:rPr>
              <w:t>vyzývá</w:t>
            </w:r>
            <w:r>
              <w:t xml:space="preserve"> EIOÚ, aby orgánu příslušnému k udělení absolutoria poskytl každoročně počet případů syndromu vyhoření; s uspokojením konstatuje, že v roce 2023 nebyly u EIOÚ hlášeny žádné případy obtěžování; vítá skutečnost, že v roce 2023 EIOÚ nadále nabízel prezentaci proti obtěžování, kterou provedl jeden z důvěrných poradců EIOÚ, jako součást úvodního školení nazvaného „Uvítací den v EIOÚ“;chválí zveřejnění rozhodnutí o boji proti obtěžování a úlohu důvěrných poradců na intranetu EIOÚ;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připomíná, že Smlouva o Evropské unii stanoví, že cílem EU a jejích orgánů je podporovat mír, své hodnoty a blahobyt svých obyvatel, zachovávat mír, předcházet konfliktům a posilovat mezinárodní bezpečnost;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Tamás Deutsch, Virginie Joron, Julien Sanchez,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26b.</w:t>
            </w:r>
            <w:r>
              <w:tab/>
            </w:r>
            <w:r>
              <w:rPr>
                <w:b/>
                <w:i/>
              </w:rPr>
              <w:t>vyzývá úřad, aby s maximálním nasazením a všemi dostupnými opatřeními a prostředky usiloval o podporu míru a co nejrychlejší ukončení války na Ukrajině, zachování míru a posílení evropské bezpečnosti;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26c.</w:t>
            </w:r>
            <w:r>
              <w:tab/>
            </w:r>
            <w:r>
              <w:rPr>
                <w:b/>
                <w:i/>
              </w:rPr>
              <w:t>připomíná, že ve smlouvě o Evropské unii je stanoveno, že EU a její orgány ctí rovnost členských států před Smlouvami a jejich národní identitu, která spočívá v jejich základních politických a ústavních systémech, včetně místní a regionální samosprávy;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Tamás Deutsch, Ondřej Knotek, Julien Sanchez,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26d.</w:t>
            </w:r>
            <w:r>
              <w:tab/>
            </w:r>
            <w:r>
              <w:rPr>
                <w:b/>
                <w:i/>
              </w:rPr>
              <w:t>vyzývá úřad, aby vždy respektoval rovnost členských států a se všemi členskými státy zacházel stejně, a aby respektoval jejich svrchovanost a národní identitu, která spočívá v jejich základních politických a ústavních systémech, včetně místní a regionální samosprávy;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rPr>
                <w:b/>
                <w:i/>
              </w:rPr>
              <w:t>bere na vědomí</w:t>
            </w:r>
            <w:r>
              <w:t>, že v roce 2023 EIOÚ zaměřil své úsilí na zvýšení informovanosti zaměstnanců o etickém rámci EIOÚ/EDPB uspořádáním povinných školení na toto téma pro všechny zaměstnance a úvodních školení pro nováčky v EIOÚ/EDPB, jmenováním nového úředníka pro záležitosti profesní etiky a účastí na pracovní skupině pro etiku „Comité Paritaire des Questions Statuaries“; vítá, že EIOÚ zřídil e-mailovou schránku, kam mohou zaměstnanci zasílat své žádosti týkající se jakýchkoli dotazů souvisejících s etikou, a také využití etického modulu Komise v systému Sysper; vybízí EIOÚ, aby pokračoval ve zvyšování povědomí a organizoval průzkumy s cílem posoudit úroveň povědomí zaměstnanců o etickém rámci EIOÚ a EDPB;</w:t>
            </w:r>
          </w:p>
        </w:tc>
        <w:tc>
          <w:tcPr>
            <w:tcW w:w="4876" w:type="dxa"/>
            <w:tcBorders>
              <w:top w:val="nil"/>
              <w:left w:val="nil"/>
              <w:bottom w:val="nil"/>
              <w:right w:val="nil"/>
            </w:tcBorders>
          </w:tcPr>
          <w:p>
            <w:pPr>
              <w:pStyle w:val="Normal6a"/>
            </w:pPr>
            <w:r>
              <w:t>27.</w:t>
            </w:r>
            <w:r>
              <w:tab/>
            </w:r>
            <w:r>
              <w:rPr>
                <w:b/>
                <w:i/>
              </w:rPr>
              <w:t>oceňuje</w:t>
            </w:r>
            <w:r>
              <w:t xml:space="preserve">, že v roce 2023 EIOÚ zaměřil své úsilí na zvýšení informovanosti zaměstnanců o etickém rámci EIOÚ/EDPB uspořádáním povinných školení na toto téma pro všechny zaměstnance a úvodních školení pro nováčky v EIOÚ/EDPB, jmenováním nového úředníka pro záležitosti profesní etiky a účastí na pracovní skupině pro etiku „Comité Paritaire des Questions Statuaries“; vítá, že EIOÚ zřídil e-mailovou schránku, kam mohou zaměstnanci zasílat své žádosti týkající se jakýchkoli dotazů souvisejících s etikou, a také využití etického modulu Komise v systému Sysper; vybízí EIOÚ, aby pokračoval ve zvyšování povědomí a organizoval průzkumy s cílem posoudit úroveň povědomí zaměstnanců o etickém rámci EIOÚ a EDPB; </w:t>
            </w:r>
            <w:r>
              <w:rPr>
                <w:b/>
                <w:i/>
              </w:rPr>
              <w:t>vyzývá ke zveřejňování výroční zprávy o dodržování etických pravidel, včetně podrobností o účasti zaměstnanců na odborné přípravě, ohlášených problémech v oblasti etiky a nápravných opatřeních přijatých k zajištění transparentnosti a institucionální integrity;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s uspokojením konstatuje, že EIOÚ nebyl od svého zřízení nikdy předmětem žádného šetření Evropského úřadu pro boj proti podvodům (OLAF);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rPr>
                <w:b/>
                <w:i/>
              </w:rPr>
              <w:t>s ohledem na návaznou zprávu konstatuje, že EIOÚ zahájil interní hodnocení opatření v oblasti transparentnosti</w:t>
            </w:r>
            <w:r>
              <w:t xml:space="preserve"> s cílem </w:t>
            </w:r>
            <w:r>
              <w:rPr>
                <w:b/>
                <w:i/>
              </w:rPr>
              <w:t>formálně se připojit k rejstříku transparentnosti Unie (TR), přičemž v roce 2023 se uskutečnily průzkumné schůzky a výměny informací EIOÚ se sekretariátem TR</w:t>
            </w:r>
            <w:r>
              <w:t xml:space="preserve">; vyzývá </w:t>
            </w:r>
            <w:r>
              <w:rPr>
                <w:b/>
                <w:i/>
              </w:rPr>
              <w:t>EIOÚ, aby orgánu příslušnému k udělení absolutoria podával zprávy o výsledku tohoto hodnocení;</w:t>
            </w:r>
            <w:r>
              <w:t xml:space="preserve"> </w:t>
            </w:r>
            <w:r>
              <w:rPr>
                <w:b/>
                <w:i/>
              </w:rPr>
              <w:t>znovu vyzývá EIOÚ, aby se připojil k TR</w:t>
            </w:r>
            <w:r>
              <w:t>;</w:t>
            </w:r>
          </w:p>
        </w:tc>
        <w:tc>
          <w:tcPr>
            <w:tcW w:w="4876" w:type="dxa"/>
            <w:tcBorders>
              <w:top w:val="nil"/>
              <w:left w:val="nil"/>
              <w:bottom w:val="nil"/>
              <w:right w:val="nil"/>
            </w:tcBorders>
          </w:tcPr>
          <w:p>
            <w:pPr>
              <w:pStyle w:val="Normal6a"/>
            </w:pPr>
            <w:r>
              <w:t>30.</w:t>
            </w:r>
            <w:r>
              <w:tab/>
            </w:r>
            <w:r>
              <w:rPr>
                <w:b/>
                <w:i/>
              </w:rPr>
              <w:t>naléhavě vyzývá EIOÚ, aby proaktivně zveřejňoval schůzky se třetími stranami</w:t>
            </w:r>
            <w:r>
              <w:t xml:space="preserve"> s cílem </w:t>
            </w:r>
            <w:r>
              <w:rPr>
                <w:b/>
                <w:i/>
              </w:rPr>
              <w:t>zajistit transparentnost svých regulačních a poradních funkcí</w:t>
            </w:r>
            <w:r>
              <w:t xml:space="preserve">; vyzývá </w:t>
            </w:r>
            <w:r>
              <w:rPr>
                <w:b/>
                <w:i/>
              </w:rPr>
              <w:t>pro takovéto interakce byl využíván rejstřík transparentnosti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s ohledem na návaznou zprávu konstatuje, že EIOÚ zahájil interní hodnocení opatření v oblasti transparentnosti s cílem formálně se připojit k rejstříku transparentnosti Unie (TR), přičemž v roce 2023 se uskutečnily průzkumné schůzky a výměny informací EIOÚ se sekretariátem TR; vyzývá EIOÚ, aby orgánu příslušnému k udělení absolutoria podával zprávy o výsledku tohoto hodnocení; znovu vyzývá EIOÚ, aby se připojil k TR;</w:t>
            </w:r>
          </w:p>
        </w:tc>
        <w:tc>
          <w:tcPr>
            <w:tcW w:w="4876" w:type="dxa"/>
            <w:tcBorders>
              <w:top w:val="nil"/>
              <w:left w:val="nil"/>
              <w:bottom w:val="nil"/>
              <w:right w:val="nil"/>
            </w:tcBorders>
          </w:tcPr>
          <w:p>
            <w:pPr>
              <w:pStyle w:val="Normal6a"/>
            </w:pPr>
            <w:r>
              <w:t>30.</w:t>
            </w:r>
            <w:r>
              <w:tab/>
            </w:r>
            <w:r>
              <w:rPr>
                <w:b/>
                <w:i/>
              </w:rPr>
              <w:t>lituje, že se EIOÚ stále formálně nepřipojil k rejstříku transparentnosti;</w:t>
            </w:r>
            <w:r>
              <w:t xml:space="preserve"> s ohledem na návaznou zprávu </w:t>
            </w:r>
            <w:r>
              <w:rPr>
                <w:b/>
                <w:i/>
              </w:rPr>
              <w:t>nicméně</w:t>
            </w:r>
            <w:r>
              <w:t xml:space="preserve"> konstatuje, že EIOÚ zahájil interní hodnocení opatření v oblasti transparentnosti s cílem formálně se připojit k rejstříku transparentnosti Unie (TR), přičemž v roce 2023 se uskutečnily průzkumné schůzky a výměny informací EIOÚ se sekretariátem TR; vyzývá EIOÚ, aby orgánu příslušnému k udělení absolutoria podával zprávy o výsledku tohoto hodnocení; znovu vyzývá EIOÚ, aby se připojil k TR;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na základě dotazníku konstatuje, že v roce 2023 nebyly v EIOÚ hlášeny žádné případy střetu zájmů, whistleblowingu nebo podvodů; konstatuje, že EIOÚ vytvořil rámec pro předcházení střetům zájmů na úrovni vyššího vedení a zaměstnanců prostřednictvím kodexů chování, osvěty a prohlášení o neexistenci střetu zájmů a zachovávání důvěrnosti; konstatuje, že kromě povinného uvedení do etického rámce EIOÚ pro všechny nové zaměstnance jsou noví zaměstnanci rovněž seznámeni se strategií EIOÚ pro boj proti podvodům;</w:t>
            </w:r>
          </w:p>
        </w:tc>
        <w:tc>
          <w:tcPr>
            <w:tcW w:w="4876" w:type="dxa"/>
            <w:tcBorders>
              <w:top w:val="nil"/>
              <w:left w:val="nil"/>
              <w:bottom w:val="nil"/>
              <w:right w:val="nil"/>
            </w:tcBorders>
          </w:tcPr>
          <w:p>
            <w:pPr>
              <w:pStyle w:val="Normal6a"/>
            </w:pPr>
            <w:r>
              <w:t>32.</w:t>
            </w:r>
            <w:r>
              <w:tab/>
            </w:r>
            <w:r>
              <w:t xml:space="preserve">na základě dotazníku </w:t>
            </w:r>
            <w:r>
              <w:rPr>
                <w:b/>
                <w:i/>
              </w:rPr>
              <w:t>s uspokojením</w:t>
            </w:r>
            <w:r>
              <w:t xml:space="preserve"> konstatuje, že v roce 2023 nebyly v EIOÚ hlášeny žádné případy střetu zájmů, whistleblowingu nebo podvodů; konstatuje, že EIOÚ vytvořil rámec pro předcházení střetům zájmů na úrovni vyššího vedení a zaměstnanců prostřednictvím kodexů chování, osvěty a prohlášení o neexistenci střetu zájmů a zachovávání důvěrnosti; konstatuje, že kromě povinného uvedení do etického rámce EIOÚ pro všechny nové zaměstnance jsou noví zaměstnanci rovněž seznámeni se strategií EIOÚ pro boj proti podvodům;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Vlad Vasile-Voiculescu, Olivier Chastel,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rPr>
                <w:b/>
                <w:i/>
              </w:rPr>
              <w:t>na základě dotazníku konstatuje</w:t>
            </w:r>
            <w:r>
              <w:t>, že v roce 2023 nebyly v EIOÚ hlášeny žádné případy střetu zájmů, whistleblowingu nebo podvodů; konstatuje, že EIOÚ vytvořil rámec pro předcházení střetům zájmů na úrovni vyššího vedení a zaměstnanců prostřednictvím kodexů chování, osvěty a prohlášení o neexistenci střetu zájmů a zachovávání důvěrnosti; konstatuje, že kromě povinného uvedení do etického rámce EIOÚ pro všechny nové zaměstnance jsou noví zaměstnanci rovněž seznámeni se strategií EIOÚ pro boj proti podvodům;</w:t>
            </w:r>
          </w:p>
        </w:tc>
        <w:tc>
          <w:tcPr>
            <w:tcW w:w="4876" w:type="dxa"/>
            <w:tcBorders>
              <w:top w:val="nil"/>
              <w:left w:val="nil"/>
              <w:bottom w:val="nil"/>
              <w:right w:val="nil"/>
            </w:tcBorders>
          </w:tcPr>
          <w:p>
            <w:pPr>
              <w:pStyle w:val="Normal6a"/>
            </w:pPr>
            <w:r>
              <w:t>32.</w:t>
            </w:r>
            <w:r>
              <w:tab/>
            </w:r>
            <w:r>
              <w:rPr>
                <w:b/>
                <w:i/>
              </w:rPr>
              <w:t>oceňuje</w:t>
            </w:r>
            <w:r>
              <w:t>, že v roce 2023 nebyly v EIOÚ hlášeny žádné případy střetu zájmů, whistleblowingu nebo podvodů; konstatuje, že EIOÚ vytvořil rámec pro předcházení střetům zájmů na úrovni vyššího vedení a zaměstnanců prostřednictvím kodexů chování, osvěty a prohlášení o neexistenci střetu zájmů a zachovávání důvěrnosti; konstatuje, že kromě povinného uvedení do etického rámce EIOÚ pro všechny nové zaměstnance jsou noví zaměstnanci rovněž seznámeni se strategií EIOÚ pro boj proti podvodům;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vyzývá EIOÚ, aby zavedl povinné období „vychladnutí“ v délce nejméně dvou let pro bývalé vyšší úředníky předtím, než se mohou zapojit do lobbistických nebo poradenských funkcí souvisejících s ochranou údajů nebo regulací technologií, aby se zabránilo střetu zájmů;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naléhavě vyzývá EIOÚ, aby zveřejnil veškerá vyloučení z důvodu střetu zájmů ve svých rozhodnutích o prosazování a zajistil plnou transparentnost regulačního dohledu a rozhodování;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vítá, že EIOÚ dbá na to, aby externí dodavatelé splňovali nezbytné morální a etické normy, které se očekávají od všech orgánů, institucí a jiných subjektů Unie, zejména s ohledem na to, že EIOÚ již dříve spolupracoval s externími firmami, které podle hodnocení Yaleovy univerzity nadále působí v Rusku;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uznává vedoucí úlohu EIOÚ při zvyšování připravenosti orgánů Unie v oblasti kybernetické bezpečnosti, a to v úzké spolupráci s orgány, jako je Agentura Evropské unie pro kybernetickou bezpečnost (ENISA) a s centry pro kybernetickou bezpečnost, jako je služba CERT-EU; konstatuje, že v roce 2023 EIOÚ pokračoval ve zlepšování své připravenosti chránit osobní údaje a citlivé informace před kybernetickými útoky s ohledem na rychle se měnící prostředí kybernetických bezpečnostních hrozeb; v této souvislosti chválí EIOÚ za revizi svých bezpečnostních politik a metodik v rámci přípravy na dopad nařízení o kybernetické bezpečnosti (nařízení (EU, Euratom) 2023/2841); na základě dotazníku konstatuje, že EIOÚ předložil žádost o dva další ekvivalenty plného úvazku, které by se zabývaly infrastrukturou v oblasti kybernetické bezpečnosti v souvislosti s povinnostmi EIOÚ podle uvedeného nařízení a také s úlohou EIOÚ jako člena Interinstitucionálního výboru pro kybernetickou bezpečnost (IICB); dále s uznáním konstatuje, že EIOÚ aktualizoval svou politiku bezpečnosti informací a politiku přijatelného používání EIOÚ za účelem řešení konkrétních hrozeb v oblasti kybernetické bezpečnosti ve vztahu k práci na dálku, používání osobních mobilních zařízení a zákazu nebezpečných aplikací (TikTok); konstatuje, že v roce 2023 se EIOÚ nesetkal s žádným kybernetickým útokem;</w:t>
            </w:r>
          </w:p>
        </w:tc>
        <w:tc>
          <w:tcPr>
            <w:tcW w:w="4876" w:type="dxa"/>
            <w:tcBorders>
              <w:top w:val="nil"/>
              <w:left w:val="nil"/>
              <w:bottom w:val="nil"/>
              <w:right w:val="nil"/>
            </w:tcBorders>
          </w:tcPr>
          <w:p>
            <w:pPr>
              <w:pStyle w:val="Normal6a"/>
            </w:pPr>
            <w:r>
              <w:t>38.</w:t>
            </w:r>
            <w:r>
              <w:tab/>
            </w:r>
            <w:r>
              <w:t xml:space="preserve">uznává vedoucí úlohu EIOÚ při zvyšování připravenosti orgánů Unie v oblasti kybernetické bezpečnosti, a to v úzké spolupráci s orgány, jako je Agentura Evropské unie pro kybernetickou bezpečnost (ENISA) a s centry pro kybernetickou bezpečnost, jako je služba CERT-EU; </w:t>
            </w:r>
            <w:r>
              <w:rPr>
                <w:b/>
                <w:i/>
              </w:rPr>
              <w:t>naléhavě ho vyzývá, aby vypracoval strukturovaný auditní rámec pro rizika v oblast kybernetické ezpečnosti v rámci orgánů EU;</w:t>
            </w:r>
            <w:r>
              <w:t xml:space="preserve"> konstatuje, že v roce 2023 EIOÚ pokračoval ve zlepšování své připravenosti chránit osobní údaje a citlivé informace před kybernetickými útoky s ohledem na rychle se měnící prostředí kybernetických bezpečnostních hrozeb; v této souvislosti chválí EIOÚ za revizi svých bezpečnostních politik a metodik v rámci přípravy na dopad nařízení o kybernetické bezpečnosti (nařízení (EU, Euratom) 2023/2841); na základě dotazníku konstatuje, že EIOÚ předložil žádost o dva další ekvivalenty plného úvazku, které by se zabývaly infrastrukturou v oblasti kybernetické bezpečnosti v souvislosti s povinnostmi EIOÚ podle uvedeného nařízení a také s úlohou EIOÚ jako člena Interinstitucionálního výboru pro kybernetickou bezpečnost (IICB); dále s uznáním konstatuje, že EIOÚ aktualizoval svou politiku bezpečnosti informací a politiku přijatelného používání EIOÚ za účelem řešení konkrétních hrozeb v oblasti kybernetické bezpečnosti ve vztahu k práci na dálku, používání osobních mobilních zařízení a zákazu nebezpečných aplikací (TikTok); konstatuje, že v roce 2023 se EIOÚ nesetkal s žádným kybernetickým útokem; </w:t>
            </w:r>
            <w:r>
              <w:rPr>
                <w:b/>
                <w:i/>
              </w:rPr>
              <w:t>vyzývá k tomu, aby byly každoročně zveřejňovány zprávy o zjištěných hrozbách, opatřeních pro jejich řešení a o institucionální kybernetické odolnosti;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Vlad Vasile-Voiculescu, Olivier Chastel,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chválí EIOÚ za aktualizaci odborné přípravy v oblasti kybernetické bezpečnosti pro všechny zaměstnance a za přepracování modelu odborné přípravy v oblasti bezpečnosti pro nováčky; oceňuje, že EIOÚ iniciativně zvyšoval povědomí o rizicích v oblasti kybernetické bezpečnosti, například přípravou informačních přehledů, prováděním průzkumů s orgány, institucemi nebo jinými subjekty Unie a pořádáním osvětových kampaní;</w:t>
            </w:r>
          </w:p>
        </w:tc>
        <w:tc>
          <w:tcPr>
            <w:tcW w:w="4876" w:type="dxa"/>
            <w:tcBorders>
              <w:top w:val="nil"/>
              <w:left w:val="nil"/>
              <w:bottom w:val="nil"/>
              <w:right w:val="nil"/>
            </w:tcBorders>
          </w:tcPr>
          <w:p>
            <w:pPr>
              <w:pStyle w:val="Normal6a"/>
            </w:pPr>
            <w:r>
              <w:t>39.</w:t>
            </w:r>
            <w:r>
              <w:tab/>
            </w:r>
            <w:r>
              <w:t xml:space="preserve">chválí EIOÚ za aktualizaci odborné přípravy v oblasti kybernetické bezpečnosti pro všechny zaměstnance a za přepracování modelu odborné přípravy v oblasti bezpečnosti pro nováčky; oceňuje, že EIOÚ iniciativně zvyšoval povědomí o rizicích v oblasti kybernetické bezpečnosti, například přípravou informačních přehledů, prováděním průzkumů s orgány, institucemi nebo jinými subjekty Unie a pořádáním osvětových kampaní; </w:t>
            </w:r>
            <w:r>
              <w:rPr>
                <w:b/>
                <w:i/>
              </w:rPr>
              <w:t>vybízí EIOÚ, aby zajistil povinné školení zaměstnanců o bezpečném a etickém používání nástrojů umělé inteligence s cílem zlepšit jejich poznatky a zmírnit potenciální rizika;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 xml:space="preserve">konstatuje, že v roce 2023 stejně jako v roce 2022 byli EIOÚ a EDPB poté, co se úřad veřejného ochránce práv na konci roku 2021 přestěhoval, jedinými nájemci budovy Parlamentu, </w:t>
            </w:r>
            <w:r>
              <w:rPr>
                <w:b/>
                <w:i/>
              </w:rPr>
              <w:t>kde sídlily</w:t>
            </w:r>
            <w:r>
              <w:t xml:space="preserve">, aby náklady na pronájem a údržbu zůstaly na rozumné úrovni; konstatuje, že EIOÚ musel požádat o dalších </w:t>
            </w:r>
            <w:r>
              <w:rPr>
                <w:b/>
                <w:i/>
              </w:rPr>
              <w:t>81 856,84</w:t>
            </w:r>
            <w:r>
              <w:t xml:space="preserve"> EUR na zaplacení nájemného Parlamentu vzhledem k tomu, že míra indexace činila 8,82 %, a byla tedy vyšší než 2% strop pro správní výdaje;</w:t>
            </w:r>
          </w:p>
        </w:tc>
        <w:tc>
          <w:tcPr>
            <w:tcW w:w="4876" w:type="dxa"/>
            <w:tcBorders>
              <w:top w:val="nil"/>
              <w:left w:val="nil"/>
              <w:bottom w:val="nil"/>
              <w:right w:val="nil"/>
            </w:tcBorders>
          </w:tcPr>
          <w:p>
            <w:pPr>
              <w:pStyle w:val="Normal6a"/>
            </w:pPr>
            <w:r>
              <w:t>40.</w:t>
            </w:r>
            <w:r>
              <w:tab/>
            </w:r>
            <w:r>
              <w:t xml:space="preserve">konstatuje, že v roce 2023 stejně jako v roce 2022 byli EIOÚ a EDPB poté, co se úřad veřejného ochránce práv na konci roku 2021 přestěhoval, jedinými nájemci budovy Parlamentu, </w:t>
            </w:r>
            <w:r>
              <w:rPr>
                <w:b/>
                <w:i/>
              </w:rPr>
              <w:t>a že pronájmem prostor od Parlamentu namísto pronájmu prostor na soukromém trhu EIOÚ usiluje o to</w:t>
            </w:r>
            <w:r>
              <w:t xml:space="preserve">, aby náklady na pronájem a údržbu zůstaly na rozumné úrovni; konstatuje, že EIOÚ musel požádat o dalších </w:t>
            </w:r>
            <w:r>
              <w:rPr>
                <w:b/>
                <w:i/>
              </w:rPr>
              <w:t>81 856,84</w:t>
            </w:r>
            <w:r>
              <w:t xml:space="preserve"> EUR na zaplacení nájemného Parlamentu vzhledem k tomu, že míra indexace činila 8,82 %, a byla tedy vyšší než 2% strop pro správní výdaje;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42a.</w:t>
            </w:r>
            <w:r>
              <w:tab/>
            </w:r>
            <w:r>
              <w:rPr>
                <w:b/>
                <w:i/>
              </w:rPr>
              <w:t>vyzývá EIOÚ, aby vypracoval a zveřejnil komplexní plán ekologické transformace, který bude zahrnovat jasné cíle pro uhlíkovou neutralitu do roku 2035, politiky udržitelného zadávání veřejných zakázek a povinné posouzení dopadů na životní prostředí pro všechny činnosti související s cestováním;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43a.</w:t>
            </w:r>
            <w:r>
              <w:tab/>
            </w:r>
            <w:r>
              <w:rPr>
                <w:b/>
                <w:i/>
              </w:rPr>
              <w:t>naléhavě vyzývá EIOÚ, aby přijal systém pro environmentální řízení podniků a audit (EMAS) s cílem systematicky sledovat a zlepšovat svou environmentální stopu, zejména pokud jde o spotřebu energie, snižování množství odpadu a udržitelné kancelářské politiky;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44a.</w:t>
            </w:r>
            <w:r>
              <w:tab/>
            </w:r>
            <w:r>
              <w:rPr>
                <w:b/>
                <w:i/>
              </w:rPr>
              <w:t>žádá tento úřad, aby Evropskému parlamentu a jeho Výboru pro rozpočtovou kontrolu poskytl doporučení ohledně nových způsobů boje proti pochybením a zneužívání finančních prostředků EU, a to na základě vlastních interních zkušeností a zkušeností získaných z dřívějších případů, a aby sdílel osvědčené postupy, neboť bylo prokázáno, že finanční zájmy Evropské unie nebyly v Evropském parlamentu dobře chráněny;</w:t>
            </w:r>
            <w:r>
              <w:t xml:space="preserve"> </w:t>
            </w:r>
            <w:r>
              <w:rPr>
                <w:b/>
                <w:i/>
              </w:rPr>
              <w:t>s ohledem na trestní případ a jeho vyšetřování se domnívá, že Parlament by mohl v této věci využít nové pohledy a podněty od tohoto orgánu;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46a.</w:t>
            </w:r>
            <w:r>
              <w:tab/>
            </w:r>
            <w:r>
              <w:rPr>
                <w:b/>
                <w:i/>
              </w:rPr>
              <w:t>vyzývá k užší spolupráci mezi EIOÚ, Evropským účetním dvorem, úřadem OLAF a Úřadem evropského veřejného žalobce (EPPO) s cílem vypracovat společné protokoly pro odhalování podvodů v oblasti digitálních údajů a finančních transakcí v rámci orgánů EU;</w:t>
            </w:r>
            <w:r>
              <w:t xml:space="preserve"> </w:t>
            </w:r>
            <w:r>
              <w:rPr>
                <w:b/>
                <w:i/>
              </w:rPr>
              <w:t>zdůrazňuje potřebu společných auditů rizik podvodů založených na umělé inteligenci;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47a.</w:t>
            </w:r>
            <w:r>
              <w:tab/>
            </w:r>
            <w:r>
              <w:rPr>
                <w:b/>
                <w:i/>
              </w:rPr>
              <w:t>vyzývá úřad, aby se zdržel propagace, šíření a podpory ideologie rovnosti žen a mužů a ideologie „woke“ a aby dodržoval Smlouvu a její ustanovení a respektoval národní identitu členských států, která je vlastní jejich základním strukturám, historii, náboženství a tradicím;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768.132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30</w:t>
    </w:r>
    <w:r>
      <w:fldChar w:fldCharType="end"/>
    </w:r>
    <w:r>
      <w:t>/</w:t>
    </w:r>
    <w:r>
      <w:fldChar w:fldCharType="begin"/>
    </w:r>
    <w:r>
      <w:instrText xml:space="preserve"> NUMPAGES </w:instrText>
    </w:r>
    <w:r>
      <w:fldChar w:fldCharType="separate"/>
    </w:r>
    <w:r>
      <w:t>31</w:t>
    </w:r>
    <w:r>
      <w:fldChar w:fldCharType="end"/>
    </w:r>
    <w:r>
      <w:tab/>
    </w:r>
    <w:r>
      <w:rPr>
        <w:rStyle w:val="HideTWBExt"/>
      </w:rPr>
      <w:t>&lt;PathFdR&gt;</w:t>
    </w:r>
    <w:r>
      <w:t>AM\1314483CS.docx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AM\1314483CS.docx</w:t>
    </w:r>
    <w:r>
      <w:rPr>
        <w:rStyle w:val="HideTWBExt"/>
      </w:rPr>
      <w:t>&lt;/PathFdR&gt;</w:t>
    </w:r>
    <w:r>
      <w:tab/>
    </w:r>
    <w:r>
      <w:fldChar w:fldCharType="begin"/>
    </w:r>
    <w:r>
      <w:instrText xml:space="preserve"> PAGE </w:instrText>
    </w:r>
    <w:r>
      <w:fldChar w:fldCharType="separate"/>
    </w:r>
    <w:r>
      <w:t>31</w:t>
    </w:r>
    <w:r>
      <w:fldChar w:fldCharType="end"/>
    </w:r>
    <w:r>
      <w:t>/</w:t>
    </w:r>
    <w:r>
      <w:fldChar w:fldCharType="begin"/>
    </w:r>
    <w:r>
      <w:instrText xml:space="preserve"> NUMPAGES </w:instrText>
    </w:r>
    <w:r>
      <w:fldChar w:fldCharType="separate"/>
    </w:r>
    <w:r>
      <w:t>31</w:t>
    </w:r>
    <w:r>
      <w:fldChar w:fldCharType="end"/>
    </w:r>
    <w:r>
      <w:tab/>
    </w:r>
    <w:r>
      <w:t>PE</w:t>
    </w:r>
    <w:r>
      <w:rPr>
        <w:rStyle w:val="HideTWBExt"/>
      </w:rPr>
      <w:t>&lt;NoPE&gt;</w:t>
    </w:r>
    <w:r>
      <w:t>768.132</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AM\1314483CS.docx</w:t>
    </w:r>
    <w:r>
      <w:rPr>
        <w:rStyle w:val="HideTWBExt"/>
      </w:rPr>
      <w:t>&lt;/PathFdR&gt;</w:t>
    </w:r>
    <w:r>
      <w:tab/>
    </w:r>
    <w:r>
      <w:tab/>
    </w:r>
    <w:r>
      <w:t>PE</w:t>
    </w:r>
    <w:r>
      <w:rPr>
        <w:rStyle w:val="HideTWBExt"/>
      </w:rPr>
      <w:t>&lt;NoPE&gt;</w:t>
    </w:r>
    <w:r>
      <w:t>768.132</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NormalBold">
    <w:name w:val="NormalBold"/>
    <w:basedOn w:val="Normal"/>
    <w:pPr>
      <w:widowControl w:val="0"/>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31</Pages>
  <Words>7580</Words>
  <Characters>43015</Characters>
  <Application>Microsoft Office Word</Application>
  <DocSecurity>0</DocSecurity>
  <Lines>1</Lines>
  <Paragraphs>464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1314483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133090</vt:lpwstr>
  </property>
  <property fmtid="{D5CDD505-2E9C-101B-9397-08002B2CF9AE}" pid="7" name="dmxml.render.traceId">
    <vt:lpwstr>67bc29def49936b26a09f66cf83a0921</vt:lpwstr>
  </property>
  <property fmtid="{D5CDD505-2E9C-101B-9397-08002B2CF9AE}" pid="8" name="FooterPath">
    <vt:lpwstr>AM\1314483CS.docx</vt:lpwstr>
  </property>
  <property fmtid="{D5CDD505-2E9C-101B-9397-08002B2CF9AE}" pid="9" name="PE Number">
    <vt:lpwstr>768.132</vt:lpwstr>
  </property>
  <property fmtid="{D5CDD505-2E9C-101B-9397-08002B2CF9AE}" pid="10" name="UID">
    <vt:lpwstr>eu.europa.europarl-DIN1-2025-0000018463_01.00-cs-01.00_text-xml</vt:lpwstr>
  </property>
</Properties>
</file>