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Comisia pentru control bugetar</w:t>
      </w:r>
      <w:r>
        <w:rPr>
          <w:rStyle w:val="HideTWBExt"/>
        </w:rPr>
        <w:t>&lt;/Commission&gt;</w:t>
      </w:r>
    </w:p>
    <w:p>
      <w:pPr>
        <w:pStyle w:val="LineBottom"/>
      </w:pPr>
      <w:r>
        <w:t xml:space="preserve"> </w:t>
      </w:r>
    </w:p>
    <w:p>
      <w:pPr>
        <w:pStyle w:val="CoverReference"/>
      </w:pPr>
      <w:r>
        <w:rPr>
          <w:rStyle w:val="HideTWBExt"/>
        </w:rPr>
        <w:t>&lt;RefProc&gt;</w:t>
      </w:r>
      <w:r>
        <w:t>2024/2021</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{11/02/2025}</w:t>
      </w:r>
      <w:r>
        <w:t>11.2.2025</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1</w:t>
      </w:r>
      <w:r>
        <w:t xml:space="preserve"> - </w:t>
      </w:r>
      <w:r>
        <w:t>74</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Joachim Stanisław Brudziński</w:t>
      </w:r>
      <w:r>
        <w:rPr>
          <w:rStyle w:val="HideTWBExt"/>
        </w:rPr>
        <w:t>&lt;/Rapporteur&gt;</w:t>
      </w:r>
    </w:p>
    <w:p>
      <w:pPr>
        <w:pStyle w:val="CoverNormal24a"/>
      </w:pPr>
      <w:r>
        <w:rPr>
          <w:rStyle w:val="HideTWBExt"/>
        </w:rPr>
        <w:t>&lt;DocRefPE&gt;</w:t>
      </w:r>
      <w:r>
        <w:t>(PE764.997v02-00)</w:t>
      </w:r>
      <w:r>
        <w:rPr>
          <w:rStyle w:val="HideTWBExt"/>
        </w:rPr>
        <w:t>&lt;/DocRefPE&gt;</w:t>
      </w:r>
    </w:p>
    <w:p>
      <w:pPr>
        <w:pStyle w:val="CoverNormal"/>
      </w:pPr>
      <w:r>
        <w:rPr>
          <w:rStyle w:val="HideTWBExt"/>
        </w:rPr>
        <w:t>&lt;Titre&gt;</w:t>
      </w:r>
      <w:r>
        <w:t>Descărcarea de gestiune pe 2023: bugetul general al UE - Consiliul European și Consiliul</w:t>
      </w:r>
      <w:r>
        <w:rPr>
          <w:rStyle w:val="HideTWBExt"/>
        </w:rPr>
        <w:t>&lt;/Titre&gt;</w:t>
      </w:r>
    </w:p>
    <w:p>
      <w:pPr>
        <w:pStyle w:val="CoverNormal24a"/>
      </w:pPr>
      <w:r>
        <w:rPr>
          <w:rStyle w:val="HideTWBExt"/>
        </w:rPr>
        <w:t>&lt;DocRef&gt;</w:t>
      </w:r>
      <w:r>
        <w:t>(2024/2021(DEC))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Ia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întrucât articolul 15 alineatul (3) din TFUE impune instituțiilor UE să se asigure, în Regulamentul lor de procedură, că procedurile lor sunt transparente, în timp ce, în mai multe dintre anchetele și deciziile sale, Ombudsmanul a criticat Consiliul pentru lipsa sa de transparență, sugerând că Consiliul nu a reușit să înțeleagă pe deplin legătura critică dintre democrație și transparența procesului decizional;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constată</w:t>
            </w:r>
            <w:r>
              <w:t xml:space="preserve"> că în Raportul său anual pentru exercițiul financiar 2023, Curtea de Conturi (denumită în continuare „Curtea”) a examinat un eșantion de 70 de operațiuni de la rubrica „Administrație”, cu zece mai mult decât în 2022; constată totodată că Curtea scrie că cheltuielile administrative cuprind cheltuieli cu resursele umane, inclusiv cheltuieli cu pensiile, care, în 2023, au reprezentat aproximativ 70 % din cheltuielile administrative totale, precum și cheltuieli cu clădirile, echipamentele, energia, comunicațiile și tehnologia informației și că activitatea pe care a desfășurat-o de-a lungul mai multor ani indică faptul că, în general, aceste cheltuieli prezintă riscuri scăzute;</w:t>
            </w:r>
          </w:p>
        </w:tc>
        <w:tc>
          <w:tcPr>
            <w:tcW w:w="4876" w:type="dxa"/>
            <w:tcBorders>
              <w:top w:val="nil"/>
              <w:left w:val="nil"/>
              <w:bottom w:val="nil"/>
              <w:right w:val="nil"/>
            </w:tcBorders>
          </w:tcPr>
          <w:p>
            <w:pPr>
              <w:pStyle w:val="Normal6a"/>
            </w:pPr>
            <w:r>
              <w:t>2.</w:t>
            </w:r>
            <w:r>
              <w:tab/>
            </w:r>
            <w:r>
              <w:rPr>
                <w:b/>
                <w:i/>
              </w:rPr>
              <w:t>salută faptul</w:t>
            </w:r>
            <w:r>
              <w:t xml:space="preserve"> că în Raportul său anual pentru exercițiul financiar 2023, Curtea de Conturi (denumită în continuare „Curtea”) a examinat un eșantion de 70 de operațiuni de la rubrica „Administrație”, cu zece mai mult decât în 2022; constată totodată că Curtea scrie că cheltuielile administrative cuprind cheltuieli cu resursele umane, inclusiv cheltuieli cu pensiile, care, în 2023, au reprezentat aproximativ 70 % din cheltuielile administrative totale, precum și cheltuieli cu clădirile, echipamentele, energia, comunicațiile și tehnologia informației și că activitatea pe care a desfășurat-o de-a lungul mai multor ani indică faptul că, în general, aceste cheltuieli prezintă riscuri scăzute;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reliefează</w:t>
            </w:r>
            <w:r>
              <w:t xml:space="preserve"> prerogativa Parlamentului de a acorda descărcarea de gestiune în temeiul articolului 319 din TFUE, precum și în temeiul dispozițiilor aplicabile din Regulamentul financiar și </w:t>
            </w:r>
            <w:r>
              <w:rPr>
                <w:b/>
                <w:i/>
              </w:rPr>
              <w:t>ale Regulamentului</w:t>
            </w:r>
            <w:r>
              <w:t xml:space="preserve"> de procedură al Parlamentului European, în conformitate cu interpretarea și practica actuală, și anume competența de a acorda descărcarea de gestiune cu scopul de a menține transparența și de a garanta răspunderea democratică față de contribuabilii Uniunii;</w:t>
            </w:r>
          </w:p>
        </w:tc>
        <w:tc>
          <w:tcPr>
            <w:tcW w:w="4876" w:type="dxa"/>
            <w:tcBorders>
              <w:top w:val="nil"/>
              <w:left w:val="nil"/>
              <w:bottom w:val="nil"/>
              <w:right w:val="nil"/>
            </w:tcBorders>
          </w:tcPr>
          <w:p>
            <w:pPr>
              <w:pStyle w:val="Normal6a"/>
            </w:pPr>
            <w:r>
              <w:t>8.</w:t>
            </w:r>
            <w:r>
              <w:tab/>
            </w:r>
            <w:r>
              <w:rPr>
                <w:b/>
                <w:i/>
              </w:rPr>
              <w:t>reiterează</w:t>
            </w:r>
            <w:r>
              <w:t xml:space="preserve"> prerogativa Parlamentului de a acorda descărcarea de gestiune în temeiul articolului 319 din TFUE, precum și în temeiul dispozițiilor aplicabile din Regulamentul financiar și </w:t>
            </w:r>
            <w:r>
              <w:rPr>
                <w:b/>
                <w:i/>
              </w:rPr>
              <w:t>Regulamentul</w:t>
            </w:r>
            <w:r>
              <w:t xml:space="preserve"> de procedură al Parlamentului European, în conformitate cu interpretarea și practica actuală, și anume competența de a acorda descărcarea de gestiune cu scopul de a menține transparența și de a garanta răspunderea democratică față de contribuabilii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subliniază practica respectată și consacrată aplicată de Parlament pe parcursul a peste douăzeci de ani în care s-a acordat descărcarea de gestiune pentru toate instituțiile, organismele, birourile și agențiile Uniunii; reamintește că Comisia și-a declarat incapacitatea de a supraveghea execuția bugetelor celorlalte instituții ale Uniunii; subliniază viziunea reiterată a Comisiei, aceea că practica de a acorda descărcarea de gestiune fiecărei instituții a Uniunii pentru propriile cheltuieli administrative ar trebui continuată în viitor direct de către Parlament;</w:t>
            </w:r>
          </w:p>
        </w:tc>
        <w:tc>
          <w:tcPr>
            <w:tcW w:w="4876" w:type="dxa"/>
            <w:tcBorders>
              <w:top w:val="nil"/>
              <w:left w:val="nil"/>
              <w:bottom w:val="nil"/>
              <w:right w:val="nil"/>
            </w:tcBorders>
          </w:tcPr>
          <w:p>
            <w:pPr>
              <w:pStyle w:val="Normal6a"/>
            </w:pPr>
            <w:r>
              <w:t>10.</w:t>
            </w:r>
            <w:r>
              <w:tab/>
            </w:r>
            <w:r>
              <w:t>subliniază practica respectată și consacrată aplicată de Parlament pe parcursul a peste douăzeci de ani în care s-a acordat descărcarea de gestiune pentru toate instituțiile, organismele, birourile și agențiile Uniunii</w:t>
            </w:r>
            <w:r>
              <w:rPr>
                <w:b/>
                <w:i/>
              </w:rPr>
              <w:t>, inclusiv pentru Consiliul European și Consiliu</w:t>
            </w:r>
            <w:r>
              <w:t xml:space="preserve">; reamintește că Comisia și-a declarat incapacitatea de a supraveghea execuția bugetelor celorlalte instituții ale Uniunii; subliniază viziunea reiterată a Comisiei, aceea că practica de a acorda descărcarea de gestiune fiecărei instituții a Uniunii pentru propriile cheltuieli administrative </w:t>
            </w:r>
            <w:r>
              <w:rPr>
                <w:b/>
                <w:i/>
              </w:rPr>
              <w:t>și pentru execuția bugetului UE</w:t>
            </w:r>
            <w:r>
              <w:t xml:space="preserve"> ar trebui continuată în viitor direct de către Parlament</w:t>
            </w:r>
            <w:r>
              <w:rPr>
                <w:b/>
                <w:i/>
              </w:rPr>
              <w:t>, pentru a asigura în continuare respectarea principiului bunei gestiuni financiare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Csaba Molnár,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subliniază că, în situația actuală, Parlamentul nu poate decât să verifice rapoartele Curții și ale Ombudsmanului, precum și informațiile disponibile public pe site-ul Consiliului, </w:t>
            </w:r>
            <w:r>
              <w:rPr>
                <w:b/>
                <w:i/>
              </w:rPr>
              <w:t>ceea ce face imposibilă luarea de către Parlament a unei decizii</w:t>
            </w:r>
            <w:r>
              <w:t xml:space="preserve"> în cunoștință de cauză cu privire la acordarea descărcării de gestiune;</w:t>
            </w:r>
          </w:p>
        </w:tc>
        <w:tc>
          <w:tcPr>
            <w:tcW w:w="4876" w:type="dxa"/>
            <w:tcBorders>
              <w:top w:val="nil"/>
              <w:left w:val="nil"/>
              <w:bottom w:val="nil"/>
              <w:right w:val="nil"/>
            </w:tcBorders>
          </w:tcPr>
          <w:p>
            <w:pPr>
              <w:pStyle w:val="Normal6a"/>
            </w:pPr>
            <w:r>
              <w:t>11.</w:t>
            </w:r>
            <w:r>
              <w:tab/>
            </w:r>
            <w:r>
              <w:t>subliniază că, în situația actuală, Parlamentul nu poate decât să verifice rapoartele Curții și ale Ombudsmanului, precum și informațiile disponibile public pe site-ul Consiliului, </w:t>
            </w:r>
            <w:r>
              <w:rPr>
                <w:b/>
                <w:i/>
              </w:rPr>
              <w:t>ca urmare a lipsei sistematice de cooperare a Consiliului cu Parlamentul;</w:t>
            </w:r>
            <w:r>
              <w:t xml:space="preserve"> </w:t>
            </w:r>
            <w:r>
              <w:rPr>
                <w:b/>
                <w:i/>
              </w:rPr>
              <w:t>subliniază că această lipsă de cooperare subminează capacitatea Parlamentului de a-și îndeplini în mod eficace rolul de supraveghere și de a lua o decizie</w:t>
            </w:r>
            <w:r>
              <w:t xml:space="preserve"> în cunoștință de cauză cu privire la acordarea descărcării de gestiune;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Csaba Molnár,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regretă că, timp de peste un deceniu, Consiliul a arătat că nu are niciun fel de voință politică de a colabora cu Parlamentul în contextul procedurii anuale de descărcare de gestiune; subliniază că această atitudine a avut un efect negativ de durată asupra ambelor instituții și a discreditat gestiunea și controlul democratic al bugetului Uniunii, afectând încrederea cetățenilor în Uniune ca entitate transparentă;</w:t>
            </w:r>
          </w:p>
        </w:tc>
        <w:tc>
          <w:tcPr>
            <w:tcW w:w="4876" w:type="dxa"/>
            <w:tcBorders>
              <w:top w:val="nil"/>
              <w:left w:val="nil"/>
              <w:bottom w:val="nil"/>
              <w:right w:val="nil"/>
            </w:tcBorders>
          </w:tcPr>
          <w:p>
            <w:pPr>
              <w:pStyle w:val="Normal6a"/>
            </w:pPr>
            <w:r>
              <w:t>12.</w:t>
            </w:r>
            <w:r>
              <w:tab/>
            </w:r>
            <w:r>
              <w:t xml:space="preserve">regretă că, timp de peste un deceniu, Consiliul a arătat că nu are niciun fel de voință politică de a colabora cu Parlamentul în contextul procedurii anuale de descărcare de gestiune; subliniază că această atitudine a avut un efect negativ de durată asupra ambelor instituții și a discreditat gestiunea și controlul democratic al bugetului Uniunii, afectând încrederea cetățenilor în Uniune ca entitate transparentă; </w:t>
            </w:r>
            <w:r>
              <w:rPr>
                <w:b/>
                <w:i/>
              </w:rPr>
              <w:t>subliniază că Consiliul trebuie să respecte aceleași standarde în materie de responsabilitate pe care le așteaptă din partea altor instituții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regretă că, timp de peste un deceniu, Consiliul a arătat că nu are niciun fel de voință politică de a colabora cu Parlamentul în contextul procedurii anuale de descărcare de gestiune; subliniază că această atitudine a avut un efect negativ de durată asupra ambelor instituții </w:t>
            </w:r>
            <w:r>
              <w:rPr>
                <w:b/>
                <w:i/>
              </w:rPr>
              <w:t>și</w:t>
            </w:r>
            <w:r>
              <w:t xml:space="preserve"> a discreditat gestiunea și controlul democratic al bugetului Uniunii</w:t>
            </w:r>
            <w:r>
              <w:rPr>
                <w:b/>
                <w:i/>
              </w:rPr>
              <w:t>, afectând</w:t>
            </w:r>
            <w:r>
              <w:t xml:space="preserve"> încrederea cetățenilor în Uniune ca entitate transparentă;</w:t>
            </w:r>
          </w:p>
        </w:tc>
        <w:tc>
          <w:tcPr>
            <w:tcW w:w="4876" w:type="dxa"/>
            <w:tcBorders>
              <w:top w:val="nil"/>
              <w:left w:val="nil"/>
              <w:bottom w:val="nil"/>
              <w:right w:val="nil"/>
            </w:tcBorders>
          </w:tcPr>
          <w:p>
            <w:pPr>
              <w:pStyle w:val="Normal6a"/>
            </w:pPr>
            <w:r>
              <w:t>12.</w:t>
            </w:r>
            <w:r>
              <w:tab/>
            </w:r>
            <w:r>
              <w:t>regretă că, timp de peste un deceniu, Consiliul a arătat că nu are niciun fel de voință politică de a colabora cu Parlamentul în contextul procedurii anuale de descărcare de gestiune; subliniază că această atitudine a avut un efect negativ de durată asupra ambelor instituții</w:t>
            </w:r>
            <w:r>
              <w:rPr>
                <w:b/>
                <w:i/>
              </w:rPr>
              <w:t>,</w:t>
            </w:r>
            <w:r>
              <w:t xml:space="preserve"> a discreditat gestiunea și controlul democratic al bugetului Uniunii </w:t>
            </w:r>
            <w:r>
              <w:rPr>
                <w:b/>
                <w:i/>
              </w:rPr>
              <w:t>și a afectat</w:t>
            </w:r>
            <w:r>
              <w:t xml:space="preserve"> încrederea cetățenilor în Uniune ca entitate transparentă;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subliniază că reticența de durată și incapacitatea continuă a Consiliului de a răspunde și de a participa la desfășurarea procedurilor legislative inițiate de Parlament constituie o încălcare a obligațiilor care îi revin în temeiul articolului 265 din TFUE;</w:t>
            </w:r>
            <w:r>
              <w:t xml:space="preserve"> </w:t>
            </w:r>
            <w:r>
              <w:rPr>
                <w:b/>
                <w:i/>
              </w:rPr>
              <w:t>regretă, în special, impasul și întârzierile în negocierile cu Consiliul cu privire la dreptul de anchetă și la legislația electorală europeană, precum și lipsa de acțiune a Consiliului European cu privire la procedura prevăzută la articolul 48 din TUE privind modificarea tratatelor;</w:t>
            </w:r>
            <w:r>
              <w:t xml:space="preserve"> </w:t>
            </w:r>
            <w:r>
              <w:rPr>
                <w:b/>
                <w:i/>
              </w:rPr>
              <w:t>regretă faptul că Consiliul nu a colaborat suficient cu Parlamentul pentru a purta discuții formale;</w:t>
            </w:r>
            <w:r>
              <w:t xml:space="preserve"> </w:t>
            </w:r>
            <w:r>
              <w:rPr>
                <w:b/>
                <w:i/>
              </w:rPr>
              <w:t>invită Consiliul să respecte principiul cooperării loiale, consacrat la articolul 13 alineatul (2) din TUE, și să colaboreze cu Parlamentul pentru a depăși blocajul instituțional actual;</w:t>
            </w:r>
            <w:r>
              <w:t xml:space="preserve"> </w:t>
            </w:r>
            <w:r>
              <w:rPr>
                <w:b/>
                <w:i/>
              </w:rPr>
              <w:t>în ceea ce privește dreptul de anchetă, subliniază necesitatea de a sesiza Comisia AFCO și Comisia JURI pentru ca acestea să inițieze acțiuni în justiție împotriva Consiliului, ca urmare a constatării unui caz clar de abținere de a acționa în temeiul articolului 265 din TFUE;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reiterează faptul că refuzul continuu al Consiliului de a coopera în cadrul procedurii de descărcare de gestiune reprezintă o încălcare inacceptabilă a responsabilității democratice;</w:t>
            </w:r>
            <w:r>
              <w:t xml:space="preserve"> </w:t>
            </w:r>
            <w:r>
              <w:rPr>
                <w:b/>
                <w:i/>
              </w:rPr>
              <w:t>solicită să se introducă modificări juridice și procedurale pentru a suspenda transferul creditelor bugetare către orice instituție a Uniunii care nu respectă obligațiile în materie de transparență;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reamintește că jurisprudența Curții de Justiție a Uniunii Europene sprijină dreptul contribuabililor și al publicului de a fi informați cu privire la utilizarea veniturilor publice; cere, prin urmare, să se respecte pe deplin prerogativa și rolul Parlamentului ca garant al principiului răspunderii democratice; invită Consiliul să respecte așa cum se cuvine recomandările adoptate de Parlament în contextul procedurii de descărcare de gestiune;</w:t>
            </w:r>
          </w:p>
        </w:tc>
        <w:tc>
          <w:tcPr>
            <w:tcW w:w="4876" w:type="dxa"/>
            <w:tcBorders>
              <w:top w:val="nil"/>
              <w:left w:val="nil"/>
              <w:bottom w:val="nil"/>
              <w:right w:val="nil"/>
            </w:tcBorders>
          </w:tcPr>
          <w:p>
            <w:pPr>
              <w:pStyle w:val="Normal6a"/>
            </w:pPr>
            <w:r>
              <w:t>13.</w:t>
            </w:r>
            <w:r>
              <w:tab/>
            </w:r>
            <w:r>
              <w:t>reamintește că jurisprudența Curții de Justiție a Uniunii Europene</w:t>
            </w:r>
            <w:r>
              <w:rPr>
                <w:b/>
                <w:i/>
              </w:rPr>
              <w:t>, pe care această instituție nu o aplică întotdeauna în cazul său,</w:t>
            </w:r>
            <w:r>
              <w:t xml:space="preserve"> sprijină dreptul contribuabililor și al publicului de a fi informați cu privire la utilizarea veniturilor publice; cere, prin urmare, să se respecte pe deplin prerogativa și rolul Parlamentului ca garant al principiului răspunderii democratice; invită Consiliul să respecte așa cum se cuvine recomandările adoptate de Parlament în contextul procedurii de descărcare de gestiune;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invită Consiliul să reia negocierile cu Parlamentul la cel mai înalt nivel, implicând secretarii generali și președinții ambelor instituții, pentru a depăși impasul și a găsi o soluție, respectând în același timp rolul Parlamentului și al Consiliului în procedura de descărcare de gestiune, garantând transparența și asigurând un control democratic adecvat al execuției bugetare;</w:t>
            </w:r>
          </w:p>
        </w:tc>
        <w:tc>
          <w:tcPr>
            <w:tcW w:w="4876" w:type="dxa"/>
            <w:tcBorders>
              <w:top w:val="nil"/>
              <w:left w:val="nil"/>
              <w:bottom w:val="nil"/>
              <w:right w:val="nil"/>
            </w:tcBorders>
          </w:tcPr>
          <w:p>
            <w:pPr>
              <w:pStyle w:val="Normal6a"/>
            </w:pPr>
            <w:r>
              <w:t>14.</w:t>
            </w:r>
            <w:r>
              <w:tab/>
            </w:r>
            <w:r>
              <w:t xml:space="preserve">invită Consiliul să reia negocierile cu Parlamentul la cel mai înalt nivel, implicând secretarii generali și președinții ambelor instituții, pentru a depăși impasul și a găsi o soluție, respectând în același timp rolul Parlamentului și al Consiliului în procedura de descărcare de gestiune, garantând transparența și asigurând un control democratic adecvat al execuției bugetare; </w:t>
            </w:r>
            <w:r>
              <w:rPr>
                <w:b/>
                <w:i/>
              </w:rPr>
              <w:t>îndeamnă Consiliul să colaboreze activ cu Parlamentul în abordarea situației actuale;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invită Consiliul să reia negocierile cu Parlamentul la cel mai înalt nivel, implicând secretarii generali și președinții ambelor instituții, pentru a depăși impasul și a găsi o soluție, respectând în același timp rolul Parlamentului și al Consiliului în procedura de descărcare de gestiune, garantând transparența și asigurând un control democratic adecvat al execuției bugetare;</w:t>
            </w:r>
          </w:p>
        </w:tc>
        <w:tc>
          <w:tcPr>
            <w:tcW w:w="4876" w:type="dxa"/>
            <w:tcBorders>
              <w:top w:val="nil"/>
              <w:left w:val="nil"/>
              <w:bottom w:val="nil"/>
              <w:right w:val="nil"/>
            </w:tcBorders>
          </w:tcPr>
          <w:p>
            <w:pPr>
              <w:pStyle w:val="Normal6a"/>
            </w:pPr>
            <w:r>
              <w:t>14.</w:t>
            </w:r>
            <w:r>
              <w:tab/>
            </w:r>
            <w:r>
              <w:t>invită Consiliul să reia</w:t>
            </w:r>
            <w:r>
              <w:rPr>
                <w:b/>
                <w:i/>
              </w:rPr>
              <w:t>, fără întârzieri nejustificate,</w:t>
            </w:r>
            <w:r>
              <w:t xml:space="preserve"> negocierile cu Parlamentul la cel mai înalt nivel, implicând secretarii generali și președinții ambelor instituții, pentru a depăși impasul și a găsi o soluție, respectând în același timp rolul Parlamentului și al Consiliului în procedura de descărcare de gestiune, garantând transparența </w:t>
            </w:r>
            <w:r>
              <w:rPr>
                <w:b/>
                <w:i/>
              </w:rPr>
              <w:t>și credibilitatea</w:t>
            </w:r>
            <w:r>
              <w:t xml:space="preserve"> și asigurând un control democratic adecvat al execuției bugetare;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Csaba Molnár,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invită Consiliul să reia negocierile cu Parlamentul la cel mai înalt nivel, implicând secretarii generali și președinții ambelor instituții, pentru a depăși impasul și a găsi o soluție, respectând în același timp rolul Parlamentului și al Consiliului în procedura de descărcare de gestiune, garantând transparența și asigurând un control democratic adecvat al execuției bugetare;</w:t>
            </w:r>
          </w:p>
        </w:tc>
        <w:tc>
          <w:tcPr>
            <w:tcW w:w="4876" w:type="dxa"/>
            <w:tcBorders>
              <w:top w:val="nil"/>
              <w:left w:val="nil"/>
              <w:bottom w:val="nil"/>
              <w:right w:val="nil"/>
            </w:tcBorders>
          </w:tcPr>
          <w:p>
            <w:pPr>
              <w:pStyle w:val="Normal6a"/>
            </w:pPr>
            <w:r>
              <w:t>14.</w:t>
            </w:r>
            <w:r>
              <w:tab/>
            </w:r>
            <w:r>
              <w:t xml:space="preserve">invită Consiliul să reia </w:t>
            </w:r>
            <w:r>
              <w:rPr>
                <w:b/>
                <w:i/>
              </w:rPr>
              <w:t>cât mai curând posibil</w:t>
            </w:r>
            <w:r>
              <w:t xml:space="preserve"> negocierile cu Parlamentul la cel mai înalt nivel, implicând secretarii generali și președinții ambelor instituții, pentru a depăși impasul și a găsi o soluție, respectând în același timp rolul Parlamentului și al Consiliului în procedura de descărcare de gestiune, garantând transparența și asigurând un control democratic adecvat al execuției bugetare;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invită Consiliul să reia negocierile la cel mai înalt nivel pentru a soluționa impasul de lungă durată al descărcării de gestiune;</w:t>
            </w:r>
            <w:r>
              <w:t xml:space="preserve"> </w:t>
            </w:r>
            <w:r>
              <w:rPr>
                <w:b/>
                <w:i/>
              </w:rPr>
              <w:t>solicită Comisiei și Serviciului juridic al Consiliului să furnizeze un aviz juridic cu privire la posibilele soluții bazate pe tratate pentru a asigura responsabilitatea Consiliului în cadrul procedurii de descărcare de gestiune;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Tamás Deutsch, 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subliniază că</w:t>
            </w:r>
            <w:r>
              <w:rPr>
                <w:b/>
                <w:i/>
              </w:rPr>
              <w:t>, deși situația actuală trebuie îmbunătățită printr-o mai bună cooperare interinstituțională în cadrul tratatelor, revizuirea tratatelor ar putea face procedura de descărcare de gestiune mai clară și mai transparentă, atribuind Parlamentului competența explicită de a acorda descărcarea de gestiune tuturor instituțiilor, organelor, oficiilor și agențiilor Uniunii în mod individual</w:t>
            </w:r>
            <w:r>
              <w:t>;</w:t>
            </w:r>
          </w:p>
        </w:tc>
        <w:tc>
          <w:tcPr>
            <w:tcW w:w="4876" w:type="dxa"/>
            <w:tcBorders>
              <w:top w:val="nil"/>
              <w:left w:val="nil"/>
              <w:bottom w:val="nil"/>
              <w:right w:val="nil"/>
            </w:tcBorders>
          </w:tcPr>
          <w:p>
            <w:pPr>
              <w:pStyle w:val="Normal6a"/>
            </w:pPr>
            <w:r>
              <w:t>15.</w:t>
            </w:r>
            <w:r>
              <w:tab/>
            </w:r>
            <w:r>
              <w:t xml:space="preserve">subliniază că </w:t>
            </w:r>
            <w:r>
              <w:rPr>
                <w:b/>
                <w:i/>
              </w:rPr>
              <w:t>sporirea transparenței și consolidarea supravegherii solicitate de Parlament nu trebuie să fie în detrimentul autonomiei decizionale a guvernelor naționale;</w:t>
            </w:r>
            <w:r>
              <w:t xml:space="preserve"> </w:t>
            </w:r>
            <w:r>
              <w:rPr>
                <w:b/>
                <w:i/>
              </w:rPr>
              <w:t>supravegherea bugetară nu ar trebui să devină un instrument politic împotriva anumitor state membre și nici nu ar trebui utilizată pentru a le impune sancțiuni sau restricții pe baza unor considerente ideologice sau politice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subliniază că, deși situația actuală trebuie îmbunătățită printr-o mai bună cooperare interinstituțională în cadrul tratatelor, revizuirea tratatelor ar putea face procedura de descărcare de gestiune mai clară și mai transparentă, atribuind Parlamentului competența explicită de a acorda descărcarea de gestiune tuturor instituțiilor, organelor, oficiilor și agențiilor Uniunii în mod individual;</w:t>
            </w:r>
          </w:p>
        </w:tc>
        <w:tc>
          <w:tcPr>
            <w:tcW w:w="4876" w:type="dxa"/>
            <w:tcBorders>
              <w:top w:val="nil"/>
              <w:left w:val="nil"/>
              <w:bottom w:val="nil"/>
              <w:right w:val="nil"/>
            </w:tcBorders>
          </w:tcPr>
          <w:p>
            <w:pPr>
              <w:pStyle w:val="Normal6a"/>
            </w:pPr>
            <w:r>
              <w:t>15.</w:t>
            </w:r>
            <w:r>
              <w:tab/>
            </w:r>
            <w:r>
              <w:t xml:space="preserve">subliniază că, deși situația actuală trebuie îmbunătățită printr-o mai bună cooperare interinstituțională în cadrul tratatelor, revizuirea tratatelor ar putea face procedura de descărcare de gestiune mai clară și mai transparentă, atribuind Parlamentului competența explicită de a acorda descărcarea de gestiune tuturor instituțiilor, organelor, oficiilor și agențiilor Uniunii în mod individual; </w:t>
            </w:r>
            <w:r>
              <w:rPr>
                <w:b/>
                <w:i/>
              </w:rPr>
              <w:t>evidențiază totuși faptul că, în așteptarea unei astfel de revizuiri, situația actuală trebuie îmbunătățită printr-o mai bună cooperare interinstituțională;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Csaba Molnár,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subliniază că, deși situația actuală trebuie îmbunătățită printr-o mai bună cooperare interinstituțională în cadrul tratatelor, revizuirea tratatelor ar putea face procedura de descărcare de gestiune mai clară și mai transparentă, atribuind Parlamentului competența explicită de a acorda descărcarea de gestiune tuturor instituțiilor, organelor, oficiilor și agențiilor Uniunii în mod individual;</w:t>
            </w:r>
          </w:p>
        </w:tc>
        <w:tc>
          <w:tcPr>
            <w:tcW w:w="4876" w:type="dxa"/>
            <w:tcBorders>
              <w:top w:val="nil"/>
              <w:left w:val="nil"/>
              <w:bottom w:val="nil"/>
              <w:right w:val="nil"/>
            </w:tcBorders>
          </w:tcPr>
          <w:p>
            <w:pPr>
              <w:pStyle w:val="Normal6a"/>
            </w:pPr>
            <w:r>
              <w:t>15.</w:t>
            </w:r>
            <w:r>
              <w:tab/>
            </w:r>
            <w:r>
              <w:t xml:space="preserve">subliniază că, deși situația actuală trebuie îmbunătățită printr-o mai bună cooperare interinstituțională în cadrul tratatelor, revizuirea tratatelor ar putea face procedura de descărcare de gestiune mai clară și mai transparentă, atribuind Parlamentului competența explicită de a acorda descărcarea de gestiune tuturor instituțiilor, organelor, oficiilor și agențiilor Uniunii în mod individual; </w:t>
            </w:r>
            <w:r>
              <w:rPr>
                <w:b/>
                <w:i/>
              </w:rPr>
              <w:t>îndeamnă Consiliul să colaboreze activ cu Parlamentul pentru a răspunde situației actuale;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reamintește Tratatul privind Uniunea Europeană, conform căruia obiectivul UE și al instituțiilor sale este de a promova pacea, valorile Uniunii și bunăstarea popoarelor sale, de a menține pacea, de a preveni conflictele și de a consolida securitatea internațională;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Tamás Deutsch, Julien Sanchez, Virginie Joron,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invită instituția să își dedice toate forțele și să își maximizeze eforturile cu toate măsurile și atuurile sale disponibile pentru a promova pacea și a pune capăt războiului din Ucraina cât mai curând posibil, precum și pentru a menține pacea și a întări securitatea europeană;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reamintește că, potrivit Tratatului privind Uniunea Europeană, UE și instituțiile sale respectă egalitatea statelor membre în raport cu tratatele, precum și identitatea lor națională, inerentă structurilor lor fundamentale politice și constituționale, inclusiv în ceea ce privește autonomia locală și regională;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Tamás Deutsch, Julien Sanchez, Virginie Joron,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17d.</w:t>
            </w:r>
            <w:r>
              <w:tab/>
            </w:r>
            <w:r>
              <w:rPr>
                <w:b/>
                <w:i/>
              </w:rPr>
              <w:t>invită instituția să respecte întotdeauna egalitatea statelor membre și să trateze toate statele membre în mod egal, să le respecte suveranitatea și identitatea națională, inerentă structurilor lor fundamentale politice și constituționale, inclusiv în ceea ce privește autonomia regională și locală;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ia act de faptul</w:t>
            </w:r>
            <w:r>
              <w:t xml:space="preserve"> că Consiliul își exercită prerogativele în procedurile de nominalizare și numire în cadrul a numeroase instituții, organe, oficii și agenții ale Uniunii;</w:t>
            </w:r>
          </w:p>
        </w:tc>
        <w:tc>
          <w:tcPr>
            <w:tcW w:w="4876" w:type="dxa"/>
            <w:tcBorders>
              <w:top w:val="nil"/>
              <w:left w:val="nil"/>
              <w:bottom w:val="nil"/>
              <w:right w:val="nil"/>
            </w:tcBorders>
          </w:tcPr>
          <w:p>
            <w:pPr>
              <w:pStyle w:val="Normal6a"/>
            </w:pPr>
            <w:r>
              <w:t>18.</w:t>
            </w:r>
            <w:r>
              <w:tab/>
            </w:r>
            <w:r>
              <w:rPr>
                <w:b/>
                <w:i/>
              </w:rPr>
              <w:t>regretă</w:t>
            </w:r>
            <w:r>
              <w:t xml:space="preserve"> că Consiliul își exercită prerogativele în procedurile de nominalizare și numire în cadrul a numeroase instituții, organe, oficii și agenții ale Uniunii</w:t>
            </w:r>
            <w:r>
              <w:rPr>
                <w:b/>
                <w:i/>
              </w:rPr>
              <w:t>, fără a ține seama de opiniile părților interesate sau de recomandările Oficiului European de Luptă Antifraudă (OLAF)</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ia act de</w:t>
            </w:r>
            <w:r>
              <w:t xml:space="preserve"> tradiția Consiliului de a nu pune sub semnul întrebării numirile pe care fiecare stat membru le face în majoritatea posturilor;</w:t>
            </w:r>
          </w:p>
        </w:tc>
        <w:tc>
          <w:tcPr>
            <w:tcW w:w="4876" w:type="dxa"/>
            <w:tcBorders>
              <w:top w:val="nil"/>
              <w:left w:val="nil"/>
              <w:bottom w:val="nil"/>
              <w:right w:val="nil"/>
            </w:tcBorders>
          </w:tcPr>
          <w:p>
            <w:pPr>
              <w:pStyle w:val="Normal6a"/>
            </w:pPr>
            <w:r>
              <w:t>19.</w:t>
            </w:r>
            <w:r>
              <w:tab/>
            </w:r>
            <w:r>
              <w:rPr>
                <w:b/>
                <w:i/>
              </w:rPr>
              <w:t>reamintește</w:t>
            </w:r>
            <w:r>
              <w:t xml:space="preserve"> tradiția Consiliului de a nu pune sub semnul întrebării numirile pe care fiecare stat membru le face în majoritatea posturilor</w:t>
            </w:r>
            <w:r>
              <w:rPr>
                <w:b/>
                <w:i/>
              </w:rPr>
              <w:t>, acest lucru însemnând că nu se efectuează o verificare temeinică a calificărilor profesionale ale candidaților;</w:t>
            </w:r>
            <w:r>
              <w:t xml:space="preserve"> </w:t>
            </w:r>
            <w:r>
              <w:rPr>
                <w:b/>
                <w:i/>
              </w:rPr>
              <w:t>insistă așadar asupra ideii că trebuie revizuită prerogativa Consiliului în vederea garantării și consolidării participării instituțiilor, organelor, oficiilor și agențiilor în cauză și a creșterii legitimității celor numiți;</w:t>
            </w:r>
            <w:r>
              <w:t xml:space="preserve"> </w:t>
            </w:r>
            <w:r>
              <w:rPr>
                <w:b/>
                <w:i/>
              </w:rPr>
              <w:t>sugerează că o posibilitate de a garanta faptul că candidații au calificările necesare ar fi înființarea unor jurii independente de experți care să efectueze astfel de verificări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reamintește că, în conformitate cu articolul 286 alineatul (2) din TFUE, Consiliul numește membrii Curții de Conturi după consultarea Parlamentului;</w:t>
            </w:r>
          </w:p>
        </w:tc>
        <w:tc>
          <w:tcPr>
            <w:tcW w:w="4876" w:type="dxa"/>
            <w:tcBorders>
              <w:top w:val="nil"/>
              <w:left w:val="nil"/>
              <w:bottom w:val="nil"/>
              <w:right w:val="nil"/>
            </w:tcBorders>
          </w:tcPr>
          <w:p>
            <w:pPr>
              <w:pStyle w:val="Normal6a"/>
            </w:pPr>
            <w:r>
              <w:t>20.</w:t>
            </w:r>
            <w:r>
              <w:tab/>
            </w:r>
            <w:r>
              <w:t>reamintește că, în conformitate cu articolul 286 alineatul (2) din TFUE, Consiliul numește membrii Curții de Conturi</w:t>
            </w:r>
            <w:r>
              <w:rPr>
                <w:b/>
                <w:i/>
              </w:rPr>
              <w:t>, în conformitate cu propunerile făcute de fiecare stat membru,</w:t>
            </w:r>
            <w:r>
              <w:t xml:space="preserve"> după consultarea Parlamentului; </w:t>
            </w:r>
            <w:r>
              <w:rPr>
                <w:b/>
                <w:i/>
              </w:rPr>
              <w:t>reamintește că, pe baza acestei condiții prealabile, Parlamentul European emite un aviz cu privire la candidați;</w:t>
            </w:r>
            <w:r>
              <w:t xml:space="preserve"> </w:t>
            </w:r>
            <w:r>
              <w:rPr>
                <w:b/>
                <w:i/>
              </w:rPr>
              <w:t>reamintește că, deși avizul Parlamentului nu este obligatoriu pentru Consiliu, candidații care au primit un aviz nefavorabil și-au retras candidatura acceptând decizia Parlamentului;</w:t>
            </w:r>
            <w:r>
              <w:t xml:space="preserve"> </w:t>
            </w:r>
            <w:r>
              <w:rPr>
                <w:b/>
                <w:i/>
              </w:rPr>
              <w:t>relevă faptul că, în acest mod, se recunoaște rolul Parlamentului European ca autoritate democratică de supraveghere implicată în protejarea bugetului UE;</w:t>
            </w:r>
            <w:r>
              <w:t xml:space="preserve"> </w:t>
            </w:r>
            <w:r>
              <w:rPr>
                <w:b/>
                <w:i/>
              </w:rPr>
              <w:t>invită Consiliul să recunoască rolul Parlamentului cooperând în cadrul procedurii de descărcare de gestiune;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reamintește că, în conformitate cu articolul 286 alineatul (2) din TFUE, Consiliul numește membrii Curții de Conturi după consultarea Parlamentului;</w:t>
            </w:r>
          </w:p>
        </w:tc>
        <w:tc>
          <w:tcPr>
            <w:tcW w:w="4876" w:type="dxa"/>
            <w:tcBorders>
              <w:top w:val="nil"/>
              <w:left w:val="nil"/>
              <w:bottom w:val="nil"/>
              <w:right w:val="nil"/>
            </w:tcBorders>
          </w:tcPr>
          <w:p>
            <w:pPr>
              <w:pStyle w:val="Normal6a"/>
            </w:pPr>
            <w:r>
              <w:t>20.</w:t>
            </w:r>
            <w:r>
              <w:tab/>
            </w:r>
            <w:r>
              <w:t xml:space="preserve">reamintește că, în conformitate cu articolul 286 alineatul (2) din TFUE, Consiliul numește membrii Curții de Conturi după consultarea Parlamentului; </w:t>
            </w:r>
            <w:r>
              <w:rPr>
                <w:b/>
                <w:i/>
              </w:rPr>
              <w:t>regretă că, în mod repetat, Consiliul nu a luat în considerare recomandările Parlamentului în rolul său consultativ în ceea ce privește numirea membrilor Curții de Conturi;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Csaba Molnár,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reamintește că, în conformitate cu articolul 286 alineatul (2) din TFUE, Consiliul numește membrii Curții de Conturi după consultarea Parlamentului;</w:t>
            </w:r>
          </w:p>
        </w:tc>
        <w:tc>
          <w:tcPr>
            <w:tcW w:w="4876" w:type="dxa"/>
            <w:tcBorders>
              <w:top w:val="nil"/>
              <w:left w:val="nil"/>
              <w:bottom w:val="nil"/>
              <w:right w:val="nil"/>
            </w:tcBorders>
          </w:tcPr>
          <w:p>
            <w:pPr>
              <w:pStyle w:val="Normal6a"/>
            </w:pPr>
            <w:r>
              <w:t>20.</w:t>
            </w:r>
            <w:r>
              <w:tab/>
            </w:r>
            <w:r>
              <w:t xml:space="preserve">reamintește că, în conformitate cu articolul 286 alineatul (2) din TFUE, Consiliul numește membrii Curții de Conturi după consultarea Parlamentului; </w:t>
            </w:r>
            <w:r>
              <w:rPr>
                <w:b/>
                <w:i/>
              </w:rPr>
              <w:t>regretă că, în repetate rânduri, Consiliul a ignorat recomandările Parlamentului în rolul său consultativ privind numirea membrilor Curții de Conturi;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Csaba Molnár, Eero Heinäluoma,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regretă că 12 state membre nu au nominalizat niciodată o femeie în cadrul Curții;</w:t>
            </w:r>
            <w:r>
              <w:t xml:space="preserve"> </w:t>
            </w:r>
            <w:r>
              <w:rPr>
                <w:b/>
                <w:i/>
              </w:rPr>
              <w:t>invită Curtea să își evalueze componența generală și să furnizeze această analiză Consiliului și statelor membre, asigurându-se că echilibrul de gen este luat în considerare în mod corespunzător în viitoarele procese de nominalizare a candidaților;</w:t>
            </w:r>
            <w:r>
              <w:t xml:space="preserve"> </w:t>
            </w:r>
            <w:r>
              <w:rPr>
                <w:b/>
                <w:i/>
              </w:rPr>
              <w:t>își reiterează apelul adresat statelor membre de a propune candidați de gen diferit, urmărind o componență mai echilibrată și mai reprezentativă a Curții;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având în vedere că dezechilibrul de gen grav din cadrul Curții este legat de actuala procedură de numire, își reiterează apelul adresat Consiliului de a reexamina procedura de numire prin acțiuni concrete, cum ar fi impunerea obligației ca statele membre să desemneze cel puțin doi candidați de gen diferit pentru fiecare post vacant;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regretă că Consiliul a ignorat până în prezent Rezoluția Parlamentului din 17 decembrie 2020 referitoare la necesitatea unei formațiuni a Consiliului dedicate egalității de gen</w:t>
            </w:r>
            <w:r>
              <w:rPr>
                <w:b/>
                <w:i/>
                <w:vertAlign w:val="superscript"/>
              </w:rPr>
              <w:t>1a</w:t>
            </w:r>
            <w:r>
              <w:t xml:space="preserve"> </w:t>
            </w:r>
            <w:r>
              <w:rPr>
                <w:b/>
                <w:i/>
              </w:rPr>
              <w:t>și insistă asupra faptului că un forum instituțional consacrat acestei chestiuni ar asigura o integrare mai mare a egalității de gen în politicile și strategiile Uniunii, precum și coordonare și progrese esențiale în principalele dosare referitoare la egalitatea de 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JO C 445, 29.10.2021, p. 150.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Csaba Molnár, Eero Heinäluoma,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regretă că Consiliul nu a dat curs Rezoluției Parlamentului din 17 decembrie 2020 prin care se solicită înființarea unei formațiuni a Consiliului dedicate egalității de gen</w:t>
            </w:r>
            <w:r>
              <w:rPr>
                <w:b/>
                <w:i/>
                <w:vertAlign w:val="superscript"/>
              </w:rPr>
              <w:t>1a</w:t>
            </w:r>
            <w:r>
              <w:rPr>
                <w:b/>
                <w:i/>
              </w:rPr>
              <w:t>;</w:t>
            </w:r>
            <w:r>
              <w:t xml:space="preserve"> </w:t>
            </w:r>
            <w:r>
              <w:rPr>
                <w:b/>
                <w:i/>
              </w:rPr>
              <w:t>subliniază că un astfel de forum instituțional ar juca un rol esențial în asigurarea unei integrări mai puternice a egalității de gen în politicile și strategiile Uniunii, precum și în facilitarea coordonării esențiale și a progreselor cu privire la principalele dosare legate de egalitatea de 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JO C 445, 29.10.2021, p. 150.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reiterează că utilizarea procedurii de vot în unanimitate în cadrul Consiliului în anumite domenii de politică paralizează procesul decizional al Uniunii și, prin urmare, îl face predispus la șantaj din partea statelor membre, în special a celor care nu respectă statul de drept;</w:t>
            </w:r>
            <w:r>
              <w:t xml:space="preserve"> </w:t>
            </w:r>
            <w:r>
              <w:rPr>
                <w:b/>
                <w:i/>
              </w:rPr>
              <w:t>invită Consiliul să aplice procedurile de vot cu majoritate calificată ori de câte ori este posibil și să ia în considerare revizuirea tratatelor care reglementează procedurile de vot;</w:t>
            </w:r>
            <w:r>
              <w:t xml:space="preserve"> </w:t>
            </w:r>
            <w:r>
              <w:rPr>
                <w:b/>
                <w:i/>
              </w:rPr>
              <w:t>consideră că trecerea generalizată la o procedură de vot cu majoritate calificată în cadrul Consiliului reprezintă un pas esențial către o elaborare mai eficientă a politicilor;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își exprimă preocuparea cu privire la utilizarea cerinței unanimității de voturi în cadrul Consiliului și al Consiliului European, ceea ce împiedică luarea deciziilor esențiale în domenii critice precum politica externă, procedurile de extindere, chestiunile bugetare și transparența;</w:t>
            </w:r>
            <w:r>
              <w:t xml:space="preserve"> </w:t>
            </w:r>
            <w:r>
              <w:rPr>
                <w:b/>
                <w:i/>
              </w:rPr>
              <w:t>ia act de faptul că cerința unanimității a cauzat un obstacol semnificativ în calea răspunsului eficace la acțiunile Rusiei, în special în ceea ce privește impunerea de sancțiuni care fac obiectul reînnoirii o dată la trei luni;</w:t>
            </w:r>
            <w:r>
              <w:t xml:space="preserve"> </w:t>
            </w:r>
            <w:r>
              <w:rPr>
                <w:b/>
                <w:i/>
              </w:rPr>
              <w:t>își exprimă îngrijorarea cu privire la faptul că eforturile de sprijinire a Ucrainei au fost slăbite din cauza necesității unanimității;</w:t>
            </w:r>
            <w:r>
              <w:t xml:space="preserve"> </w:t>
            </w:r>
            <w:r>
              <w:rPr>
                <w:b/>
                <w:i/>
              </w:rPr>
              <w:t>invită Consiliul să treacă la votul cu majoritate calificată în domeniile critice pentru ca Uniunea să poată acționa în mod eficace în fața provocărilor globale;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regretă faptul că Consiliul nu a dat curs solicitărilor repetate ale Parlamentului privind crearea unui Consiliu al miniștrilor apărării</w:t>
            </w:r>
            <w:r>
              <w:rPr>
                <w:b/>
                <w:i/>
                <w:vertAlign w:val="superscript"/>
              </w:rPr>
              <w:t>1a</w:t>
            </w:r>
            <w:r>
              <w:rPr>
                <w:b/>
                <w:i/>
              </w:rPr>
              <w:t>;</w:t>
            </w:r>
            <w:r>
              <w:t xml:space="preserve"> </w:t>
            </w:r>
            <w:r>
              <w:rPr>
                <w:b/>
                <w:i/>
              </w:rPr>
              <w:t>consideră că actualizarea cadrului instituțional al Consiliului cu o astfel de configurație ar reflecta extinderea sferei de cuprindere a agendei de apărare și necesitatea de a consolida rolul UE ca actor în cadrul politicii de securitate și apărare, completând instituirea unei Comisii pentru securitate și apărare în cadrul Parlamentului și crearea funcției de comisar pentru apărare și spațiu în cadrul Comisiei;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JO C 214, 16.6.2023;</w:t>
            </w:r>
            <w:r>
              <w:t xml:space="preserve"> </w:t>
            </w:r>
            <w:r>
              <w:rPr>
                <w:b/>
                <w:i/>
              </w:rPr>
              <w:t>JO C 342, 6.9.2022.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își exprimă preocuparea profundă cu privire la rolul tot mai important al Consiliului European în dosarele legislative, în pofida faptului că această instituție nu are nici funcție legislativă, nici executivă și că aceasta nu aplică aceleași standarde de transparență care sunt aplicate de Consiliu, ceea ce înseamnă că nu poate fi tras la răspundere;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reiterează că utilizarea procedurii de vot în unanimitate în cadrul Consiliului în anumite domenii de politică paralizează procesul decizional al Uniunii și, prin urmare, îl face predispus la șantaj din partea statelor membre, în special a celor care nu respectă statul de drept;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invită Președințiile prin rotație ale Consiliului să nu mai utilizeze sponsorizarea corporațiilor pentru a contribui la acoperirea cheltuielilor lor, deoarece acest lucru riscă să creeze conflicte de interese, astfel cum au evidențiat concluziile atelierului organizat de Comisia pentru control bugetar a Parlamentului la 27 iunie 2023; ia act de faptul că, în decizia sa din 9 septembrie 2024 referitoare la inițiativa strategică privind sponsorizarea Președinției Consiliului Uniunii Europene, Ombudsmanul European a încurajat Consiliul să evalueze modul în care au fost puse în aplicare normele fără caracter obligatoriu adoptate de Consiliu privind utilizarea sponsorizării de către Președinția sa („orientările”) și să exploreze alte posibile măsuri care ar putea contribui la atenuarea riscurilor asociate utilizării sponsorizării; își reiterează apelul adresat Consiliului de a prevedea pentru Președințiile Consiliului un buget care să asigure standarde adecvate și uniforme de eficiență și eficacitate a activității în Consiliu în general;</w:t>
            </w:r>
          </w:p>
        </w:tc>
        <w:tc>
          <w:tcPr>
            <w:tcW w:w="4876" w:type="dxa"/>
            <w:tcBorders>
              <w:top w:val="nil"/>
              <w:left w:val="nil"/>
              <w:bottom w:val="nil"/>
              <w:right w:val="nil"/>
            </w:tcBorders>
          </w:tcPr>
          <w:p>
            <w:pPr>
              <w:pStyle w:val="Normal6a"/>
            </w:pPr>
            <w:r>
              <w:t>22.</w:t>
            </w:r>
            <w:r>
              <w:tab/>
            </w:r>
            <w:r>
              <w:t xml:space="preserve">invită Președințiile prin rotație ale Consiliului să nu mai utilizeze sponsorizarea corporațiilor pentru a contribui la acoperirea cheltuielilor lor, deoarece acest lucru riscă să creeze conflicte de interese, astfel cum au evidențiat concluziile atelierului organizat de Comisia pentru control bugetar a Parlamentului la 27 iunie 2023; ia act de faptul că, în decizia sa din 9 septembrie 2024 referitoare la inițiativa strategică privind sponsorizarea Președinției Consiliului Uniunii Europene, Ombudsmanul European a încurajat Consiliul să evalueze modul în care au fost puse în aplicare normele fără caracter obligatoriu adoptate de Consiliu privind utilizarea sponsorizării de către Președinția sa („orientările”) și să exploreze alte posibile măsuri care ar putea contribui la atenuarea riscurilor asociate utilizării sponsorizării; își reiterează apelul adresat Consiliului de a prevedea pentru Președințiile Consiliului un buget care să asigure standarde adecvate și uniforme de eficiență și eficacitate a activității în Consiliu în general; </w:t>
            </w:r>
            <w:r>
              <w:rPr>
                <w:b/>
                <w:i/>
              </w:rPr>
              <w:t>în acest sens, este dezamăgit de orientările fără caracter obligatoriu emise de Consiliu cu privire la sponsorizarea din partea corporațiilor;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Csaba Molnár, Eero Heinäluoma,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își exprimă profunda îngrijorare cu privire la utilizarea abuzivă de către guvernul ungar a rolului său în Președinția UE pentru a continua angajamentele bilaterale care contravin valorilor fundamentale ale Uniunii, cum ar fi reuniunile prim-ministrului Viktor Orbán cu președintele rus Vladimir Putin, în pofida sancțiunilor Uniunii și a mandatului de arestare al Curții Penale Internaționale împotriva acestuia din urmă pentru crime de război;</w:t>
            </w:r>
            <w:r>
              <w:t xml:space="preserve"> </w:t>
            </w:r>
            <w:r>
              <w:rPr>
                <w:b/>
                <w:i/>
              </w:rPr>
              <w:t>ia act cu îngrijorare de angajamente similare cu alți lideri autoritari, fapt care subminează credibilitatea UE;</w:t>
            </w:r>
            <w:r>
              <w:t xml:space="preserve"> </w:t>
            </w:r>
            <w:r>
              <w:rPr>
                <w:b/>
                <w:i/>
              </w:rPr>
              <w:t>invită Consiliul să condamne cu fermitate astfel de acțiuni și să ia toate măsurile necesare pentru a se asigura că statele membre care dețin Președinția acționează în conformitate cu principiile UE, protejând integritatea și valorile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regretă faptul că bugetul Consiliului European și al Consiliului nu a fost împărțit în două bugete clar separate, așa cum a recomandat Parlamentul în rezoluțiile sale anterioare referitoare descărcarea de gestiune, pentru a mări transparența și responsabilitatea, nu în ultimul rând în ceea ce privește Consiliul European, având în vedere că este în prezent imposibil să se obțină informații sigure despre costurile acestuia;</w:t>
            </w:r>
          </w:p>
        </w:tc>
        <w:tc>
          <w:tcPr>
            <w:tcW w:w="4876" w:type="dxa"/>
            <w:tcBorders>
              <w:top w:val="nil"/>
              <w:left w:val="nil"/>
              <w:bottom w:val="nil"/>
              <w:right w:val="nil"/>
            </w:tcBorders>
          </w:tcPr>
          <w:p>
            <w:pPr>
              <w:pStyle w:val="Normal6a"/>
            </w:pPr>
            <w:r>
              <w:t>23.</w:t>
            </w:r>
            <w:r>
              <w:tab/>
            </w:r>
            <w:r>
              <w:t xml:space="preserve">regretă faptul că bugetul Consiliului European și al Consiliului nu a fost împărțit în două bugete clar separate, așa cum a recomandat Parlamentul în rezoluțiile sale anterioare referitoare descărcarea de gestiune, pentru a mări transparența și responsabilitatea, nu în ultimul rând în ceea ce privește Consiliul European, având în vedere că este în prezent imposibil să se obțină informații sigure despre costurile acestuia; </w:t>
            </w:r>
            <w:r>
              <w:rPr>
                <w:b/>
                <w:i/>
              </w:rPr>
              <w:t>subliniază importanța unor date fiabile pentru un control obiectiv;</w:t>
            </w:r>
            <w:r>
              <w:t xml:space="preserve"> </w:t>
            </w:r>
            <w:r>
              <w:rPr>
                <w:b/>
                <w:i/>
              </w:rPr>
              <w:t>solicită respectarea recomandării autorității care acordă descărcarea de gestiune;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constată că, în 2023, rata totală de execuție a bugetului Consiliului era de 97,0 %; constată că, la sfârșitul anului 2023, au fost anulate credite în valoare de aproape 20 de milioane EUR, din care jumătate proveneau de la linia bugetară pentru cheltuieli cu personalul;</w:t>
            </w:r>
          </w:p>
        </w:tc>
        <w:tc>
          <w:tcPr>
            <w:tcW w:w="4876" w:type="dxa"/>
            <w:tcBorders>
              <w:top w:val="nil"/>
              <w:left w:val="nil"/>
              <w:bottom w:val="nil"/>
              <w:right w:val="nil"/>
            </w:tcBorders>
          </w:tcPr>
          <w:p>
            <w:pPr>
              <w:pStyle w:val="Normal6a"/>
            </w:pPr>
            <w:r>
              <w:t>25.</w:t>
            </w:r>
            <w:r>
              <w:tab/>
            </w:r>
            <w:r>
              <w:t xml:space="preserve">constată că, în 2023, rata totală de execuție a bugetului Consiliului era de 97,0 %; constată că, la sfârșitul anului 2023, au fost anulate credite în valoare de aproape 20 de milioane EUR, din care jumătate proveneau de la linia bugetară pentru cheltuieli cu personalul; </w:t>
            </w:r>
            <w:r>
              <w:rPr>
                <w:b/>
                <w:i/>
              </w:rPr>
              <w:t>ia act de faptul că rata de execuție bugetară a Consiliului a fost de 97,0 % în 2023, în timp ce costurile de funcționare ale instituțiilor UE continuă să crească;</w:t>
            </w:r>
            <w:r>
              <w:t xml:space="preserve"> </w:t>
            </w:r>
            <w:r>
              <w:rPr>
                <w:b/>
                <w:i/>
              </w:rPr>
              <w:t>subliniază că creșterea cheltuielilor instituțiilor UE nu este aliniată la situația economică a cetățenilor europeni și la sustenabilitatea bugetelor naționale;</w:t>
            </w:r>
            <w:r>
              <w:t xml:space="preserve"> </w:t>
            </w:r>
            <w:r>
              <w:rPr>
                <w:b/>
                <w:i/>
              </w:rPr>
              <w:t>prin urmare, îndeamnă instituțiile UE să reducă cheltuielile birocratice și să se asigure că fondurile publice servesc în primul rând intereselor cetățenilor europeni;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invită Consiliul să publice o defalcare anuală a cheltuielilor de călătorie și de reprezentare ale înalților funcționari, inclusiv ale Președintelui Consiliului European, ale Înaltului Reprezentant și ale Secretariatului General, într-un format ușor de utilizat și accesibil publicului;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își exprimă îngrijorarea cu privire la insuficiența mecanismelor de control în ceea ce privește utilizarea de către Consiliu a serviciilor de consultanță și a contractanților externi;</w:t>
            </w:r>
            <w:r>
              <w:t xml:space="preserve"> </w:t>
            </w:r>
            <w:r>
              <w:rPr>
                <w:b/>
                <w:i/>
              </w:rPr>
              <w:t>solicită publicarea integrală a tuturor contractelor care depășesc 50 000 EUR, detaliind domeniul de aplicare, rezultatele și entitățile atribuite, pentru a preveni posibila utilizare abuzivă a fondurilor publice;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ia act de faptul că cheltuielile de misiune, care cuprind atât cheltuielile de misiune ale Secretariatului, cât și cheltuielile de misiune ale personalului Consiliului European, au crescut cu 25 % între 2022 și 2023 și că cheltuielile de deplasare ale delegațiilor suportate de Președinții și de delegațiile naționale au crescut cu 36,6 % în aceeași perioadă;</w:t>
            </w:r>
          </w:p>
        </w:tc>
        <w:tc>
          <w:tcPr>
            <w:tcW w:w="4876" w:type="dxa"/>
            <w:tcBorders>
              <w:top w:val="nil"/>
              <w:left w:val="nil"/>
              <w:bottom w:val="nil"/>
              <w:right w:val="nil"/>
            </w:tcBorders>
          </w:tcPr>
          <w:p>
            <w:pPr>
              <w:pStyle w:val="Normal6a"/>
            </w:pPr>
            <w:r>
              <w:t>29.</w:t>
            </w:r>
            <w:r>
              <w:tab/>
            </w:r>
            <w:r>
              <w:t xml:space="preserve">ia act de faptul că cheltuielile de misiune, care cuprind atât cheltuielile de misiune ale Secretariatului, cât și cheltuielile de misiune ale personalului Consiliului European, au crescut cu 25 % între 2022 și 2023 și că cheltuielile de deplasare ale delegațiilor suportate de Președinții și de delegațiile naționale au crescut cu 36,6 % în aceeași perioadă; </w:t>
            </w:r>
            <w:r>
              <w:rPr>
                <w:b/>
                <w:i/>
              </w:rPr>
              <w:t>invită Consiliul să evalueze această creștere semnificativă a cheltuielilor de misiune;</w:t>
            </w:r>
            <w:r>
              <w:t xml:space="preserve"> </w:t>
            </w:r>
            <w:r>
              <w:rPr>
                <w:b/>
                <w:i/>
              </w:rPr>
              <w:t>în absența accesului la informații detaliate, încurajează Consiliul să utilizeze aceste resurse în spiritul bunei gestiuni financiare;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invită instituția să tragă învățăminte și concluzii cu privire la propriile norme și proceduri interne, ținând seama de revizuirea din septembrie 2023 a Regulamentului de procedură și a Codului de conduită al Parlamentului, însă recomandă instituției să propună noi modalități, mai puternice, de intensificare a luptei împotriva fraudelor și de protejare deplină a intereselor financiare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invită instituția să analizeze motivele pentru care nu a funcționat cadrul de reglementare al Parlamentului European pentru prevenirea corupției și a fraudelor, fapt care a permis participarea activă a parlamentarilor europeni, timp de mai mulți ani și fără a fi depistați, într-o rețea de tip mafiot care a comis acte de corupție și de spălare de bani;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reamintește că Tratatul privind Uniunea Europeană stipulează că UE și instituțiile sale promovează solidaritatea și egalitatea între femei și bărbați;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constată că, din totalul de 3 116 membri ai personalului înregistrat la sfârșitul lui 2023, 79 % erau angajați permanenți, 12,8 % erau agenți temporari, 7,2 % erau agenți contractuali, iar 1 % erau experți naționali detașați; constată că repartizarea personalului permanent și temporar între categoriile de posturi a rămas stabilă, cu 1 474,25 administratori (AD), 1 159 de asistenți (AST) și 230 de secretari (AST-SC) în 2023, comparativ cu 1 519 AD, 1 284 de AST și, respectiv, 190 de AST-SC în 2022; constată că la sfârșitul anului 2023 rata de ocupare a schemei de personal a fost de 97,4 %;</w:t>
            </w:r>
          </w:p>
        </w:tc>
        <w:tc>
          <w:tcPr>
            <w:tcW w:w="4876" w:type="dxa"/>
            <w:tcBorders>
              <w:top w:val="nil"/>
              <w:left w:val="nil"/>
              <w:bottom w:val="nil"/>
              <w:right w:val="nil"/>
            </w:tcBorders>
          </w:tcPr>
          <w:p>
            <w:pPr>
              <w:pStyle w:val="Normal6a"/>
            </w:pPr>
            <w:r>
              <w:t>36.</w:t>
            </w:r>
            <w:r>
              <w:tab/>
            </w:r>
            <w:r>
              <w:t xml:space="preserve">constată că, din totalul de 3 116 membri ai personalului înregistrat la sfârșitul lui 2023, 79 % erau angajați permanenți, 12,8 % erau agenți temporari, 7,2 % erau agenți contractuali, iar 1 % erau experți naționali detașați; constată că repartizarea personalului permanent și temporar între categoriile de posturi a rămas stabilă, cu 1 474,25 administratori (AD), 1 159 de asistenți (AST) și 230 de secretari (AST-SC) în 2023, comparativ cu 1 519 AD, 1 284 de AST și, respectiv, 190 de AST-SC în 2022; constată că la sfârșitul anului 2023 rata de ocupare a schemei de personal a fost de 97,4 %; </w:t>
            </w:r>
            <w:r>
              <w:rPr>
                <w:b/>
                <w:i/>
              </w:rPr>
              <w:t>regretă, cu toate acestea, lipsa unor date detaliate defalcate în funcție de gen, în special în ceea ce privește posturile de conducere;</w:t>
            </w:r>
            <w:r>
              <w:t xml:space="preserve"> </w:t>
            </w:r>
            <w:r>
              <w:rPr>
                <w:b/>
                <w:i/>
              </w:rPr>
              <w:t>solicită un plan de acțiune pentru egalitatea de gen, inclusiv raportarea anuală obligatorie cu privire la echilibrul de gen și măsuri de eliminare a diferențelor de remunerare între femei și bărbați;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constată că, având în vedere lipsa de cooperare a Consiliului cu Parlamentul, observațiile din această secțiune se bazează în principal pe informații agregate publicate pe site-ul Consiliului, care oferă detalii limitate;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ia act de celelalte inițiative luate de Secretariat pentru a deveni un loc de muncă mai divers și mai incluziv;</w:t>
            </w:r>
            <w:r>
              <w:t xml:space="preserve"> </w:t>
            </w:r>
            <w:r>
              <w:rPr>
                <w:b/>
                <w:i/>
              </w:rPr>
              <w:t>salută faptul că</w:t>
            </w:r>
            <w:r>
              <w:t xml:space="preserve"> Consiliul </w:t>
            </w:r>
            <w:r>
              <w:rPr>
                <w:b/>
                <w:i/>
              </w:rPr>
              <w:t>a primit în 2023 Premiul Ombudsmanului pentru bună administrare la categoria „Excelență în diversitate și incluziune”</w:t>
            </w:r>
            <w:r>
              <w:t xml:space="preserve"> pentru Programul său de acțiune pozitivă pentru stagiarii cu dizabilități, în cadrul căruia 6 stagiari cu dizabilități au fost angajați în cadrul Secretariatului în 2023;</w:t>
            </w:r>
          </w:p>
        </w:tc>
        <w:tc>
          <w:tcPr>
            <w:tcW w:w="4876" w:type="dxa"/>
            <w:tcBorders>
              <w:top w:val="nil"/>
              <w:left w:val="nil"/>
              <w:bottom w:val="nil"/>
              <w:right w:val="nil"/>
            </w:tcBorders>
          </w:tcPr>
          <w:p>
            <w:pPr>
              <w:pStyle w:val="Normal6a"/>
            </w:pPr>
            <w:r>
              <w:t>37.</w:t>
            </w:r>
            <w:r>
              <w:tab/>
            </w:r>
            <w:r>
              <w:rPr>
                <w:b/>
                <w:i/>
              </w:rPr>
              <w:t>felicită</w:t>
            </w:r>
            <w:r>
              <w:t xml:space="preserve"> Consiliul pentru Programul său de acțiune pozitivă pentru stagiarii cu dizabilități, în cadrul căruia 6 stagiari cu dizabilități au fost angajați în cadrul Secretariatului în 2023;</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Csaba Molnár, Eero Heinäluoma,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regretă lipsa de informații accesibile publicului cu privire la distribuția geografică a personalului din cadrul Secretariatului;</w:t>
            </w:r>
          </w:p>
        </w:tc>
        <w:tc>
          <w:tcPr>
            <w:tcW w:w="4876" w:type="dxa"/>
            <w:tcBorders>
              <w:top w:val="nil"/>
              <w:left w:val="nil"/>
              <w:bottom w:val="nil"/>
              <w:right w:val="nil"/>
            </w:tcBorders>
          </w:tcPr>
          <w:p>
            <w:pPr>
              <w:pStyle w:val="Normal6a"/>
            </w:pPr>
            <w:r>
              <w:t>38.</w:t>
            </w:r>
            <w:r>
              <w:tab/>
            </w:r>
            <w:r>
              <w:t xml:space="preserve">regretă lipsa de informații accesibile publicului cu privire la distribuția geografică a personalului din cadrul Secretariatului; </w:t>
            </w:r>
            <w:r>
              <w:rPr>
                <w:b/>
                <w:i/>
              </w:rPr>
              <w:t>invită Consiliul să comunice Parlamentului informații privind echilibrul de gen, distribuția geografică și dizabilitățile membrilor personalului său și privind politicile interne aferente;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regretă lipsa de informații accesibile publicului cu privire la distribuția geografică a personalului din cadrul Secretariatului;</w:t>
            </w:r>
          </w:p>
        </w:tc>
        <w:tc>
          <w:tcPr>
            <w:tcW w:w="4876" w:type="dxa"/>
            <w:tcBorders>
              <w:top w:val="nil"/>
              <w:left w:val="nil"/>
              <w:bottom w:val="nil"/>
              <w:right w:val="nil"/>
            </w:tcBorders>
          </w:tcPr>
          <w:p>
            <w:pPr>
              <w:pStyle w:val="Normal6a"/>
            </w:pPr>
            <w:r>
              <w:t>38.</w:t>
            </w:r>
            <w:r>
              <w:tab/>
            </w:r>
            <w:r>
              <w:t xml:space="preserve">regretă lipsa de informații accesibile publicului cu privire la distribuția geografică a personalului din cadrul Secretariatului; </w:t>
            </w:r>
            <w:r>
              <w:rPr>
                <w:b/>
                <w:i/>
              </w:rPr>
              <w:t>încurajează Consiliul să promoveze echilibrul geografic al personalului său, oferind o rezervă mai largă de candidați din statele membre subreprezentate;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regretă lipsa de informații accesibile publicului cu privire la distribuția geografică a personalului din cadrul Secretariatului;</w:t>
            </w:r>
          </w:p>
        </w:tc>
        <w:tc>
          <w:tcPr>
            <w:tcW w:w="4876" w:type="dxa"/>
            <w:tcBorders>
              <w:top w:val="nil"/>
              <w:left w:val="nil"/>
              <w:bottom w:val="nil"/>
              <w:right w:val="nil"/>
            </w:tcBorders>
          </w:tcPr>
          <w:p>
            <w:pPr>
              <w:pStyle w:val="Normal6a"/>
            </w:pPr>
            <w:r>
              <w:t>38.</w:t>
            </w:r>
            <w:r>
              <w:tab/>
            </w:r>
            <w:r>
              <w:t xml:space="preserve">regretă lipsa de informații accesibile publicului cu privire la distribuția geografică a personalului din cadrul Secretariatului; </w:t>
            </w:r>
            <w:r>
              <w:rPr>
                <w:b/>
                <w:i/>
              </w:rPr>
              <w:t>invită Consiliul să facă informațiile accesibile;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regretă lipsa de informații accesibile publicului cu privire la distribuția geografică a personalului din cadrul Secretariatului;</w:t>
            </w:r>
          </w:p>
        </w:tc>
        <w:tc>
          <w:tcPr>
            <w:tcW w:w="4876" w:type="dxa"/>
            <w:tcBorders>
              <w:top w:val="nil"/>
              <w:left w:val="nil"/>
              <w:bottom w:val="nil"/>
              <w:right w:val="nil"/>
            </w:tcBorders>
          </w:tcPr>
          <w:p>
            <w:pPr>
              <w:pStyle w:val="Normal6a"/>
            </w:pPr>
            <w:r>
              <w:t>38.</w:t>
            </w:r>
            <w:r>
              <w:tab/>
            </w:r>
            <w:r>
              <w:t xml:space="preserve">regretă lipsa de informații accesibile publicului cu privire la distribuția geografică </w:t>
            </w:r>
            <w:r>
              <w:rPr>
                <w:b/>
                <w:i/>
              </w:rPr>
              <w:t>și pe criterii de gen</w:t>
            </w:r>
            <w:r>
              <w:t xml:space="preserve"> a personalului din cadrul Secretariatului;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invită Consiliul să publice rapoarte anuale privind diversitatea, defalcate în funcție de gen, naționalitate și categorie de ocupare a forței de muncă, pentru a monitoriza și a îmbunătăți reprezentarea echitabilă în rândul forței sale de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Csaba Molnár, Eero Heinäluoma,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salută eforturile Secretariatului din 2023 de a atrage și a păstra o forță de muncă calificată și mai tânără prin diverse inițiative, cum ar fi recrutarea a opt administratori de politici debutanți în cadrul noului program intitulat „Junior Policy Team”, revizuirea normelor privind mobilitatea internă și participarea a 41 de membri ai personalului Secretariatului la un exercițiu interinstituțional de observare directă la locul de muncă; regretă lipsa de informații cu privire la punerea în aplicare a Planului de acțiune al Consiliului privind crearea unei identități corporative, elaborat în 2023;</w:t>
            </w:r>
          </w:p>
        </w:tc>
        <w:tc>
          <w:tcPr>
            <w:tcW w:w="4876" w:type="dxa"/>
            <w:tcBorders>
              <w:top w:val="nil"/>
              <w:left w:val="nil"/>
              <w:bottom w:val="nil"/>
              <w:right w:val="nil"/>
            </w:tcBorders>
          </w:tcPr>
          <w:p>
            <w:pPr>
              <w:pStyle w:val="Normal6a"/>
            </w:pPr>
            <w:r>
              <w:t>39.</w:t>
            </w:r>
            <w:r>
              <w:tab/>
            </w:r>
            <w:r>
              <w:t xml:space="preserve">salută eforturile Secretariatului din 2023 de a atrage și a păstra o forță de muncă calificată și mai tânără prin diverse inițiative, cum ar fi recrutarea a opt administratori de politici debutanți în cadrul noului program intitulat „Junior Policy Team”, revizuirea normelor privind mobilitatea internă și participarea a 41 de membri ai personalului Secretariatului la un exercițiu interinstituțional de observare directă la locul de muncă; </w:t>
            </w:r>
            <w:r>
              <w:rPr>
                <w:b/>
                <w:i/>
              </w:rPr>
              <w:t>subliniază că stagiul ar trebui să fie remunerat, în concordanță cu Rezoluția Parlamentului European din 14 iunie 2023 referitoare la stagii de calitate în Uniune (2020/2005(INL)), în care se solicită ca toate stagiile din Europa să fie plătite;</w:t>
            </w:r>
            <w:r>
              <w:t xml:space="preserve"> regretă lipsa de informații cu privire la punerea în aplicare a Planului de acțiune al Consiliului privind crearea unei identități corporative, elaborat în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regretă că două componente-cheie ale cadrului etic al Consiliului – „Ghidul privind etica și conduita” pentru personalul Secretariatului și „Codul de conduită al Președintelui Consiliului European” – sunt disponibile pe site-ul Consiliului fără a fi însoțite de orientări suplimentare și fără a se menționa data publicării; critică faptul că, în ciuda mai multor solicitări ale Parlamentului, Codul de conduită al Președintelui Consiliului European nu a fost aliniat cu cel aplicabil în cadrul Parlamentului și al Comisiei, în special în ceea ce privește activitățile care pot fi întreprinse după încheierea mandatului;</w:t>
            </w:r>
          </w:p>
        </w:tc>
        <w:tc>
          <w:tcPr>
            <w:tcW w:w="4876" w:type="dxa"/>
            <w:tcBorders>
              <w:top w:val="nil"/>
              <w:left w:val="nil"/>
              <w:bottom w:val="nil"/>
              <w:right w:val="nil"/>
            </w:tcBorders>
          </w:tcPr>
          <w:p>
            <w:pPr>
              <w:pStyle w:val="Normal6a"/>
            </w:pPr>
            <w:r>
              <w:t>42.</w:t>
            </w:r>
            <w:r>
              <w:tab/>
            </w:r>
            <w:r>
              <w:t xml:space="preserve">regretă că două componente-cheie ale cadrului etic al Consiliului – „Ghidul privind etica și conduita” pentru personalul Secretariatului și „Codul de conduită al Președintelui Consiliului European” – sunt disponibile pe site-ul Consiliului fără a fi însoțite de orientări suplimentare și fără a se menționa data publicării; critică faptul că, în ciuda mai multor solicitări ale Parlamentului, Codul de conduită al Președintelui Consiliului European nu a fost aliniat cu cel aplicabil în cadrul Parlamentului și al Comisiei, în special în ceea ce privește activitățile care pot fi întreprinse după încheierea mandatului; </w:t>
            </w:r>
            <w:r>
              <w:rPr>
                <w:b/>
                <w:i/>
              </w:rPr>
              <w:t>solicită remedierea cât mai rapidă a deficiențelor de mai sus;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42a.</w:t>
            </w:r>
            <w:r>
              <w:tab/>
            </w:r>
            <w:r>
              <w:rPr>
                <w:b/>
                <w:i/>
              </w:rPr>
              <w:t>reiterează faptul că conduita etică contribuie la buna gestiune financiară și sporește încrederea publicului și că, astfel cum a subliniat Curtea în Raportul său special nr. 13/2019, cadrele etice ale instituțiilor Uniunii pot fi îmbunătățite;</w:t>
            </w:r>
            <w:r>
              <w:t xml:space="preserve"> </w:t>
            </w:r>
            <w:r>
              <w:rPr>
                <w:b/>
                <w:i/>
              </w:rPr>
              <w:t>reamintește, în special, recomandarea emisă de Curte cu privire la îmbunătățirea cadrului etic al Consiliului;</w:t>
            </w:r>
            <w:r>
              <w:t xml:space="preserve"> </w:t>
            </w:r>
            <w:r>
              <w:rPr>
                <w:b/>
                <w:i/>
              </w:rPr>
              <w:t>își exprimă îngrijorarea în legătură cu lipsa unui cadru etic comun al Uniunii care să reglementeze activitatea reprezentanților statelor membre în cadrul Consiliului identificată de Curte;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44a.</w:t>
            </w:r>
            <w:r>
              <w:tab/>
            </w:r>
            <w:r>
              <w:rPr>
                <w:b/>
                <w:i/>
              </w:rPr>
              <w:t>îndeamnă Consiliul să stabilească norme mai stricte privind încadrarea în muncă după expirarea mandatului pentru înalții funcționari, inclusiv o perioadă prelungită de existență a stării de incompatibilitate și publicarea obligatorie a informațiilor privind afilierile din sectorul privat;</w:t>
            </w:r>
            <w:r>
              <w:t xml:space="preserve"> </w:t>
            </w:r>
            <w:r>
              <w:rPr>
                <w:b/>
                <w:i/>
              </w:rPr>
              <w:t>invită Consiliul să impună obligativitatea participării reprezentanțelor permanente ale statelor membre la Registrul de transparență al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44b.</w:t>
            </w:r>
            <w:r>
              <w:tab/>
            </w:r>
            <w:r>
              <w:rPr>
                <w:b/>
                <w:i/>
              </w:rPr>
              <w:t>invită Consiliul să înființeze un comitet de etică independent care să monitorizeze respectarea standardelor etice, inclusiv în ceea ce privește conflictele de interese și practica „ușilor turnante”, precum și transparența procesului decizional, cu obligații de raportare publică;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regretă faptul că participarea reprezentanților permanenți ai statelor membre la registrul de transparență obligatoriu, instituit prin Acordul interinstituțional din 20 mai 2021 dintre Parlament, Consiliu și Comisie, are un caracter complet voluntar, deoarece aplicarea principiului condiționalității este lăsată la latitudinea reprezentanței permanente a fiecărui stat membru; ia act de faptul că numai opt state membre și instituțiile Uniunii respectă cele mai bune practici în materie de aplicare a unei definiții obligatorii extinse a noțiunii de „lobbyiști” în cadrul lor normativ și insistă asupra faptului că toate reprezentanțele permanente ar trebui să participe activ la registrul obligatoriu de transparență înainte de preluarea de către statul membru de care aparțin a Președinției prin rotație a Consiliului, pe durata acesteia și după încheierea sa;</w:t>
            </w:r>
          </w:p>
        </w:tc>
        <w:tc>
          <w:tcPr>
            <w:tcW w:w="4876" w:type="dxa"/>
            <w:tcBorders>
              <w:top w:val="nil"/>
              <w:left w:val="nil"/>
              <w:bottom w:val="nil"/>
              <w:right w:val="nil"/>
            </w:tcBorders>
          </w:tcPr>
          <w:p>
            <w:pPr>
              <w:pStyle w:val="Normal6a"/>
            </w:pPr>
            <w:r>
              <w:t>45.</w:t>
            </w:r>
            <w:r>
              <w:tab/>
            </w:r>
            <w:r>
              <w:t xml:space="preserve">regretă faptul că participarea reprezentanților permanenți ai statelor membre la registrul de transparență obligatoriu, instituit prin Acordul interinstituțional din 20 mai 2021 dintre Parlament, Consiliu și Comisie, are un caracter complet voluntar, deoarece aplicarea principiului condiționalității este lăsată la latitudinea reprezentanței permanente a fiecărui stat membru; ia act de faptul că numai opt state membre și instituțiile Uniunii respectă cele mai bune practici în materie de aplicare a unei definiții obligatorii extinse a noțiunii de „lobbyiști” în cadrul lor normativ și insistă asupra faptului că toate reprezentanțele permanente ar trebui să participe activ la registrul obligatoriu de transparență înainte de preluarea de către statul membru de care aparțin a Președinției prin rotație a Consiliului, pe durata acesteia și după încheierea sa; </w:t>
            </w:r>
            <w:r>
              <w:rPr>
                <w:b/>
                <w:i/>
              </w:rPr>
              <w:t>consideră că normele etice existente privind conflictele de interese, practica „ușilor turnante” și transparența activităților de lobby ar trebui consolidate și armonizate și că reprezentanților statelor membre care beneficiază direct de subvenții din partea Uniunii prin intermediul întreprinderilor pe care le dețin nu ar trebui să li se permită să participe la discuțiile și voturile legate de domenii politice sau de buget care privesc aceste subvenții;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Csaba Molnár, Eero Heinäluoma,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regretă faptul că participarea reprezentanților permanenți ai statelor membre la registrul de transparență obligatoriu, instituit prin Acordul interinstituțional din 20 mai 2021 dintre Parlament, Consiliu și Comisie, are un caracter complet voluntar, deoarece aplicarea principiului condiționalității este lăsată la latitudinea reprezentanței permanente a fiecărui stat membru; ia act de faptul că numai opt state membre și instituțiile Uniunii respectă cele mai bune practici în materie de aplicare a unei definiții obligatorii extinse a noțiunii de „lobbyiști” în cadrul lor normativ și insistă asupra faptului că toate reprezentanțele permanente ar trebui să participe activ la registrul obligatoriu de transparență înainte de preluarea de către statul membru de care aparțin a Președinției prin rotație a Consiliului, pe durata acesteia și după încheierea sa;</w:t>
            </w:r>
          </w:p>
        </w:tc>
        <w:tc>
          <w:tcPr>
            <w:tcW w:w="4876" w:type="dxa"/>
            <w:tcBorders>
              <w:top w:val="nil"/>
              <w:left w:val="nil"/>
              <w:bottom w:val="nil"/>
              <w:right w:val="nil"/>
            </w:tcBorders>
          </w:tcPr>
          <w:p>
            <w:pPr>
              <w:pStyle w:val="Normal6a"/>
            </w:pPr>
            <w:r>
              <w:t>45.</w:t>
            </w:r>
            <w:r>
              <w:tab/>
            </w:r>
            <w:r>
              <w:t xml:space="preserve">regretă faptul că participarea reprezentanților permanenți ai statelor membre la registrul de transparență obligatoriu, instituit prin Acordul interinstituțional din 20 mai 2021 dintre Parlament, Consiliu și Comisie, are un caracter complet voluntar, deoarece aplicarea principiului condiționalității este lăsată la latitudinea reprezentanței permanente a fiecărui stat membru; ia act de faptul că numai opt state membre și instituțiile Uniunii respectă cele mai bune practici în materie de aplicare a unei definiții obligatorii extinse a noțiunii de „lobbyiști” în cadrul lor normativ și insistă asupra faptului că toate reprezentanțele permanente ar trebui să participe activ la registrul obligatoriu de transparență înainte de preluarea de către statul membru de care aparțin a Președinției prin rotație a Consiliului, pe durata acesteia și după încheierea sa; </w:t>
            </w:r>
            <w:r>
              <w:rPr>
                <w:b/>
                <w:i/>
              </w:rPr>
              <w:t>solicită norme etice mai stricte și armonizate privind conflictele de interese, practica „ușilor turnante” și transparența activităților de lobby;</w:t>
            </w:r>
            <w:r>
              <w:t xml:space="preserve"> </w:t>
            </w:r>
            <w:r>
              <w:rPr>
                <w:b/>
                <w:i/>
              </w:rPr>
              <w:t>regretă că Consiliul nu utilizează pe deplin registrul de transparență obligatoriu și nici nu acceptă propuneri de îmbunătățire a acestuia;</w:t>
            </w:r>
            <w:r>
              <w:t xml:space="preserve"> </w:t>
            </w:r>
            <w:r>
              <w:rPr>
                <w:b/>
                <w:i/>
              </w:rPr>
              <w:t>își reiterează apelul adresat Consiliului de a pune capăt practicii de a organiza întâlniri cu lobbyiștii neînregistrați;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45a.</w:t>
            </w:r>
            <w:r>
              <w:tab/>
            </w:r>
            <w:r>
              <w:rPr>
                <w:b/>
                <w:i/>
              </w:rPr>
              <w:t>îndeamnă Consiliul să impună obligația ca toți înalții funcționari, inclusiv reprezentanții permanenți și șefii de delegație, să facă publice reuniunile lor cu grupurile de interese și cu lobbyiștii într-un registru de transparență standardizat, după modelul obligațiilor impuse deputaților în Parlamentul European și membrilor Comisiei Europene;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45a.</w:t>
            </w:r>
            <w:r>
              <w:tab/>
            </w:r>
            <w:r>
              <w:rPr>
                <w:b/>
                <w:i/>
              </w:rPr>
              <w:t>regretă că, în plus față de limitările actuale ale registrului de transparență obligatoriu, el nu este utilizat pe deplin de către Consiliu, care respinge orice recomandare de îmbunătățire a acestuia;</w:t>
            </w:r>
            <w:r>
              <w:t xml:space="preserve"> </w:t>
            </w:r>
            <w:r>
              <w:rPr>
                <w:b/>
                <w:i/>
              </w:rPr>
              <w:t>își reiterează apelul adresat Consiliului de a pune capăt practicii de a organiza întâlniri cu lobbyiștii neînregistrați;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regretă că procesul decizional din cadrul Consiliului este încă departe de a fi pe deplin transparent, ceea ce afectează încrederea cetățenilor în Uniune ca entitate transparentă și pune astfel în pericol reputația Uniunii în ansamblu; reamintește și sprijină recomandările Ombudsmanului European privind transparența procesului legislativ al Consiliului, formulate în cadrul anchetei strategice OI/2/2017/TE; invită insistent Consiliul să ia toate măsurile necesare pentru a pune în aplicare recomandările Ombudsmanului și hotărârile relevante ale Curții de Justiție a Uniunii Europene, fără întârzieri nejustificate; întrucât, în hotărârea sa în cauza T-163/21 De Capitani/Consiliul, Curtea de Justiție a Uniunii Europene a subliniat că este necesară o transparență legislativă mai netă din partea Consiliului în asigurarea accesului la documentele legislative, care corespunde pur și simplu obligației Consiliului de a se supune controlului public și de a răspunde în fața colegislatorilor, ca bază a oricărei legitimități democratice;</w:t>
            </w:r>
          </w:p>
        </w:tc>
        <w:tc>
          <w:tcPr>
            <w:tcW w:w="4876" w:type="dxa"/>
            <w:tcBorders>
              <w:top w:val="nil"/>
              <w:left w:val="nil"/>
              <w:bottom w:val="nil"/>
              <w:right w:val="nil"/>
            </w:tcBorders>
          </w:tcPr>
          <w:p>
            <w:pPr>
              <w:pStyle w:val="Normal6a"/>
            </w:pPr>
            <w:r>
              <w:t>46.</w:t>
            </w:r>
            <w:r>
              <w:tab/>
            </w:r>
            <w:r>
              <w:t xml:space="preserve">regretă că procesul decizional din cadrul Consiliului este încă departe de a fi pe deplin transparent, ceea ce afectează </w:t>
            </w:r>
            <w:r>
              <w:rPr>
                <w:b/>
                <w:i/>
              </w:rPr>
              <w:t>în mod negativ</w:t>
            </w:r>
            <w:r>
              <w:t xml:space="preserve"> încrederea cetățenilor în Uniune ca entitate transparentă și pune astfel în pericol reputația Uniunii în ansamblu; reamintește și sprijină recomandările Ombudsmanului European privind transparența procesului legislativ al Consiliului, formulate în cadrul anchetei strategice OI/2/2017/TE; invită insistent Consiliul să ia toate măsurile necesare pentru a pune în aplicare recomandările Ombudsmanului și hotărârile relevante ale Curții de Justiție a Uniunii Europene, fără întârzieri nejustificate; întrucât, în hotărârea sa în cauza T-163/21 De Capitani/Consiliul, Curtea de Justiție a Uniunii Europene a subliniat că este necesară o transparență legislativă mai netă din partea Consiliului în asigurarea accesului la documentele legislative, care corespunde pur și simplu obligației Consiliului de a se supune controlului public și de a răspunde în fața colegislatorilor, ca bază a oricărei legitimități democratice;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regretă profund faptul că Consiliul continuă să refuze sau să întârzie în mod sistematic accesul la documentele legislative, împiedicând controlul public al procesului său decizional;</w:t>
            </w:r>
            <w:r>
              <w:t xml:space="preserve"> </w:t>
            </w:r>
            <w:r>
              <w:rPr>
                <w:b/>
                <w:i/>
              </w:rPr>
              <w:t>invită Consiliul să pună în aplicare o politică implicită de divulgare, care să impună publicarea tuturor dosarelor legislative, a documentelor de lucru și a avizelor juridice, cu excepția cazului în care se aplică derogări specifice și justificate;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50a.</w:t>
            </w:r>
            <w:r>
              <w:tab/>
            </w:r>
            <w:r>
              <w:rPr>
                <w:b/>
                <w:i/>
              </w:rPr>
              <w:t>îndeamnă Consiliul să accelereze punerea în aplicare a unor sisteme digitale sigure de votare și de partajare a documentelor pentru a spori eficiența, responsabilitatea și a reduce procesele inutile pe suport de hârtie;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53a.</w:t>
            </w:r>
            <w:r>
              <w:tab/>
            </w:r>
            <w:r>
              <w:rPr>
                <w:b/>
                <w:i/>
              </w:rPr>
              <w:t>își exprimă îngrijorarea cu privire la lipsa unor garanții solide împotriva supravegherii și colectării datelor de către părți terțe;</w:t>
            </w:r>
            <w:r>
              <w:t xml:space="preserve"> </w:t>
            </w:r>
            <w:r>
              <w:rPr>
                <w:b/>
                <w:i/>
              </w:rPr>
              <w:t>solicită măsuri de securitate consolidate, inclusiv criptarea obligatorie a datelor și audituri periodice de securitate ale tuturor sistemelor de comunicații digitale utilizate de Consiliu;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regretă că Consiliul nu a pus încă în aplicare o procedură simplificată de acreditare pentru a facilita accesul personalului celorlalte instituții ale Uniunii în clădirile Consiliului;</w:t>
            </w:r>
          </w:p>
        </w:tc>
        <w:tc>
          <w:tcPr>
            <w:tcW w:w="4876" w:type="dxa"/>
            <w:tcBorders>
              <w:top w:val="nil"/>
              <w:left w:val="nil"/>
              <w:bottom w:val="nil"/>
              <w:right w:val="nil"/>
            </w:tcBorders>
          </w:tcPr>
          <w:p>
            <w:pPr>
              <w:pStyle w:val="Normal6a"/>
            </w:pPr>
            <w:r>
              <w:t>57.</w:t>
            </w:r>
            <w:r>
              <w:tab/>
            </w:r>
            <w:r>
              <w:t xml:space="preserve">regretă că Consiliul nu a pus încă în aplicare o procedură simplificată de acreditare pentru a facilita accesul personalului celorlalte instituții ale Uniunii în clădirile Consiliului; </w:t>
            </w:r>
            <w:r>
              <w:rPr>
                <w:b/>
                <w:i/>
              </w:rPr>
              <w:t>invită Consiliul să pună în aplicare această măsură;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59a.</w:t>
            </w:r>
            <w:r>
              <w:tab/>
            </w:r>
            <w:r>
              <w:rPr>
                <w:b/>
                <w:i/>
              </w:rPr>
              <w:t>invită Consiliul să stabilească obiective măsurabile în materie de sustenabilitate, inclusiv obiective specifice de reducere a emisiilor de dioxid de carbon și o strategie de reducere a emisiilor legate de călătorii;</w:t>
            </w:r>
            <w:r>
              <w:t xml:space="preserve"> </w:t>
            </w:r>
            <w:r>
              <w:rPr>
                <w:b/>
                <w:i/>
              </w:rPr>
              <w:t>solicită un raport anual privind sustenabilitatea care să detalieze măsurile de eficiență energetică puse în aplicare și impactul cuantificat al acestora;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59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59b.</w:t>
            </w:r>
            <w:r>
              <w:tab/>
            </w:r>
            <w:r>
              <w:rPr>
                <w:b/>
                <w:i/>
              </w:rPr>
              <w:t>solicită Consiliului să introducă obiective obligatorii în materie de sustenabilitate aliniate la Pactul verde european, inclusiv contabilizarea obligatorie a carbonului pentru toate călătoriile legate de activitățile Consiliului, cu măsuri de compensare acolo unde reducerea nu este fezabilă;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59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59c.</w:t>
            </w:r>
            <w:r>
              <w:tab/>
            </w:r>
            <w:r>
              <w:rPr>
                <w:b/>
                <w:i/>
              </w:rPr>
              <w:t>invită Consiliul să implementeze un proces treptat de renunțare la utilizarea vehiculelor pe bază de combustibili fosili în cadrul parcului său auto de transport până în 2030 și să se angajeze la o aprovizionare cu energie din surse regenerabile în proporție de 100 % pentru clădirile sale până în 2027;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subliniază necesitatea revizuirii articolului 319 din TFUE, pentru a stipula explicit că Parlamentul, pe lângă acordarea descărcării de gestiune Comisiei, acordă și altor instituții, organe, oficii și agenții ale Uniunii descărcarea de gestiune pentru execuția secțiunilor lor din buget sau a bugetelor lor;</w:t>
            </w:r>
          </w:p>
        </w:tc>
        <w:tc>
          <w:tcPr>
            <w:tcW w:w="4876" w:type="dxa"/>
            <w:tcBorders>
              <w:top w:val="nil"/>
              <w:left w:val="nil"/>
              <w:bottom w:val="nil"/>
              <w:right w:val="nil"/>
            </w:tcBorders>
          </w:tcPr>
          <w:p>
            <w:pPr>
              <w:pStyle w:val="Normal6a"/>
            </w:pPr>
            <w:r>
              <w:t>60.</w:t>
            </w:r>
            <w:r>
              <w:tab/>
            </w:r>
            <w:r>
              <w:t xml:space="preserve">subliniază necesitatea revizuirii articolului 319 din TFUE, pentru a stipula explicit că Parlamentul, pe lângă acordarea descărcării de gestiune Comisiei, acordă și altor instituții, organe, oficii și agenții ale Uniunii descărcarea de gestiune pentru execuția secțiunilor lor din buget sau a bugetelor lor; </w:t>
            </w:r>
            <w:r>
              <w:rPr>
                <w:b/>
                <w:i/>
              </w:rPr>
              <w:t>invită Consiliul să depășească conflictul interinstituțional și să reia discuțiile cu Parlamentul European pentru a ajunge la un acord comun în vederea unei reluări fără probleme a procedurii de descărcare de gestiune;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60a.</w:t>
            </w:r>
            <w:r>
              <w:tab/>
            </w:r>
            <w:r>
              <w:rPr>
                <w:b/>
                <w:i/>
              </w:rPr>
              <w:t>invită instituția să ofere recomandări Parlamentului European și Comisiei sale pentru control bugetar cu privire la noi modalități de combatere a abaterilor și a utilizării abuzive a fondurilor UE, pe baza propriilor experiențe instituționale și a învățămintelor desprinse din cazuri din trecut, precum și să facă schimb de bune practici, deoarece s-a dovedit că, în Parlamentul European, interesele financiare ale Uniunii Europene nu au fost protejate corespunzător,</w:t>
            </w:r>
            <w:r>
              <w:t xml:space="preserve"> </w:t>
            </w:r>
            <w:r>
              <w:rPr>
                <w:b/>
                <w:i/>
              </w:rPr>
              <w:t>după cum au arătat cauza penală și anchetele; consideră că Parlamentul ar putea beneficia de o nouă perspectivă în această privință și de contribuția instituției;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60a.</w:t>
            </w:r>
            <w:r>
              <w:tab/>
            </w:r>
            <w:r>
              <w:rPr>
                <w:b/>
                <w:i/>
              </w:rPr>
              <w:t>invită Comisia Europeană să inițieze o procedură de constatare a neîndeplinirii obligațiilor împotriva Consiliului pentru nerespectarea persistentă a normelor privind controlul democratic în chestiuni bugetare, încălcând principiile transparenței și bunei guvernanțe consacrate în tratate;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60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60b.</w:t>
            </w:r>
            <w:r>
              <w:tab/>
            </w:r>
            <w:r>
              <w:rPr>
                <w:b/>
                <w:i/>
              </w:rPr>
              <w:t>invită instituția să se abțină de la promovarea, răspândirea și sprijinirea ideologiei de gen și a celei „woke” și să respecte tratatul și dispozițiile acestuia, precum și identitățile naționale ale statelor membre, inerente structurilor lor fundamentale, istoriei, religiei și tradițiilor 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768.134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40</w:t>
    </w:r>
    <w:r>
      <w:fldChar w:fldCharType="end"/>
    </w:r>
    <w:r>
      <w:t>/</w:t>
    </w:r>
    <w:r>
      <w:fldChar w:fldCharType="begin"/>
    </w:r>
    <w:r>
      <w:instrText xml:space="preserve"> NUMPAGES </w:instrText>
    </w:r>
    <w:r>
      <w:fldChar w:fldCharType="separate"/>
    </w:r>
    <w:r>
      <w:t>41</w:t>
    </w:r>
    <w:r>
      <w:fldChar w:fldCharType="end"/>
    </w:r>
    <w:r>
      <w:tab/>
    </w:r>
    <w:r>
      <w:rPr>
        <w:rStyle w:val="HideTWBExt"/>
      </w:rPr>
      <w:t>&lt;PathFdR&gt;</w:t>
    </w:r>
    <w:r>
      <w:t>AM\1314485RO.docx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AM\1314485RO.docx</w:t>
    </w:r>
    <w:r>
      <w:rPr>
        <w:rStyle w:val="HideTWBExt"/>
      </w:rPr>
      <w:t>&lt;/PathFdR&gt;</w:t>
    </w:r>
    <w:r>
      <w:tab/>
    </w:r>
    <w:r>
      <w:fldChar w:fldCharType="begin"/>
    </w:r>
    <w:r>
      <w:instrText xml:space="preserve"> PAGE </w:instrText>
    </w:r>
    <w:r>
      <w:fldChar w:fldCharType="separate"/>
    </w:r>
    <w:r>
      <w:t>41</w:t>
    </w:r>
    <w:r>
      <w:fldChar w:fldCharType="end"/>
    </w:r>
    <w:r>
      <w:t>/</w:t>
    </w:r>
    <w:r>
      <w:fldChar w:fldCharType="begin"/>
    </w:r>
    <w:r>
      <w:instrText xml:space="preserve"> NUMPAGES </w:instrText>
    </w:r>
    <w:r>
      <w:fldChar w:fldCharType="separate"/>
    </w:r>
    <w:r>
      <w:t>41</w:t>
    </w:r>
    <w:r>
      <w:fldChar w:fldCharType="end"/>
    </w:r>
    <w:r>
      <w:tab/>
    </w:r>
    <w:r>
      <w:t>PE</w:t>
    </w:r>
    <w:r>
      <w:rPr>
        <w:rStyle w:val="HideTWBExt"/>
      </w:rPr>
      <w:t>&lt;NoPE&gt;</w:t>
    </w:r>
    <w:r>
      <w:t>768.134</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AM\1314485RO.docx</w:t>
    </w:r>
    <w:r>
      <w:rPr>
        <w:rStyle w:val="HideTWBExt"/>
      </w:rPr>
      <w:t>&lt;/PathFdR&gt;</w:t>
    </w:r>
    <w:r>
      <w:tab/>
    </w:r>
    <w:r>
      <w:tab/>
    </w:r>
    <w:r>
      <w:t>PE</w:t>
    </w:r>
    <w:r>
      <w:rPr>
        <w:rStyle w:val="HideTWBExt"/>
      </w:rPr>
      <w:t>&lt;NoPE&gt;</w:t>
    </w:r>
    <w:r>
      <w:t>768.134</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41</Pages>
  <Words>8641</Words>
  <Characters>52115</Characters>
  <Application>Microsoft Office Word</Application>
  <DocSecurity>0</DocSecurity>
  <Lines>1</Lines>
  <Paragraphs>664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1314485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133828</vt:lpwstr>
  </property>
  <property fmtid="{D5CDD505-2E9C-101B-9397-08002B2CF9AE}" pid="7" name="dmxml.render.traceId">
    <vt:lpwstr>67bcd7f73c0e5c889043ea1c888f1a2d</vt:lpwstr>
  </property>
  <property fmtid="{D5CDD505-2E9C-101B-9397-08002B2CF9AE}" pid="8" name="FooterPath">
    <vt:lpwstr>AM\1314485RO.docx</vt:lpwstr>
  </property>
  <property fmtid="{D5CDD505-2E9C-101B-9397-08002B2CF9AE}" pid="9" name="PE Number">
    <vt:lpwstr>768.134</vt:lpwstr>
  </property>
  <property fmtid="{D5CDD505-2E9C-101B-9397-08002B2CF9AE}" pid="10" name="UID">
    <vt:lpwstr>eu.europa.europarl-DIN1-2025-0000020552_01.00-ro-01.00_text-xml</vt:lpwstr>
  </property>
</Properties>
</file>