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Evropský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{CONT}</w:t>
      </w:r>
      <w:r>
        <w:t>Výbor pro rozpočtovou kontrolu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2024/2022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(DEC)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{11/02/2025}</w:t>
      </w:r>
      <w:r>
        <w:t>11. 2. 2025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POZMĚŇOVACÍ NÁVRHY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66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Návrh zprávy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Cristian Terheş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(PE764.996v02-00)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Udělení absolutoria za rok 2023: souhrnný rozpočet EU – Soudní dvůr Evropské unie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(2024/2022(DEC))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Maij, 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C.</w:t>
            </w:r>
            <w:r>
              <w:tab/>
            </w:r>
            <w:r>
              <w:rPr>
                <w:b/>
                <w:i/>
              </w:rPr>
              <w:t>vzhledem k tomu, že čl. 4 odst. 2 Smlouvy o Evropské unii stanoví, že „Unie ctí rovnost členských států před Smlouvami a jejich národní identitu, která spočívá v jejich základních politických a ústavních systémech, včetně místní a regionální samosprávy. Respektuje základní funkce státu [...]“;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Virginie Joron, Tamás Deutsch,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konstatuje, že Evropský účetní dvůr (dále jen „Účetní dvůr“) ve výroční zprávě za rozpočtový rok 2023 (dále jen „zpráva Účetního dvora“) zkoumal vzorek 70 transakcí v okruhu „Správa“, což je o deset transakcí více než v roce 2022; Účetní dvůr dále uvádí, že správní výdaje zahrnují výdaje na lidské zdroje včetně výdajů na důchody, které v roce 2023 představovaly přibližně 70 % celkových správních výdajů, a výdaje na budovy, vybavení, energie a komunikační a informační technologie (IT), a že z jeho dlouholeté práce vyplývá, že tyto výdaje celkově vykazují nízké riziko;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konstatuje, že Evropský účetní dvůr (dále jen „Účetní dvůr“) ve výroční zprávě za rozpočtový rok 2023 (dále jen „zpráva Účetního dvora“) zkoumal vzorek 70 transakcí v okruhu „Správa“, což je o deset transakcí více než v roce 2022; Účetní dvůr dále uvádí, že správní výdaje zahrnují výdaje na lidské zdroje včetně výdajů na důchody, které v roce 2023 představovaly přibližně 70 % celkových správních výdajů, a výdaje na budovy, vybavení, energie a komunikační a informační technologie (IT), a že z jeho dlouholeté práce vyplývá, že tyto výdaje celkově vykazují nízké riziko; </w:t>
            </w:r>
            <w:r>
              <w:rPr>
                <w:b/>
                <w:i/>
              </w:rPr>
              <w:t>vyjadřuje politování nad tím, že není k dispozici dostatek podrobností o využívání prostředků na budovy a IT, které představují významnou část výdajů, a že neexistují ani hmatatelné důkazy o lepším využití stávajících materiálních zdrojů;</w:t>
            </w:r>
            <w:r>
              <w:t xml:space="preserve"> </w:t>
            </w:r>
            <w:r>
              <w:rPr>
                <w:b/>
                <w:i/>
              </w:rPr>
              <w:t>konstatuje, že stejně jako v případě ostatních institucí Unie nebyly oznámeny žádné kroky ke snížení provozních nákladů a výdajů v kategorii „různé“.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konstatuje, že rozpočtové prostředky přidělené SDEU v roce 2023 činily </w:t>
            </w:r>
            <w:r>
              <w:rPr>
                <w:b/>
                <w:i/>
              </w:rPr>
              <w:t>486 025 796</w:t>
            </w:r>
            <w:r>
              <w:t xml:space="preserve"> EUR, což ve srovnání s rokem 2022 představovalo nárůst o 3,7 %; konstatuje, že tento nárůst souvisel především s úpravami platů předpokládanými na rok 2023;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konstatuje, že rozpočtové prostředky přidělené SDEU v roce 2023 činily </w:t>
            </w:r>
            <w:r>
              <w:rPr>
                <w:b/>
                <w:i/>
              </w:rPr>
              <w:t>486 025 796</w:t>
            </w:r>
            <w:r>
              <w:t xml:space="preserve"> EUR, což ve srovnání s rokem 2022 představovalo nárůst o 3,7 %; konstatuje, že tento nárůst souvisel především s úpravami platů předpokládanými na rok 2023;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Cristian Terheş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konstatuje, že rozpočtové prostředky přidělené SDEU v roce 2023 činily </w:t>
            </w:r>
            <w:r>
              <w:rPr>
                <w:b/>
                <w:i/>
              </w:rPr>
              <w:t>486 025 796</w:t>
            </w:r>
            <w:r>
              <w:t xml:space="preserve"> EUR, což ve srovnání s rokem 2022 představovalo nárůst o </w:t>
            </w:r>
            <w:r>
              <w:rPr>
                <w:b/>
                <w:i/>
              </w:rPr>
              <w:t>3,7</w:t>
            </w:r>
            <w:r>
              <w:t xml:space="preserve"> %; konstatuje, že tento nárůst souvisel především s úpravami platů předpokládanými na rok 2023;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konstatuje, že rozpočtové prostředky přidělené SDEU v roce 2023 činily </w:t>
            </w:r>
            <w:r>
              <w:rPr>
                <w:b/>
                <w:i/>
              </w:rPr>
              <w:t>486 025 796</w:t>
            </w:r>
            <w:r>
              <w:t xml:space="preserve"> EUR, což ve srovnání s rokem 2022 představovalo nárůst o </w:t>
            </w:r>
            <w:r>
              <w:rPr>
                <w:b/>
                <w:i/>
              </w:rPr>
              <w:t>3,9</w:t>
            </w:r>
            <w:r>
              <w:t xml:space="preserve"> %; konstatuje, že tento nárůst souvisel především s úpravami platů předpokládanými na rok 2023;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Virginie Joron, Tamás Deutsch,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 xml:space="preserve">, že rozpočet SDEU na služební cesty, který v roce 2023 dosáhl pro zaměstnance i členy </w:t>
            </w:r>
            <w:r>
              <w:rPr>
                <w:b/>
                <w:i/>
              </w:rPr>
              <w:t>výše 616 000</w:t>
            </w:r>
            <w:r>
              <w:t xml:space="preserve"> EUR, se v roce 2023 stejně jako v roce 2022 </w:t>
            </w:r>
            <w:r>
              <w:rPr>
                <w:b/>
                <w:i/>
              </w:rPr>
              <w:t>zase snížil</w:t>
            </w:r>
            <w:r>
              <w:t>, a to o 3,3%; konstatuje, že v roce 2023 bylo využito 85,1 % prostředků na služební cesty ve srovnání s 46,6 % v roce 2022, což bylo způsobeno přetrvávajícími cestovními omezeními, jež byla tou dobou v platnosti;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rPr>
                <w:b/>
                <w:i/>
              </w:rPr>
              <w:t>vyjadřuje politování nad tím</w:t>
            </w:r>
            <w:r>
              <w:t xml:space="preserve">, že rozpočet SDEU na služební cesty, který v roce 2023 dosáhl pro zaměstnance i členy </w:t>
            </w:r>
            <w:r>
              <w:rPr>
                <w:b/>
                <w:i/>
              </w:rPr>
              <w:t>značné výše 616 000</w:t>
            </w:r>
            <w:r>
              <w:t xml:space="preserve"> EUR, se v roce 2023 stejně jako v roce 2022 </w:t>
            </w:r>
            <w:r>
              <w:rPr>
                <w:b/>
                <w:i/>
              </w:rPr>
              <w:t>snížil jen mírně</w:t>
            </w:r>
            <w:r>
              <w:t>, a to o 3,3%; konstatuje, že v roce 2023 bylo využito 85,1 % prostředků na služební cesty ve srovnání s 46,6 % v roce 2022, což bylo způsobeno přetrvávajícími cestovními omezeními, jež byla tou dobou v platnosti;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Cristian Terheş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 xml:space="preserve">konstatuje, že rozpočet SDEU na služební cesty, který v roce 2023 dosáhl pro zaměstnance i členy výše </w:t>
            </w:r>
            <w:r>
              <w:rPr>
                <w:b/>
                <w:i/>
              </w:rPr>
              <w:t>616 000</w:t>
            </w:r>
            <w:r>
              <w:t xml:space="preserve"> EUR, se v roce 2023 stejně jako v roce 2022 zase snížil, a to o </w:t>
            </w:r>
            <w:r>
              <w:rPr>
                <w:b/>
                <w:i/>
              </w:rPr>
              <w:t>3,3%</w:t>
            </w:r>
            <w:r>
              <w:t>; konstatuje, že v roce 2023 bylo využito 85,1 % prostředků na služební cesty ve srovnání s 46,6 % v roce 2022, což bylo způsobeno přetrvávajícími cestovními omezeními, jež byla tou dobou v platnosti;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 xml:space="preserve">konstatuje, že rozpočet SDEU na služební cesty, který v roce 2023 dosáhl pro zaměstnance i členy výše </w:t>
            </w:r>
            <w:r>
              <w:rPr>
                <w:b/>
                <w:i/>
              </w:rPr>
              <w:t>638 000</w:t>
            </w:r>
            <w:r>
              <w:t xml:space="preserve"> EUR, se v roce 2023 stejně jako v roce 2022 zase snížil, a to o </w:t>
            </w:r>
            <w:r>
              <w:rPr>
                <w:b/>
                <w:i/>
              </w:rPr>
              <w:t>3,3 %</w:t>
            </w:r>
            <w:r>
              <w:t>; konstatuje, že v roce 2023 bylo využito 85,1 % prostředků na služební cesty ve srovnání s 46,6 % v roce 2022, což bylo způsobeno přetrvávajícími cestovními omezeními, jež byla tou dobou v platnosti;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9a.</w:t>
            </w:r>
            <w:r>
              <w:tab/>
            </w:r>
            <w:r>
              <w:rPr>
                <w:b/>
                <w:i/>
              </w:rPr>
              <w:t>vyzývá SDEU, aby zjistil, jak je možné, že selhal regulační rámec Evropského parlamentu pro předcházení korupci a podvodům a umožnil, aby poslanci Evropského parlamentu byli několik let aktivně zapojeni do sítě podobné mafii podílející se na korupci a praní peněz, aniž by byli odhaleni;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9b.</w:t>
            </w:r>
            <w:r>
              <w:tab/>
            </w:r>
            <w:r>
              <w:rPr>
                <w:b/>
                <w:i/>
              </w:rPr>
              <w:t>vyzývá SDEU, aby získané zkušenosti a závěry zohlednil ve svých vnitřních pravidlech a postupech a přihlédl i k revizi jednacího řádu a kodexu chování Parlamentu ze září 2023, doporučuje mu však, aby navrhl další, ráznější způsoby, jak zintenzivnit boj proti podvodům a plně chránit finanční zájmy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</w:t>
            </w:r>
            <w:r>
              <w:rPr>
                <w:b/>
                <w:i/>
              </w:rPr>
              <w:t>v souvislosti se čtyřmi rozhodnutími o předběžné otázce</w:t>
            </w:r>
            <w:r>
              <w:t xml:space="preserve">, které předložily soudy v Německu, Irsku, Polsku a Rumunsku, a </w:t>
            </w:r>
            <w:r>
              <w:rPr>
                <w:b/>
                <w:i/>
              </w:rPr>
              <w:t>jedním řízením</w:t>
            </w:r>
            <w:r>
              <w:t xml:space="preserve"> o nesplnění povinnosti </w:t>
            </w:r>
            <w:r>
              <w:rPr>
                <w:b/>
                <w:i/>
              </w:rPr>
              <w:t>týkajícím se Polska</w:t>
            </w:r>
            <w:r>
              <w:t>; zdůrazňuje, že nezpochybnitelnou zásadou</w:t>
            </w:r>
            <w:r>
              <w:rPr>
                <w:b/>
                <w:i/>
              </w:rPr>
              <w:t>, jíž se řídí</w:t>
            </w:r>
            <w:r>
              <w:t xml:space="preserve"> vztah mezi ústavami členských států a právem </w:t>
            </w:r>
            <w:r>
              <w:rPr>
                <w:b/>
                <w:i/>
              </w:rPr>
              <w:t>Unie,</w:t>
            </w:r>
            <w:r>
              <w:t xml:space="preserve"> zůstává přednost ústav členských států; </w:t>
            </w:r>
            <w:r>
              <w:rPr>
                <w:b/>
                <w:i/>
              </w:rPr>
              <w:t>konstatuje dále, že Tribunál rozhodl v šesti věcech souvisejících s opatřeními na ochranu rozpočtu Unie před porušováním zásad právního</w:t>
            </w:r>
            <w:r>
              <w:t xml:space="preserve"> státu </w:t>
            </w:r>
            <w:r>
              <w:rPr>
                <w:b/>
                <w:i/>
              </w:rPr>
              <w:t>v Maďarsku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přednosti, které předložily soudy v Německu, Irsku, Polsku a Rumunsku, a </w:t>
            </w:r>
            <w:r>
              <w:rPr>
                <w:b/>
                <w:i/>
              </w:rPr>
              <w:t>také v jednom řízení</w:t>
            </w:r>
            <w:r>
              <w:t xml:space="preserve"> o nesplnění povinnosti</w:t>
            </w:r>
            <w:r>
              <w:rPr>
                <w:b/>
                <w:i/>
              </w:rPr>
              <w:t>, které bylo vedeno proti Polsku</w:t>
            </w:r>
            <w:r>
              <w:t xml:space="preserve">; zdůrazňuje, že nezpochybnitelnou zásadou </w:t>
            </w:r>
            <w:r>
              <w:rPr>
                <w:b/>
                <w:i/>
              </w:rPr>
              <w:t>pro</w:t>
            </w:r>
            <w:r>
              <w:t xml:space="preserve"> vztah mezi ústavami členských států a právem </w:t>
            </w:r>
            <w:r>
              <w:rPr>
                <w:b/>
                <w:i/>
              </w:rPr>
              <w:t>EU</w:t>
            </w:r>
            <w:r>
              <w:t xml:space="preserve"> zůstává přednost ústav členských států; </w:t>
            </w:r>
            <w:r>
              <w:rPr>
                <w:b/>
                <w:i/>
              </w:rPr>
              <w:t>zdůrazňuje, že právní řád Evropské unie nesmí mít přednost před ústavními ustanoveními, která jsou základem svrchovanosti členských států, a že každé rozhodnutí Soudního dvora Evropské unie (SDEU) musí respektovat politické a právní struktury každého členského</w:t>
            </w:r>
            <w:r>
              <w:t xml:space="preserve"> státu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vyjadřuje zvláštní znepokojení nad tím, že některá rozhodnutí sloužila politickým cílům a byla vykládána způsobem, který omezuje právo členských států na sebeurčení;</w:t>
            </w:r>
            <w:r>
              <w:t xml:space="preserve"> </w:t>
            </w:r>
            <w:r>
              <w:rPr>
                <w:b/>
                <w:i/>
              </w:rPr>
              <w:t>vyzývá SDEU, aby ve svých rozhodnutích a právních výkladech více zohledňoval svrchované ústavní struktury a historické tradice členských států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Maij, Eero Heinäluoma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zdůrazňuje</w:t>
            </w:r>
            <w:r>
              <w:rPr>
                <w:b/>
                <w:i/>
              </w:rPr>
              <w:t>, že nezpochybnitelnou zásadou, jíž se řídí vztah mezi ústavami</w:t>
            </w:r>
            <w:r>
              <w:t xml:space="preserve"> členských </w:t>
            </w:r>
            <w:r>
              <w:rPr>
                <w:b/>
                <w:i/>
              </w:rPr>
              <w:t>států a právem Unie, zůstává přednost ústav členských států</w:t>
            </w:r>
            <w:r>
              <w:t xml:space="preserve">; konstatuje dále, že Tribunál rozhodl v šesti věcech souvisejících s opatřeními na ochranu rozpočtu Unie před porušováním zásad právního státu </w:t>
            </w:r>
            <w:r>
              <w:rPr>
                <w:b/>
                <w:i/>
              </w:rPr>
              <w:t>v Maďarsku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zdůrazňuje </w:t>
            </w:r>
            <w:r>
              <w:rPr>
                <w:b/>
                <w:i/>
              </w:rPr>
              <w:t>stěžejní význam zásady přednosti práva EU, která zajišťuje jednotný výklad a uplatňování práva EU ve všech</w:t>
            </w:r>
            <w:r>
              <w:t xml:space="preserve"> členských </w:t>
            </w:r>
            <w:r>
              <w:rPr>
                <w:b/>
                <w:i/>
              </w:rPr>
              <w:t>státech a zaručuje dodržování zásad právního státu jako základní hodnotu Unie;</w:t>
            </w:r>
            <w:r>
              <w:t xml:space="preserve"> </w:t>
            </w:r>
            <w:r>
              <w:rPr>
                <w:b/>
                <w:i/>
              </w:rPr>
              <w:t>zdůrazňuje klíčovou úlohu SDEU při prosazování zásad právního státu v celé Unii</w:t>
            </w:r>
            <w:r>
              <w:t xml:space="preserve">; konstatuje dále, že Tribunál rozhodl v šesti věcech souvisejících s opatřeními na ochranu rozpočtu Unie před porušováním zásad právního státu </w:t>
            </w:r>
            <w:r>
              <w:rPr>
                <w:b/>
                <w:i/>
              </w:rPr>
              <w:t>maďarskou vládou, která soustavně podkopává hodnoty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Gerben-Jan Gerbrandy,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</w:t>
            </w:r>
            <w:r>
              <w:rPr>
                <w:b/>
                <w:i/>
              </w:rPr>
              <w:t>zdůrazňuje, že nezpochybnitelnou zásadou, jíž se řídí vztah mezi ústavami členských států a právem Unie, zůstává přednost ústav členských států;</w:t>
            </w:r>
            <w:r>
              <w:t xml:space="preserve"> konstatuje dále, že Tribunál rozhodl v šesti věcech souvisejících s opatřeními na ochranu rozpočtu Unie před porušováním zásad právního státu v Maďarsku;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konstatuje dále, že Tribunál rozhodl v šesti věcech souvisejících s opatřeními na ochranu rozpočtu Unie před porušováním zásad právního státu v Maďarsku;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</w:t>
            </w:r>
            <w:r>
              <w:rPr>
                <w:b/>
                <w:i/>
              </w:rPr>
              <w:t>zdůrazňuje, že nezpochybnitelnou zásadou, jíž se řídí vztah mezi ústavami členských států a právem Unie, zůstává přednost ústav členských států;</w:t>
            </w:r>
            <w:r>
              <w:t xml:space="preserve"> konstatuje dále, že Tribunál rozhodl v šesti věcech souvisejících s opatřeními na ochranu rozpočtu Unie před porušováním zásad právního státu v Maďarsku;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konstatuje dále, že Tribunál rozhodl v šesti věcech souvisejících s opatřeními na ochranu rozpočtu Unie před porušováním zásad právního státu v Maďarsku;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</w:t>
            </w:r>
            <w:r>
              <w:rPr>
                <w:b/>
                <w:i/>
              </w:rPr>
              <w:t>zdůrazňuje, že nezpochybnitelnou zásadou, jíž se řídí vztah mezi ústavami členských států a právem</w:t>
            </w:r>
            <w:r>
              <w:t xml:space="preserve"> Unie, </w:t>
            </w:r>
            <w:r>
              <w:rPr>
                <w:b/>
                <w:i/>
              </w:rPr>
              <w:t>zůstává přednost ústav členských států;</w:t>
            </w:r>
            <w:r>
              <w:t xml:space="preserve"> </w:t>
            </w:r>
            <w:r>
              <w:rPr>
                <w:b/>
                <w:i/>
              </w:rPr>
              <w:t>konstatuje dále, že Tribunál rozhodl v šesti věcech souvisejících s opatřeními na ochranu rozpočtu Unie před porušováním zásad právního státu v Maďarsku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</w:t>
            </w:r>
            <w:r>
              <w:rPr>
                <w:b/>
                <w:i/>
              </w:rPr>
              <w:t>důrazně trvá na tom, že přednost práva EU je základním kamenem právního řádu</w:t>
            </w:r>
            <w:r>
              <w:t xml:space="preserve"> Unie, </w:t>
            </w:r>
            <w:r>
              <w:rPr>
                <w:b/>
                <w:i/>
              </w:rPr>
              <w:t>a naléhavě vyzývá Komisi, aby přijala rozhodná donucovací opatření vůči kterémukoli členskému státu, který zpochybňuje nebo nebere v potaz závaznou povahu rozsudků SDEU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Pasquale Tridico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zdůrazňuje, že </w:t>
            </w:r>
            <w:r>
              <w:rPr>
                <w:b/>
                <w:i/>
              </w:rPr>
              <w:t>nezpochybnitelnou zásadou, jíž se řídí vztah mezi ústavami členských států a právem Unie, zůstává přednost ústav členských států</w:t>
            </w:r>
            <w:r>
              <w:t>; konstatuje dále, že Tribunál rozhodl v šesti věcech souvisejících s opatřeními na ochranu rozpočtu Unie před porušováním zásad právního státu v Maďarsku;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konstatuje, že Soudní dvůr rozhodl v roce 2023 v pěti věcech týkajících se zásady přednosti v souvislosti se čtyřmi rozhodnutími o předběžné otázce, které předložily soudy v Německu, Irsku, Polsku a Rumunsku, a jedním řízením o nesplnění povinnosti týkajícím se Polska; zdůrazňuje, že </w:t>
            </w:r>
            <w:r>
              <w:rPr>
                <w:b/>
                <w:i/>
              </w:rPr>
              <w:t>zásada přednosti práva EU i ve vztahu k základním právům zakotveným ve vnitrostátních ústavách je pevně zavedeným principem již od rozsudku Soudního dvora ve věci 11–70 (Internationale Handelsgesellschaft)</w:t>
            </w:r>
            <w:r>
              <w:t>; konstatuje dále, že Tribunál rozhodl v šesti věcech souvisejících s opatřeními na ochranu rozpočtu Unie před porušováním zásad právního státu v Maďarsku;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11a.</w:t>
            </w:r>
            <w:r>
              <w:tab/>
            </w:r>
            <w:r>
              <w:rPr>
                <w:b/>
                <w:i/>
              </w:rPr>
              <w:t>odsuzuje veškerá vnitrostátní opatření nebo legislativní kroky, jejichž cílem je oslabit kodifikaci a prosazování rozsudků SDEU;</w:t>
            </w:r>
            <w:r>
              <w:t xml:space="preserve"> </w:t>
            </w:r>
            <w:r>
              <w:rPr>
                <w:b/>
                <w:i/>
              </w:rPr>
              <w:t>vyzývá k vytvoření formálního monitorovacího mechanismu, který by dodržování rozsudků SDEU ze strany členských států sledoval, a doporučuje propojit dodržování pravidel s vyplácením finančních prostředků EU v rámci podmíněnosti dodržováním zásad právního státu;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konstatuje, že průměrná délka řízení věcí ukončených u Soudního dvora činila v roce 2023 16,1 měsíce ve srovnání s 16,4 měsíci v roce 2022; konstatuje, že průměrná délka řízení věcí ukončených u Tribunálu byla 18,2 měsíce oproti 16,2 měsícům v roce 2022, což bylo podle Tribunálu způsobeno povahou a související složitostí řízení vedených v roce 2023;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konstatuje, že průměrná délka řízení věcí ukončených u Soudního dvora činila v roce 2023 16,1 měsíce ve srovnání s 16,4 měsíci v roce 2022; </w:t>
            </w:r>
            <w:r>
              <w:rPr>
                <w:b/>
                <w:i/>
              </w:rPr>
              <w:t>vítá skutečnost, že průměrná délka řízení ve věcech předložených Soudnímu dvoru se oproti předchozímu roku snížila;</w:t>
            </w:r>
            <w:r>
              <w:t xml:space="preserve"> konstatuje, že průměrná délka řízení věcí ukončených u Tribunálu byla 18,2 měsíce oproti 16,2 měsícům v roce 2022, což bylo podle Tribunálu způsobeno povahou a související složitostí řízení vedených v roce 2023;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>, že průměrná délka řízení věcí ukončených u Soudního dvora činila v roce 2023 16,1 měsíce ve srovnání s 16,4 měsíci v roce 2022; konstatuje, že průměrná délka řízení věcí ukončených u Tribunálu byla 18,2 měsíce oproti 16,2 měsícům v roce 2022, což bylo podle Tribunálu způsobeno povahou a související složitostí řízení vedených v roce 2023;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oceňuje</w:t>
            </w:r>
            <w:r>
              <w:t>, že průměrná délka řízení věcí ukončených u Soudního dvora činila v roce 2023 16,1 měsíce ve srovnání s 16,4 měsíci v roce 2022; konstatuje, že průměrná délka řízení věcí ukončených u Tribunálu byla 18,2 měsíce oproti 16,2 měsícům v roce 2022, což bylo podle Tribunálu způsobeno povahou a související složitostí řízení vedených v roce 2023;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vítá přístup založený na výkonnosti, který vypracoval SDEU a na jehož základě může přijímat rozhodnutí podle úrovně dosažení svých cílů, přičemž měření probíhá podle souboru ukazatelů pracovního zatížení a provozních ukazatelů; konstatuje, že klíčové ukazatele výkonnosti, které SDEU používá, se vztahují na širokou škálu zvláštních oblastí za účelem podpory pěti cílů v oblasti řízení, jež se týkají řádného fungování SDEU, a sice digitalizace a vznikajících technologií, otevřenosti a transparentnosti, mnohojazyčnosti a řízení lidských zdrojů;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vítá přístup založený na výkonnosti, který vypracoval SDEU a na jehož základě může přijímat rozhodnutí podle </w:t>
            </w:r>
            <w:r>
              <w:rPr>
                <w:b/>
                <w:i/>
              </w:rPr>
              <w:t>výkonnostních výsledků a</w:t>
            </w:r>
            <w:r>
              <w:t xml:space="preserve"> úrovně dosažení svých cílů, přičemž měření probíhá podle souboru ukazatelů pracovního zatížení a provozních ukazatelů; konstatuje, že klíčové ukazatele výkonnosti, které SDEU používá, se vztahují na širokou škálu zvláštních oblastí za účelem podpory pěti cílů v oblasti řízení, jež se týkají řádného fungování SDEU, a sice digitalizace a vznikajících technologií, otevřenosti a transparentnosti, mnohojazyčnosti a řízení lidských zdrojů;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připomíná, že Smlouva o Evropské unii stanoví, že EU a její orgány podporují solidaritu a rovnost žen a mužů;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konstatuje, že zastoupení žen a mužů v Soudním dvoru a Tribunálu je stále velmi nevyvážené; oceňuje dopis předsedy Tribunálu adresovaný předsedovi konference zástupců vlád členských států v roce 2024, v němž jsou členské státy vyzvány k tomu, aby při navrhování kandidátů na výměnu soudců a generálních advokátů zohlednily potřebu genderové vyváženosti; znovu vyzývá Radu, aby přehodnotila postup navrhování kandidátů s cílem řešit tento problém konkrétními opatřeními, jako je zavedení povinnosti členských států nominovat na každé volné pracovní místo alespoň dva kandidáty různého pohlaví;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rPr>
                <w:b/>
                <w:i/>
              </w:rPr>
              <w:t>se znepokojením</w:t>
            </w:r>
            <w:r>
              <w:t xml:space="preserve"> konstatuje, že zastoupení žen a mužů v Soudním dvoru a Tribunálu je stále velmi nevyvážené; oceňuje dopis předsedy Tribunálu adresovaný předsedovi konference zástupců vlád členských států v roce 2024, v němž jsou členské státy vyzvány k tomu, aby při navrhování kandidátů na výměnu soudců a generálních advokátů zohlednily potřebu genderové vyváženosti; znovu vyzývá Radu, aby přehodnotila postup navrhování kandidátů s cílem řešit tento problém konkrétními opatřeními, jako je zavedení povinnosti členských států nominovat na každé volné pracovní místo alespoň dva kandidáty různého pohlaví; </w:t>
            </w:r>
            <w:r>
              <w:rPr>
                <w:b/>
                <w:i/>
              </w:rPr>
              <w:t>vyzývá členské státy, aby při navrhování kandidátů na uvolněné pozice soudců zohledňovaly potřebu vyváženého zastoupení žen a mužů;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konstatuje, že zastoupení žen a mužů v Soudním dvoru a Tribunálu je stále velmi nevyvážené; oceňuje dopis předsedy Tribunálu adresovaný předsedovi konference zástupců vlád členských států v roce 2024, v němž jsou členské státy vyzvány k tomu, aby při navrhování kandidátů na výměnu soudců a generálních advokátů zohlednily potřebu genderové vyváženosti; </w:t>
            </w:r>
            <w:r>
              <w:rPr>
                <w:b/>
                <w:i/>
              </w:rPr>
              <w:t>znovu</w:t>
            </w:r>
            <w:r>
              <w:t xml:space="preserve"> vyzývá Radu, aby </w:t>
            </w:r>
            <w:r>
              <w:rPr>
                <w:b/>
                <w:i/>
              </w:rPr>
              <w:t>přehodnotila postup navrhování kandidátů s cílem řešit tento problém konkrétními opatřeními, jako je zavedení povinnosti členských států</w:t>
            </w:r>
            <w:r>
              <w:t xml:space="preserve"> nominovat na každé volné pracovní místo alespoň dva kandidáty různého pohlaví;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konstatuje, že zastoupení žen a mužů v Soudním dvoru a Tribunálu je stále velmi nevyvážené; oceňuje dopis předsedy Tribunálu adresovaný předsedovi konference zástupců vlád členských států v roce 2024, v němž jsou členské státy vyzvány k tomu, aby při navrhování kandidátů na výměnu soudců a generálních advokátů zohlednily potřebu genderové vyváženosti; vyzývá Radu, aby </w:t>
            </w:r>
            <w:r>
              <w:rPr>
                <w:b/>
                <w:i/>
              </w:rPr>
              <w:t>zavedla závazné pravidlo rovného zastoupení žen a mužů, což by pro členské státy znamenalo povinnost</w:t>
            </w:r>
            <w:r>
              <w:t xml:space="preserve"> nominovat na každé volné pracovní místo alespoň dva kandidáty různého pohlaví;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vítá podrobné odpovědi SDEU na dotazník parlamentního Výboru pro rozpočtovou kontrolu v rámci stávajícího postupu udělování absolutoria, zejména pokud jde o rozmístění zaměstnanců na konci roku 2023;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konstatuje, že v roce 2023 bylo u SDEU zaměstnáno 61,27 % žen a 38,73 % mužů; konstatuje, že zastoupení žen bylo nejvyšší v třídách asistentů a nejnižší v pozicích vrcholného vedení, kde podíl žen činil </w:t>
            </w:r>
            <w:r>
              <w:rPr>
                <w:b/>
                <w:i/>
              </w:rPr>
              <w:t>43,75%</w:t>
            </w:r>
            <w:r>
              <w:t xml:space="preserve"> a mužů 56,25 %; vítá úsilí SDEU o zajištění rovnosti, začlenění a rozmanitosti, zejména pak ve fázi náboru pracovníků;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konstatuje, že v roce 2023 bylo u SDEU zaměstnáno 61,27 % žen a 38,73 % mužů; konstatuje, že zastoupení žen bylo nejvyšší v třídách asistentů a nejnižší v pozicích vrcholného vedení, kde podíl žen činil </w:t>
            </w:r>
            <w:r>
              <w:rPr>
                <w:b/>
                <w:i/>
              </w:rPr>
              <w:t>43,75 %</w:t>
            </w:r>
            <w:r>
              <w:t xml:space="preserve"> a mužů 56,25 %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vyzývá SDEU, aby zajistil větší zastoupení žen na vyšších vedoucích pozicích a přijal další opatření na podporu vyváženého zastoupení žen a mužů na všech úrovních</w:t>
            </w:r>
            <w:r>
              <w:t>; vítá úsilí SDEU o zajištění rovnosti, začlenění a rozmanitosti, zejména pak ve fázi náboru pracovníků;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vyzývá SDEU, aby vydával výroční zprávu o rovnosti žen a mužů a rozmanitosti s cílem zajistit transparentnost zastoupení žen a mužů na všech úrovních, tj. na úrovni soudců, generálních advokátů a administrativních pracovníků, a aby stanovil konkrétní opatření ke zlepšení rovnosti žen a mužů na vyšších pozicích;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Zdechovský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vítá, že mezi zaměstnanci SDEU jsou zastoupeny všechny státní příslušnosti v Unii, konstatuje však, že některé státní příslušnosti jsou zastoupeny více než jiné; konstatuje, že i v roce 2023 se SDEU snažil podporovat lepší zeměpisné vyvážení mezi svými zaměstnanci, zejména pak větším zviditelněním volných pracovních míst a zvyšováním jejich přitažlivosti, vytvářením a nabízením příznivějších pracovních podmínek s cílem přilákat dočasné zaměstnance z některých méně zastoupených členských států a intenzivnějším informováním různorodých cílových skupin o pracovních příležitostech v SDEU; konstatuje, že prostřednictvím programu stáží bylo vynaloženo značné úsilí na přilákání mnoha talentovaných mladých lidí z různých členských států;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vítá, že mezi zaměstnanci SDEU jsou zastoupeny všechny státní příslušnosti v Unii, konstatuje však, že některé státní příslušnosti jsou zastoupeny více než jiné; konstatuje, že i v roce 2023 se SDEU snažil podporovat lepší zeměpisné vyvážení mezi svými zaměstnanci, zejména pak větším zviditelněním volných pracovních míst a zvyšováním jejich přitažlivosti, vytvářením a nabízením příznivějších pracovních podmínek s cílem přilákat dočasné zaměstnance z některých méně zastoupených členských států a intenzivnějším informováním různorodých cílových skupin o pracovních příležitostech v SDEU; konstatuje, že prostřednictvím programu stáží bylo vynaloženo značné úsilí na přilákání mnoha talentovaných mladých lidí z různých členských států; </w:t>
            </w:r>
            <w:r>
              <w:rPr>
                <w:b/>
                <w:i/>
              </w:rPr>
              <w:t>vybízí SDEU, aby přezkoumal, zda jsou stážisté ze všech členských států zastoupeni proporcionálně;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vítá, že mezi zaměstnanci SDEU jsou zastoupeny všechny státní příslušnosti v Unii, konstatuje však, že některé státní příslušnosti jsou zastoupeny více než jiné; </w:t>
            </w:r>
            <w:r>
              <w:rPr>
                <w:b/>
                <w:i/>
              </w:rPr>
              <w:t>konstatuje</w:t>
            </w:r>
            <w:r>
              <w:t>, že i v roce 2023 se SDEU snažil podporovat lepší zeměpisné vyvážení mezi svými zaměstnanci, zejména pak větším zviditelněním volných pracovních míst a zvyšováním jejich přitažlivosti, vytvářením a nabízením příznivějších pracovních podmínek s cílem přilákat dočasné zaměstnance z některých méně zastoupených členských států a intenzivnějším informováním různorodých cílových skupin o pracovních příležitostech v SDEU; konstatuje, že prostřednictvím programu stáží bylo vynaloženo značné úsilí na přilákání mnoha talentovaných mladých lidí z různých členských států;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vítá, že mezi zaměstnanci SDEU jsou zastoupeny všechny státní příslušnosti v Unii, konstatuje však, že některé státní příslušnosti jsou zastoupeny více než jiné; </w:t>
            </w:r>
            <w:r>
              <w:rPr>
                <w:b/>
                <w:i/>
              </w:rPr>
              <w:t>oceňuje</w:t>
            </w:r>
            <w:r>
              <w:t>, že i v roce 2023 se SDEU snažil podporovat lepší zeměpisné vyvážení mezi svými zaměstnanci, zejména pak větším zviditelněním volných pracovních míst a zvyšováním jejich přitažlivosti, vytvářením a nabízením příznivějších pracovních podmínek s cílem přilákat dočasné zaměstnance z některých méně zastoupených členských států a intenzivnějším informováním různorodých cílových skupin o pracovních příležitostech v SDEU; konstatuje, že prostřednictvím programu stáží bylo vynaloženo značné úsilí na přilákání mnoha talentovaných mladých lidí z různých členských států;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naléhavě vyzývá SDEU, aby podporoval mnohojazyčné pracovní prostředí a uznal jeho potenciál zvýšit spravedlivý poměr zastoupení národností mezi svými zaměstnanci;</w:t>
            </w:r>
            <w:r>
              <w:t xml:space="preserve"> </w:t>
            </w:r>
            <w:r>
              <w:rPr>
                <w:b/>
                <w:i/>
              </w:rPr>
              <w:t>vyzývá všechny orgány EU, aby dodržovaly a zajišťovaly zásadu mnohojazyčnosti;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vítá práci, kterou vykonala interinstitucionální skupina na vysoké úrovni pro zvýšení atraktivity Lucemburska coby místa výkonu zaměstnání pro zaměstnance; konstatuje, že rozpočtový orgán schválil na rozpočtový rok 2025 nezbytné prostředky, které umožní poskytovat zaměstnancům v nižších platových třídách příspěvek na bydlení, jak doporučila interinstitucionální skupina na vysoké úrovni; žádá, aby byl Parlament informován o vývoji těchto iniciativ, které mají zlepšit přitažlivost Lucemburska coby místa výkonu zaměstnání;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vítá práci, kterou vykonala interinstitucionální skupina na vysoké úrovni pro zvýšení atraktivity Lucemburska coby místa výkonu zaměstnání pro zaměstnance; </w:t>
            </w:r>
            <w:r>
              <w:rPr>
                <w:b/>
                <w:i/>
              </w:rPr>
              <w:t>vyzývá SDEU, aby udržoval a posiloval spolupráci s dalšími institucemi se sídlem v Lucembursku v rámci různých iniciativ;</w:t>
            </w:r>
            <w:r>
              <w:t xml:space="preserve"> </w:t>
            </w:r>
            <w:r>
              <w:rPr>
                <w:b/>
                <w:i/>
              </w:rPr>
              <w:t>uznale</w:t>
            </w:r>
            <w:r>
              <w:t xml:space="preserve"> konstatuje, že rozpočtový orgán schválil na rozpočtový rok 2025 nezbytné prostředky, které umožní poskytovat zaměstnancům v nižších platových třídách příspěvek na bydlení, jak doporučila interinstitucionální skupina na vysoké úrovni; žádá, aby byl Parlament informován o vývoji těchto iniciativ, které mají zlepšit přitažlivost Lucemburska coby místa výkonu zaměstnání;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vítá probíhající osvětové, informační a vzdělávací kampaně zaměřené na podporu začleňování, vzájemného respektu, spolupráce a podpory pro osoby se zdravotním postižením a jejich asistenty;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konstatuje, že počet pracovních dní placené nemocenské dovolené činil v roce </w:t>
            </w:r>
            <w:r>
              <w:rPr>
                <w:b/>
                <w:i/>
              </w:rPr>
              <w:t>2023 20 198</w:t>
            </w:r>
            <w:r>
              <w:t xml:space="preserve">, což oproti roku 2022 představuje pokles o 14,78 %; se znepokojením konstatuje, že Lékařská služba oznámila v roce 2023 jedenáct případů vyhoření; </w:t>
            </w:r>
            <w:r>
              <w:rPr>
                <w:b/>
                <w:i/>
              </w:rPr>
              <w:t>konstatuje</w:t>
            </w:r>
            <w:r>
              <w:t>, že SDEU provedl důkladnou analýzu zpráv o diagnóze, aby určil případy profesního vyhoření, a že klade důraz na preventivní opatření, zejména pak na posílení svého týmu zdravotnického personálu a sociálních pracovníků, prevenci psychosociálních rizik na pracovišti a činnosti v oblasti zvyšování povědomí; vybízí SDEU, aby se tomuto problému nadále věnoval a zamezil tak dalším případům spojeným s vyhořením;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konstatuje, že počet pracovních dní placené nemocenské dovolené činil v roce </w:t>
            </w:r>
            <w:r>
              <w:rPr>
                <w:b/>
                <w:i/>
              </w:rPr>
              <w:t>2023 20 198</w:t>
            </w:r>
            <w:r>
              <w:t xml:space="preserve">, což oproti roku 2022 představuje pokles o 14,78 %; se znepokojením konstatuje, že Lékařská služba oznámila v roce 2023 jedenáct případů vyhoření; </w:t>
            </w:r>
            <w:r>
              <w:rPr>
                <w:b/>
                <w:i/>
              </w:rPr>
              <w:t>oceňuje</w:t>
            </w:r>
            <w:r>
              <w:t xml:space="preserve">, že SDEU provedl důkladnou analýzu zpráv o diagnóze, aby určil případy profesního vyhoření, a že klade důraz na preventivní opatření, zejména pak na posílení svého týmu zdravotnického personálu a sociálních pracovníků, prevenci psychosociálních rizik na pracovišti a činnosti v oblasti zvyšování povědomí </w:t>
            </w:r>
            <w:r>
              <w:rPr>
                <w:b/>
                <w:i/>
              </w:rPr>
              <w:t>u řídících pracovníků o právu odpojit se a nebezpečí přepracování</w:t>
            </w:r>
            <w:r>
              <w:t>; vybízí SDEU, aby se tomuto problému nadále věnoval a zamezil tak dalším případům spojeným s vyhořením;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Tomáš Zdechovský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konstatuje, že počet pracovních dní placené nemocenské dovolené činil v roce </w:t>
            </w:r>
            <w:r>
              <w:rPr>
                <w:b/>
                <w:i/>
              </w:rPr>
              <w:t>2023 20 198</w:t>
            </w:r>
            <w:r>
              <w:t>, což oproti roku 2022 představuje pokles o 14,78 %; se znepokojením konstatuje, že Lékařská služba oznámila v roce 2023 jedenáct případů vyhoření; konstatuje, že SDEU provedl důkladnou analýzu zpráv o diagnóze, aby určil případy profesního vyhoření, a že klade důraz na preventivní opatření, zejména pak na posílení svého týmu zdravotnického personálu a sociálních pracovníků, prevenci psychosociálních rizik na pracovišti a činnosti v oblasti zvyšování povědomí; vybízí SDEU, aby se tomuto problému nadále věnoval a zamezil tak dalším případům spojeným s vyhořením;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konstatuje, že počet pracovních dní placené nemocenské dovolené činil v roce </w:t>
            </w:r>
            <w:r>
              <w:rPr>
                <w:b/>
                <w:i/>
              </w:rPr>
              <w:t>2023 20 198</w:t>
            </w:r>
            <w:r>
              <w:t xml:space="preserve">, což oproti roku 2022 představuje pokles o 14,78 %; se znepokojením konstatuje, že Lékařská služba oznámila v roce 2023 jedenáct případů vyhoření; konstatuje, že SDEU provedl důkladnou analýzu zpráv o diagnóze, aby určil případy profesního vyhoření, a že klade důraz na preventivní opatření, zejména pak na posílení svého týmu zdravotnického personálu a sociálních pracovníků, prevenci psychosociálních rizik na pracovišti a činnosti v oblasti zvyšování povědomí; vybízí SDEU, aby se tomuto problému nadále věnoval a zamezil tak dalším případům spojeným s vyhořením </w:t>
            </w:r>
            <w:r>
              <w:rPr>
                <w:b/>
                <w:i/>
              </w:rPr>
              <w:t>a informoval Evropský parlament o opatřeních přijatých v tomto ohledu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 xml:space="preserve">konstatuje, že v roce 2023 bylo zahájeno správní šetření ve věci údajného sexuálního obtěžování, jež se týkala jednoho zaměstnance, a že tato věc byla v roce 2024 ukončena uložením sankce; </w:t>
            </w:r>
            <w:r>
              <w:rPr>
                <w:b/>
                <w:i/>
              </w:rPr>
              <w:t>konstatuje</w:t>
            </w:r>
            <w:r>
              <w:t>, že v roce 2023 byl také zahájen postup pomoci ve věci údajného obtěžování, jež se týkala soudce, nicméně že v této věci obtěžování konstatováno nebylo; konstatuje, že meziútvarová pracovní skupina vytvořená v březnu 2023 proto před ratifikací Úmluvy Rady Evropy o prevenci a potírání násilí na ženách a domácího násilí prozkoumala pravidla a postupy platné v SDEU, jež mají zamezit obtěžování, a vydala několik doporučení s cílem tato pravidla a postupy zkvalitnit; vybízí SDEU, aby se jimi řídil a nadále netoleroval žádné obtěžování na pracovišti;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 xml:space="preserve">konstatuje, že v roce 2023 bylo zahájeno správní šetření ve věci údajného sexuálního obtěžování, jež se týkala jednoho zaměstnance, a že tato věc byla v roce 2024 ukončena uložením sankce; </w:t>
            </w:r>
            <w:r>
              <w:rPr>
                <w:b/>
                <w:i/>
              </w:rPr>
              <w:t>vyjadřuje znepokojení nad tím</w:t>
            </w:r>
            <w:r>
              <w:t xml:space="preserve">, že v roce 2023 byl také zahájen postup pomoci ve věci údajného obtěžování, jež se týkala soudce, nicméně že v této věci obtěžování konstatováno nebylo; konstatuje, že meziútvarová pracovní skupina vytvořená v březnu 2023 proto před ratifikací Úmluvy Rady Evropy o prevenci a potírání násilí na ženách a domácího násilí prozkoumala pravidla a postupy platné v SDEU, jež mají zamezit obtěžování, a vydala několik doporučení s cílem tato pravidla a postupy zkvalitnit; vybízí SDEU, aby se jimi řídil a nadále netoleroval žádné obtěžování na pracovišti </w:t>
            </w:r>
            <w:r>
              <w:rPr>
                <w:b/>
                <w:i/>
              </w:rPr>
              <w:t>a aby pro tyto účely zavedl povinné školení o nevědomých předsudcích a etických normách pro všechny soudce a vyšší úředníky v zájmu prevence zneužívání moci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Deutsch, Ondřej Knotek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26a.</w:t>
            </w:r>
            <w:r>
              <w:tab/>
            </w:r>
            <w:r>
              <w:rPr>
                <w:b/>
                <w:i/>
              </w:rPr>
              <w:t>připomíná, že ve Smlouvě o Evropské unii je stanoveno, že cílem EU a jejích orgánů je podporovat mír, své hodnoty a blahobyt svých obyvatel, zachovávat mír, předcházet konfliktům a posilovat mezinárodní bezpečnost;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Deutsch, Ondřej Knotek, Julien Sanchez, Virginie Joron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26b.</w:t>
            </w:r>
            <w:r>
              <w:tab/>
            </w:r>
            <w:r>
              <w:rPr>
                <w:b/>
                <w:i/>
              </w:rPr>
              <w:t>vyzývá SDEU, aby s maximálním nasazením a všemi dostupnými opatřeními a prostředky usiloval o prosazování míru a co nejrychlejší ukončení války na Ukrajině, o zachování míru a posílení evropské bezpečnosti;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Deutsch, Ondřej Knotek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26c.</w:t>
            </w:r>
            <w:r>
              <w:tab/>
            </w:r>
            <w:r>
              <w:rPr>
                <w:b/>
                <w:i/>
              </w:rPr>
              <w:t>připomíná, že smlouva o Evropské unii stanoví, že EU a její orgány ctí rovnost členských států před Smlouvami a jejich národní identitu, která spočívá v jejich základních politických a ústavních systémech, včetně místní a regionální samosprávy;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Deutsch, Ondřej Knotek, Julien Sanchez, Virginie Joron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26d.</w:t>
            </w:r>
            <w:r>
              <w:tab/>
            </w:r>
            <w:r>
              <w:rPr>
                <w:b/>
                <w:i/>
              </w:rPr>
              <w:t>vyzývá SDEU, aby vždy respektoval rovnost členských států a se všemi členskými státy zacházel stejně a aby respektoval jejich svrchovanost a národní identitu, která spočívá v jejich základních politických a ústavních systémech, včetně místní a regionální samosprávy;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konstatuje, že v reakci na předchozí doporučení vydaná v souvislosti s udělením absolutoria byla v roce 2023 vypracována nová Pravidla chování o právech a povinnostech úředníků a ostatních zaměstnanců SDEU, jež odráží hodnoty SDEU a jeho závazek k etickému chování a který byl přijat v březnu 2024; konstatuje, že Pravidla chování obsahují ustanovení o střetu zájmů, povinnosti loajality, povinnosti zachování důvěrnosti a prostoru pro uvážení, mimopracovních činnostech, pracovních činnostech po skončení pracovního poměru a publikacích, přičemž se vztahují i na vyslané národní odborníky a soudní čekatele, kteří se účastní v rámci Evropské sítě pro justiční vzdělávání; konstatuje, že v roce 2023 byly pro zaměstnance a vedoucí pracovníky, se zvláštním zaměřením na nově přijaté pracovníky, organizovány činnosti v oblasti zvyšování povědomí a přepracované školení o kodexu chování; žádá, aby byl Parlament průběžně informován o provádění kodexu chování;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konstatuje, že v reakci na předchozí doporučení vydaná v souvislosti s udělením absolutoria byla v roce 2023 vypracována nová Pravidla chování o právech a povinnostech úředníků a ostatních zaměstnanců SDEU, jež odráží hodnoty SDEU a jeho závazek k etickému chování a který byl přijat v březnu 2024; konstatuje, že Pravidla chování obsahují ustanovení o střetu zájmů, povinnosti loajality, povinnosti zachování důvěrnosti a prostoru pro uvážení, mimopracovních činnostech, pracovních činnostech po skončení pracovního poměru a publikacích, přičemž se vztahují i na vyslané národní odborníky a soudní čekatele, kteří se účastní v rámci Evropské sítě pro justiční vzdělávání; konstatuje, že v roce 2023 byly pro zaměstnance a vedoucí pracovníky, se zvláštním zaměřením na nově přijaté pracovníky, organizovány činnosti v oblasti zvyšování povědomí a přepracované školení o kodexu chování; </w:t>
            </w:r>
            <w:r>
              <w:rPr>
                <w:b/>
                <w:i/>
              </w:rPr>
              <w:t>vyzývá k zavedení povinnosti pravidelného školení u všech zaměstnanců a</w:t>
            </w:r>
            <w:r>
              <w:t xml:space="preserve"> žádá, aby byl Parlament průběžně informován o provádění kodexu chování;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>, že v reakci na předchozí doporučení vydaná v souvislosti s udělením absolutoria byla v roce 2023 vypracována nová Pravidla chování o právech a povinnostech úředníků a ostatních zaměstnanců SDEU, jež odráží hodnoty SDEU a jeho závazek k etickému chování a který byl přijat v březnu 2024; konstatuje, že Pravidla chování obsahují ustanovení o střetu zájmů, povinnosti loajality, povinnosti zachování důvěrnosti a prostoru pro uvážení, mimopracovních činnostech, pracovních činnostech po skončení pracovního poměru a publikacích, přičemž se vztahují i na vyslané národní odborníky a soudní čekatele, kteří se účastní v rámci Evropské sítě pro justiční vzdělávání; konstatuje, že v roce 2023 byly pro zaměstnance a vedoucí pracovníky, se zvláštním zaměřením na nově přijaté pracovníky, organizovány činnosti v oblasti zvyšování povědomí a přepracované školení o kodexu chování; žádá, aby byl Parlament průběžně informován o provádění kodexu chování;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oceňuje</w:t>
            </w:r>
            <w:r>
              <w:t>, že v reakci na předchozí doporučení vydaná v souvislosti s udělením absolutoria byla v roce 2023 vypracována nová Pravidla chování o právech a povinnostech úředníků a ostatních zaměstnanců SDEU, jež odráží hodnoty SDEU a jeho závazek k etickému chování a který byl přijat v březnu 2024; konstatuje, že Pravidla chování obsahují ustanovení o střetu zájmů, povinnosti loajality, povinnosti zachování důvěrnosti a prostoru pro uvážení, mimopracovních činnostech, pracovních činnostech po skončení pracovního poměru a publikacích, přičemž se vztahují i na vyslané národní odborníky a soudní čekatele, kteří se účastní v rámci Evropské sítě pro justiční vzdělávání; konstatuje, že v roce 2023 byly pro zaměstnance a vedoucí pracovníky, se zvláštním zaměřením na nově přijaté pracovníky, organizovány činnosti v oblasti zvyšování povědomí a přepracované školení o kodexu chování; žádá, aby byl Parlament průběžně informován o provádění kodexu chování;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>konstatuje, že po přijetí Pravidel chování členů a bývalých členů SDEU, byla prohlášení členů o zájmech zveřejněna on-line, aby se při projednávání případů zamezilo jakémukoli možnému střetu zájmů; konstatuje, že SDEU nepřetržitě přehodnocuje svá interní pravidla v tomto ohledu, aby byla stále aktuální a aby zajistil co nejvyšší úroveň etického chování; žádá SDEU, aby Parlamentu sdělil výsledky dalšího případného hodnocení účinnosti tohoto opatření, které má předcházet vzniku střetů zájmů;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 xml:space="preserve">konstatuje, že po přijetí Pravidel chování členů a bývalých členů SDEU, byla prohlášení členů o zájmech zveřejněna on-line, aby se při projednávání případů zamezilo jakémukoli možnému střetu zájmů; konstatuje, že SDEU nepřetržitě přehodnocuje svá interní pravidla v tomto ohledu, aby byla stále aktuální a aby zajistil co nejvyšší úroveň etického chování; </w:t>
            </w:r>
            <w:r>
              <w:rPr>
                <w:b/>
                <w:i/>
              </w:rPr>
              <w:t>vyzývá SDEU, aby zřídil nezávislý etický výbor, který by dohlížel na dodržování kodexu chování a vyšetřoval případná porušení pravidel;</w:t>
            </w:r>
            <w:r>
              <w:t xml:space="preserve"> </w:t>
            </w:r>
            <w:r>
              <w:rPr>
                <w:b/>
                <w:i/>
              </w:rPr>
              <w:t>vyzývá k zavedení povinnosti každoročního etického školení pro všechny zaměstnance SDEU, včetně soudců a generálních advokátů, s cílem zachovat integritu Soudního dvora;</w:t>
            </w:r>
            <w:r>
              <w:t xml:space="preserve"> žádá SDEU, aby Parlamentu sdělil výsledky dalšího případného hodnocení účinnosti tohoto opatření, které má předcházet vzniku střetů zájmů;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29a.</w:t>
            </w:r>
            <w:r>
              <w:tab/>
            </w:r>
            <w:r>
              <w:rPr>
                <w:b/>
                <w:i/>
              </w:rPr>
              <w:t>vítá, že byla zveřejněna prohlášení o zájmech členů SDEU, nicméně žádá, aby byl zaveden standardní proces jejich prověřování ještě před jejich jmenováním, který by umožnil odhalit a zmírnit potenciální střety zájmů už v rané fázi;</w:t>
            </w:r>
            <w:r>
              <w:t xml:space="preserve"> </w:t>
            </w:r>
            <w:r>
              <w:rPr>
                <w:b/>
                <w:i/>
              </w:rPr>
              <w:t>apeluje na Radu, aby pro členské státy stanovila transparentní pokyny, jimiž by se při navrhování kandidátů na soudce SDEU řídily;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29b.</w:t>
            </w:r>
            <w:r>
              <w:tab/>
            </w:r>
            <w:r>
              <w:rPr>
                <w:b/>
                <w:i/>
              </w:rPr>
              <w:t>naléhavě vyzývá SDEU, aby zavedl politiku povinného vyloučení soudců ze soudních řízení v případech, kdy mezi nimi a účastníky řízení před Soudním dvorem existovala v minulosti profesní vazba;</w:t>
            </w:r>
            <w:r>
              <w:t xml:space="preserve"> </w:t>
            </w:r>
            <w:r>
              <w:rPr>
                <w:b/>
                <w:i/>
              </w:rPr>
              <w:t>vyzývá k přísnějšímu prověřování střetu zájmů soudců a vysoce postavených úředníků, včetně pravidelných aktualizací požadavků na zveřejňování finančních informací;</w:t>
            </w:r>
            <w:r>
              <w:t xml:space="preserve"> </w:t>
            </w:r>
            <w:r>
              <w:rPr>
                <w:b/>
                <w:i/>
              </w:rPr>
              <w:t>žádá, aby byla v případech, kdy soudci uvedou, že se nacházejí ve střetu zájmů, v reálném čase zveřejňována rozhodnutí o jejich vyloučení z řízení, čímž se zajistí větší transparentnost soudního procesu a posílí důvěra veřejnosti v nestrannost a integritu SDEU;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31a.</w:t>
            </w:r>
            <w:r>
              <w:tab/>
            </w:r>
            <w:r>
              <w:rPr>
                <w:b/>
                <w:i/>
              </w:rPr>
              <w:t>vyzývá SDEU, aby aktivní politikou předcházel rizikům „otáčivých dveří“, a to i na základě zavedení minimální dvouleté lhůty, během níž nemohou bývalí soudci a vyšší úředníci zastávat funkce v podnicích soukromého sektoru, které vedou soudní spory před SDEU nebo zastupují klienty ve věcech práva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konstatuje, že seznam externích činností, které vykonávají členové Soudního dvora i Tribunálu, je na internetových stránkách SDEU zveřejňován od roku 2018; konstatuje, že Soudní dvůr na všeobecné schůzi nebo Tribunál na plenárním zasedání udělí externí činnosti předchozí povolení pouze tehdy, pokud je tato činnost v souladu s požadavky Pravidel chování a povinnostmi členů být k dispozici pro plnění soudních činností; žádá SDEU, aby v souladu s předchozími doporučeními vydanými v souvislosti s udělením absolutoria informoval orgán příslušný k udělení absolutoria o veškerých iniciativách, které mají zlepšit srozumitelnost informací týkajících se externích činností;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konstatuje, že seznam externích činností, které vykonávají členové Soudního dvora i Tribunálu, je na internetových stránkách SDEU zveřejňován od roku 2018; </w:t>
            </w:r>
            <w:r>
              <w:rPr>
                <w:b/>
                <w:i/>
              </w:rPr>
              <w:t>dále konstatuje, že seznam je pro širokou veřejnost obtížně čitelný, a doporučuje jeho revizi, aby byla zajištěna větší jasnost a informovanost;</w:t>
            </w:r>
            <w:r>
              <w:t xml:space="preserve"> konstatuje, že Soudní dvůr na všeobecné schůzi nebo Tribunál na plenárním zasedání udělí externí činnosti předchozí povolení pouze tehdy, pokud je tato činnost v souladu s požadavky Pravidel chování a povinnostmi členů být k dispozici pro plnění soudních činností; žádá SDEU, aby v souladu s předchozími doporučeními vydanými v souvislosti s udělením absolutoria informoval orgán příslušný k udělení absolutoria o veškerých iniciativách, které mají zlepšit srozumitelnost informací týkajících se externích činností;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konstatuje, že pravidla, jimiž se řídí cesty a služební cesty členů a využívání řidičů a vozidel a která byla aktualizována v roce 2021, stanoví, že SDEU hradí pouze provozní náklady spojené s využitím vozidla pro účely splnění cestovního příkazu nebo mandátu člena do vzdálenosti </w:t>
            </w:r>
            <w:r>
              <w:rPr>
                <w:b/>
                <w:i/>
              </w:rPr>
              <w:t>10 000</w:t>
            </w:r>
            <w:r>
              <w:t xml:space="preserve"> km; opakuje svůj názor, že vozový park by za žádných okolností neměl být využíván mimo rámec přesného plnění úkolů členy SDEU, a konstatuje, že SDEU oznámil, že jedná s dalšími orgány a institucemi o vytvoření harmonizovaného souboru pravidel pro využívání služebních vozidel, přičemž by měla být respektována nezávislost každého orgánu a instituce; žádá SDEU, aby Parlament informoval o veškerém vývoji v tomto ohledu;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konstatuje, že pravidla, jimiž se řídí cesty a služební cesty členů a využívání řidičů a vozidel a která byla aktualizována v roce 2021, stanoví, že SDEU hradí pouze provozní náklady spojené s využitím vozidla pro účely splnění cestovního příkazu nebo mandátu člena do vzdálenosti </w:t>
            </w:r>
            <w:r>
              <w:rPr>
                <w:b/>
                <w:i/>
              </w:rPr>
              <w:t>10 000</w:t>
            </w:r>
            <w:r>
              <w:t xml:space="preserve"> km; opakuje svůj názor, že vozový park by za žádných okolností neměl být využíván mimo rámec přesného plnění úkolů členy SDEU, a konstatuje, že SDEU oznámil, že jedná s dalšími orgány a institucemi o vytvoření harmonizovaného souboru pravidel pro využívání služebních vozidel, přičemž by měla být respektována nezávislost každého orgánu a instituce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vyzývá všechny orgány Unie, aby se dohodly na jednotném systému, který by byl uplatňován horizontálně, což by snížilo zmatek a zvýšilo transparentnost a efektivitu využívání veřejných prostředků</w:t>
            </w:r>
            <w:r>
              <w:t>; žádá SDEU, aby Parlament informoval o veškerém vývoji v tomto ohledu;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Virginie Joron, Tamás Deutsch,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konstatuje, že pravidla, jimiž se řídí cesty a služební cesty členů a využívání řidičů a vozidel a která byla aktualizována v roce 2021, stanoví, že SDEU hradí pouze provozní náklady spojené s využitím vozidla pro účely splnění cestovního příkazu nebo mandátu člena do vzdálenosti </w:t>
            </w:r>
            <w:r>
              <w:rPr>
                <w:b/>
                <w:i/>
              </w:rPr>
              <w:t>10 000</w:t>
            </w:r>
            <w:r>
              <w:t xml:space="preserve"> km; opakuje svůj názor, že vozový park by za žádných okolností neměl být využíván mimo rámec přesného plnění úkolů členy SDEU</w:t>
            </w:r>
            <w:r>
              <w:rPr>
                <w:b/>
                <w:i/>
              </w:rPr>
              <w:t>,</w:t>
            </w:r>
            <w:r>
              <w:t xml:space="preserve"> a konstatuje, že SDEU oznámil, že jedná s dalšími orgány a institucemi o vytvoření harmonizovaného souboru pravidel pro využívání služebních vozidel, přičemž by měla být respektována nezávislost každého orgánu a instituce; žádá SDEU, aby Parlament informoval o veškerém vývoji v tomto ohledu;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konstatuje, že pravidla, jimiž se řídí cesty a služební cesty členů a využívání řidičů a vozidel a která byla aktualizována v roce 2021, stanoví, že SDEU hradí pouze provozní náklady spojené s využitím vozidla pro účely splnění cestovního příkazu nebo mandátu člena do vzdálenosti </w:t>
            </w:r>
            <w:r>
              <w:rPr>
                <w:b/>
                <w:i/>
              </w:rPr>
              <w:t>10 000</w:t>
            </w:r>
            <w:r>
              <w:t xml:space="preserve"> km; opakuje svůj názor, že vozový park by za žádných okolností neměl být využíván mimo rámec přesného plnění úkolů členy SDEU a </w:t>
            </w:r>
            <w:r>
              <w:rPr>
                <w:b/>
                <w:i/>
              </w:rPr>
              <w:t>že obcházení pravidel by mělo být kontrolováno a sankcionováno jako zneužití finančních prostředků evropských daňových poplatníků;</w:t>
            </w:r>
            <w:r>
              <w:t xml:space="preserve"> konstatuje, že SDEU oznámil, že jedná s dalšími orgány a institucemi o vytvoření harmonizovaného souboru pravidel pro využívání služebních vozidel, přičemž by měla být respektována nezávislost každého orgánu a instituce; žádá SDEU, aby Parlament informoval o veškerém vývoji v tomto ohledu;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Virginie Joron, Tamás Deutsch,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>vítá úsilí SDEU o zvýšení transparentnosti, zlepšení přístupu ke spravedlnosti a posílení otevřenosti vůči veřejnosti, čímž přispívá k podpoře důvěry veřejnosti v orgány a instituce Unie;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vítá úsilí SDEU o zvýšení transparentnosti, zlepšení přístupu ke spravedlnosti a posílení otevřenosti vůči veřejnosti, čímž přispívá k podpoře důvěry veřejnosti v orgány a instituce Unie; </w:t>
            </w:r>
            <w:r>
              <w:rPr>
                <w:b/>
                <w:i/>
              </w:rPr>
              <w:t>v této souvislosti bere na vědomí nedávnou změnu Protokolu č. 3 o statutu Soudního dvora Evropské unie, která byla přijata nařízením Evropského parlamentu a Rady (EU, Euratom) 2024/20191, kterým se částečně přenáší pravomoc Soudního dvora rozhodovat o předběžných otázkách na Tribunál;</w:t>
            </w:r>
            <w:r>
              <w:t xml:space="preserve"> </w:t>
            </w:r>
            <w:r>
              <w:rPr>
                <w:b/>
                <w:i/>
              </w:rPr>
              <w:t>vyjadřuje však politování nad tím, že tato změna Protokolu č. 3 o statutu Soudního dvora Evropské unie neposkytla občanům Unie a fyzickým nebo právnickým osobám s bydlištěm nebo sídlem v členském státě žádné další záruky, pokud jde o transparentnost a právo na přístup k dokumentům týkajícím se soudních řízení, a ze Soudního dvora se tak stal jeden z nejméně transparentních orgánů EU, a to navzdory tomu, o jakých tématech stále více rozhoduje, např. o otázkách lidský práv, přistěhovalectví, ochraně soukromí, zdraví nebo životním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36.</w:t>
            </w:r>
            <w:r>
              <w:tab/>
            </w:r>
            <w:r>
              <w:t xml:space="preserve">konstatuje, že SDEU v roce 2023 posílil službu streamování slyšení Soudního dvora a Tribunálu na </w:t>
            </w:r>
            <w:r>
              <w:rPr>
                <w:b/>
                <w:i/>
              </w:rPr>
              <w:t>internetové stránce</w:t>
            </w:r>
            <w:r>
              <w:t xml:space="preserve"> CURIA, čímž občanům usnadnil přístup k soudním činnostem SDEU; vítá, že na </w:t>
            </w:r>
            <w:r>
              <w:rPr>
                <w:b/>
                <w:i/>
              </w:rPr>
              <w:t>internetové stránce</w:t>
            </w:r>
            <w:r>
              <w:t xml:space="preserve"> CURIA je od roku 2023 živě vysíláno vyhlášení rozsudků Soudního dvora, přednes stanovisek generálních advokátů, slyšení velkého senátu a některá slyšení senátů, v nichž zasedá pět soudců; vyzývá SDEU, aby na </w:t>
            </w:r>
            <w:r>
              <w:rPr>
                <w:b/>
                <w:i/>
              </w:rPr>
              <w:t>své internetové stránce</w:t>
            </w:r>
            <w:r>
              <w:t xml:space="preserve"> vysílal všechna slyšení obou soudů a trvale je uchovával on-line, a tak ještě více posílil transparentnost;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36.</w:t>
            </w:r>
            <w:r>
              <w:tab/>
            </w:r>
            <w:r>
              <w:t xml:space="preserve">konstatuje, že SDEU v roce 2023 posílil službu streamování slyšení Soudního dvora a Tribunálu na </w:t>
            </w:r>
            <w:r>
              <w:rPr>
                <w:b/>
                <w:i/>
              </w:rPr>
              <w:t>internetových stránkách</w:t>
            </w:r>
            <w:r>
              <w:t xml:space="preserve"> CURIA, čímž občanům usnadnil přístup k soudním činnostem SDEU; vítá </w:t>
            </w:r>
            <w:r>
              <w:rPr>
                <w:b/>
                <w:i/>
              </w:rPr>
              <w:t>zlepšení, která byla na internetových stránkách CURIA provedena, pokud jde o jejich strukturu, funkce a obsah;</w:t>
            </w:r>
            <w:r>
              <w:t xml:space="preserve"> </w:t>
            </w:r>
            <w:r>
              <w:rPr>
                <w:b/>
                <w:i/>
              </w:rPr>
              <w:t>vítá</w:t>
            </w:r>
            <w:r>
              <w:t xml:space="preserve">, že na </w:t>
            </w:r>
            <w:r>
              <w:rPr>
                <w:b/>
                <w:i/>
              </w:rPr>
              <w:t>internetových stránkách</w:t>
            </w:r>
            <w:r>
              <w:t xml:space="preserve"> CURIA je od roku 2023 živě vysíláno vyhlášení rozsudků Soudního dvora, přednes stanovisek generálních advokátů, slyšení velkého senátu a některá slyšení senátů, v nichž zasedá pět soudců; vyzývá SDEU, aby na </w:t>
            </w:r>
            <w:r>
              <w:rPr>
                <w:b/>
                <w:i/>
              </w:rPr>
              <w:t>svých internetových stránkách</w:t>
            </w:r>
            <w:r>
              <w:t xml:space="preserve"> vysílal všechna slyšení obou soudů a trvale je uchovával on-line, a tak ještě více posílil transparentnost;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Dick Erixon, Charlie Weimers, 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39a.</w:t>
            </w:r>
            <w:r>
              <w:tab/>
            </w:r>
            <w:r>
              <w:rPr>
                <w:b/>
                <w:i/>
              </w:rPr>
              <w:t>domnívá se, že používání nesrozumitelného právního žargonu brání zapojení veřejnosti, čímž vzniká pocit oddělenosti od občanů a snižuje se transparentnost soudního řízení;</w:t>
            </w:r>
            <w:r>
              <w:t xml:space="preserve"> </w:t>
            </w:r>
            <w:r>
              <w:rPr>
                <w:b/>
                <w:i/>
              </w:rPr>
              <w:t>vyzývá Účetní dvůr, aby svá rozhodnutí sděloval v jazyce, který je srozumitelný a přístupný laickému publiku;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Dick Erixon, Charlie Weimers, 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39b.</w:t>
            </w:r>
            <w:r>
              <w:tab/>
            </w:r>
            <w:r>
              <w:rPr>
                <w:b/>
                <w:i/>
              </w:rPr>
              <w:t>vyzývá Účetní dvůr, aby zjednodušil způsob, jak nacházet konkrétní rozhodnutí v aplikaci e-curia;</w:t>
            </w:r>
            <w:r>
              <w:t xml:space="preserve"> </w:t>
            </w:r>
            <w:r>
              <w:rPr>
                <w:b/>
                <w:i/>
              </w:rPr>
              <w:t>vítá úsilí o to, aby rozhraní bylo uživatelsky vstřícnější a intuitivní;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Pasquale Tridico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 xml:space="preserve"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</w:t>
            </w:r>
            <w:r>
              <w:rPr>
                <w:b/>
                <w:i/>
              </w:rPr>
              <w:t>zdůrazňuje, že je nesmírně důležité, aby umělá inteligence byla používána způsobem, který plně zachovává nezávislost, kvalitu a nerušenost právních procesů, plně zohledňuje etické aspekty a je plně pod lidským dohledem a umožňovala lidský zásah, aby se zabránilo negativním důsledkům nebo rizikům, nebo aby byl systém zastaven, pokud nebude fungovat tak, jak bylo zamýšleno;</w:t>
            </w:r>
            <w:r>
              <w:t xml:space="preserve">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 xml:space="preserve"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</w:t>
            </w:r>
            <w:r>
              <w:rPr>
                <w:b/>
                <w:i/>
              </w:rPr>
              <w:t>zdůrazňuje, že je nesmírně důležité, aby umělá inteligence byla používána způsobem, který plně zachovává nezávislost, kvalitu a integritu právních procesů, zajišťuje důsledné dodržování etických norem a je pod přísným lidským dohledem a kontrolou;</w:t>
            </w:r>
            <w:r>
              <w:t xml:space="preserve">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Gerben-Jan Gerbrandy,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 xml:space="preserve"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 </w:t>
            </w:r>
            <w:r>
              <w:rPr>
                <w:b/>
                <w:i/>
              </w:rPr>
              <w:t>zdůraznit, že digitalizace soudnictví a přijetí nových technologií, jako je umělá inteligence, přinese významné výhody pro účinné fungování soudu;</w:t>
            </w:r>
            <w:r>
              <w:t xml:space="preserve"> </w:t>
            </w:r>
            <w:r>
              <w:rPr>
                <w:b/>
                <w:i/>
              </w:rPr>
              <w:t>doporučuje však, aby byl Soudní dvůr připraven na související kybernetická bezpečnostní rizika a ještě více posílil svou spolupráci s Agenturou EU pro kybernetickou bezpečnost a skupinou CERT-EU.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Virginie Joron, Tamás Deutsch,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 xml:space="preserve"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 </w:t>
            </w:r>
            <w:r>
              <w:rPr>
                <w:b/>
                <w:i/>
              </w:rPr>
              <w:t>žádá, aby byla vypracována výroční zpráva, která mimo jiné umožní ověřit přiměřenost výdajů souvisejících s touto strategií integrace umělé inteligence;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Dick Erixon, Charlie Weimers, Beatrice Timgren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>konstatuje, že SDEU realizoval několik projektů založených na umělé inteligenci (UI), jako je automatizace analýzy dokumentů pro účely odkazů na platné právní předpisy a pomoc s ověřováním faktur prostřednictvím robotických procesů,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43.</w:t>
            </w:r>
            <w:r>
              <w:tab/>
            </w:r>
            <w:r>
              <w:t xml:space="preserve">konstatuje, že SDEU realizoval několik projektů založených na umělé inteligenci (UI), jako je automatizace analýzy dokumentů pro účely odkazů na platné právní předpisy a pomoc s ověřováním faktur prostřednictvím robotických procesů </w:t>
            </w:r>
            <w:r>
              <w:rPr>
                <w:b/>
                <w:i/>
              </w:rPr>
              <w:t>a přepisu slyšení</w:t>
            </w:r>
            <w:r>
              <w:t>, a to v souladu se svou novou strategií integrace umělé inteligence, kterou přijal v červnu 2023; konstatuje, že v rámci této strategie zřídil SDEU správní radu pro umělou inteligenci, v níž zasedají členové Soudního dvora a Tribunálu a která vykonává dohled nad etickými aspekty používání umělé inteligence uvnitř SDEU a stanovuje jasné hranice jejího používání; vítá pokyny týkající se používání umělé inteligence, které rada poskytla zaměstnancům; vítá iniciativy, které byly zavedeny za účelem prohlubování dovedností zaměstnanců v oblasti digitálních kompetencí, a to prostřednictvím programu odborné přípravy vypracovaného ve spolupráci s Interinstitucionálním výborem pro digitální transformaci (ETA);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Gerben-Jan Gerbrandy,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44.</w:t>
            </w:r>
            <w:r>
              <w:tab/>
            </w:r>
            <w:r>
              <w:t>konstatuje, že SDEU nebyla v roce 2023 sdělena žádná šetření ze strany evropského inspektora ochrany údajů; konstatuje, že evropský inspektor ochrany údajů nevydal v roce 2023 v návaznosti na své vyšetřování týkající se využívání cloudových služeb webovými službami společnosti Amazon SDEU žádné konkrétní doporučení; konstatuje, že evropský inspektor ochrany údajů zveřejnil v roce 2023 rozhodnutí, jímž potvrdil, že SDEU využívá cloudové služby pro účely videokonferencí v souladu s právními předpisy v oblasti ochrany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44.</w:t>
            </w:r>
            <w:r>
              <w:tab/>
            </w:r>
            <w:r>
              <w:t xml:space="preserve">konstatuje, že SDEU nebyla v roce 2023 sdělena žádná šetření ze strany evropského inspektora ochrany údajů; konstatuje, že evropský inspektor ochrany údajů nevydal v roce 2023 v návaznosti na své vyšetřování týkající se využívání cloudových služeb webovými službami společnosti Amazon SDEU žádné konkrétní doporučení; konstatuje, že evropský inspektor ochrany údajů zveřejnil v roce 2023 rozhodnutí, jímž potvrdil, že SDEU využívá cloudové služby pro účely videokonferencí v souladu s právními předpisy v oblasti ochrany údajů; </w:t>
            </w:r>
            <w:r>
              <w:rPr>
                <w:b/>
                <w:i/>
              </w:rPr>
              <w:t>opakuje však své obavy ohledně využívání externích cloudových služeb vzhledem k rostoucím hrozbám v oblasti kybernetické bezpečnosti a digitální suverenity;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Gilles Boyer, Olivier Chastel, Michal Wiezik, Gerben-Jan Gerbrandy, Vlad Vasile-Voiculescu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45.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>, že SDEU přijal v roce 2023 plán pro kybernetické technologie a posílil své operační schopnosti v oblasti kybernetické bezpečnosti, aby mohl lépe chránit své systémy před rostoucím počtem kybernetických útoků</w:t>
            </w:r>
            <w:r>
              <w:rPr>
                <w:b/>
                <w:i/>
              </w:rPr>
              <w:t>, z nichž nejzávažnější hrozbou jsou útoky zvané phishing</w:t>
            </w:r>
            <w:r>
              <w:t>; konstatuje, že SDEU přijal různá opatření k posílení své připravenosti v oblasti kybernetické bezpečnosti a schopnosti překonat bezpečnostní incidenty, mimo jiné se zapojil do řízení Interinstitucionálního výboru pro kybernetickou bezpečnost a kombinuje opatření a nástroje kybernetické bezpečnosti, jež jsou v souladu s doporučeními služby CERT-EU; konstatuje, že rozpočtový orgán schválil na rozpočtový rok 2025 nezbytné prostředky na další dvě pracovní místa, což SDEU umožní posílit personální kapacity v oblasti kybernetické bezpečnosti;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45.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>, že SDEU přijal v roce 2023 plán pro kybernetické technologie a posílil své operační schopnosti v oblasti kybernetické bezpečnosti, aby mohl lépe chránit své systémy před rostoucím počtem kybernetických útoků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dále zdůrazňuje, že důsledná strategie kybernetické bezpečnosti je základním nástrojem boje proti zahraničnímu vměšování, jehož cílem je narušit integritu evropských orgánů</w:t>
            </w:r>
            <w:r>
              <w:t>; konstatuje, že SDEU přijal různá opatření k posílení své připravenosti v oblasti kybernetické bezpečnosti a schopnosti překonat bezpečnostní incidenty, mimo jiné se zapojil do řízení Interinstitucionálního výboru pro kybernetickou bezpečnost a kombinuje opatření a nástroje kybernetické bezpečnosti, jež jsou v souladu s doporučeními služby CERT-EU; konstatuje, že rozpočtový orgán schválil na rozpočtový rok 2025 nezbytné prostředky na další dvě pracovní místa, což SDEU umožní posílit personální kapacity v oblasti kybernetické bezpečnosti;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48.</w:t>
            </w:r>
            <w:r>
              <w:tab/>
            </w:r>
            <w:r>
              <w:t xml:space="preserve">konstatuje, že v roce 2023 pokračoval SDEU ve výrazném snižování své spotřeby energie a uhlíkové stopy oproti roku 2015, jenž je výchozím bodem pro provádění strategie SDEU pro používání systému pro environmentální řízení podniků a audit, a to formou opatření na úsporu energie a optimalizací svých infrastruktur pro vytápění, chlazení a osvětlení; konstatuje, že oproti roku 2015 klesla v roce 2023 spotřeba tepla o 33,5 %, elektřiny o 28,7 %, vody o 20,1 %, kancelářského papíru o 63 %, kancelářský odpad a odpad z jídelen o 43 % a emise skleníkových plynů o 30,2 %; </w:t>
            </w:r>
            <w:r>
              <w:rPr>
                <w:b/>
                <w:i/>
              </w:rPr>
              <w:t>konstatuje</w:t>
            </w:r>
            <w:r>
              <w:t xml:space="preserve">, že SDEU uplatnil kritéria zelených veřejných zakázek v deseti výzvách k podávání nabídek přesahujících hodnotu </w:t>
            </w:r>
            <w:r>
              <w:rPr>
                <w:b/>
                <w:i/>
              </w:rPr>
              <w:t>60 000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48.</w:t>
            </w:r>
            <w:r>
              <w:tab/>
            </w:r>
            <w:r>
              <w:t xml:space="preserve">konstatuje, že v roce 2023 pokračoval SDEU ve výrazném snižování své spotřeby energie a uhlíkové stopy oproti roku 2015, jenž je výchozím bodem pro provádění strategie SDEU pro používání systému pro environmentální řízení podniků a audit, a to formou opatření na úsporu energie a optimalizací svých infrastruktur pro vytápění, chlazení a osvětlení; konstatuje, že oproti roku 2015 klesla v roce 2023 spotřeba tepla o 33,5 %, elektřiny o 28,7 %, vody o 20,1 %, kancelářského papíru o 63 %, kancelářský odpad a odpad z jídelen o 43 % a emise skleníkových plynů o 30,2 %; </w:t>
            </w:r>
            <w:r>
              <w:rPr>
                <w:b/>
                <w:i/>
              </w:rPr>
              <w:t>oceňuje</w:t>
            </w:r>
            <w:r>
              <w:t xml:space="preserve">, že SDEU uplatnil kritéria zelených veřejných zakázek v deseti výzvách k podávání nabídek přesahujících hodnotu </w:t>
            </w:r>
            <w:r>
              <w:rPr>
                <w:b/>
                <w:i/>
              </w:rPr>
              <w:t>60 000 EUR;</w:t>
            </w:r>
            <w:r>
              <w:t xml:space="preserve"> </w:t>
            </w:r>
            <w:r>
              <w:rPr>
                <w:b/>
                <w:i/>
              </w:rPr>
              <w:t>vítá odhodlání SDEU uplatňovat systém pro environmentální řízení podniků a audit (EMAS);</w:t>
            </w:r>
            <w:r>
              <w:t xml:space="preserve"> </w:t>
            </w:r>
            <w:r>
              <w:rPr>
                <w:b/>
                <w:i/>
              </w:rPr>
              <w:t>vybízí SDEU, aby pokračoval ve svém úsilí o snížení svého dopadu na životní prostředí prostřednictvím strategie pro dosažení uhlíkové neutrality do roku 2035;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48.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 xml:space="preserve">, že v roce 2023 pokračoval SDEU ve výrazném snižování své spotřeby energie a uhlíkové stopy oproti roku 2015, jenž je výchozím bodem pro provádění strategie SDEU pro používání systému pro environmentální řízení podniků a audit, a to formou opatření na úsporu energie a optimalizací svých infrastruktur pro vytápění, chlazení a osvětlení; konstatuje, že oproti roku 2015 klesla v roce 2023 spotřeba tepla o 33,5 %, elektřiny o 28,7 %, vody o 20,1 %, kancelářského papíru o 63 %, kancelářský odpad a odpad z jídelen o 43 % a emise skleníkových plynů o 30,2 %; konstatuje, že SDEU uplatnil kritéria zelených veřejných zakázek v deseti výzvách k podávání nabídek přesahujících hodnotu </w:t>
            </w:r>
            <w:r>
              <w:rPr>
                <w:b/>
                <w:i/>
              </w:rPr>
              <w:t>60 000</w:t>
            </w:r>
            <w:r>
              <w:t xml:space="preserve">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48.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, že v roce 2023 pokračoval SDEU ve výrazném snižování své spotřeby energie a uhlíkové stopy oproti roku 2015, jenž je výchozím bodem pro provádění strategie SDEU pro používání systému pro environmentální řízení podniků a audit, a to formou opatření na úsporu energie a optimalizací svých infrastruktur pro vytápění, chlazení a osvětlení; konstatuje, že oproti roku 2015 klesla v roce 2023 spotřeba tepla o 33,5 %, elektřiny o 28,7 %, vody o 20,1 %, kancelářského papíru o 63 %, kancelářský odpad a odpad z jídelen o 43 % a emise skleníkových plynů o 30,2 %; konstatuje, že SDEU uplatnil kritéria zelených veřejných zakázek v deseti výzvách k podávání nabídek přesahujících hodnotu </w:t>
            </w:r>
            <w:r>
              <w:rPr>
                <w:b/>
                <w:i/>
              </w:rPr>
              <w:t>60 000</w:t>
            </w:r>
            <w:r>
              <w:t xml:space="preserve">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49a.</w:t>
            </w:r>
            <w:r>
              <w:tab/>
            </w:r>
            <w:r>
              <w:rPr>
                <w:b/>
                <w:i/>
              </w:rPr>
              <w:t>žádá SDEU, aby Evropskému parlamentu a jeho Výboru pro rozpočtovou kontrolu poskytl doporučení ohledně nových způsobů boje proti pochybením a zneužívání finančních prostředků EU, a to na základě vlastních interních zkušeností a zkušeností získaných z dřívějších případů, a aby sdílel osvědčené postupy, neboť bylo prokázáno, že finanční zájmy Evropské unie nebyly v Evropském parlamentu dobře chráněny;</w:t>
            </w:r>
            <w:r>
              <w:t xml:space="preserve"> </w:t>
            </w:r>
            <w:r>
              <w:rPr>
                <w:b/>
                <w:i/>
              </w:rPr>
              <w:t>s ohledem na trestní případ a jeho vyšetřování se domnívá, že Parlament by mohl nové pohledy a podněty SDEU v této věci využít;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Manda, Marit Maij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51.</w:t>
            </w:r>
            <w:r>
              <w:tab/>
            </w:r>
            <w:r>
              <w:t>konstatuje, že SDEU a Evropská síť pro justiční vzdělávání (EJTN) se v roce 2023 v souladu s prohlášením SDEU „Supporting the European Judicial Training Network (EJTN) to shape a sustainable European judicial culture“ (Podpora Evropské sítě pro justiční vzdělávání při vytváření udržitelné evropské soudní kultury) snažily dosáhnout co největší různorodosti dlouhodobých stážistů, aby se jejich počet v konečném výsledku zvýšil takovým způsobem, že na jednoho stážistu bude připadat jeden členský stát; konstatuje, že v roce 2023/2024 bylo nabídnuto patnáct stáží;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51.</w:t>
            </w:r>
            <w:r>
              <w:tab/>
            </w:r>
            <w:r>
              <w:rPr>
                <w:b/>
                <w:i/>
              </w:rPr>
              <w:t>s uznáním</w:t>
            </w:r>
            <w:r>
              <w:t xml:space="preserve"> konstatuje, že SDEU a Evropská síť pro justiční vzdělávání (EJTN) se v roce 2023 v souladu s prohlášením SDEU „Supporting the European Judicial Training Network (EJTN) to shape a sustainable European judicial culture“ (Podpora Evropské sítě pro justiční vzdělávání při vytváření udržitelné evropské soudní kultury) snažily dosáhnout co největší různorodosti dlouhodobých stážistů, aby se jejich počet v konečném výsledku zvýšil takovým způsobem, že na jednoho stážistu bude připadat jeden členský stát; konstatuje, že v roce 2023/2024 bylo nabídnuto patnáct </w:t>
            </w:r>
            <w:r>
              <w:rPr>
                <w:b/>
                <w:i/>
              </w:rPr>
              <w:t>placených</w:t>
            </w:r>
            <w:r>
              <w:t xml:space="preserve"> stáží; </w:t>
            </w:r>
            <w:r>
              <w:rPr>
                <w:b/>
                <w:i/>
              </w:rPr>
              <w:t>zdůrazňuje, že za stáže by měla být vyplácena odměna v souladu s usnesením Evropského parlamentu ze dne 14. června 2023 o kvalitních stážích v Unii (2020/2005 (INL)), které obsahuje výzvu, byly všechny stáže v Evropě placené;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Caterina Chinnici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51.</w:t>
            </w:r>
            <w:r>
              <w:tab/>
            </w:r>
            <w:r>
              <w:t>konstatuje, že SDEU a Evropská síť pro justiční vzdělávání (EJTN) se v roce 2023 v souladu s prohlášením SDEU „Supporting the European Judicial Training Network (EJTN) to shape a sustainable European judicial culture“ (Podpora Evropské sítě pro justiční vzdělávání při vytváření udržitelné evropské soudní kultury) snažily dosáhnout co největší různorodosti dlouhodobých stážistů, aby se jejich počet v konečném výsledku zvýšil takovým způsobem, že na jednoho stážistu bude připadat jeden členský stát; konstatuje, že v roce 2023/2024 bylo nabídnuto patnáct stáží;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51.</w:t>
            </w:r>
            <w:r>
              <w:tab/>
            </w:r>
            <w:r>
              <w:t xml:space="preserve">konstatuje, že SDEU a Evropská síť pro justiční vzdělávání (EJTN) se v roce 2023 v souladu s prohlášením SDEU „Supporting the European Judicial Training Network (EJTN) to shape a sustainable European judicial culture“ (Podpora Evropské sítě pro justiční vzdělávání při vytváření udržitelné evropské soudní kultury) snažily dosáhnout co největší různorodosti dlouhodobých stážistů, aby se jejich počet v konečném výsledku zvýšil takovým způsobem, že na jednoho stážistu bude připadat jeden členský stát; konstatuje, že </w:t>
            </w:r>
            <w:r>
              <w:rPr>
                <w:b/>
                <w:i/>
              </w:rPr>
              <w:t>přijatá opatření již byla úspěšná, neboť SDEU má stážisty z některých členských států, které se dříve programu aktivně neúčastnily;</w:t>
            </w:r>
            <w:r>
              <w:t xml:space="preserve"> </w:t>
            </w:r>
            <w:r>
              <w:rPr>
                <w:b/>
                <w:i/>
              </w:rPr>
              <w:t>konstatuje, že</w:t>
            </w:r>
            <w:r>
              <w:t xml:space="preserve"> v roce 2023/2024 bylo nabídnuto patnáct stáží;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51a.</w:t>
            </w:r>
            <w:r>
              <w:tab/>
            </w:r>
            <w:r>
              <w:rPr>
                <w:b/>
                <w:i/>
              </w:rPr>
              <w:t>oceňuje úsilí Evropské sítě pro justiční vzdělávání (EJTN), pokud jde o vzdělávání soudců členských států v oblasti práva EU;</w:t>
            </w:r>
            <w:r>
              <w:t xml:space="preserve"> </w:t>
            </w:r>
            <w:r>
              <w:rPr>
                <w:b/>
                <w:i/>
              </w:rPr>
              <w:t>vyzývá SDEU, aby dále rozvíjel své iniciativy v oblasti sdílení znalostí, včetně společných databází judikatury a virtuálních platforem pro spolupráci, s cílem podpořit vnitrostátní soudy při složitém právním výkladu;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Pasquale Tridico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51a.</w:t>
            </w:r>
            <w:r>
              <w:tab/>
            </w:r>
            <w:r>
              <w:rPr>
                <w:b/>
                <w:i/>
              </w:rPr>
              <w:t>vítá skutečnost, že v současné době žádné neplacené stáže neprobíhají a že všichni stážisté dostávají během svého pobytu finanční podporu, zejména od SDEU a v některých zvláštních případech z jiných zdrojů;</w:t>
            </w:r>
            <w:r>
              <w:t xml:space="preserve"> </w:t>
            </w:r>
            <w:r>
              <w:rPr>
                <w:b/>
                <w:i/>
              </w:rPr>
              <w:t>bere na vědomí, že SDEU přijímá pouze několik stážistů (méně než 10 ročně) placených z jiných zdrojů a na krátkou dobu (v průměru 2 měsíce);</w:t>
            </w:r>
            <w:r>
              <w:t xml:space="preserve"> </w:t>
            </w:r>
            <w:r>
              <w:rPr>
                <w:b/>
                <w:i/>
              </w:rPr>
              <w:t>vítá, že v takových případech administrativa SDEU pečlivě kontroluje, zda tito stážisté grant, příspěvek nebo odměnu, které vyplácí přímo jejich zaměstnavatel nebo akademická instituce, skutečně za tuto stáž dostávají;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Csaba Molnár, Claudiu Manda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52.</w:t>
            </w:r>
            <w:r>
              <w:tab/>
            </w:r>
            <w:r>
              <w:t>konstatuje, že SDEU v roce 2023 pokračoval ve svém úsilí o udržení dialogu navázaného s vnitrostátními soudy, zejména pak s ústavními a nejvyššími soudy, a že uspořádal řadu schůzí, mimo jiné výroční schůzi soudců jednotlivých států;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52.</w:t>
            </w:r>
            <w:r>
              <w:tab/>
            </w:r>
            <w:r>
              <w:rPr>
                <w:b/>
                <w:i/>
              </w:rPr>
              <w:t>oceňuje, že SDEU plně spolupracuje s úřadem OLAF, Účetním dvorem, evropským inspektorem ochrany údajů a evropským veřejným ochráncem práv;</w:t>
            </w:r>
            <w:r>
              <w:t xml:space="preserve"> konstatuje, že SDEU v roce 2023 pokračoval ve svém úsilí o udržení dialogu navázaného s vnitrostátními soudy, zejména pak s ústavními a nejvyššími soudy, a že uspořádal řadu schůzí, mimo jiné výroční schůzi soudců jednotlivých států;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Damian Boeselager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52a.</w:t>
            </w:r>
            <w:r>
              <w:tab/>
            </w:r>
            <w:r>
              <w:rPr>
                <w:b/>
                <w:i/>
              </w:rPr>
              <w:t>vybízí k hlubší spolupráci mezi SDEU a vnitrostátními soudy s cílem posílit jednotné uplatňování práva Unie;</w:t>
            </w:r>
            <w:r>
              <w:t xml:space="preserve"> </w:t>
            </w:r>
            <w:r>
              <w:rPr>
                <w:b/>
                <w:i/>
              </w:rPr>
              <w:t>doporučuje zavést stálý výměnný program pro soudce z členských států, kteří by spolupracovali se svými protějšky v SDEU, čímž by se podporovaly osvědčené postupy při výkladu práva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Tamás Deutsch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52a.</w:t>
            </w:r>
            <w:r>
              <w:tab/>
            </w:r>
            <w:r>
              <w:rPr>
                <w:b/>
                <w:i/>
              </w:rPr>
              <w:t>vyzývá SDEU, aby se zdržel propagace, šíření a podpory ideologie rovnosti žen a mužů a ideologie „woke“ a aby dodržoval Smlouvu a její ustanovení a respektoval národní identitu členských států, která je vlastní jejich základním strukturám, historii, náboženství a tradicím;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768.136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40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41</w:t>
    </w:r>
    <w:r>
      <w:fldChar w:fldCharType="end"/>
    </w:r>
    <w:r>
      <w:tab/>
    </w:r>
    <w:r>
      <w:rPr>
        <w:rStyle w:val="HideTWBExt"/>
      </w:rPr>
      <w:t>&lt;PathFdR&gt;</w:t>
    </w:r>
    <w:r>
      <w:t>AM\1314487CS.docx</w:t>
    </w:r>
    <w:r>
      <w:rPr>
        <w:rStyle w:val="HideTWBExt"/>
      </w:rPr>
      <w:t>&lt;/PathFdR&gt;</w:t>
    </w:r>
  </w:p>
  <w:p>
    <w:pPr>
      <w:pStyle w:val="EPFooter2"/>
    </w:pPr>
    <w:r>
      <w:t>CS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AM\1314487CS.docx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41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41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768.136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AM\1314487CS.docx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768.136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CS</w:t>
    </w:r>
    <w:r>
      <w:tab/>
    </w:r>
    <w:r>
      <w:rPr>
        <w:rStyle w:val="EPFooter2Motto"/>
      </w:rPr>
      <w:t>Jednotná v rozmanitosti</w:t>
    </w:r>
    <w:r>
      <w:tab/>
    </w:r>
    <w:r>
      <w:t>CS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EPName">
    <w:name w:val="EPName"/>
    <w:basedOn w:val="Normal"/>
    <w:pPr>
      <w:widowControl w:val="0"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 w:val="0"/>
      <w:spacing w:after="480"/>
      <w:ind w:left="1416"/>
    </w:pPr>
  </w:style>
  <w:style w:type="paragraph" w:customStyle="1" w:styleId="CoverNormal">
    <w:name w:val="CoverNormal"/>
    <w:basedOn w:val="Normal"/>
    <w:pPr>
      <w:widowControl w:val="0"/>
      <w:ind w:left="1418"/>
    </w:pPr>
  </w:style>
  <w:style w:type="paragraph" w:customStyle="1" w:styleId="CoverReference">
    <w:name w:val="CoverReference"/>
    <w:basedOn w:val="Normal"/>
    <w:pPr>
      <w:widowControl w:val="0"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 w:val="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 w:val="0"/>
      <w:spacing w:before="240" w:after="1200"/>
    </w:pPr>
  </w:style>
  <w:style w:type="paragraph" w:customStyle="1" w:styleId="CoverDocType24a">
    <w:name w:val="CoverDocType24a"/>
    <w:basedOn w:val="Normal"/>
    <w:pPr>
      <w:widowControl w:val="0"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 w:val="0"/>
      <w:ind w:left="1416"/>
    </w:pPr>
    <w:rPr>
      <w:b/>
    </w:rPr>
  </w:style>
  <w:style w:type="paragraph" w:customStyle="1" w:styleId="EPBody">
    <w:name w:val="EPBody"/>
    <w:basedOn w:val="Normal"/>
    <w:pPr>
      <w:widowControl w:val="0"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 w:val="0"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 w:val="0"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 w:val="0"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 w:val="0"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 w:val="0"/>
    </w:pPr>
    <w:rPr>
      <w:b/>
    </w:rPr>
  </w:style>
  <w:style w:type="paragraph" w:customStyle="1" w:styleId="AmOrLang">
    <w:name w:val="AmOrLang"/>
    <w:basedOn w:val="Normal"/>
    <w:pPr>
      <w:widowControl w:val="0"/>
      <w:spacing w:before="240" w:after="240"/>
      <w:jc w:val="right"/>
    </w:pPr>
  </w:style>
  <w:style w:type="paragraph" w:customStyle="1" w:styleId="Normal6a">
    <w:name w:val="Normal6a"/>
    <w:basedOn w:val="Normal"/>
    <w:pPr>
      <w:widowControl w:val="0"/>
      <w:spacing w:after="120"/>
    </w:pPr>
  </w:style>
  <w:style w:type="paragraph" w:customStyle="1" w:styleId="AmColumnHeading">
    <w:name w:val="AmColumnHeading"/>
    <w:basedOn w:val="Normal"/>
    <w:pPr>
      <w:widowControl w:val="0"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 w:val="0"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 w:val="0"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 w:val="0"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 w:val="0"/>
    </w:pPr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 w:val="0"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 w:val="0"/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41</Pages>
  <Words>10730</Words>
  <Characters>63047</Characters>
  <Application>Microsoft Office Word</Application>
  <DocSecurity>0</DocSecurity>
  <Lines>1</Lines>
  <Paragraphs>597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1314487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133838</vt:lpwstr>
  </property>
  <property fmtid="{D5CDD505-2E9C-101B-9397-08002B2CF9AE}" pid="7" name="dmxml.render.traceId">
    <vt:lpwstr>67bd71fab37240087e9520a1712183ad</vt:lpwstr>
  </property>
  <property fmtid="{D5CDD505-2E9C-101B-9397-08002B2CF9AE}" pid="8" name="FooterPath">
    <vt:lpwstr>AM\1314487CS.docx</vt:lpwstr>
  </property>
  <property fmtid="{D5CDD505-2E9C-101B-9397-08002B2CF9AE}" pid="9" name="PE Number">
    <vt:lpwstr>768.136</vt:lpwstr>
  </property>
  <property fmtid="{D5CDD505-2E9C-101B-9397-08002B2CF9AE}" pid="10" name="UID">
    <vt:lpwstr>eu.europa.europarl-DIN1-2025-0000019342_01.00-cs-01.00_text-xml</vt:lpwstr>
  </property>
</Properties>
</file>