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Επιτροπή Ελέγχου του Προϋπολογισμού</w:t>
      </w:r>
      <w:r>
        <w:rPr>
          <w:rStyle w:val="HideTWBExt"/>
        </w:rPr>
        <w:t>&lt;/Commission&gt;</w:t>
      </w:r>
    </w:p>
    <w:p>
      <w:pPr>
        <w:pStyle w:val="LineBottom"/>
      </w:pPr>
      <w:r>
        <w:t xml:space="preserve"> </w:t>
      </w:r>
    </w:p>
    <w:p>
      <w:pPr>
        <w:pStyle w:val="CoverReference"/>
      </w:pPr>
      <w:r>
        <w:rPr>
          <w:rStyle w:val="HideTWBExt"/>
        </w:rPr>
        <w:t>&lt;RefProc&gt;</w:t>
      </w:r>
      <w:r>
        <w:t>2024/2022</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11.2.2025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66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Cristian Terheş</w:t>
      </w:r>
      <w:r>
        <w:rPr>
          <w:rStyle w:val="HideTWBExt"/>
        </w:rPr>
        <w:t>&lt;/Rapporteur&gt;</w:t>
      </w:r>
    </w:p>
    <w:p>
      <w:pPr>
        <w:pStyle w:val="CoverNormal24a"/>
      </w:pPr>
      <w:r>
        <w:rPr>
          <w:rStyle w:val="HideTWBExt"/>
        </w:rPr>
        <w:t>&lt;DocRefPE&gt;</w:t>
      </w:r>
      <w:r>
        <w:t>(PE764.996v02-00)</w:t>
      </w:r>
      <w:r>
        <w:rPr>
          <w:rStyle w:val="HideTWBExt"/>
        </w:rPr>
        <w:t>&lt;/DocRefPE&gt;</w:t>
      </w:r>
    </w:p>
    <w:p>
      <w:pPr>
        <w:pStyle w:val="CoverNormal"/>
      </w:pPr>
      <w:r>
        <w:rPr>
          <w:rStyle w:val="HideTWBExt"/>
        </w:rPr>
        <w:t>&lt;Titre&gt;</w:t>
      </w:r>
      <w:r>
        <w:t>Απαλλαγή 2023: γενικός προϋπολογισμός της ΕΕ – Δικαστήριο της Ευρωπαϊκής Ένωσης</w:t>
      </w:r>
      <w:r>
        <w:rPr>
          <w:rStyle w:val="HideTWBExt"/>
        </w:rPr>
        <w:t>&lt;/Titre&gt;</w:t>
      </w:r>
    </w:p>
    <w:p>
      <w:pPr>
        <w:pStyle w:val="CoverNormal24a"/>
      </w:pPr>
      <w:r>
        <w:rPr>
          <w:rStyle w:val="HideTWBExt"/>
        </w:rPr>
        <w:t>&lt;DocRef&gt;</w:t>
      </w:r>
      <w:r>
        <w:t>(2024/2022(DEC))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 Claudiu Manda, Marit Maij,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w:t>
            </w:r>
            <w:r>
              <w:tab/>
            </w:r>
            <w:r>
              <w:rPr>
                <w:b/>
                <w:i/>
              </w:rPr>
              <w:t>λαμβάνοντας υπόψη ότι το άρθρο 4 παράγραφος 2 της Συνθήκης για την Ευρωπαϊκή Ένωση ορίζει ότι «Η Ένωση σέβεται την ισότητα των κρατών μελών ενώπιον των Συνθηκών καθώς και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 Σέβεται τις ουσιώδεις λειτουργίες του κράτους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σημειώνει ότι το Ελεγκτικό Συνέδριο, στην ετήσια έκθεσή του για το οικονομικό έτος 2023 («έκθεση του Ελεγκτικού Συνεδρίου»), εξέτασε δείγμα 70 πράξεων υπό τον τίτλο «Διοίκηση», 10 περισσότερες από αυτές που εξετάστηκαν το 2022· το Ελεγκτικό Συνέδριο αναφέρει περαιτέρω ότι οι διοικητικές δαπάνες περιλαμβάνουν τις δαπάνες για ανθρώπινους πόρους, συμπεριλαμβανομένων των δαπανών για συντάξεις, οι οποίες το 2023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tc>
        <w:tc>
          <w:tcPr>
            <w:tcW w:w="4876" w:type="dxa"/>
            <w:tcBorders>
              <w:top w:val="nil"/>
              <w:left w:val="nil"/>
              <w:bottom w:val="nil"/>
              <w:right w:val="nil"/>
            </w:tcBorders>
          </w:tcPr>
          <w:p>
            <w:pPr>
              <w:pStyle w:val="Normal6a"/>
            </w:pPr>
            <w:r>
              <w:t>2.</w:t>
            </w:r>
            <w:r>
              <w:tab/>
            </w:r>
            <w:r>
              <w:t xml:space="preserve">σημειώνει ότι το Ελεγκτικό Συνέδριο, στην ετήσια έκθεσή του για το οικονομικό έτος 2023 («έκθεση του Ελεγκτικού Συνεδρίου»), εξέτασε δείγμα 70 πράξεων υπό τον τίτλο «Διοίκηση», 10 περισσότερες από αυτές που εξετάστηκαν το 2022· το Ελεγκτικό Συνέδριο αναφέρει περαιτέρω ότι οι διοικητικές δαπάνες περιλαμβάνουν τις δαπάνες για ανθρώπινους πόρους, συμπεριλαμβανομένων των δαπανών για συντάξεις, οι οποίες το 2023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 </w:t>
            </w:r>
            <w:r>
              <w:rPr>
                <w:b/>
                <w:i/>
              </w:rPr>
              <w:t>εκφράζει τη λύπη του για το γεγονός ότι παρέχονται ελάχιστες λεπτομέρειες σχετικά με τη χρήση των πιστώσεων για κτίρια και ΤΠ, οι οποίες αντιπροσωπεύουν σημαντικό μέρος των δαπανών χωρίς απτά αποδεικτικά στοιχεία για τη βέλτιστη χρήση των υπαρχόντων υλικών πόρων·</w:t>
            </w:r>
            <w:r>
              <w:t xml:space="preserve"> </w:t>
            </w:r>
            <w:r>
              <w:rPr>
                <w:b/>
                <w:i/>
              </w:rPr>
              <w:t>σημειώνει ότι, όπως και με τα άλλα θεσμικά όργανα της ΕΕ, δεν έχει ανακοινωθεί τίποτα για να αρχίσει επιτέλους η μείωση του λειτουργικού κόστους και η περικοπή των διαφόρων δαπανών.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 προϋπολογισμός που διατέθηκε για το ΔΕΕ το </w:t>
            </w:r>
            <w:r>
              <w:rPr>
                <w:b/>
                <w:i/>
              </w:rPr>
              <w:t>2033</w:t>
            </w:r>
            <w:r>
              <w:t xml:space="preserve"> ανήλθε σε </w:t>
            </w:r>
            <w:r>
              <w:rPr>
                <w:b/>
                <w:i/>
              </w:rPr>
              <w:t>486 025 796</w:t>
            </w:r>
            <w:r>
              <w:t xml:space="preserve"> EUR, ποσό που αντιπροσωπεύει αύξηση κατά 3,7 % σε σύγκριση με το 2022· σημειώνει ότι η αύξηση αυτή αφορούσε κυρίως προσαρμογές των μισθών που προβλέπονταν για το 2023·</w:t>
            </w:r>
          </w:p>
        </w:tc>
        <w:tc>
          <w:tcPr>
            <w:tcW w:w="4876" w:type="dxa"/>
            <w:tcBorders>
              <w:top w:val="nil"/>
              <w:left w:val="nil"/>
              <w:bottom w:val="nil"/>
              <w:right w:val="nil"/>
            </w:tcBorders>
          </w:tcPr>
          <w:p>
            <w:pPr>
              <w:pStyle w:val="Normal6a"/>
            </w:pPr>
            <w:r>
              <w:t>5.</w:t>
            </w:r>
            <w:r>
              <w:tab/>
            </w:r>
            <w:r>
              <w:t xml:space="preserve">σημειώνει ότι ο προϋπολογισμός που διατέθηκε για το ΔΕΕ το </w:t>
            </w:r>
            <w:r>
              <w:rPr>
                <w:b/>
                <w:i/>
              </w:rPr>
              <w:t>2023</w:t>
            </w:r>
            <w:r>
              <w:t xml:space="preserve"> ανήλθε σε </w:t>
            </w:r>
            <w:r>
              <w:rPr>
                <w:b/>
                <w:i/>
              </w:rPr>
              <w:t>486 025 796</w:t>
            </w:r>
            <w:r>
              <w:t> EUR, ποσό που αντιπροσωπεύει αύξηση κατά 3,7 % σε σύγκριση με το 2022· σημειώνει ότι η αύξηση αυτή αφορούσε κυρίως προσαρμογές των μισθών που προβλέπονταν για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 προϋπολογισμός που διατέθηκε για το ΔΕΕ το </w:t>
            </w:r>
            <w:r>
              <w:rPr>
                <w:b/>
                <w:i/>
              </w:rPr>
              <w:t>2033</w:t>
            </w:r>
            <w:r>
              <w:t xml:space="preserve"> ανήλθε σε </w:t>
            </w:r>
            <w:r>
              <w:rPr>
                <w:b/>
                <w:i/>
              </w:rPr>
              <w:t>486 025 796</w:t>
            </w:r>
            <w:r>
              <w:t xml:space="preserve"> EUR, ποσό που αντιπροσωπεύει αύξηση κατά </w:t>
            </w:r>
            <w:r>
              <w:rPr>
                <w:b/>
                <w:i/>
              </w:rPr>
              <w:t>3,7</w:t>
            </w:r>
            <w:r>
              <w:t xml:space="preserve"> % σε σύγκριση με το 2022· σημειώνει ότι η αύξηση αυτή αφορούσε κυρίως προσαρμογές των μισθών που προβλέπονταν για το 2023·</w:t>
            </w:r>
          </w:p>
        </w:tc>
        <w:tc>
          <w:tcPr>
            <w:tcW w:w="4876" w:type="dxa"/>
            <w:tcBorders>
              <w:top w:val="nil"/>
              <w:left w:val="nil"/>
              <w:bottom w:val="nil"/>
              <w:right w:val="nil"/>
            </w:tcBorders>
          </w:tcPr>
          <w:p>
            <w:pPr>
              <w:pStyle w:val="Normal6a"/>
            </w:pPr>
            <w:r>
              <w:t>5.</w:t>
            </w:r>
            <w:r>
              <w:tab/>
            </w:r>
            <w:r>
              <w:t xml:space="preserve">σημειώνει ότι ο προϋπολογισμός που διατέθηκε για το ΔΕΕ το </w:t>
            </w:r>
            <w:r>
              <w:rPr>
                <w:b/>
                <w:i/>
              </w:rPr>
              <w:t>2023</w:t>
            </w:r>
            <w:r>
              <w:t xml:space="preserve"> ανήλθε σε </w:t>
            </w:r>
            <w:r>
              <w:rPr>
                <w:b/>
                <w:i/>
              </w:rPr>
              <w:t>486 025 796</w:t>
            </w:r>
            <w:r>
              <w:t xml:space="preserve"> EUR, ποσό που αντιπροσωπεύει αύξηση κατά </w:t>
            </w:r>
            <w:r>
              <w:rPr>
                <w:b/>
                <w:i/>
              </w:rPr>
              <w:t>3,9</w:t>
            </w:r>
            <w:r>
              <w:t> % σε σύγκριση με το 2022· σημειώνει ότι η αύξηση αυτή αφορούσε κυρίως προσαρμογές των μισθών που προβλέπονταν για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σημειώνει</w:t>
            </w:r>
            <w:r>
              <w:t xml:space="preserve"> ότι ο προϋπολογισμός αποστολών του ΔΕΕ, ο οποίος ανήλθε </w:t>
            </w:r>
            <w:r>
              <w:rPr>
                <w:b/>
                <w:i/>
              </w:rPr>
              <w:t>σε 616 000</w:t>
            </w:r>
            <w:r>
              <w:t xml:space="preserve"> EUR τόσο για το προσωπικό όσο και για τους βουλευτές το 2023, </w:t>
            </w:r>
            <w:r>
              <w:rPr>
                <w:b/>
                <w:i/>
              </w:rPr>
              <w:t>συνέχισε να μειώνεται</w:t>
            </w:r>
            <w:r>
              <w:t xml:space="preserve"> κατά 3,3 % το 2023 σε σύγκριση με το 2022· σημειώνει ότι το 85,1 % των πιστώσεων για αποστολές το 2023 χρησιμοποιήθηκε σε σύγκριση με 46,6 % το 2022 λόγω των συνεχιζόμενων ταξιδιωτικών περιορισμών που ίσχυαν εκείνη την περίοδο·</w:t>
            </w:r>
          </w:p>
        </w:tc>
        <w:tc>
          <w:tcPr>
            <w:tcW w:w="4876" w:type="dxa"/>
            <w:tcBorders>
              <w:top w:val="nil"/>
              <w:left w:val="nil"/>
              <w:bottom w:val="nil"/>
              <w:right w:val="nil"/>
            </w:tcBorders>
          </w:tcPr>
          <w:p>
            <w:pPr>
              <w:pStyle w:val="Normal6a"/>
            </w:pPr>
            <w:r>
              <w:t>9.</w:t>
            </w:r>
            <w:r>
              <w:tab/>
            </w:r>
            <w:r>
              <w:rPr>
                <w:b/>
                <w:i/>
              </w:rPr>
              <w:t>εκφράζει τη λύπη του για το γεγονός</w:t>
            </w:r>
            <w:r>
              <w:t xml:space="preserve"> ότι ο προϋπολογισμός αποστολών του ΔΕΕ, ο οποίος ανήλθε </w:t>
            </w:r>
            <w:r>
              <w:rPr>
                <w:b/>
                <w:i/>
              </w:rPr>
              <w:t>στο υπέρογκο ποσό των 616 000</w:t>
            </w:r>
            <w:r>
              <w:t xml:space="preserve"> EUR τόσο για το προσωπικό όσο και για τους βουλευτές το 2023, </w:t>
            </w:r>
            <w:r>
              <w:rPr>
                <w:b/>
                <w:i/>
              </w:rPr>
              <w:t>μειώθηκε μόλις</w:t>
            </w:r>
            <w:r>
              <w:t xml:space="preserve"> κατά 3,3 % το 2023 σε σύγκριση με το 2022· σημειώνει ότι το 85,1 % των πιστώσεων για αποστολές το 2023 χρησιμοποιήθηκε σε σύγκριση με 46,6 % το 2022 λόγω των συνεχιζόμενων ταξιδιωτικών περιορισμών που ίσχυαν εκείνη την περίοδο·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ότι ο προϋπολογισμός αποστολών του ΔΕΕ, ο οποίος ανήλθε σε </w:t>
            </w:r>
            <w:r>
              <w:rPr>
                <w:b/>
                <w:i/>
              </w:rPr>
              <w:t>616 000</w:t>
            </w:r>
            <w:r>
              <w:t xml:space="preserve"> EUR τόσο για το προσωπικό όσο και για τους βουλευτές το 2023, συνέχισε να μειώνεται κατά 3,3 % το 2023 σε σύγκριση με το 2022· σημειώνει ότι το 85,1 % των πιστώσεων για αποστολές το 2023 χρησιμοποιήθηκε σε σύγκριση με 46,6 % το 2022 λόγω των συνεχιζόμενων ταξιδιωτικών περιορισμών που ίσχυαν εκείνη την περίοδο·</w:t>
            </w:r>
          </w:p>
        </w:tc>
        <w:tc>
          <w:tcPr>
            <w:tcW w:w="4876" w:type="dxa"/>
            <w:tcBorders>
              <w:top w:val="nil"/>
              <w:left w:val="nil"/>
              <w:bottom w:val="nil"/>
              <w:right w:val="nil"/>
            </w:tcBorders>
          </w:tcPr>
          <w:p>
            <w:pPr>
              <w:pStyle w:val="Normal6a"/>
            </w:pPr>
            <w:r>
              <w:t>9.</w:t>
            </w:r>
            <w:r>
              <w:tab/>
            </w:r>
            <w:r>
              <w:t xml:space="preserve">σημειώνει ότι ο προϋπολογισμός αποστολών του ΔΕΕ, ο οποίος ανήλθε σε </w:t>
            </w:r>
            <w:r>
              <w:rPr>
                <w:b/>
                <w:i/>
              </w:rPr>
              <w:t>638 000</w:t>
            </w:r>
            <w:r>
              <w:t> EUR τόσο για το προσωπικό όσο και για τους βουλευτές το 2023, συνέχισε να μειώνεται κατά 3,3 % το 2023 σε σύγκριση με το 2022· σημειώνει ότι το 85,1 % των πιστώσεων για αποστολές το 2023 χρησιμοποιήθηκε σε σύγκριση με 46,6 % το 2022 λόγω των συνεχιζόμενων ταξιδιωτικών περιορισμών που ίσχυαν εκείνη την περίοδο·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καλεί το θεσμικό όργανο να αξιολογήσει τον τρόπο με τον οποίο έχει αποτύχει το κανονιστικό πλαίσιο του Ευρωπαϊκού Κοινοβουλίου για την αποφυγή της διαφθοράς και της απάτης, επιτρέποντας την ενεργό συμμετοχή βουλευτών του ΕΚ σε ένα δίκτυο μαφίας που εμπλέκεται στη διαφθορά και τη νομιμοποίηση εσόδων από παράνομες δραστηριότητες για αρκετά χρόνια και δίχως να γίνονται αντιληπτοί·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β.</w:t>
            </w:r>
            <w:r>
              <w:tab/>
            </w:r>
            <w:r>
              <w:rPr>
                <w:b/>
                <w:i/>
              </w:rPr>
              <w:t>καλεί το θεσμικό όργανο να αντλήσει διδάγματα και συμπεράσματα σχετικά με τους εσωτερικούς κανόνες και διαδικασίες του, λαμβάνοντας υπόψη την αναθεώρηση του Κανονισμού και του Κώδικα δεοντολογίας του Κοινοβουλίου τον Σεπτέμβριο του 2023, συνιστά ωστόσο στο θεσμικό όργανο να προτείνει περαιτέρω και ισχυρότερους τρόπους για την ενίσχυση της καταπολέμησης της απάτης και την πλήρη προστασία των οικονομικών συμφερόντων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w:t>
            </w:r>
            <w:r>
              <w:rPr>
                <w:b/>
                <w:i/>
              </w:rPr>
              <w:t>στο πλαίσιο τεσσάρων προδικαστικών αποφάσεων που εισήχθησαν από τα</w:t>
            </w:r>
            <w:r>
              <w:t xml:space="preserve"> δικαστήρια της Γερμανίας, της Ιρλανδίας, της Πολωνίας και της Ρουμανίας, και μίας υπόθεσης επί παραβάσει </w:t>
            </w:r>
            <w:r>
              <w:rPr>
                <w:b/>
                <w:i/>
              </w:rPr>
              <w:t>που αφορούσε την Πολωνία</w:t>
            </w:r>
            <w:r>
              <w:t>· τονίζει ότι η υπεροχή των εθνικών συνταγμάτων παραμένει η απόλυτη αρχή που διέπει τη σχέση μεταξύ των συνταγμάτων των κρατών μελών και του δικαίου της Ένωσης</w:t>
            </w:r>
            <w:r>
              <w:rPr>
                <w:b/>
                <w:i/>
              </w:rPr>
              <w:t>·</w:t>
            </w:r>
            <w:r>
              <w:t xml:space="preserve"> </w:t>
            </w:r>
            <w:r>
              <w:rPr>
                <w:b/>
                <w:i/>
              </w:rPr>
              <w:t>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r>
              <w:t>·</w:t>
            </w:r>
          </w:p>
        </w:tc>
        <w:tc>
          <w:tcPr>
            <w:tcW w:w="4876" w:type="dxa"/>
            <w:tcBorders>
              <w:top w:val="nil"/>
              <w:left w:val="nil"/>
              <w:bottom w:val="nil"/>
              <w:right w:val="nil"/>
            </w:tcBorders>
          </w:tcPr>
          <w:p>
            <w:pPr>
              <w:pStyle w:val="Normal6a"/>
            </w:pPr>
            <w:r>
              <w:t>11.</w:t>
            </w:r>
            <w:r>
              <w:tab/>
            </w:r>
            <w:r>
              <w:t>σημειώνει ότι, το 2023, το Δικαστήριο αποφάνθηκε επί πέντε υποθέσεων που αφορούσαν την αρχή της υπεροχής</w:t>
            </w:r>
            <w:r>
              <w:rPr>
                <w:b/>
                <w:i/>
              </w:rPr>
              <w:t>, όπως παραπέμφθηκαν από</w:t>
            </w:r>
            <w:r>
              <w:t xml:space="preserve"> δικαστήρια της Γερμανίας, της Ιρλανδίας, της Πολωνίας και της Ρουμανίας, </w:t>
            </w:r>
            <w:r>
              <w:rPr>
                <w:b/>
                <w:i/>
              </w:rPr>
              <w:t>καθώς</w:t>
            </w:r>
            <w:r>
              <w:t xml:space="preserve"> και μίας υπόθεσης επί παραβάσει </w:t>
            </w:r>
            <w:r>
              <w:rPr>
                <w:b/>
                <w:i/>
              </w:rPr>
              <w:t>κατά της Πολωνίας</w:t>
            </w:r>
            <w:r>
              <w:t xml:space="preserve">· τονίζει ότι η υπεροχή των εθνικών συνταγμάτων παραμένει η απόλυτη αρχή που διέπει τη σχέση μεταξύ των συνταγμάτων των κρατών μελών και του δικαίου της </w:t>
            </w:r>
            <w:r>
              <w:rPr>
                <w:b/>
                <w:i/>
              </w:rPr>
              <w:t>Ένωση·</w:t>
            </w:r>
            <w:r>
              <w:t xml:space="preserve"> </w:t>
            </w:r>
            <w:r>
              <w:rPr>
                <w:b/>
                <w:i/>
              </w:rPr>
              <w:t>τονίζει ότι η έννομη τάξη της Ευρωπαϊκής</w:t>
            </w:r>
            <w:r>
              <w:t xml:space="preserve"> Ένωσης </w:t>
            </w:r>
            <w:r>
              <w:rPr>
                <w:b/>
                <w:i/>
              </w:rPr>
              <w:t>δεν πρέπει να υπερισχύει των συνταγματικών διατάξεων που αποτελούν τη βάση της κυριαρχίας των κρατών μελών και ότι κάθε απόφαση του Δικαστηρίου της Ευρωπαϊκής Ένωσης (ΔΕΕ) πρέπει να σέβεται τις πολιτικές και νομικές δομές κάθε κράτους μέλους.</w:t>
            </w:r>
            <w:r>
              <w:t xml:space="preserve"> </w:t>
            </w:r>
            <w:r>
              <w:rPr>
                <w:b/>
                <w:i/>
              </w:rPr>
              <w:t>εκφράζει ιδιαίτερη ανησυχία για το γεγονός ότι ορισμένες αποφάσεις έχουν εξυπηρετήσει πολιτικούς στόχους και έχουν ερμηνευθεί με τρόπους που περιορίζουν το δικαίωμα αυτοδιάθεσης των κρατών μελών.</w:t>
            </w:r>
            <w:r>
              <w:t xml:space="preserve"> </w:t>
            </w:r>
            <w:r>
              <w:rPr>
                <w:b/>
                <w:i/>
              </w:rPr>
              <w:t>καλεί το ΔΕΕ να λάβει περισσότερο υπόψη τις κυρίαρχες συνταγματικές δομές και τις ιστορικές παραδόσεις των κρατών μελών στις αποφάσεις και τις νομικές ερμηνείες 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 Claudiu Manda, Marit Maij,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τονίζει </w:t>
            </w:r>
            <w:r>
              <w:rPr>
                <w:b/>
                <w:i/>
              </w:rPr>
              <w:t>ότι η υπεροχή των εθνικών συνταγμάτων παραμένει η απόλυτη αρχή που διέπει τη σχέση μεταξύ των συνταγμάτων των κρατών μελών και του</w:t>
            </w:r>
            <w:r>
              <w:t xml:space="preserve"> δικαίου της Ένωσης·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w:t>
            </w:r>
            <w:r>
              <w:rPr>
                <w:b/>
                <w:i/>
              </w:rPr>
              <w:t>στην Ουγγαρία</w:t>
            </w:r>
            <w:r>
              <w:t>·</w:t>
            </w:r>
          </w:p>
        </w:tc>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τονίζει </w:t>
            </w:r>
            <w:r>
              <w:rPr>
                <w:b/>
                <w:i/>
              </w:rPr>
              <w:t>τη θεμελιώδη σημασία της αρχής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w:t>
            </w:r>
            <w:r>
              <w:t xml:space="preserve"> δικαίου </w:t>
            </w:r>
            <w:r>
              <w:rPr>
                <w:b/>
                <w:i/>
              </w:rPr>
              <w:t>ως βασική αξία</w:t>
            </w:r>
            <w:r>
              <w:t xml:space="preserve"> της Ένωσης· </w:t>
            </w:r>
            <w:r>
              <w:rPr>
                <w:b/>
                <w:i/>
              </w:rPr>
              <w:t>επισημαίνει τον καίριο ρόλο του ΔΕΕ στην προάσπιση του κράτους δικαίου σε ολόκληρη την Ένωση·</w:t>
            </w:r>
            <w:r>
              <w:t xml:space="preserve">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w:t>
            </w:r>
            <w:r>
              <w:rPr>
                <w:b/>
                <w:i/>
              </w:rPr>
              <w:t>από την ουγγρική κυβέρνηση, η οποία συστηματικά υπονομεύει τις θεμελιώδεις αξίες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w:t>
            </w:r>
            <w:r>
              <w:rPr>
                <w:b/>
                <w:i/>
              </w:rPr>
              <w:t>τονίζει ότι η υπεροχή των εθνικών συνταγμάτων παραμένει η απόλυτη αρχή που διέπει τη σχέση μεταξύ των συνταγμάτων των κρατών μελών και του δικαίου της Ένωσης·</w:t>
            </w:r>
            <w:r>
              <w:t xml:space="preserve">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c>
          <w:tcPr>
            <w:tcW w:w="4876" w:type="dxa"/>
            <w:tcBorders>
              <w:top w:val="nil"/>
              <w:left w:val="nil"/>
              <w:bottom w:val="nil"/>
              <w:right w:val="nil"/>
            </w:tcBorders>
          </w:tcPr>
          <w:p>
            <w:pPr>
              <w:pStyle w:val="Normal6a"/>
            </w:pPr>
            <w:r>
              <w:t>11.</w:t>
            </w:r>
            <w:r>
              <w:tab/>
            </w:r>
            <w:r>
              <w:t>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w:t>
            </w:r>
            <w:r>
              <w:rPr>
                <w:b/>
                <w:i/>
              </w:rPr>
              <w:t>τονίζει ότι η υπεροχή των εθνικών συνταγμάτων παραμένει η απόλυτη αρχή που διέπει τη σχέση μεταξύ των συνταγμάτων των κρατών μελών και του δικαίου της Ένωσης·</w:t>
            </w:r>
            <w:r>
              <w:t xml:space="preserve">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c>
          <w:tcPr>
            <w:tcW w:w="4876" w:type="dxa"/>
            <w:tcBorders>
              <w:top w:val="nil"/>
              <w:left w:val="nil"/>
              <w:bottom w:val="nil"/>
              <w:right w:val="nil"/>
            </w:tcBorders>
          </w:tcPr>
          <w:p>
            <w:pPr>
              <w:pStyle w:val="Normal6a"/>
            </w:pPr>
            <w:r>
              <w:t>11.</w:t>
            </w:r>
            <w:r>
              <w:tab/>
            </w:r>
            <w:r>
              <w:t>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w:t>
            </w:r>
            <w:r>
              <w:rPr>
                <w:b/>
                <w:i/>
              </w:rPr>
              <w:t>τονίζει</w:t>
            </w:r>
            <w:r>
              <w:t xml:space="preserve"> ότι η υπεροχή </w:t>
            </w:r>
            <w:r>
              <w:rPr>
                <w:b/>
                <w:i/>
              </w:rPr>
              <w:t>των εθνικών συνταγμάτων παραμένει η απόλυτη αρχή που διέπει τη σχέση μεταξύ των συνταγμάτων των κρατών μελών και του δικαίου</w:t>
            </w:r>
            <w:r>
              <w:t xml:space="preserve"> της Ένωσης</w:t>
            </w:r>
            <w:r>
              <w:rPr>
                <w:b/>
                <w:i/>
              </w:rPr>
              <w:t>·</w:t>
            </w:r>
            <w:r>
              <w:t xml:space="preserve"> </w:t>
            </w:r>
            <w:r>
              <w:rPr>
                <w:b/>
                <w:i/>
              </w:rPr>
              <w:t>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r>
              <w:t>·</w:t>
            </w:r>
          </w:p>
        </w:tc>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w:t>
            </w:r>
            <w:r>
              <w:rPr>
                <w:b/>
                <w:i/>
              </w:rPr>
              <w:t>Επαναβεβαιώνει σθεναρά</w:t>
            </w:r>
            <w:r>
              <w:t xml:space="preserve"> ότι η υπεροχή </w:t>
            </w:r>
            <w:r>
              <w:rPr>
                <w:b/>
                <w:i/>
              </w:rPr>
              <w:t>του δικαίου της ΕΕ αποτελεί τον ακρογωνιαίο λίθο της έννομης τάξης</w:t>
            </w:r>
            <w:r>
              <w:t xml:space="preserve"> της Ένωσης </w:t>
            </w:r>
            <w:r>
              <w:rPr>
                <w:b/>
                <w:i/>
              </w:rPr>
              <w:t>και καλεί την Επιτροπή να λάβει αποφασιστικά μέτρα επιβολής κατά οποιουδήποτε κράτους μέλους που αμφισβητεί ή αγνοεί τον δεσμευτικό χαρακτήρα των αποφάσεων του ΔΕΕ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τονίζει ότι η </w:t>
            </w:r>
            <w:r>
              <w:rPr>
                <w:b/>
                <w:i/>
              </w:rPr>
              <w:t>υπεροχή των εθνικών συνταγμάτων παραμένει η απόλυτη αρχή που διέπει τη σχέση μεταξύ των συνταγμάτων των κρατών μελών και του δικαίου της Ένωσης</w:t>
            </w:r>
            <w:r>
              <w:t>·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c>
          <w:tcPr>
            <w:tcW w:w="4876" w:type="dxa"/>
            <w:tcBorders>
              <w:top w:val="nil"/>
              <w:left w:val="nil"/>
              <w:bottom w:val="nil"/>
              <w:right w:val="nil"/>
            </w:tcBorders>
          </w:tcPr>
          <w:p>
            <w:pPr>
              <w:pStyle w:val="Normal6a"/>
            </w:pPr>
            <w:r>
              <w:t>11.</w:t>
            </w:r>
            <w:r>
              <w:tab/>
            </w:r>
            <w:r>
              <w:t xml:space="preserve">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τονίζει ότι η </w:t>
            </w:r>
            <w:r>
              <w:rPr>
                <w:b/>
                <w:i/>
              </w:rPr>
              <w:t>αρχή της υπεροχής του δικαίου της ΕΕ ακόμη και έναντι των θεμελιωδών δικαιωμάτων που κατοχυρώνονται στα εθνικά συντάγματα αποτελεί ευρέως αναγνωρισμένο δόγμα από την απόφαση του Δικαστηρίου στην υπόθεση 11-70 (Internationale Handelsgesellschaft)</w:t>
            </w:r>
            <w:r>
              <w:t>·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στην Ουγγαρία·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καταδικάζει κάθε εθνικό μέτρο ή νομοθετική δράση που επιδιώκει να υπονομεύσει την κωδικοποίηση και την εκτέλεση των αποφάσεων του ΔΕΕ·</w:t>
            </w:r>
            <w:r>
              <w:t xml:space="preserve"> </w:t>
            </w:r>
            <w:r>
              <w:rPr>
                <w:b/>
                <w:i/>
              </w:rPr>
              <w:t>ζητεί τη θέσπιση επίσημου μηχανισμού παρακολούθησης για την παρακολούθηση της συμμόρφωσης των κρατών μελών με τις αποφάσεις του ΔΕΕ και συνιστά τη σύνδεση της συμμόρφωσης με την εκταμίευση της χρηματοδότησης της ΕΕ στο πλαίσιο της αιρεσιμότητας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σημειώνει ότι η μέση διάρκεια των διαδικασιών για τις υποθέσεις που περατώθηκαν από το Δικαστήριο το 2023 ήταν 16,1 μήνες, σε σύγκριση με 16,4 μήνες το 2022· σημειώνει ότι η μέση διάρκεια για τις υποθέσεις που περατώθηκαν από το Γενικό Δικαστήριο ήταν 18,2 μήνες, σε σύγκριση με 16,2 μήνες το 2022, γεγονός που σύμφωνα με το Γενικό Δικαστήριο οφείλεται στη φύση και τη σχετική πολυπλοκότητα των διαδικασιών που διαχειρίστηκε το 2023·</w:t>
            </w:r>
          </w:p>
        </w:tc>
        <w:tc>
          <w:tcPr>
            <w:tcW w:w="4876" w:type="dxa"/>
            <w:tcBorders>
              <w:top w:val="nil"/>
              <w:left w:val="nil"/>
              <w:bottom w:val="nil"/>
              <w:right w:val="nil"/>
            </w:tcBorders>
          </w:tcPr>
          <w:p>
            <w:pPr>
              <w:pStyle w:val="Normal6a"/>
            </w:pPr>
            <w:r>
              <w:t>14.</w:t>
            </w:r>
            <w:r>
              <w:tab/>
            </w:r>
            <w:r>
              <w:t xml:space="preserve">σημειώνει ότι η μέση διάρκεια των διαδικασιών για τις υποθέσεις που περατώθηκαν από το Δικαστήριο το 2023 ήταν 16,1 μήνες, σε σύγκριση με 16,4 μήνες το 2022· </w:t>
            </w:r>
            <w:r>
              <w:rPr>
                <w:b/>
                <w:i/>
              </w:rPr>
              <w:t>εκφράζει την ικανοποίησή του για το γεγονός ότι η μέση διάρκεια των διαδικασιών για τις υποθέσεις που παραπέμπονται στο Δικαστήριο μειώθηκε σε σύγκριση με το προηγούμενο έτος·</w:t>
            </w:r>
            <w:r>
              <w:t xml:space="preserve"> σημειώνει ότι η μέση διάρκεια για τις υποθέσεις που περατώθηκαν από το Γενικό Δικαστήριο ήταν 18,2 μήνες, σε σύγκριση με 16,2 μήνες το 2022, γεγονός που σύμφωνα με το Γενικό Δικαστήριο οφείλεται στη φύση και τη σχετική πολυπλοκότητα των διαδικασιών που διαχειρίστηκε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σημειώνει</w:t>
            </w:r>
            <w:r>
              <w:t xml:space="preserve"> ότι η μέση διάρκεια των διαδικασιών για τις υποθέσεις που περατώθηκαν από το Δικαστήριο το 2023 ήταν 16,1 μήνες, σε σύγκριση με 16,4 μήνες το 2022· σημειώνει ότι η μέση διάρκεια για τις υποθέσεις που περατώθηκαν από το Γενικό Δικαστήριο ήταν 18,2 μήνες, σε σύγκριση με 16,2 μήνες το 2022, γεγονός που σύμφωνα με το Γενικό Δικαστήριο οφείλεται στη φύση και τη σχετική πολυπλοκότητα των διαδικασιών που διαχειρίστηκε το 2023·</w:t>
            </w:r>
          </w:p>
        </w:tc>
        <w:tc>
          <w:tcPr>
            <w:tcW w:w="4876" w:type="dxa"/>
            <w:tcBorders>
              <w:top w:val="nil"/>
              <w:left w:val="nil"/>
              <w:bottom w:val="nil"/>
              <w:right w:val="nil"/>
            </w:tcBorders>
          </w:tcPr>
          <w:p>
            <w:pPr>
              <w:pStyle w:val="Normal6a"/>
            </w:pPr>
            <w:r>
              <w:t>14.</w:t>
            </w:r>
            <w:r>
              <w:tab/>
            </w:r>
            <w:r>
              <w:rPr>
                <w:b/>
                <w:i/>
              </w:rPr>
              <w:t>εκφράζει την ικανοποίησή του για το γεγονός</w:t>
            </w:r>
            <w:r>
              <w:t xml:space="preserve"> ότι η μέση διάρκεια των διαδικασιών για τις υποθέσεις που περατώθηκαν από το Δικαστήριο το 2023 ήταν 16,1 μήνες, σε σύγκριση με 16,4 μήνες το 2022· σημειώνει ότι η μέση διάρκεια για τις υποθέσεις που περατώθηκαν από το Γενικό Δικαστήριο ήταν 18,2 μήνες, σε σύγκριση με 16,2 μήνες το 2022, γεγονός που σύμφωνα με το Γενικό Δικαστήριο οφείλεται στη φύση και τη σχετική πολυπλοκότητα των διαδικασιών που διαχειρίστηκε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εκφράζει την ικανοποίησή του για την προσέγγιση βάσει επιδόσεων που ανέπτυξε το ΔΕΕ, η οποία επιτρέπει στο ΔΕΕ να λαμβάνει αποφάσεις με βάση το επίπεδο επίτευξης των στόχων του, το οποίο μετράται μέσω ενός συνόλου δεικτών φόρτου εργασίας και επιχειρησιακών δεικτών·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του ΔΕΕ, την ψηφιοποίηση και τις αναδυόμενες τεχνολογίες, τον ανοικτό χαρακτήρα και τη διαφάνεια, την πολυγλωσσία και τη διαχείριση των ανθρώπινων πόρων·</w:t>
            </w:r>
          </w:p>
        </w:tc>
        <w:tc>
          <w:tcPr>
            <w:tcW w:w="4876" w:type="dxa"/>
            <w:tcBorders>
              <w:top w:val="nil"/>
              <w:left w:val="nil"/>
              <w:bottom w:val="nil"/>
              <w:right w:val="nil"/>
            </w:tcBorders>
          </w:tcPr>
          <w:p>
            <w:pPr>
              <w:pStyle w:val="Normal6a"/>
            </w:pPr>
            <w:r>
              <w:t>15.</w:t>
            </w:r>
            <w:r>
              <w:tab/>
            </w:r>
            <w:r>
              <w:t xml:space="preserve">εκφράζει την ικανοποίησή του για την προσέγγιση βάσει επιδόσεων που ανέπτυξε το ΔΕΕ, η οποία επιτρέπει στο ΔΕΕ να λαμβάνει αποφάσεις με βάση </w:t>
            </w:r>
            <w:r>
              <w:rPr>
                <w:b/>
                <w:i/>
              </w:rPr>
              <w:t>τα αποτελέσματα επιδόσεων και</w:t>
            </w:r>
            <w:r>
              <w:t xml:space="preserve"> το επίπεδο επίτευξης των στόχων του, το οποίο μετράται μέσω ενός συνόλου δεικτών φόρτου εργασίας και επιχειρησιακών δεικτών·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του ΔΕΕ, την ψηφιοποίηση και τις αναδυόμενες τεχνολογίες, τον ανοικτό χαρακτήρα και τη διαφάνεια, την πολυγλωσσία και τη διαχείριση των ανθρώπινων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α.</w:t>
            </w:r>
            <w:r>
              <w:tab/>
            </w:r>
            <w:r>
              <w:rPr>
                <w:b/>
                <w:i/>
              </w:rPr>
              <w:t>υπενθυμίζει τη Συνθήκη για την Ευρωπαϊκή Ένωση, καθώς και ότι η ΕΕ και τα θεσμικά της όργανα προωθούν την αλληλεγγύη και την ισότητα μεταξύ γυναικών και ανδρών·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επαναλαμβάνει το αίτημά του προς το Συμβούλιο να επανεξετάσει τη διαδικασία διορισμού με στόχο την αντιμετώπιση αυτού του προβλήματος με συγκεκριμένες δράσεις, όπως το να καταστεί υποχρεωτική για τα κράτη μέλη η υποβολή τουλάχιστον δύο υποψηφίων διαφορετικού φύλου για κάθε κενή θέση·</w:t>
            </w:r>
          </w:p>
        </w:tc>
        <w:tc>
          <w:tcPr>
            <w:tcW w:w="4876" w:type="dxa"/>
            <w:tcBorders>
              <w:top w:val="nil"/>
              <w:left w:val="nil"/>
              <w:bottom w:val="nil"/>
              <w:right w:val="nil"/>
            </w:tcBorders>
          </w:tcPr>
          <w:p>
            <w:pPr>
              <w:pStyle w:val="Normal6a"/>
            </w:pPr>
            <w:r>
              <w:t>20.</w:t>
            </w:r>
            <w:r>
              <w:tab/>
            </w:r>
            <w:r>
              <w:t xml:space="preserve">σημειώνει </w:t>
            </w:r>
            <w:r>
              <w:rPr>
                <w:b/>
                <w:i/>
              </w:rPr>
              <w:t>με ανησυχία</w:t>
            </w:r>
            <w:r>
              <w:t xml:space="preserve">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επαναλαμβάνει το αίτημά του προς το Συμβούλιο να επανεξετάσει τη διαδικασία διορισμού με στόχο την αντιμετώπιση αυτού του προβλήματος με συγκεκριμένες δράσεις, όπως το να καταστεί υποχρεωτική για τα κράτη μέλη η υποβολή τουλάχιστον δύο υποψηφίων διαφορετικού φύλου για κάθε κενή θέση· </w:t>
            </w:r>
            <w:r>
              <w:rPr>
                <w:b/>
                <w:i/>
              </w:rPr>
              <w:t>καλεί τα κράτη μέλη να λαμβάνουν υπόψη την ανάγκη για ισόρροπη εκπροσώπηση των φύλων κατά τον ορισμό υποψηφίων για την αντικατάσταση δικαστών·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σημειώνει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w:t>
            </w:r>
            <w:r>
              <w:rPr>
                <w:b/>
                <w:i/>
              </w:rPr>
              <w:t>επαναλαμβάνει το αίτημά του προς</w:t>
            </w:r>
            <w:r>
              <w:t xml:space="preserve"> το Συμβούλιο να </w:t>
            </w:r>
            <w:r>
              <w:rPr>
                <w:b/>
                <w:i/>
              </w:rPr>
              <w:t>επανεξετάσει τη διαδικασία διορισμού με στόχο την αντιμετώπιση αυτού του προβλήματος με συγκεκριμένες δράσεις, όπως το</w:t>
            </w:r>
            <w:r>
              <w:t xml:space="preserve"> να καταστεί υποχρεωτική για τα κράτη μέλη η υποβολή τουλάχιστον δύο υποψηφίων διαφορετικού φύλου για κάθε κενή θέση·</w:t>
            </w:r>
          </w:p>
        </w:tc>
        <w:tc>
          <w:tcPr>
            <w:tcW w:w="4876" w:type="dxa"/>
            <w:tcBorders>
              <w:top w:val="nil"/>
              <w:left w:val="nil"/>
              <w:bottom w:val="nil"/>
              <w:right w:val="nil"/>
            </w:tcBorders>
          </w:tcPr>
          <w:p>
            <w:pPr>
              <w:pStyle w:val="Normal6a"/>
            </w:pPr>
            <w:r>
              <w:t>20.</w:t>
            </w:r>
            <w:r>
              <w:tab/>
            </w:r>
            <w:r>
              <w:t xml:space="preserve">σημειώνει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w:t>
            </w:r>
            <w:r>
              <w:rPr>
                <w:b/>
                <w:i/>
              </w:rPr>
              <w:t>καλεί</w:t>
            </w:r>
            <w:r>
              <w:t xml:space="preserve"> το Συμβούλιο να </w:t>
            </w:r>
            <w:r>
              <w:rPr>
                <w:b/>
                <w:i/>
              </w:rPr>
              <w:t>θεσπίσει έναν υποχρεωτικό κανόνα ισότητας των φύλων με στόχο</w:t>
            </w:r>
            <w:r>
              <w:t xml:space="preserve"> να καταστεί υποχρεωτική για τα κράτη μέλη η υποβολή τουλάχιστον δύο υποψηφίων διαφορετικού φύλου για κάθε κενή θέση·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εκφράζει την ικανοποίησή του για τις λεπτομερείς απαντήσεις του ΔΕΕ στο ερωτηματολόγιο της Επιτροπής Ελέγχου του Προϋπολογισμού του Κοινοβουλίου, που παρασχέθηκε στο πλαίσιο της τρέχουσας διαδικασίας απαλλαγής, ιδίως όσον αφορά την κατανομή του προσωπικού στο τέλος του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ότι, το 2023, το προσωπικό του ΔΕΕ αποτελούνταν κατά 61,27 % από γυναίκες και κατά 38,73 % από άνδρες· σημειώνει ότι η εκπροσώπηση των γυναικών ήταν η υψηλότερη στους βαθμούς των βοηθών, ενώ ήταν η χαμηλότερη στις ανώτερες διευθυντικές θέσεις, με 43,75 % γυναίκες και 56,25 % άνδρες· εκφράζει την ικανοποίησή του για τις προσπάθειες που καταβάλλει το ΔΕΕ υπέρ της ισότητας, της ένταξης και της πολυμορφίας, ιδίως στο στάδιο των προσλήψεων·</w:t>
            </w:r>
          </w:p>
        </w:tc>
        <w:tc>
          <w:tcPr>
            <w:tcW w:w="4876" w:type="dxa"/>
            <w:tcBorders>
              <w:top w:val="nil"/>
              <w:left w:val="nil"/>
              <w:bottom w:val="nil"/>
              <w:right w:val="nil"/>
            </w:tcBorders>
          </w:tcPr>
          <w:p>
            <w:pPr>
              <w:pStyle w:val="Normal6a"/>
            </w:pPr>
            <w:r>
              <w:t>21.</w:t>
            </w:r>
            <w:r>
              <w:tab/>
            </w:r>
            <w:r>
              <w:t xml:space="preserve">σημειώνει ότι, το 2023, το προσωπικό του ΔΕΕ αποτελούνταν κατά 61,27 % από γυναίκες και κατά 38,73 % από άνδρες· σημειώνει ότι η εκπροσώπηση των γυναικών ήταν η υψηλότερη στους βαθμούς των βοηθών, ενώ ήταν η χαμηλότερη στις ανώτερες διευθυντικές θέσεις, με 43,75 % γυναίκες και 56,25 % άνδρες· </w:t>
            </w:r>
            <w:r>
              <w:rPr>
                <w:b/>
                <w:i/>
              </w:rPr>
              <w:t>καλεί το ΔΕΕ να διασφαλίσει μεγαλύτερη εκπροσώπηση των γυναικών σε ανώτερες διευθυντικές θέσεις και να λάβει περαιτέρω μέτρα για την προώθηση της ισόρροπης εκπροσώπησης των φύλων σε όλα τα επίπεδα·</w:t>
            </w:r>
            <w:r>
              <w:t xml:space="preserve"> εκφράζει την ικανοποίησή του για τις προσπάθειες που καταβάλλει το ΔΕΕ υπέρ της ισότητας, της ένταξης και της πολυμορφίας, ιδίως στο στάδιο των προσλήψεων·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α.</w:t>
            </w:r>
            <w:r>
              <w:tab/>
            </w:r>
            <w:r>
              <w:rPr>
                <w:b/>
                <w:i/>
              </w:rPr>
              <w:t>καλεί το ΔΕΕ να δημοσιεύει ετήσια έκθεση για την ισότητα των φύλων και τη διαφορετικότητα, η οποία θα παρέχει διαφάνεια όσον αφορά την εκπροσώπηση των φύλων σε όλα τα επίπεδα του θεσμικού οργάνου, συμπεριλαμβανομένων των δικαστών, των γενικών εισαγγελέων και του διοικητικού προσωπικού, καθώς και να προβλέπει συγκεκριμένα μέτρα για τη βελτίωση της ισότητας των φύλων στις ανώτερες θέσεις·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εκφράζει την ικανοποίησή του για το γεγονός ότι όλες οι εθνικότητες της Ένωσης εκπροσωπούνται στο προσωπικό του ΔΕΕ, αλλά σημειώνει ότι ορισμένες εθνικότητες εκπροσωπούνται περισσότερο από άλλες· σημειώνει ότι, το 2023, το ΔΕΕ συνέχισε τις προσπάθειές του για την προώθηση καλύτερης γεωγραφικής ισορροπίας μεταξύ του προσωπικού του, ιδίως με την προώθηση της προβολής και της ελκυστικότητας των κενών θέσεων εργασίας του, τη δημιουργία και την προσφορά ευνοϊκότερων συνθηκών εργασίας για την προσέλκυση έκτακτων υπαλλήλων από ορισμένα λιγότερο εκπροσωπούμενα κράτη μέλη και την ευρεία επικοινωνία σε ποικίλα ακροατήρια σχετικά με τις ευκαιρίες απασχόλησης στο ΔΕΕ· σημειώνει ότι καταβλήθηκε σημαντική προσπάθεια για την προσέλκυση πολλών ταλαντούχων νέων από διαφορετικά κράτη μέλη μέσω του προγράμματος πρακτικής άσκησης του ΔΕΕ·</w:t>
            </w:r>
          </w:p>
        </w:tc>
        <w:tc>
          <w:tcPr>
            <w:tcW w:w="4876" w:type="dxa"/>
            <w:tcBorders>
              <w:top w:val="nil"/>
              <w:left w:val="nil"/>
              <w:bottom w:val="nil"/>
              <w:right w:val="nil"/>
            </w:tcBorders>
          </w:tcPr>
          <w:p>
            <w:pPr>
              <w:pStyle w:val="Normal6a"/>
            </w:pPr>
            <w:r>
              <w:t>22.</w:t>
            </w:r>
            <w:r>
              <w:tab/>
            </w:r>
            <w:r>
              <w:t xml:space="preserve">εκφράζει την ικανοποίησή του για το γεγονός ότι όλες οι εθνικότητες της Ένωσης εκπροσωπούνται στο προσωπικό του ΔΕΕ, αλλά σημειώνει ότι ορισμένες εθνικότητες εκπροσωπούνται περισσότερο από άλλες· σημειώνει ότι, το 2023, το ΔΕΕ συνέχισε τις προσπάθειές του για την προώθηση καλύτερης γεωγραφικής ισορροπίας μεταξύ του προσωπικού του, ιδίως με την προώθηση της προβολής και της ελκυστικότητας των κενών θέσεων εργασίας του, τη δημιουργία και την προσφορά ευνοϊκότερων συνθηκών εργασίας για την προσέλκυση έκτακτων υπαλλήλων από ορισμένα λιγότερο εκπροσωπούμενα κράτη μέλη και την ευρεία επικοινωνία σε ποικίλα ακροατήρια σχετικά με τις ευκαιρίες απασχόλησης στο ΔΕΕ· σημειώνει ότι καταβλήθηκε σημαντική προσπάθεια για την προσέλκυση πολλών ταλαντούχων νέων από διαφορετικά κράτη μέλη μέσω του προγράμματος πρακτικής άσκησης του ΔΕΕ· </w:t>
            </w:r>
            <w:r>
              <w:rPr>
                <w:b/>
                <w:i/>
              </w:rPr>
              <w:t>καλεί το ΔΕΕ να εξετάσει κατά πόσον οι ασκούμενοι εκπροσωπούνται αναλογικά από όλα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εκφράζει την ικανοποίησή του για το γεγονός ότι όλες οι εθνικότητες της Ένωσης εκπροσωπούνται στο προσωπικό του ΔΕΕ, αλλά σημειώνει ότι ορισμένες εθνικότητες εκπροσωπούνται περισσότερο από άλλες· </w:t>
            </w:r>
            <w:r>
              <w:rPr>
                <w:b/>
                <w:i/>
              </w:rPr>
              <w:t>σημειώνει</w:t>
            </w:r>
            <w:r>
              <w:t xml:space="preserve"> ότι, το 2023, το ΔΕΕ συνέχισε τις προσπάθειές του για την προώθηση καλύτερης γεωγραφικής ισορροπίας μεταξύ του προσωπικού του, ιδίως με την προώθηση της προβολής και της ελκυστικότητας των κενών θέσεων εργασίας του, τη δημιουργία και την προσφορά ευνοϊκότερων συνθηκών εργασίας για την προσέλκυση έκτακτων υπαλλήλων από ορισμένα λιγότερο εκπροσωπούμενα κράτη μέλη και την ευρεία επικοινωνία σε ποικίλα ακροατήρια σχετικά με τις ευκαιρίες απασχόλησης στο ΔΕΕ· σημειώνει ότι καταβλήθηκε σημαντική προσπάθεια για την προσέλκυση πολλών ταλαντούχων νέων από διαφορετικά κράτη μέλη μέσω του προγράμματος πρακτικής άσκησης του ΔΕΕ·</w:t>
            </w:r>
          </w:p>
        </w:tc>
        <w:tc>
          <w:tcPr>
            <w:tcW w:w="4876" w:type="dxa"/>
            <w:tcBorders>
              <w:top w:val="nil"/>
              <w:left w:val="nil"/>
              <w:bottom w:val="nil"/>
              <w:right w:val="nil"/>
            </w:tcBorders>
          </w:tcPr>
          <w:p>
            <w:pPr>
              <w:pStyle w:val="Normal6a"/>
            </w:pPr>
            <w:r>
              <w:t>22.</w:t>
            </w:r>
            <w:r>
              <w:tab/>
            </w:r>
            <w:r>
              <w:t xml:space="preserve">εκφράζει την ικανοποίησή του για το γεγονός ότι όλες οι εθνικότητες της Ένωσης εκπροσωπούνται στο προσωπικό του ΔΕΕ, αλλά σημειώνει ότι ορισμένες εθνικότητες εκπροσωπούνται περισσότερο από άλλες· </w:t>
            </w:r>
            <w:r>
              <w:rPr>
                <w:b/>
                <w:i/>
              </w:rPr>
              <w:t>εκφράζει την ικανοποίησή του για το γεγονός</w:t>
            </w:r>
            <w:r>
              <w:t xml:space="preserve"> ότι, το 2023, το ΔΕΕ συνέχισε τις προσπάθειές του για την προώθηση καλύτερης γεωγραφικής ισορροπίας μεταξύ του προσωπικού του, ιδίως με την προώθηση της προβολής και της ελκυστικότητας των κενών θέσεων εργασίας του, τη δημιουργία και την προσφορά ευνοϊκότερων συνθηκών εργασίας για την προσέλκυση έκτακτων υπαλλήλων από ορισμένα λιγότερο εκπροσωπούμενα κράτη μέλη και την ευρεία επικοινωνία σε ποικίλα ακροατήρια σχετικά με τις ευκαιρίες απασχόλησης στο ΔΕΕ· σημειώνει ότι καταβλήθηκε σημαντική προσπάθεια για την προσέλκυση πολλών ταλαντούχων νέων από διαφορετικά κράτη μέλη μέσω του προγράμματος πρακτικής άσκησης του ΔΕΕ·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α.</w:t>
            </w:r>
            <w:r>
              <w:tab/>
            </w:r>
            <w:r>
              <w:rPr>
                <w:b/>
                <w:i/>
              </w:rPr>
              <w:t>καλεί το ΔΕΕ να προωθήσει ένα πολυγλωσσικό εργασιακό περιβάλλον, αναγνωρίζοντας τις δυνατότητές του να ενισχύσει τη δίκαιη κατανομή των εθνικοτήτων μεταξύ του προσωπικού του·</w:t>
            </w:r>
            <w:r>
              <w:t xml:space="preserve"> </w:t>
            </w:r>
            <w:r>
              <w:rPr>
                <w:b/>
                <w:i/>
              </w:rPr>
              <w:t>καλεί όλα τα θεσμικά όργανα της ΕΕ να τηρούν και να διασφαλίζουν την αρχή της πολυγλωσσίας·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εκφράζει την ικανοποίησή του για το έργο που επιτελέστηκε στο πλαίσιο της Διοργανικής Ομάδας Υψηλού Επιπέδου για την ενίσχυση της ελκυστικότητας του Λουξεμβούργου ως τόπου εργασίας για το προσωπικό· σημειώνει ότι η αρμόδια για τον προϋπολογισμό αρχή ενέκρινε για το οικονομικό έτος 2025 τις αναγκαίες πιστώσεις προκειμένου να καταστεί δυνατή η χορήγηση επιδόματος στέγασης σε υπαλλήλους χαμηλότερων βαθμών, όπως συνέστησε η Διοργανική Ομάδα Υψηλού Επιπέδου· ζητεί να ενημερωθεί το Κοινοβούλιο σχετικά με την πρόοδο των εν λόγω πρωτοβουλιών που αποσκοπούν στη βελτίωση της ελκυστικότητας του Λουξεμβούργου ως τόπου εργασίας·</w:t>
            </w:r>
          </w:p>
        </w:tc>
        <w:tc>
          <w:tcPr>
            <w:tcW w:w="4876" w:type="dxa"/>
            <w:tcBorders>
              <w:top w:val="nil"/>
              <w:left w:val="nil"/>
              <w:bottom w:val="nil"/>
              <w:right w:val="nil"/>
            </w:tcBorders>
          </w:tcPr>
          <w:p>
            <w:pPr>
              <w:pStyle w:val="Normal6a"/>
            </w:pPr>
            <w:r>
              <w:t>23.</w:t>
            </w:r>
            <w:r>
              <w:tab/>
            </w:r>
            <w:r>
              <w:t xml:space="preserve">εκφράζει την ικανοποίησή του για το έργο που επιτελέστηκε στο πλαίσιο της Διοργανικής Ομάδας Υψηλού Επιπέδου για την ενίσχυση της ελκυστικότητας του Λουξεμβούργου ως τόπου εργασίας για το προσωπικό· </w:t>
            </w:r>
            <w:r>
              <w:rPr>
                <w:b/>
                <w:i/>
              </w:rPr>
              <w:t>καλεί το ΔΕΕ να διατηρήσει και να ενισχύσει τη συνεργασία με άλλα θεσμικά όργανα που εδρεύουν στο Λουξεμβούργο σε διάφορες πρωτοβουλίες·</w:t>
            </w:r>
            <w:r>
              <w:t xml:space="preserve"> σημειώνει </w:t>
            </w:r>
            <w:r>
              <w:rPr>
                <w:b/>
                <w:i/>
              </w:rPr>
              <w:t>με εκτίμηση</w:t>
            </w:r>
            <w:r>
              <w:t xml:space="preserve"> ότι η αρμόδια για τον προϋπολογισμό αρχή ενέκρινε για το οικονομικό έτος 2025 τις αναγκαίες πιστώσεις προκειμένου να καταστεί δυνατή η χορήγηση επιδόματος στέγασης σε υπαλλήλους χαμηλότερων βαθμών, όπως συνέστησε η Διοργανική Ομάδα Υψηλού Επιπέδου· ζητεί να ενημερωθεί το Κοινοβούλιο σχετικά με την πρόοδο των εν λόγω πρωτοβουλιών που αποσκοπούν στη βελτίωση της ελκυστικότητας του Λουξεμβούργου ως τόπου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α.</w:t>
            </w:r>
            <w:r>
              <w:tab/>
            </w:r>
            <w:r>
              <w:rPr>
                <w:b/>
                <w:i/>
              </w:rPr>
              <w:t>εκφράζει την ικανοποίησή του για τις συνεχιζόμενες εκστρατείες ευαισθητοποίησης, ενημέρωσης και κατάρτισης που αποσκοπούν στην προώθηση της ένταξης, του αμοιβαίου σεβασμού, της συνεργασίας και της στήριξης των ατόμων με αναπηρία και των βοηθών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σημειώνει ότι ο αριθμός των εργάσιμων ημερών αναρρωτικής άδειας ήταν </w:t>
            </w:r>
            <w:r>
              <w:rPr>
                <w:b/>
                <w:i/>
              </w:rPr>
              <w:t>20 198</w:t>
            </w:r>
            <w:r>
              <w:t xml:space="preserve"> το 2023, αριθμός που αντιστοιχεί σε μείωση κατά 14,78 % σε σύγκριση με το 2022· σημειώνει με ανησυχία ότι η ιατρική υπηρεσία ανέφερε 11 κρούσματα επαγγελματικής εξουθένωσης το 2023· </w:t>
            </w:r>
            <w:r>
              <w:rPr>
                <w:b/>
                <w:i/>
              </w:rPr>
              <w:t>σημειώνει</w:t>
            </w:r>
            <w:r>
              <w:t xml:space="preserve"> ότι το ΔΕΕ έχει προβεί σε ενδελεχή ανάλυση των διαγνωστικών εκθέσεων για τον εντοπισμό περιπτώσεων επαγγελματικής εξουθένωσης και έχει δώσει έμφαση σε προληπτικά μέτρα, ιδίως στην ενίσχυση της ομάδας των ιατρικών και κοινωνικών λειτουργών του, στην πρόληψη των ψυχοκοινωνικών κινδύνων στον χώρο εργασίας και </w:t>
            </w:r>
            <w:r>
              <w:rPr>
                <w:b/>
                <w:i/>
              </w:rPr>
              <w:t>σε δραστηριότητες</w:t>
            </w:r>
            <w:r>
              <w:t xml:space="preserve"> ευαισθητοποίησης· ενθαρρύνει το ΔΕΕ να συνεχίσει να εστιάζει στο πρόβλημα αυτό, προκειμένου να αποφευχθούν περαιτέρω υποθέσεις που σχετίζονται με επαγγελματική εξουθένωση·</w:t>
            </w:r>
          </w:p>
        </w:tc>
        <w:tc>
          <w:tcPr>
            <w:tcW w:w="4876" w:type="dxa"/>
            <w:tcBorders>
              <w:top w:val="nil"/>
              <w:left w:val="nil"/>
              <w:bottom w:val="nil"/>
              <w:right w:val="nil"/>
            </w:tcBorders>
          </w:tcPr>
          <w:p>
            <w:pPr>
              <w:pStyle w:val="Normal6a"/>
            </w:pPr>
            <w:r>
              <w:t>25.</w:t>
            </w:r>
            <w:r>
              <w:tab/>
            </w:r>
            <w:r>
              <w:t xml:space="preserve">σημειώνει ότι ο αριθμός των εργάσιμων ημερών αναρρωτικής άδειας ήταν </w:t>
            </w:r>
            <w:r>
              <w:rPr>
                <w:b/>
                <w:i/>
              </w:rPr>
              <w:t>20 198</w:t>
            </w:r>
            <w:r>
              <w:t xml:space="preserve"> το 2023, αριθμός που αντιστοιχεί σε μείωση κατά 14,78 % σε σύγκριση με το 2022· σημειώνει με ανησυχία ότι η ιατρική υπηρεσία ανέφερε 11 κρούσματα επαγγελματικής εξουθένωσης το 2023· </w:t>
            </w:r>
            <w:r>
              <w:rPr>
                <w:b/>
                <w:i/>
              </w:rPr>
              <w:t>εκφράζει την ικανοποίησή του για το γεγονός</w:t>
            </w:r>
            <w:r>
              <w:t xml:space="preserve"> ότι το ΔΕΕ έχει προβεί σε ενδελεχή ανάλυση των διαγνωστικών εκθέσεων για τον εντοπισμό περιπτώσεων επαγγελματικής εξουθένωσης και έχει δώσει έμφαση σε προληπτικά μέτρα, ιδίως στην ενίσχυση της ομάδας των ιατρικών και κοινωνικών λειτουργών του, στην πρόληψη των ψυχοκοινωνικών κινδύνων στον χώρο εργασίας και </w:t>
            </w:r>
            <w:r>
              <w:rPr>
                <w:b/>
                <w:i/>
              </w:rPr>
              <w:t>στην καθιέρωση δραστηριοτήτων</w:t>
            </w:r>
            <w:r>
              <w:t xml:space="preserve"> ευαισθητοποίησης </w:t>
            </w:r>
            <w:r>
              <w:rPr>
                <w:b/>
                <w:i/>
              </w:rPr>
              <w:t>της διοίκησης σχετικά με το δικαίωμα στην αποσύνδεση και τους κινδύνους των υπερεπιδόσεων</w:t>
            </w:r>
            <w:r>
              <w:t>· ενθαρρύνει το ΔΕΕ να συνεχίσει να εστιάζει στο πρόβλημα αυτό, προκειμένου να αποφευχθούν περαιτέρω υποθέσεις που σχετίζονται με επαγγελματική εξουθένωση·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σημειώνει ότι ο αριθμός των εργάσιμων ημερών αναρρωτικής άδειας ήταν </w:t>
            </w:r>
            <w:r>
              <w:rPr>
                <w:b/>
                <w:i/>
              </w:rPr>
              <w:t>20 198</w:t>
            </w:r>
            <w:r>
              <w:t xml:space="preserve"> το 2023, αριθμός που αντιστοιχεί σε μείωση κατά 14,78 % σε σύγκριση με το 2022· σημειώνει με ανησυχία ότι η ιατρική υπηρεσία ανέφερε 11 κρούσματα επαγγελματικής εξουθένωσης το 2023· σημειώνει ότι το ΔΕΕ έχει προβεί σε ενδελεχή ανάλυση των διαγνωστικών εκθέσεων για τον εντοπισμό περιπτώσεων επαγγελματικής εξουθένωσης και έχει δώσει έμφαση σε προληπτικά μέτρα, ιδίως στην ενίσχυση της ομάδας των ιατρικών και κοινωνικών λειτουργών του, στην πρόληψη των ψυχοκοινωνικών κινδύνων στον χώρο εργασίας και σε δραστηριότητες ευαισθητοποίησης· ενθαρρύνει το ΔΕΕ να συνεχίσει να εστιάζει στο πρόβλημα αυτό, προκειμένου να αποφευχθούν περαιτέρω υποθέσεις που σχετίζονται με επαγγελματική εξουθένωση·</w:t>
            </w:r>
          </w:p>
        </w:tc>
        <w:tc>
          <w:tcPr>
            <w:tcW w:w="4876" w:type="dxa"/>
            <w:tcBorders>
              <w:top w:val="nil"/>
              <w:left w:val="nil"/>
              <w:bottom w:val="nil"/>
              <w:right w:val="nil"/>
            </w:tcBorders>
          </w:tcPr>
          <w:p>
            <w:pPr>
              <w:pStyle w:val="Normal6a"/>
            </w:pPr>
            <w:r>
              <w:t>25.</w:t>
            </w:r>
            <w:r>
              <w:tab/>
            </w:r>
            <w:r>
              <w:t xml:space="preserve">σημειώνει ότι ο αριθμός των εργάσιμων ημερών αναρρωτικής άδειας ήταν </w:t>
            </w:r>
            <w:r>
              <w:rPr>
                <w:b/>
                <w:i/>
              </w:rPr>
              <w:t>20 198</w:t>
            </w:r>
            <w:r>
              <w:t xml:space="preserve"> το 2023, αριθμός που αντιστοιχεί σε μείωση κατά 14,78 % σε σύγκριση με το 2022· σημειώνει με ανησυχία ότι η ιατρική υπηρεσία ανέφερε 11 κρούσματα επαγγελματικής εξουθένωσης το 2023· σημειώνει ότι το ΔΕΕ έχει προβεί σε ενδελεχή ανάλυση των διαγνωστικών εκθέσεων για τον εντοπισμό περιπτώσεων επαγγελματικής εξουθένωσης και έχει δώσει έμφαση σε προληπτικά μέτρα, ιδίως στην ενίσχυση της ομάδας των ιατρικών και κοινωνικών λειτουργών του, στην πρόληψη των ψυχοκοινωνικών κινδύνων στον χώρο εργασίας και σε δραστηριότητες ευαισθητοποίησης· ενθαρρύνει το ΔΕΕ να συνεχίσει να εστιάζει στο πρόβλημα αυτό, προκειμένου να αποφευχθούν περαιτέρω υποθέσεις που σχετίζονται με επαγγελματική εξουθένωση</w:t>
            </w:r>
            <w:r>
              <w:rPr>
                <w:b/>
                <w:i/>
              </w:rPr>
              <w:t>, καθώς και να ενημερώσει το Ευρωπαϊκό Κοινοβούλιο σχετικά με τα μέτρα που λαμβάνονται στο πλαίσιο αυτό</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σημειώνει ότι το 2023 δρομολογήθηκε διοικητική έρευνα σχετικά με εικαζόμενη υπόθεση σεξουαλικής παρενόχλησης που αφορούσε μέλος του προσωπικού και ότι η υπόθεση αυτή περατώθηκε το 2024 με επιβολή ποινής· </w:t>
            </w:r>
            <w:r>
              <w:rPr>
                <w:b/>
                <w:i/>
              </w:rPr>
              <w:t>σημειώνει</w:t>
            </w:r>
            <w:r>
              <w:t xml:space="preserve"> ότι το 2023 υποβλήθηκε επίσης διαδικασία παροχής βοήθειας για εικαζόμενη παρενόχληση που αφορούσε δικαστή, αλλά δεν στοιχειοθετήθηκε παρενόχληση στην εν λόγω υπόθεση· σημειώνει ότι μια διυπηρεσιακή ομάδα εργασίας, η οποία συστάθηκε τον Μάρτιο του 2023, πριν από την κύρωση της Σύμβασης του Συμβουλίου της Ευρώπης για την πρόληψη και την καταπολέμηση της βίας κατά των γυναικών και της ενδοοικογενειακής βίας, εξέτασε τους κανόνες και τις διαδικασίες που ισχύουν στο ΔΕΕ για την πρόληψη της παρενόχλησης και διατύπωσε ορισμένες συστάσεις με σκοπό τη βελτίωση των εν λόγω κανόνων και διαδικασιών· ενθαρρύνει το ΔΕΕ να δώσει συνέχεια και να συνεχίσει να </w:t>
            </w:r>
            <w:r>
              <w:rPr>
                <w:b/>
                <w:i/>
              </w:rPr>
              <w:t>επιδεικνύει ανοχή όσον αφορά</w:t>
            </w:r>
            <w:r>
              <w:t xml:space="preserve"> την παρενόχληση στον χώρο εργασίας·</w:t>
            </w:r>
          </w:p>
        </w:tc>
        <w:tc>
          <w:tcPr>
            <w:tcW w:w="4876" w:type="dxa"/>
            <w:tcBorders>
              <w:top w:val="nil"/>
              <w:left w:val="nil"/>
              <w:bottom w:val="nil"/>
              <w:right w:val="nil"/>
            </w:tcBorders>
          </w:tcPr>
          <w:p>
            <w:pPr>
              <w:pStyle w:val="Normal6a"/>
            </w:pPr>
            <w:r>
              <w:t>26.</w:t>
            </w:r>
            <w:r>
              <w:tab/>
            </w:r>
            <w:r>
              <w:t xml:space="preserve">σημειώνει ότι το 2023 δρομολογήθηκε διοικητική έρευνα σχετικά με εικαζόμενη υπόθεση σεξουαλικής παρενόχλησης που αφορούσε μέλος του προσωπικού και ότι η υπόθεση αυτή περατώθηκε το 2024 με επιβολή ποινής· </w:t>
            </w:r>
            <w:r>
              <w:rPr>
                <w:b/>
                <w:i/>
              </w:rPr>
              <w:t>διαπιστώνει με ανησυχία</w:t>
            </w:r>
            <w:r>
              <w:t xml:space="preserve"> ότι το 2023 υποβλήθηκε επίσης διαδικασία παροχής βοήθειας για εικαζόμενη παρενόχληση που αφορούσε δικαστή, αλλά δεν στοιχειοθετήθηκε παρενόχληση στην εν λόγω υπόθεση· σημειώνει ότι μια διυπηρεσιακή ομάδα εργασίας, η οποία συστάθηκε τον Μάρτιο του 2023, πριν από την κύρωση της Σύμβασης του Συμβουλίου της Ευρώπης για την πρόληψη και την καταπολέμηση της βίας κατά των γυναικών και της ενδοοικογενειακής βίας, εξέτασε τους κανόνες και τις διαδικασίες που ισχύουν στο ΔΕΕ για την πρόληψη της παρενόχλησης και διατύπωσε ορισμένες συστάσεις με σκοπό τη βελτίωση των εν λόγω κανόνων και διαδικασιών· ενθαρρύνει το ΔΕΕ να δώσει συνέχεια και να συνεχίσει να </w:t>
            </w:r>
            <w:r>
              <w:rPr>
                <w:b/>
                <w:i/>
              </w:rPr>
              <w:t>μην ανέχεται</w:t>
            </w:r>
            <w:r>
              <w:t xml:space="preserve"> την παρενόχληση στον χώρο εργασίας</w:t>
            </w:r>
            <w:r>
              <w:rPr>
                <w:b/>
                <w:i/>
              </w:rPr>
              <w:t>, εισάγοντας υποχρεωτική κατάρτιση σχετικά με τις ασυνείδητες προκαταλήψεις και τα δεοντολογικά πρότυπα για όλους τους δικαστές και τους ανώτερους υπαλλήλους, ώστε να αποτρέπεται η κατάχρηση εξουσίας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υπενθυμίζει ότι, σύμφωνα με τη Συνθήκη για την Ευρωπαϊκή Ένωση, στόχος της ΕΕ και των θεσμικών της οργάνων είναι η προώθηση της ειρήνης, των αξιών της και της ευημερίας των λαών της, η διατήρηση της ειρήνης, η πρόληψη των συγκρούσεων και η ενίσχυση της διεθνούς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Tamás Deutsch, Ondřej Knotek,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β.</w:t>
            </w:r>
            <w:r>
              <w:tab/>
            </w:r>
            <w:r>
              <w:rPr>
                <w:b/>
                <w:i/>
              </w:rPr>
              <w:t>καλεί το θεσμικό όργανο να επιδείξει πλήρη αφοσίωση και να μεγιστοποιήσει τις προσπάθειές του με όλα τα διαθέσιμα μέσα και στοιχεία ενεργητικού του για την προώθηση της ειρήνης και τον τερματισμό του πολέμου στην Ουκρανία το συντομότερο δυνατόν, καθώς και για τη διατήρηση της ειρήνης και την ενίσχυση της ευρωπαϊκής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γ.</w:t>
            </w:r>
            <w:r>
              <w:tab/>
            </w:r>
            <w:r>
              <w:rPr>
                <w:b/>
                <w:i/>
              </w:rPr>
              <w:t>υπενθυμίζει πως σύμφωνα με τη Συνθήκη για την Ευρωπαϊκή Ένωση η Ένωση και τα θεσμικά της όργανα σέβονται την ισότητα των κρατών μελών ενώπιον των Συνθηκών καθώς και την εθνική τους ταυτότητά που είναι συμφυής με τη θεμελιώδη πολιτική και συνταγματική τους δομή, στην οποία συμπεριλαμβάνεται η περιφερειακή και τοπική αυτοδιοίκηση·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 Ondřej Knotek,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δ.</w:t>
            </w:r>
            <w:r>
              <w:tab/>
            </w:r>
            <w:r>
              <w:rPr>
                <w:b/>
                <w:i/>
              </w:rPr>
              <w:t>καλεί το θεσμικό όργανα να σέβεται πάντα την ισότητα των κρατών μελών και να τα μεταχειρίζεται ισότιμα, καθώς και να σέβεται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σημειώνει ότι, όπως ζητήθηκε σε προηγούμενες συστάσεις απαλλαγής, ο νέος κώδικας δεοντολογίας σχετικά με τα δικαιώματα και τις υποχρεώσεις των υπαλλήλων και του λοιπού προσωπικού του ΔΕΕ, ο οποίος αντικατοπτρίζει τις αξίες και τη δέσμευση του ΔΕΕ για τη δεοντολογία, καταρτίστηκε το 2023 και εγκρίθηκε τον Μάρτιο του 2024·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ότι, το 2023, διοργανώθηκαν δραστηριότητες ευαισθητοποίησης και ανανεωμένο πρόγραμμα κατάρτισης σχετικά με τον κώδικα δεοντολογίας για το προσωπικό και τα διευθυντικά στελέχη, με ιδιαίτερη έμφαση στους νεοπροσληφθέντες· ζητεί να τηρείται ενήμερο το Κοινοβούλιο σχετικά με την εφαρμογή του κώδικα δεοντολογίας·</w:t>
            </w:r>
          </w:p>
        </w:tc>
        <w:tc>
          <w:tcPr>
            <w:tcW w:w="4876" w:type="dxa"/>
            <w:tcBorders>
              <w:top w:val="nil"/>
              <w:left w:val="nil"/>
              <w:bottom w:val="nil"/>
              <w:right w:val="nil"/>
            </w:tcBorders>
          </w:tcPr>
          <w:p>
            <w:pPr>
              <w:pStyle w:val="Normal6a"/>
            </w:pPr>
            <w:r>
              <w:t>27.</w:t>
            </w:r>
            <w:r>
              <w:tab/>
            </w:r>
            <w:r>
              <w:t xml:space="preserve">σημειώνει ότι, όπως ζητήθηκε σε προηγούμενες συστάσεις απαλλαγής, ο νέος κώδικας δεοντολογίας σχετικά με τα δικαιώματα και τις υποχρεώσεις των υπαλλήλων και του λοιπού προσωπικού του ΔΕΕ, ο οποίος αντικατοπτρίζει τις αξίες και τη δέσμευση του ΔΕΕ για τη δεοντολογία, καταρτίστηκε το 2023 και εγκρίθηκε τον Μάρτιο του 2024·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ότι, το 2023, διοργανώθηκαν δραστηριότητες ευαισθητοποίησης και ανανεωμένο πρόγραμμα κατάρτισης σχετικά με τον κώδικα δεοντολογίας για το προσωπικό και τα διευθυντικά στελέχη, με ιδιαίτερη έμφαση στους νεοπροσληφθέντες· ζητεί </w:t>
            </w:r>
            <w:r>
              <w:rPr>
                <w:b/>
                <w:i/>
              </w:rPr>
              <w:t>την υποχρεωτική κατάρτιση όλου του προσωπικού σε τακτική βάση και ζητεί</w:t>
            </w:r>
            <w:r>
              <w:t xml:space="preserve"> να τηρείται ενήμερο το Κοινοβούλιο σχετικά με την εφαρμογή του κώδικα δεοντολογίας·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σημειώνει</w:t>
            </w:r>
            <w:r>
              <w:t xml:space="preserve"> ότι, όπως ζητήθηκε σε προηγούμενες συστάσεις απαλλαγής, ο νέος κώδικας δεοντολογίας σχετικά με τα δικαιώματα και τις υποχρεώσεις των υπαλλήλων και του λοιπού προσωπικού του ΔΕΕ, ο οποίος αντικατοπτρίζει τις αξίες και τη δέσμευση του ΔΕΕ για τη δεοντολογία, καταρτίστηκε το 2023 και εγκρίθηκε τον Μάρτιο του 2024·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ότι, το 2023, διοργανώθηκαν δραστηριότητες ευαισθητοποίησης και ανανεωμένο πρόγραμμα κατάρτισης σχετικά με τον κώδικα δεοντολογίας για το προσωπικό και τα διευθυντικά στελέχη, με ιδιαίτερη έμφαση στους νεοπροσληφθέντες· ζητεί να τηρείται ενήμερο το Κοινοβούλιο σχετικά με την εφαρμογή του κώδικα δεοντολογίας·</w:t>
            </w:r>
          </w:p>
        </w:tc>
        <w:tc>
          <w:tcPr>
            <w:tcW w:w="4876" w:type="dxa"/>
            <w:tcBorders>
              <w:top w:val="nil"/>
              <w:left w:val="nil"/>
              <w:bottom w:val="nil"/>
              <w:right w:val="nil"/>
            </w:tcBorders>
          </w:tcPr>
          <w:p>
            <w:pPr>
              <w:pStyle w:val="Normal6a"/>
            </w:pPr>
            <w:r>
              <w:t>27.</w:t>
            </w:r>
            <w:r>
              <w:tab/>
            </w:r>
            <w:r>
              <w:rPr>
                <w:b/>
                <w:i/>
              </w:rPr>
              <w:t>εκφράζει την ικανοποίησή του για το γεγονός</w:t>
            </w:r>
            <w:r>
              <w:t xml:space="preserve"> ότι, όπως ζητήθηκε σε προηγούμενες συστάσεις απαλλαγής, ο νέος κώδικας δεοντολογίας σχετικά με τα δικαιώματα και τις υποχρεώσεις των υπαλλήλων και του λοιπού προσωπικού του ΔΕΕ, ο οποίος αντικατοπτρίζει τις αξίες και τη δέσμευση του ΔΕΕ για τη δεοντολογία, καταρτίστηκε το 2023 και εγκρίθηκε τον Μάρτιο του 2024·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ότι, το 2023, διοργανώθηκαν δραστηριότητες ευαισθητοποίησης και ανανεωμένο πρόγραμμα κατάρτισης σχετικά με τον κώδικα δεοντολογίας για το προσωπικό και τα διευθυντικά στελέχη, με ιδιαίτερη έμφαση στους νεοπροσληφθέντες· ζητεί να τηρείται ενήμερο το Κοινοβούλιο σχετικά με την εφαρμογή του κώδικα δεοντολογίας·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σημειώνει ότι, σε συνέχεια της έγκρισης του κώδικα δεοντολογίας για τα μέλη και τα πρώην μέλη του ΔΕΕ, η δήλωση συμφερόντων των μελών έχει δημοσιευθεί στο διαδίκτυο, ώστε να αποφευχθεί τυχόν σύγκρουση συμφερόντων κατά τον χειρισμό υποθέσεων· σημειώνει ότι το ΔΕΕ επανεξετάζει συνεχώς τους εσωτερικούς κανόνες του για το θέμα αυτό με σκοπό την επικαιροποίηση των εν λόγω κανόνων και τη διασφάλιση των υψηλότερων δυνατών προτύπων δεοντολογίας· ζητεί από το ΔΕΕ να ενημερώσει το Κοινοβούλιο σχετικά με τα αποτελέσματα οποιασδήποτε περαιτέρω αξιολόγησης της αποτελεσματικότητας του εν λόγω μέτρου που αποσκοπεί στην πρόληψη των συγκρούσεων συμφερόντων·</w:t>
            </w:r>
          </w:p>
        </w:tc>
        <w:tc>
          <w:tcPr>
            <w:tcW w:w="4876" w:type="dxa"/>
            <w:tcBorders>
              <w:top w:val="nil"/>
              <w:left w:val="nil"/>
              <w:bottom w:val="nil"/>
              <w:right w:val="nil"/>
            </w:tcBorders>
          </w:tcPr>
          <w:p>
            <w:pPr>
              <w:pStyle w:val="Normal6a"/>
            </w:pPr>
            <w:r>
              <w:t>29.</w:t>
            </w:r>
            <w:r>
              <w:tab/>
            </w:r>
            <w:r>
              <w:t xml:space="preserve">σημειώνει ότι, σε συνέχεια της έγκρισης του κώδικα δεοντολογίας για τα μέλη και τα πρώην μέλη του ΔΕΕ, η δήλωση συμφερόντων των μελών έχει δημοσιευθεί στο διαδίκτυο, ώστε να αποφευχθεί τυχόν σύγκρουση συμφερόντων κατά τον χειρισμό υποθέσεων· σημειώνει ότι το ΔΕΕ επανεξετάζει συνεχώς τους εσωτερικούς κανόνες του για το θέμα αυτό με σκοπό την επικαιροποίηση των εν λόγω κανόνων και τη διασφάλιση των υψηλότερων δυνατών προτύπων δεοντολογίας· </w:t>
            </w:r>
            <w:r>
              <w:rPr>
                <w:b/>
                <w:i/>
              </w:rPr>
              <w:t>καλεί το ΔΕΕ να συστήσει ανεξάρτητη επιτροπή δεοντολογίας για την εποπτεία της συμμόρφωσης με τον κώδικα δεοντολογίας και τη διερεύνηση πιθανών παραβιάσεων·</w:t>
            </w:r>
            <w:r>
              <w:t xml:space="preserve"> </w:t>
            </w:r>
            <w:r>
              <w:rPr>
                <w:b/>
                <w:i/>
              </w:rPr>
              <w:t>ζητεί υποχρεωτική ετήσια κατάρτιση σε θέματα δεοντολογίας για όλο το προσωπικό του ΔΕΕ, συμπεριλαμβανομένων των δικαστών και των γενικών εισαγγελέων, προκειμένου να διαφυλαχθεί η ακεραιότητα του Δικαστηρίου·</w:t>
            </w:r>
            <w:r>
              <w:t xml:space="preserve"> ζητεί από το ΔΕΕ να ενημερώσει το Κοινοβούλιο σχετικά με τα αποτελέσματα οποιασδήποτε περαιτέρω αξιολόγησης της αποτελεσματικότητας του εν λόγω μέτρου που αποσκοπεί στην πρόληψη των συγκρούσεων συμφερόντων·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α.</w:t>
            </w:r>
            <w:r>
              <w:tab/>
            </w:r>
            <w:r>
              <w:rPr>
                <w:b/>
                <w:i/>
              </w:rPr>
              <w:t>εκφράζει την ικανοποίησή του για τη δημοσίευση των δηλώσεων συμφερόντων των μελών του ΔΕΕ, αλλά ζητεί τη θέσπιση τυποποιημένης διαδικασίας ελέγχου πριν από τον διορισμό για τον εντοπισμό και τον μετριασμό πιθανών συγκρούσεων συμφερόντων σε πρώιμο στάδιο·</w:t>
            </w:r>
            <w:r>
              <w:t xml:space="preserve"> </w:t>
            </w:r>
            <w:r>
              <w:rPr>
                <w:b/>
                <w:i/>
              </w:rPr>
              <w:t>καλεί το Συμβούλιο να θεσπίσει διαφανείς κατευθυντήριες γραμμές για τα κράτη μέλη κατά τον διορισμό υποψηφίων για δικαστικές θέσεις στο ΔΕΕ·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β.</w:t>
            </w:r>
            <w:r>
              <w:tab/>
            </w:r>
            <w:r>
              <w:rPr>
                <w:b/>
                <w:i/>
              </w:rPr>
              <w:t>καλεί το ΔΕΕ να θεσπίσει μια υποχρεωτική πολιτική αποκλεισμού για τους δικαστές σε υποθέσεις στις οποίες έχουν προηγούμενη επαγγελματική σχέση με διαδίκους που παρίστανται ενώπιον του Δικαστηρίου·</w:t>
            </w:r>
            <w:r>
              <w:t xml:space="preserve"> </w:t>
            </w:r>
            <w:r>
              <w:rPr>
                <w:b/>
                <w:i/>
              </w:rPr>
              <w:t>ζητεί αυστηρότερο έλεγχο των συγκρούσεων συμφερόντων για τους δικαστές και τους υψηλόβαθμους υπαλλήλους, συμπεριλαμβανομένης της τακτικής επικαιροποίησης των απαιτήσεων δημοσιοποίησης οικονομικών στοιχείων·</w:t>
            </w:r>
            <w:r>
              <w:t xml:space="preserve"> </w:t>
            </w:r>
            <w:r>
              <w:rPr>
                <w:b/>
                <w:i/>
              </w:rPr>
              <w:t>ζητεί τη δημοσίευση αποφάσεων αποκλεισμού σε πραγματικό χρόνο σε υποθέσεις στις οποίες οι δικαστές δηλώνουν σύγκρουση συμφερόντων, διασφαλίζοντας μεγαλύτερη διαφάνεια στη δικαστική διαδικασία και ενισχύοντας την εμπιστοσύνη του κοινού στην αμεροληψία και την ακεραιότητα του ΔΕΕ·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α.</w:t>
            </w:r>
            <w:r>
              <w:tab/>
            </w:r>
            <w:r>
              <w:rPr>
                <w:b/>
                <w:i/>
              </w:rPr>
              <w:t>καλεί το ΔΕΕ να θεσπίσει μια προορατική πολιτική για την πρόληψη των κινδύνων μεταπήδησης στον ιδιωτικό τομέα, συμπεριλαμβανομένης ελάχιστης διετούς περιόδου αναμονής για τους πρώην δικαστές και τους ανώτερους υπαλλήλους προτού αναλάβουν θέσεις σε εταιρείες του ιδιωτικού τομέα που προσφεύγουν ενώπιον του ΔΕΕ ή εκπροσωπούν πελάτες σε υποθέσεις του δικαίου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σημειώνει ότι ο κατάλογος των εξωτερικών δραστηριοτήτων που διεξάγονται από τα μέλη τόσο του Δικαστηρίου όσο και του Γενικού Δικαστηρίου έχει δημοσιευθεί στον ιστότοπο του ΔΕΕ από το 2018· σημειώνει ότι η προηγούμενη έγκριση από τη γενική συνέλευση του Δικαστηρίου ή από τη διάσκεψη ολομέλειας του Γενικού Δικαστηρίου χορηγείται μόνο όταν η εξωτερική δραστηριότητα είναι συμβατή με τις απαιτήσεις του κώδικα δεοντολογίας και με τις υποχρεώσεις των μελών να είναι διαθέσιμοι για δικαστικές δραστηριότητες· ζητεί από το ΔΕΕ να ενημερώσει την αρμόδια για την απαλλαγή αρχή σχετικά με τυχόν πρωτοβουλίες για τη βελτίωση της αναγνωσιμότητας των πληροφοριών που σχετίζονται με τις εξωτερικές δραστηριότητες, σύμφωνα με προηγούμενες συστάσεις απαλλαγής·</w:t>
            </w:r>
          </w:p>
        </w:tc>
        <w:tc>
          <w:tcPr>
            <w:tcW w:w="4876" w:type="dxa"/>
            <w:tcBorders>
              <w:top w:val="nil"/>
              <w:left w:val="nil"/>
              <w:bottom w:val="nil"/>
              <w:right w:val="nil"/>
            </w:tcBorders>
          </w:tcPr>
          <w:p>
            <w:pPr>
              <w:pStyle w:val="Normal6a"/>
            </w:pPr>
            <w:r>
              <w:t>31.</w:t>
            </w:r>
            <w:r>
              <w:tab/>
            </w:r>
            <w:r>
              <w:t xml:space="preserve">σημειώνει ότι ο κατάλογος των εξωτερικών δραστηριοτήτων που διεξάγονται από τα μέλη τόσο του Δικαστηρίου όσο και του Γενικού Δικαστηρίου έχει δημοσιευθεί στον ιστότοπο του ΔΕΕ από το 2018· σημειώνει </w:t>
            </w:r>
            <w:r>
              <w:rPr>
                <w:b/>
                <w:i/>
              </w:rPr>
              <w:t>περαιτέρω ότι ο κατάλογος είναι δυσνόητος για το ευρύ κοινό και συνιστά την αναθεώρησή του προκειμένου να διασφαλιστεί μεγαλύτερη σαφήνεια και πληροφόρηση·</w:t>
            </w:r>
            <w:r>
              <w:t xml:space="preserve"> </w:t>
            </w:r>
            <w:r>
              <w:rPr>
                <w:b/>
                <w:i/>
              </w:rPr>
              <w:t>σημειώνει</w:t>
            </w:r>
            <w:r>
              <w:t xml:space="preserve"> ότι η προηγούμενη έγκριση από τη γενική συνέλευση του Δικαστηρίου ή από τη διάσκεψη ολομέλειας του Γενικού Δικαστηρίου χορηγείται μόνο όταν η εξωτερική δραστηριότητα είναι συμβατή με τις απαιτήσεις του κώδικα δεοντολογίας και με τις υποχρεώσεις των μελών να είναι διαθέσιμοι για δικαστικές δραστηριότητες· ζητεί από το ΔΕΕ να ενημερώσει την αρμόδια για την απαλλαγή αρχή σχετικά με τυχόν πρωτοβουλίες για τη βελτίωση της αναγνωσιμότητας των πληροφοριών που σχετίζονται με τις εξωτερικές δραστηριότητες, σύμφωνα με προηγούμενες συστάσεις απαλλαγής·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σημειώνει ότι οι κανόνες που διέπουν τα ταξίδια, τις αποστολές και τη χρήση οδηγών και αυτοκινήτων των μελών, όπως επικαιροποιήθηκαν το 2021, προβλέπουν ότι βαρύνουν το ΔΕΕ μόνο οι δαπάνες λειτουργίας που προκύπτουν από τη χρήση αυτοκινήτου για σκοπούς που σχετίζονται με την εκτέλεση εντολής αποστολής ή την άσκηση της εντολής τους εντός ορίου </w:t>
            </w:r>
            <w:r>
              <w:rPr>
                <w:b/>
                <w:i/>
              </w:rPr>
              <w:t>10 000</w:t>
            </w:r>
            <w:r>
              <w:t xml:space="preserve"> χλμ· επαναλαμβάνει την άποψή του ότι η χρήση του στόλου αυτοκινήτων εκτός της αυστηρής εκτέλεσης των καθηκόντων των μελών του ΔΕΕ δεν θα πρέπει να πραγματοποιείται σε καμία περίπτωση· σημειώνει ότι το ΔΕΕ ανέφερε ότι συζητεί με άλλα θεσμικά όργανα προκειμένου να επιτύχει ένα εναρμονισμένο σύνολο κανόνων για τη χρήση επίσημων οχημάτων, με παράλληλο σεβασμό της αυτονομίας κάθε θεσμικού οργάνου· ζητεί από το ΔΕΕ να τηρεί ενήμερο το Κοινοβούλιο για κάθε πρόοδο στο θέμα αυτό·</w:t>
            </w:r>
          </w:p>
        </w:tc>
        <w:tc>
          <w:tcPr>
            <w:tcW w:w="4876" w:type="dxa"/>
            <w:tcBorders>
              <w:top w:val="nil"/>
              <w:left w:val="nil"/>
              <w:bottom w:val="nil"/>
              <w:right w:val="nil"/>
            </w:tcBorders>
          </w:tcPr>
          <w:p>
            <w:pPr>
              <w:pStyle w:val="Normal6a"/>
            </w:pPr>
            <w:r>
              <w:t>32.</w:t>
            </w:r>
            <w:r>
              <w:tab/>
            </w:r>
            <w:r>
              <w:t xml:space="preserve">σημειώνει ότι οι κανόνες που διέπουν τα ταξίδια, τις αποστολές και τη χρήση οδηγών και αυτοκινήτων των μελών, όπως επικαιροποιήθηκαν το 2021, προβλέπουν ότι βαρύνουν το ΔΕΕ μόνο οι δαπάνες λειτουργίας που προκύπτουν από τη χρήση αυτοκινήτου για σκοπούς που σχετίζονται με την εκτέλεση εντολής αποστολής ή την άσκηση της εντολής τους εντός ορίου </w:t>
            </w:r>
            <w:r>
              <w:rPr>
                <w:b/>
                <w:i/>
              </w:rPr>
              <w:t>10 000</w:t>
            </w:r>
            <w:r>
              <w:t> χλμ· επαναλαμβάνει την άποψή του ότι η χρήση του στόλου αυτοκινήτων εκτός της αυστηρής εκτέλεσης των καθηκόντων των μελών του ΔΕΕ δεν θα πρέπει να πραγματοποιείται σε καμία περίπτωση· σημειώνει ότι το ΔΕΕ ανέφερε ότι συζητεί με άλλα θεσμικά όργανα προκειμένου να επιτύχει ένα εναρμονισμένο σύνολο κανόνων για τη χρήση επίσημων οχημάτων, με παράλληλο σεβασμό της αυτονομίας κάθε θεσμικού οργάνου</w:t>
            </w:r>
            <w:r>
              <w:rPr>
                <w:b/>
                <w:i/>
              </w:rPr>
              <w:t>·</w:t>
            </w:r>
            <w:r>
              <w:t xml:space="preserve"> </w:t>
            </w:r>
            <w:r>
              <w:rPr>
                <w:b/>
                <w:i/>
              </w:rPr>
              <w:t>καλεί όλα τα θεσμικά όργανα της Ένωσης να συμφωνήσουν σε ένα ενιαίο σύστημα που θα εφαρμόζεται οριζόντια, το οποίο θα μειώσει τη σύγχυση και θα αυξήσει τη διαφάνεια και την αποτελεσματικότητα στη χρήση του δημόσιου χρήματος</w:t>
            </w:r>
            <w:r>
              <w:t>· ζητεί από το ΔΕΕ να τηρεί ενήμερο το Κοινοβούλιο για κάθε πρόοδο στο θέμα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σημειώνει ότι οι κανόνες που διέπουν τα ταξίδια, τις αποστολές και τη χρήση οδηγών και αυτοκινήτων των μελών, όπως επικαιροποιήθηκαν το 2021, προβλέπουν ότι βαρύνουν το ΔΕΕ μόνο οι δαπάνες λειτουργίας που προκύπτουν από τη χρήση αυτοκινήτου για σκοπούς που σχετίζονται με την εκτέλεση εντολής αποστολής ή την άσκηση της εντολής τους εντός ορίου </w:t>
            </w:r>
            <w:r>
              <w:rPr>
                <w:b/>
                <w:i/>
              </w:rPr>
              <w:t>10 000</w:t>
            </w:r>
            <w:r>
              <w:t xml:space="preserve"> χλμ· επαναλαμβάνει την άποψή του ότι η χρήση του στόλου αυτοκινήτων εκτός της αυστηρής εκτέλεσης των καθηκόντων των μελών του ΔΕΕ δεν θα πρέπει να πραγματοποιείται σε καμία περίπτωση· σημειώνει ότι το ΔΕΕ ανέφερε ότι συζητεί με άλλα θεσμικά όργανα προκειμένου να επιτύχει ένα εναρμονισμένο σύνολο κανόνων για τη χρήση επίσημων οχημάτων, με παράλληλο σεβασμό της αυτονομίας κάθε θεσμικού οργάνου· ζητεί από το ΔΕΕ να τηρεί ενήμερο το Κοινοβούλιο για κάθε πρόοδο στο θέμα αυτό·</w:t>
            </w:r>
          </w:p>
        </w:tc>
        <w:tc>
          <w:tcPr>
            <w:tcW w:w="4876" w:type="dxa"/>
            <w:tcBorders>
              <w:top w:val="nil"/>
              <w:left w:val="nil"/>
              <w:bottom w:val="nil"/>
              <w:right w:val="nil"/>
            </w:tcBorders>
          </w:tcPr>
          <w:p>
            <w:pPr>
              <w:pStyle w:val="Normal6a"/>
            </w:pPr>
            <w:r>
              <w:t>32.</w:t>
            </w:r>
            <w:r>
              <w:tab/>
            </w:r>
            <w:r>
              <w:t xml:space="preserve">σημειώνει ότι οι κανόνες που διέπουν τα ταξίδια, τις αποστολές και τη χρήση οδηγών και αυτοκινήτων των μελών, όπως επικαιροποιήθηκαν το 2021, προβλέπουν ότι βαρύνουν το ΔΕΕ μόνο οι δαπάνες λειτουργίας που προκύπτουν από τη χρήση αυτοκινήτου για σκοπούς που σχετίζονται με την εκτέλεση εντολής αποστολής ή την άσκηση της εντολής τους εντός ορίου </w:t>
            </w:r>
            <w:r>
              <w:rPr>
                <w:b/>
                <w:i/>
              </w:rPr>
              <w:t>10 000</w:t>
            </w:r>
            <w:r>
              <w:t xml:space="preserve"> χλμ· επαναλαμβάνει την άποψή του ότι η χρήση του στόλου αυτοκινήτων εκτός της αυστηρής εκτέλεσης των καθηκόντων των μελών του ΔΕΕ δεν θα πρέπει να πραγματοποιείται σε καμία περίπτωση </w:t>
            </w:r>
            <w:r>
              <w:rPr>
                <w:b/>
                <w:i/>
              </w:rPr>
              <w:t>και ότι κάθε καταστρατήγηση του κανόνα θα πρέπει να ελέγχεται και να τιμωρείται ως υπεξαίρεση κεφαλαίων των φορολογουμένων της ΕΕ</w:t>
            </w:r>
            <w:r>
              <w:t>· σημειώνει ότι το ΔΕΕ ανέφερε ότι συζητεί με άλλα θεσμικά όργανα προκειμένου να επιτύχει ένα εναρμονισμένο σύνολο κανόνων για τη χρήση επίσημων οχημάτων, με παράλληλο σεβασμό της αυτονομίας κάθε θεσμικού οργάνου· ζητεί από το ΔΕΕ να τηρεί ενήμερο το Κοινοβούλιο για κάθε πρόοδο στο θέμα αυτό·</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εκφράζει την ικανοποίησή του για τη δέσμευση του ΔΕΕ να ενισχύσει τη διαφάνεια, την πρόσβαση στη δικαιοσύνη και τον δημόσιο χαρακτήρα, συμβάλλοντας έτσι στην ενίσχυση της εμπιστοσύνης του κοινού στα θεσμικά όργανα της Ένωσης·</w:t>
            </w:r>
          </w:p>
        </w:tc>
        <w:tc>
          <w:tcPr>
            <w:tcW w:w="4876" w:type="dxa"/>
            <w:tcBorders>
              <w:top w:val="nil"/>
              <w:left w:val="nil"/>
              <w:bottom w:val="nil"/>
              <w:right w:val="nil"/>
            </w:tcBorders>
          </w:tcPr>
          <w:p>
            <w:pPr>
              <w:pStyle w:val="Normal6a"/>
            </w:pPr>
            <w:r>
              <w:t>35.</w:t>
            </w:r>
            <w:r>
              <w:tab/>
            </w:r>
            <w:r>
              <w:t xml:space="preserve">εκφράζει την ικανοποίησή του για τη δέσμευση του ΔΕΕ να ενισχύσει τη διαφάνεια, την πρόσβαση στη δικαιοσύνη και τον δημόσιο χαρακτήρα, συμβάλλοντας έτσι στην ενίσχυση της εμπιστοσύνης του κοινού στα θεσμικά όργανα της Ένωσης· </w:t>
            </w:r>
            <w:r>
              <w:rPr>
                <w:b/>
                <w:i/>
              </w:rPr>
              <w:t>στο πλαίσιο αυτό, λαμβάνει υπό σημείωση την πρόσφατη τροποποίηση του πρωτοκόλλου αριθ. 3 περί του Οργανισμού του Δικαστηρίου της Ευρωπαϊκής Ένωσης, που εγκρίθηκε με τον κανονισμό (ΕΕ, Ευρατόμ) 2024/2019 του Ευρωπαϊκού Κοινοβουλίου και του Συμβουλίου, ο οποίος μεταβιβάζει μέρος της αρμοδιότητας έκδοσης προδικαστικών αποφάσεων από το Δικαστήριο στο Γενικό Δικαστήριο·</w:t>
            </w:r>
            <w:r>
              <w:t xml:space="preserve"> </w:t>
            </w:r>
            <w:r>
              <w:rPr>
                <w:b/>
                <w:i/>
              </w:rPr>
              <w:t>εκφράζει, ωστόσο, τη λύπη του για το γεγονός ότι η εν λόγω τροποποίηση του πρωτοκόλλου αριθ. 3 περί του Οργανισμού του Δικαστηρίου της Ευρωπαϊκής Ένωσης δεν έχει παράσχει πρόσθετες εγγυήσεις στους πολίτες της ΕΕ και σε οποιοδήποτε φυσικό ή νομικό πρόσωπο που κατοικεί ή έχει την καταστατική έδρα του σε κράτος μέλος όσον αφορά τη διαφάνεια και το δικαίωμα πρόσβασης σε έγγραφα που σχετίζονται με δικαστικές διαδικασίες, γεγονός που το καθιστά ένα από τα λιγότερο διαφανή θεσμικά όργανα της ΕΕ, παρά την εξέλιξη των ζητημάτων για τα οποία αποφαίνεται όλο και περισσότερο, όπως ζητήματα ανθρωπίνων δικαιωμάτων, όπως η μετανάστευση, η ιδιωτική ζωή, η υγεία ή το περιβάλλον·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σημειώνει ότι, το 2023, το ΔΕΕ ενοποίησε την υπηρεσία συνεχούς ροής για τις ακροάσεις του Δικαστηρίου και του Γενικού Δικαστηρίου στον ιστότοπο Curia, διευκολύνοντας έτσι την πρόσβαση των πολιτών στις δικαστικές δραστηριότητες του ΔΕΕ· εκφράζει την ικανοποίησή του για το γεγονός ότι η έκδοση αποφάσεων του Δικαστηρίου, η ανάγνωση των γνωμοδοτήσεων των γενικών εισαγγελέων, οι ακροάσεις του τμήματος μείζονος συνθέσεως και ορισμένες ακροάσεις πενταμελών τμημάτων μεταδίδονται ζωντανά στον ιστότοπο Curia από το 2023· καλεί το ΔΕΕ να βελτιώσει περαιτέρω τη διαφάνεια με τη μετάδοση όλων των ακροάσεων των δύο δικαστηρίων στον ιστότοπό του και τη μόνιμη αποθήκευσή τους στο διαδίκτυο·</w:t>
            </w:r>
          </w:p>
        </w:tc>
        <w:tc>
          <w:tcPr>
            <w:tcW w:w="4876" w:type="dxa"/>
            <w:tcBorders>
              <w:top w:val="nil"/>
              <w:left w:val="nil"/>
              <w:bottom w:val="nil"/>
              <w:right w:val="nil"/>
            </w:tcBorders>
          </w:tcPr>
          <w:p>
            <w:pPr>
              <w:pStyle w:val="Normal6a"/>
            </w:pPr>
            <w:r>
              <w:t>36.</w:t>
            </w:r>
            <w:r>
              <w:tab/>
            </w:r>
            <w:r>
              <w:t xml:space="preserve">σημειώνει ότι, το 2023, το ΔΕΕ ενοποίησε την υπηρεσία συνεχούς ροής για τις ακροάσεις του Δικαστηρίου και του Γενικού Δικαστηρίου στον ιστότοπο Curia, διευκολύνοντας έτσι την πρόσβαση των πολιτών στις δικαστικές δραστηριότητες του ΔΕΕ· εκφράζει την ικανοποίησή του για </w:t>
            </w:r>
            <w:r>
              <w:rPr>
                <w:b/>
                <w:i/>
              </w:rPr>
              <w:t>τη βελτίωση του ιστοτόπου CVRIA, όσον αφορά τη δομή, τις λειτουργίες και το περιεχόμενό του·</w:t>
            </w:r>
            <w:r>
              <w:t xml:space="preserve"> </w:t>
            </w:r>
            <w:r>
              <w:rPr>
                <w:b/>
                <w:i/>
              </w:rPr>
              <w:t>εκφράζει την ικανοποίησή του για</w:t>
            </w:r>
            <w:r>
              <w:t xml:space="preserve"> το γεγονός ότι η έκδοση αποφάσεων του Δικαστηρίου, η ανάγνωση των γνωμοδοτήσεων των γενικών εισαγγελέων, οι ακροάσεις του τμήματος μείζονος συνθέσεως και ορισμένες ακροάσεις πενταμελών τμημάτων μεταδίδονται ζωντανά στον ιστότοπο Curia από το 2023· καλεί το ΔΕΕ να βελτιώσει περαιτέρω τη διαφάνεια με τη μετάδοση όλων των ακροάσεων των δύο δικαστηρίων στον ιστότοπό του και τη μόνιμη αποθήκευσή τους στο διαδίκτυο·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α.</w:t>
            </w:r>
            <w:r>
              <w:tab/>
            </w:r>
            <w:r>
              <w:rPr>
                <w:b/>
                <w:i/>
              </w:rPr>
              <w:t>πιστεύει ότι η χρήση θολής νομικής γλώσσας εμποδίζει τη συμμετοχή του κοινού και προσδίδει μια αίσθηση αποστασιοποίησης από το ευρύτερο κοινό, μειώνοντας έτσι τη διαφάνεια της δικαστικής διαδικασίας·</w:t>
            </w:r>
            <w:r>
              <w:t xml:space="preserve"> </w:t>
            </w:r>
            <w:r>
              <w:rPr>
                <w:b/>
                <w:i/>
              </w:rPr>
              <w:t>καλεί το Ελεγκτικό Συνέδριο να κοινοποιεί τις αποφάσεις του σε γλώσσα κατανοητή και προσβάσιμη στο ευρύ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β.</w:t>
            </w:r>
            <w:r>
              <w:tab/>
            </w:r>
            <w:r>
              <w:rPr>
                <w:b/>
                <w:i/>
              </w:rPr>
              <w:t>καλεί το Δικαστήριο να απλουστεύσει τη διαδικασία εύρεσης συγκεκριμένων αποφάσεων στο e-curia·</w:t>
            </w:r>
            <w:r>
              <w:t xml:space="preserve"> </w:t>
            </w:r>
            <w:r>
              <w:rPr>
                <w:b/>
                <w:i/>
              </w:rPr>
              <w:t>εκφράζει την ικανοποίησή του για τις προσπάθειες να καταστεί η διεπαφή πιο φιλική προς τον χρήστη και διαισθητική·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c>
          <w:tcPr>
            <w:tcW w:w="4876" w:type="dxa"/>
            <w:tcBorders>
              <w:top w:val="nil"/>
              <w:left w:val="nil"/>
              <w:bottom w:val="nil"/>
              <w:right w:val="nil"/>
            </w:tcBorders>
          </w:tcPr>
          <w:p>
            <w:pPr>
              <w:pStyle w:val="Normal6a"/>
            </w:pPr>
            <w:r>
              <w:t>43.</w:t>
            </w:r>
            <w:r>
              <w:tab/>
            </w:r>
            <w:r>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w:t>
            </w:r>
            <w:r>
              <w:rPr>
                <w:b/>
                <w:i/>
              </w:rPr>
              <w:t>υπογραμμίζει ότι είναι ζωτικής σημασίας η ΤΝ να χρησιμοποιείται κατά τρόπο που να διαφυλάσσει πλήρως την ανεξαρτησία, την ποιότητα και την ηρεμία των νομικών διαδικασιών, να λαμβάνει πλήρως υπόψη τα δεοντολογικά ζητήματα, καθώς και να χρησιμοποιείται υπό ανθρώπινο έλεγχο και εποπτεία και να επιτρέπει την ανθρώπινη παρέμβαση για την αποφυγή αρνητικών επιπτώσεων ή κινδύνων ή τη διακοπή του συστήματος εάν δεν έχει τις προβλεπόμενες επιδόσεις·</w:t>
            </w:r>
            <w:r>
              <w:t xml:space="preserve">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c>
          <w:tcPr>
            <w:tcW w:w="4876" w:type="dxa"/>
            <w:tcBorders>
              <w:top w:val="nil"/>
              <w:left w:val="nil"/>
              <w:bottom w:val="nil"/>
              <w:right w:val="nil"/>
            </w:tcBorders>
          </w:tcPr>
          <w:p>
            <w:pPr>
              <w:pStyle w:val="Normal6a"/>
            </w:pPr>
            <w:r>
              <w:t>43.</w:t>
            </w:r>
            <w:r>
              <w:tab/>
            </w:r>
            <w:r>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w:t>
            </w:r>
            <w:r>
              <w:rPr>
                <w:b/>
                <w:i/>
              </w:rPr>
              <w:t>υπογραμμίζει ότι είναι ζωτικής σημασίας η ΤΝ να χρησιμοποιείται κατά τρόπο που να διαφυλάσσει πλήρως την ανεξαρτησία, την ποιότητα και την ακεραιότητα των νομικών διαδικασιών, να διασφαλίζει την πλήρη συμμόρφωση με τα δεοντολογικά ζητήματα, καθώς και να χρησιμοποιείται υπό αυστηρό ανθρώπινο έλεγχο και εποπτεία·</w:t>
            </w:r>
            <w:r>
              <w:t xml:space="preserve">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c>
          <w:tcPr>
            <w:tcW w:w="4876" w:type="dxa"/>
            <w:tcBorders>
              <w:top w:val="nil"/>
              <w:left w:val="nil"/>
              <w:bottom w:val="nil"/>
              <w:right w:val="nil"/>
            </w:tcBorders>
          </w:tcPr>
          <w:p>
            <w:pPr>
              <w:pStyle w:val="Normal6a"/>
            </w:pPr>
            <w:r>
              <w:t>43.</w:t>
            </w:r>
            <w:r>
              <w:tab/>
            </w:r>
            <w:r>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 </w:t>
            </w:r>
            <w:r>
              <w:rPr>
                <w:b/>
                <w:i/>
              </w:rPr>
              <w:t>τονίζει ότι η ψηφιοποίηση της δικαιοσύνης και η υιοθέτηση αναδυόμενων τεχνολογιών, όπως η ΤΝ, θα προσφέρουν σημαντικά πλεονεκτήματα για την αποτελεσματική λειτουργία του Δικαστηρίου·</w:t>
            </w:r>
            <w:r>
              <w:t xml:space="preserve"> </w:t>
            </w:r>
            <w:r>
              <w:rPr>
                <w:b/>
                <w:i/>
              </w:rPr>
              <w:t>συνιστά, ωστόσο, στο Δικαστήριο να προβλέψει τους σχετικούς κινδύνους κυβερνοασφάλειας και να ενισχύσει ακόμη περισσότερο τη συνεργασία του με τον Οργανισμό της ΕΕ για την Κυβερνοασφάλεια και τη CERT-ΕΕ.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c>
          <w:tcPr>
            <w:tcW w:w="4876" w:type="dxa"/>
            <w:tcBorders>
              <w:top w:val="nil"/>
              <w:left w:val="nil"/>
              <w:bottom w:val="nil"/>
              <w:right w:val="nil"/>
            </w:tcBorders>
          </w:tcPr>
          <w:p>
            <w:pPr>
              <w:pStyle w:val="Normal6a"/>
            </w:pPr>
            <w:r>
              <w:t>43.</w:t>
            </w:r>
            <w:r>
              <w:tab/>
            </w:r>
            <w:r>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 </w:t>
            </w:r>
            <w:r>
              <w:rPr>
                <w:b/>
                <w:i/>
              </w:rPr>
              <w:t>ζητεί την εκπόνηση ετήσιας έκθεσης που θα επιτρέπει, μεταξύ άλλων, την επαλήθευση της συνάφειας των δαπανών που συνδέονται με την εν λόγω στρατηγική για την ΤΝ·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c>
          <w:tcPr>
            <w:tcW w:w="4876" w:type="dxa"/>
            <w:tcBorders>
              <w:top w:val="nil"/>
              <w:left w:val="nil"/>
              <w:bottom w:val="nil"/>
              <w:right w:val="nil"/>
            </w:tcBorders>
          </w:tcPr>
          <w:p>
            <w:pPr>
              <w:pStyle w:val="Normal6a"/>
            </w:pPr>
            <w:r>
              <w:t>43.</w:t>
            </w:r>
            <w:r>
              <w:tab/>
            </w:r>
            <w:r>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w:t>
            </w:r>
            <w:r>
              <w:rPr>
                <w:b/>
                <w:i/>
              </w:rPr>
              <w:t>και πρακτικών των ακροάσεων</w:t>
            </w:r>
            <w:r>
              <w:t>, σύμφωνα με τη νέα στρατηγική του για την ενσωμάτωση της ΤΝ που εγκρίθηκε τον Ιούνιο του 2023·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σημειώνει ότι το 2023 δεν κοινοποιήθηκαν έρευνες του ΕΕΠΔ στο ΔΕΕ· σημειώνει ότι, το 2023, ο ΕΕΠΔ δεν είχε απευθύνει καμία συγκεκριμένη σύσταση προς το ΔΕΕ σε συνέχεια της έρευνάς του σχετικά με τη χρήση υπηρεσιών υπολογιστικού νέφους από τις διαδικτυακές υπηρεσίες της Amazon· σημειώνει ότι ο ΕΕΠΔ δημοσίευσε απόφαση το 2023 με την οποία επιβεβαιώνεται η συμμόρφωση της χρήσης υπηρεσιών βιντεοδιάσκεψης στο υπολογιστικό νέφος από το ΔΕΕ με τη νομοθεσία για την προστασία των δεδομένων·</w:t>
            </w:r>
          </w:p>
        </w:tc>
        <w:tc>
          <w:tcPr>
            <w:tcW w:w="4876" w:type="dxa"/>
            <w:tcBorders>
              <w:top w:val="nil"/>
              <w:left w:val="nil"/>
              <w:bottom w:val="nil"/>
              <w:right w:val="nil"/>
            </w:tcBorders>
          </w:tcPr>
          <w:p>
            <w:pPr>
              <w:pStyle w:val="Normal6a"/>
            </w:pPr>
            <w:r>
              <w:t>44.</w:t>
            </w:r>
            <w:r>
              <w:tab/>
            </w:r>
            <w:r>
              <w:t xml:space="preserve">σημειώνει ότι το 2023 δεν κοινοποιήθηκαν έρευνες του ΕΕΠΔ στο ΔΕΕ· σημειώνει ότι, το 2023, ο ΕΕΠΔ δεν είχε απευθύνει καμία συγκεκριμένη σύσταση προς το ΔΕΕ σε συνέχεια της έρευνάς του σχετικά με τη χρήση υπηρεσιών υπολογιστικού νέφους από τις διαδικτυακές υπηρεσίες της Amazon· σημειώνει ότι ο ΕΕΠΔ δημοσίευσε απόφαση το 2023 με την οποία επιβεβαιώνεται η συμμόρφωση της χρήσης υπηρεσιών βιντεοδιάσκεψης στο υπολογιστικό νέφος από το ΔΕΕ με τη νομοθεσία για την προστασία των δεδομένων· </w:t>
            </w:r>
            <w:r>
              <w:rPr>
                <w:b/>
                <w:i/>
              </w:rPr>
              <w:t>επαναλαμβάνει, ωστόσο, τις ανησυχίες του σχετικά με τη χρήση εξωτερικών υπηρεσιών υπολογιστικού νέφους, δεδομένων των αυξανόμενων απειλών για την κυβερνοασφάλεια και την ψηφιακή κυριαρχία·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rPr>
                <w:b/>
                <w:i/>
              </w:rPr>
              <w:t>σημειώνει ότι</w:t>
            </w:r>
            <w:r>
              <w:t xml:space="preserve"> το ΔΕΕ </w:t>
            </w:r>
            <w:r>
              <w:rPr>
                <w:b/>
                <w:i/>
              </w:rPr>
              <w:t>ενέκρινε</w:t>
            </w:r>
            <w:r>
              <w:t xml:space="preserve"> χάρτη πορείας για τον κυβερνοχώρο το 2023 και </w:t>
            </w:r>
            <w:r>
              <w:rPr>
                <w:b/>
                <w:i/>
              </w:rPr>
              <w:t>ενίσχυσε τις επιχειρησιακές του ικανότητες</w:t>
            </w:r>
            <w:r>
              <w:t xml:space="preserve"> στον τομέα της κυβερνοασφάλειας για την καλύτερη προστασία των συστημάτων του από τον αυξανόμενο αριθμό κυβερνοεπιθέσεων</w:t>
            </w:r>
            <w:r>
              <w:rPr>
                <w:b/>
                <w:i/>
              </w:rPr>
              <w:t>, με τις επιθέσεις ηλεκτρονικού «ψαρέματος» (phishing) να παραμένουν η σημαντικότερη απειλή</w:t>
            </w:r>
            <w:r>
              <w:t>· σημειώνει ότι το ΔΕΕ έχει λάβει διάφορα μέτρα για την ενίσχυση της ετοιμότητας και της ικανότητάς του να ανακάμπτει από περιστατικά ασφάλειας στον κυβερνοχώρο, μεταξύ άλλων μέσω της συμμετοχής του στη διακυβέρνηση του διοργανικού συμβουλίου κυβερνοασφάλειας και μέσω συνδυασμού ελέγχων και εργαλείων κυβερνοασφάλειας σύμφωνα με τις συστάσεις της CERT-ΕΕ· σημειώνει ότι η αρμόδια για τον προϋπολογισμό αρχή ενέκρινε για το οικονομικό έτος 2025 τις αναγκαίες πιστώσεις για δύο πρόσθετες θέσεις προκειμένου να ενισχυθούν οι ικανότητες του προσωπικού του ΔΕΕ στον τομέα της κυβερνοασφάλειας·</w:t>
            </w:r>
          </w:p>
        </w:tc>
        <w:tc>
          <w:tcPr>
            <w:tcW w:w="4876" w:type="dxa"/>
            <w:tcBorders>
              <w:top w:val="nil"/>
              <w:left w:val="nil"/>
              <w:bottom w:val="nil"/>
              <w:right w:val="nil"/>
            </w:tcBorders>
          </w:tcPr>
          <w:p>
            <w:pPr>
              <w:pStyle w:val="Normal6a"/>
            </w:pPr>
            <w:r>
              <w:t>45.</w:t>
            </w:r>
            <w:r>
              <w:tab/>
            </w:r>
            <w:r>
              <w:rPr>
                <w:b/>
                <w:i/>
              </w:rPr>
              <w:t>χαιρετίζει την έγκριση από</w:t>
            </w:r>
            <w:r>
              <w:t xml:space="preserve"> το ΔΕΕ χάρτη πορείας για τον κυβερνοχώρο το 2023 και </w:t>
            </w:r>
            <w:r>
              <w:rPr>
                <w:b/>
                <w:i/>
              </w:rPr>
              <w:t>την ενίσχυση των επιχειρησιακών ικανοτήτων του</w:t>
            </w:r>
            <w:r>
              <w:t xml:space="preserve"> στον τομέα της κυβερνοασφάλειας για την καλύτερη προστασία των συστημάτων του από τον αυξανόμενο αριθμό κυβερνοεπιθέσεων</w:t>
            </w:r>
            <w:r>
              <w:rPr>
                <w:b/>
                <w:i/>
              </w:rPr>
              <w:t>·</w:t>
            </w:r>
            <w:r>
              <w:t xml:space="preserve"> </w:t>
            </w:r>
            <w:r>
              <w:rPr>
                <w:b/>
                <w:i/>
              </w:rPr>
              <w:t>υπογραμμίζει, επιπλέον, ότι μια ισχυρή στρατηγική κυβερνοασφάλειας αποτελεί ουσιαστικό εργαλείο για την καταπολέμηση των ξένων παρεμβάσεων που αποσκοπούν στην υπονόμευση της ακεραιότητας των ευρωπαϊκών θεσμικών οργάνων</w:t>
            </w:r>
            <w:r>
              <w:t>· σημειώνει ότι το ΔΕΕ έχει λάβει διάφορα μέτρα για την ενίσχυση της ετοιμότητας και της ικανότητάς του να ανακάμπτει από περιστατικά ασφάλειας στον κυβερνοχώρο, μεταξύ άλλων μέσω της συμμετοχής του στη διακυβέρνηση του διοργανικού συμβουλίου κυβερνοασφάλειας και μέσω συνδυασμού ελέγχων και εργαλείων κυβερνοασφάλειας σύμφωνα με τις συστάσεις της CERT-ΕΕ· σημειώνει ότι η αρμόδια για τον προϋπολογισμό αρχή ενέκρινε για το οικονομικό έτος 2025 τις αναγκαίες πιστώσεις για δύο πρόσθετες θέσεις προκειμένου να ενισχυθούν οι ικανότητες του προσωπικού του ΔΕΕ στον τομέα της κυβερνοασφάλειας·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σημειώνει ότι, το 2023, το ΔΕΕ συνέχισε να μειώνει σημαντικά την κατανάλωση ενέργειας και το αποτύπωμα άνθρακα σε σύγκριση με το 2015, γεγονός που αποτελεί τη βάση για την εφαρμογή της στρατηγικής του ΔΕΕ για το σύστημα οικολογικής διαχείρισης και οικολογικού ελέγχου, χάρη στα μέτρα εξοικονόμησης ενέργειας και στη βελτιστοποίηση των υποδομών θέρμανσης, ψύξης και φωτισμού· σημειώνει ότι η κατανάλωση θέρμανσης μειώθηκε κατά 33,5 %, η ηλεκτρική ενέργεια κατά 28,7 %, το νερό κατά 20,1 %, το χαρτί γραφείου κατά 63 %, τα απόβλητα γραφείων και κυλικείων κατά 43 % και οι εκπομπές αερίων του θερμοκηπίου κατά 30,2 % το 2023 σε σύγκριση με το 2015· </w:t>
            </w:r>
            <w:r>
              <w:rPr>
                <w:b/>
                <w:i/>
              </w:rPr>
              <w:t>σημειώνει</w:t>
            </w:r>
            <w:r>
              <w:t xml:space="preserve"> ότι το ΔΕΕ εφάρμοσε κριτήρια για τις πράσινες δημόσιες συμβάσεις σε 10 προσκλήσεις υποβολής προσφορών άνω των </w:t>
            </w:r>
            <w:r>
              <w:rPr>
                <w:b/>
                <w:i/>
              </w:rPr>
              <w:t>60 000 EUR·</w:t>
            </w:r>
          </w:p>
        </w:tc>
        <w:tc>
          <w:tcPr>
            <w:tcW w:w="4876" w:type="dxa"/>
            <w:tcBorders>
              <w:top w:val="nil"/>
              <w:left w:val="nil"/>
              <w:bottom w:val="nil"/>
              <w:right w:val="nil"/>
            </w:tcBorders>
          </w:tcPr>
          <w:p>
            <w:pPr>
              <w:pStyle w:val="Normal6a"/>
            </w:pPr>
            <w:r>
              <w:t>48.</w:t>
            </w:r>
            <w:r>
              <w:tab/>
            </w:r>
            <w:r>
              <w:t xml:space="preserve">σημειώνει ότι, το 2023, το ΔΕΕ συνέχισε να μειώνει σημαντικά την κατανάλωση ενέργειας και το αποτύπωμα άνθρακα σε σύγκριση με το 2015, γεγονός που αποτελεί τη βάση για την εφαρμογή της στρατηγικής του ΔΕΕ για το σύστημα οικολογικής διαχείρισης και οικολογικού ελέγχου, χάρη στα μέτρα εξοικονόμησης ενέργειας και στη βελτιστοποίηση των υποδομών θέρμανσης, ψύξης και φωτισμού· σημειώνει ότι η κατανάλωση θέρμανσης μειώθηκε κατά 33,5 %, η ηλεκτρική ενέργεια κατά 28,7 %, το νερό κατά 20,1 %, το χαρτί γραφείου κατά 63 %, τα απόβλητα γραφείων και κυλικείων κατά 43 % και οι εκπομπές αερίων του θερμοκηπίου κατά 30,2 % το 2023 σε σύγκριση με το 2015· </w:t>
            </w:r>
            <w:r>
              <w:rPr>
                <w:b/>
                <w:i/>
              </w:rPr>
              <w:t>εκφράζει την ικανοποίησή του για το γεγονός</w:t>
            </w:r>
            <w:r>
              <w:t xml:space="preserve"> ότι το ΔΕΕ εφάρμοσε κριτήρια για τις πράσινες δημόσιες συμβάσεις σε 10 προσκλήσεις υποβολής προσφορών άνω των </w:t>
            </w:r>
            <w:r>
              <w:rPr>
                <w:b/>
                <w:i/>
              </w:rPr>
              <w:t>60 000 EUR·</w:t>
            </w:r>
            <w:r>
              <w:t xml:space="preserve"> </w:t>
            </w:r>
            <w:r>
              <w:rPr>
                <w:b/>
                <w:i/>
              </w:rPr>
              <w:t>εκφράζει την ικανοποίησή του για τη δέσμευση του ΔΕΕ στο σύστημα οικολογικής διαχείρισης και οικολογικού ελέγχου (EMAS)·</w:t>
            </w:r>
            <w:r>
              <w:t xml:space="preserve"> </w:t>
            </w:r>
            <w:r>
              <w:rPr>
                <w:b/>
                <w:i/>
              </w:rPr>
              <w:t>ενθαρρύνει το ΔΕΕ να συνεχίσει τις προσπάθειές του για τη μείωση των περιβαλλοντικών του επιπτώσεων, με μια στρατηγική για την επίτευξη ουδέτερου ισοζυγίου άνθρακα έως το 2035.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σημειώνει</w:t>
            </w:r>
            <w:r>
              <w:t xml:space="preserve"> ότι, το 2023, το ΔΕΕ συνέχισε να μειώνει σημαντικά την κατανάλωση ενέργειας και το αποτύπωμα άνθρακα σε σύγκριση με το 2015, γεγονός που αποτελεί τη βάση για την εφαρμογή της στρατηγικής του ΔΕΕ για το σύστημα οικολογικής διαχείρισης και οικολογικού ελέγχου, χάρη στα μέτρα εξοικονόμησης ενέργειας και στη βελτιστοποίηση των υποδομών θέρμανσης, ψύξης και φωτισμού· σημειώνει ότι η κατανάλωση θέρμανσης μειώθηκε κατά 33,5 %, η ηλεκτρική ενέργεια κατά 28,7 %, το νερό κατά 20,1 %, το χαρτί γραφείου κατά 63 %, τα απόβλητα γραφείων και κυλικείων κατά 43 % και οι εκπομπές αερίων του θερμοκηπίου κατά 30,2 % το 2023 σε σύγκριση με το 2015· σημειώνει ότι το ΔΕΕ εφάρμοσε κριτήρια για τις πράσινες δημόσιες συμβάσεις σε 10 προσκλήσεις υποβολής προσφορών άνω των </w:t>
            </w:r>
            <w:r>
              <w:rPr>
                <w:b/>
                <w:i/>
              </w:rPr>
              <w:t>60 000</w:t>
            </w:r>
            <w:r>
              <w:t xml:space="preserve"> EUR·</w:t>
            </w:r>
          </w:p>
        </w:tc>
        <w:tc>
          <w:tcPr>
            <w:tcW w:w="4876" w:type="dxa"/>
            <w:tcBorders>
              <w:top w:val="nil"/>
              <w:left w:val="nil"/>
              <w:bottom w:val="nil"/>
              <w:right w:val="nil"/>
            </w:tcBorders>
          </w:tcPr>
          <w:p>
            <w:pPr>
              <w:pStyle w:val="Normal6a"/>
            </w:pPr>
            <w:r>
              <w:t>48.</w:t>
            </w:r>
            <w:r>
              <w:tab/>
            </w:r>
            <w:r>
              <w:rPr>
                <w:b/>
                <w:i/>
              </w:rPr>
              <w:t>εκφράζει την ικανοποίησή του για το γεγονός</w:t>
            </w:r>
            <w:r>
              <w:t xml:space="preserve"> ότι, το 2023, το ΔΕΕ συνέχισε να μειώνει σημαντικά την κατανάλωση ενέργειας και το αποτύπωμα άνθρακα σε σύγκριση με το 2015, γεγονός που αποτελεί τη βάση για την εφαρμογή της στρατηγικής του ΔΕΕ για το σύστημα οικολογικής διαχείρισης και οικολογικού ελέγχου, χάρη στα μέτρα εξοικονόμησης ενέργειας και στη βελτιστοποίηση των υποδομών θέρμανσης, ψύξης και φωτισμού· σημειώνει ότι η κατανάλωση θέρμανσης μειώθηκε κατά 33,5 %, η ηλεκτρική ενέργεια κατά 28,7 %, το νερό κατά 20,1 %, το χαρτί γραφείου κατά 63 %, τα απόβλητα γραφείων και κυλικείων κατά 43 % και οι εκπομπές αερίων του θερμοκηπίου κατά 30,2 % το 2023 σε σύγκριση με το 2015· σημειώνει ότι το ΔΕΕ εφάρμοσε κριτήρια για τις πράσινες δημόσιες συμβάσεις σε 10 προσκλήσεις υποβολής προσφορών άνω των </w:t>
            </w:r>
            <w:r>
              <w:rPr>
                <w:b/>
                <w:i/>
              </w:rPr>
              <w:t>60 000</w:t>
            </w:r>
            <w:r>
              <w:t>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 α.</w:t>
            </w:r>
            <w:r>
              <w:tab/>
            </w:r>
            <w:r>
              <w:rPr>
                <w:b/>
                <w:i/>
              </w:rPr>
              <w:t>ζητεί από το θεσμικό όργανο να διατυπώσει συστάσεις προς το Ευρωπαϊκό Κοινοβούλιο και την Επιτροπή Ελέγχου του Προϋπολογισμού σχετικά με νέους τρόπους καταπολέμησης των παραπτωμάτων και της κατάχρησης κονδυλίων της ΕΕ με βάση τη δική τους θεσμική εμπειρία και τα διδάγματα που αντλήθηκαν από υποθέσεις στο παρελθόν, και να ανταλλάξει βέλτιστες πρακτικές, καθώς έχει αποδειχθεί ότι τα οικονομικά συμφέροντα της Ευρωπαϊκής Ένωσης δεν προστατεύονταν επαρκώς στο Ευρωπαϊκό Κοινοβούλιο·</w:t>
            </w:r>
            <w:r>
              <w:t xml:space="preserve"> </w:t>
            </w:r>
            <w:r>
              <w:rPr>
                <w:b/>
                <w:i/>
              </w:rPr>
              <w:t>όπως αποκαλύφθηκε από την ποινική υπόθεση και τις έρευνες, πιστεύει ότι το Κοινοβούλιο θα μπορούσε να επωφεληθεί από μια νέα σχετική προοπτική και από τη συμβολή του θεσμικού οργάνου·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σημειώνει ότι, σύμφωνα με τη δήλωση του ΔΕΕ με τίτλο «Στήριξη του Ευρωπαϊκού Δικτύου Κατάρτισης Δικαστικών (ΕΔΚΔ) για τη διαμόρφωση μιας βιώσιμης ευρωπαϊκής δικαστικής κουλτούρας», το ΔΕΕ και το ΕΔΚΔ επιδίωξαν να αυξήσουν την πολυμορφία των μακροχρόνια ασκουμένων το 2023, με απώτερο στόχο την αύξηση του αριθμού τους σε έναν ανά κράτος μέλος· σημειώνει ότι προσφέρθηκαν 15 θέσεις πρακτικής άσκησης για το έτος 2023-24·</w:t>
            </w:r>
          </w:p>
        </w:tc>
        <w:tc>
          <w:tcPr>
            <w:tcW w:w="4876" w:type="dxa"/>
            <w:tcBorders>
              <w:top w:val="nil"/>
              <w:left w:val="nil"/>
              <w:bottom w:val="nil"/>
              <w:right w:val="nil"/>
            </w:tcBorders>
          </w:tcPr>
          <w:p>
            <w:pPr>
              <w:pStyle w:val="Normal6a"/>
            </w:pPr>
            <w:r>
              <w:t>51.</w:t>
            </w:r>
            <w:r>
              <w:tab/>
            </w:r>
            <w:r>
              <w:t xml:space="preserve">σημειώνει </w:t>
            </w:r>
            <w:r>
              <w:rPr>
                <w:b/>
                <w:i/>
              </w:rPr>
              <w:t>με ικανοποίηση</w:t>
            </w:r>
            <w:r>
              <w:t xml:space="preserve"> ότι, σύμφωνα με τη δήλωση του ΔΕΕ με τίτλο «Στήριξη του Ευρωπαϊκού Δικτύου Κατάρτισης Δικαστικών (ΕΔΚΔ) για τη διαμόρφωση μιας βιώσιμης ευρωπαϊκής δικαστικής κουλτούρας», το ΔΕΕ και το ΕΔΚΔ επιδίωξαν να αυξήσουν την πολυμορφία των μακροχρόνια ασκουμένων το 2023, με απώτερο στόχο την αύξηση του αριθμού τους σε έναν ανά κράτος μέλος· σημειώνει ότι προσφέρθηκαν 15 θέσεις </w:t>
            </w:r>
            <w:r>
              <w:rPr>
                <w:b/>
                <w:i/>
              </w:rPr>
              <w:t>αμειβόμενης</w:t>
            </w:r>
            <w:r>
              <w:t xml:space="preserve"> πρακτικής άσκησης για το έτος 2023-24· </w:t>
            </w:r>
            <w:r>
              <w:rPr>
                <w:b/>
                <w:i/>
              </w:rPr>
              <w:t>υποστηρίζει ότι η πρακτική άσκηση θα πρέπει να αμείβεται σύμφωνα με το ψήφισμα του Ευρωπαϊκού Κοινοβουλίου της 14ης Ιουνίου 2023 για ποιοτικές θέσεις πρακτικής άσκησης στην Ένωση (2020/2005 INL), στο οποίο διατυπώνεται το αίτημα να αμείβονται όλοι οι ασκούμενοι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σημειώνει ότι, σύμφωνα με τη δήλωση του ΔΕΕ με τίτλο «Στήριξη του Ευρωπαϊκού Δικτύου Κατάρτισης Δικαστικών (ΕΔΚΔ) για τη διαμόρφωση μιας βιώσιμης ευρωπαϊκής δικαστικής κουλτούρας», το ΔΕΕ και το ΕΔΚΔ επιδίωξαν να αυξήσουν την πολυμορφία των μακροχρόνια ασκουμένων το 2023, με απώτερο στόχο την αύξηση του αριθμού τους σε έναν ανά κράτος μέλος· σημειώνει ότι προσφέρθηκαν 15 θέσεις πρακτικής άσκησης για το έτος 2023-24·</w:t>
            </w:r>
          </w:p>
        </w:tc>
        <w:tc>
          <w:tcPr>
            <w:tcW w:w="4876" w:type="dxa"/>
            <w:tcBorders>
              <w:top w:val="nil"/>
              <w:left w:val="nil"/>
              <w:bottom w:val="nil"/>
              <w:right w:val="nil"/>
            </w:tcBorders>
          </w:tcPr>
          <w:p>
            <w:pPr>
              <w:pStyle w:val="Normal6a"/>
            </w:pPr>
            <w:r>
              <w:t>51.</w:t>
            </w:r>
            <w:r>
              <w:tab/>
            </w:r>
            <w:r>
              <w:t xml:space="preserve">σημειώνει ότι, σύμφωνα με τη δήλωση του ΔΕΕ με τίτλο «Στήριξη του Ευρωπαϊκού Δικτύου Κατάρτισης Δικαστικών (ΕΔΚΔ) για τη διαμόρφωση μιας βιώσιμης ευρωπαϊκής δικαστικής κουλτούρας», το ΔΕΕ και το ΕΔΚΔ επιδίωξαν να αυξήσουν την πολυμορφία των μακροχρόνια ασκουμένων το 2023, με απώτερο στόχο την αύξηση του αριθμού τους σε έναν ανά κράτος μέλος· σημειώνει ότι </w:t>
            </w:r>
            <w:r>
              <w:rPr>
                <w:b/>
                <w:i/>
              </w:rPr>
              <w:t>τα μέτρα που ελήφθησαν έχουν ήδη σημειώσει επιτυχία, δεδομένου ότι το ΔΕΕ έχει ασκούμενους από ορισμένα κράτη μέλη τα οποία προηγουμένως δεν συμμετείχαν ενεργά στο πρόγραμμα·</w:t>
            </w:r>
            <w:r>
              <w:t xml:space="preserve"> </w:t>
            </w:r>
            <w:r>
              <w:rPr>
                <w:b/>
                <w:i/>
              </w:rPr>
              <w:t>σημειώνει ότι</w:t>
            </w:r>
            <w:r>
              <w:t xml:space="preserve"> προσφέρθηκαν 15 θέσεις πρακτικής άσκησης για το έτος 2023-24·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α.</w:t>
            </w:r>
            <w:r>
              <w:tab/>
            </w:r>
            <w:r>
              <w:rPr>
                <w:b/>
                <w:i/>
              </w:rPr>
              <w:t>χαιρετίζει τις προσπάθειες του Ευρωπαϊκού Δικτύου Κατάρτισης Δικαστικών (ΕΔΚΔ) για την κατάρτιση εθνικών δικαστών σχετικά με το δίκαιο της ΕΕ·</w:t>
            </w:r>
            <w:r>
              <w:t xml:space="preserve"> </w:t>
            </w:r>
            <w:r>
              <w:rPr>
                <w:b/>
                <w:i/>
              </w:rPr>
              <w:t>καλεί το ΔΕΕ να αναπτύξει περαιτέρω τις πρωτοβουλίες του για την ανταλλαγή γνώσεων, συμπεριλαμβανομένων κοινών βάσεων δεδομένων νομολογίας και εικονικών πλατφορμών συνεργασίας για την υποστήριξη των εθνικών δικαστηρίων σε πολύπλοκες νομικές ερμηνείες·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α.</w:t>
            </w:r>
            <w:r>
              <w:tab/>
            </w:r>
            <w:r>
              <w:rPr>
                <w:b/>
                <w:i/>
              </w:rPr>
              <w:t>εκφράζει την ικανοποίησή του για το γεγονός ότι επί του παρόντος δεν υπάρχουν μη αμειβόμενοι ασκούμενοι και όλοι λαμβάνουν επιχορήγηση κατά τη διάρκεια της διαμονής τους, κυρίως από το ΔΕΕ και, σε ορισμένες ειδικές περιπτώσεις, από άλλες πηγές·</w:t>
            </w:r>
            <w:r>
              <w:t xml:space="preserve"> </w:t>
            </w:r>
            <w:r>
              <w:rPr>
                <w:b/>
                <w:i/>
              </w:rPr>
              <w:t>σημειώνει ότι το ΔΕΕ δέχεται μόνο λίγους ασκούμενους (λιγότερους από 10 ετησίως) που αμείβονται από άλλες πηγές και για σύντομα χρονικά διαστήματα (κατά μέσο όρο 2 μήνες)·</w:t>
            </w:r>
            <w:r>
              <w:t xml:space="preserve"> </w:t>
            </w:r>
            <w:r>
              <w:rPr>
                <w:b/>
                <w:i/>
              </w:rPr>
              <w:t>εκφράζει την ικανοποίησή του για το γεγονός ότι, στις περιπτώσεις αυτές, η διοίκηση του ΔΕΕ ελέγχει προσεκτικά ότι οι εν λόγω ασκούμενοι λαμβάνουν πράγματι επιχορήγηση, επίδομα ή αμοιβή για την εν λόγω πρακτική άσκηση, η οποία καταβάλλεται απευθείας από τον εργοδότη ή το ακαδημαϊκό τους ίδρυμα·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σημειώνει ότι, το 2023, το ΔΕΕ συνέχισε να εργάζεται για τη διατήρηση του καθιερωμένου διαλόγου με τα εθνικά δικαστήρια, και ιδίως με τα συνταγματικά και ανώτατα δικαστήρια, και ότι το ΔΕΕ φιλοξένησε σειρά συνεδριάσεων, συμπεριλαμβανομένης της ετήσιας συνεδρίασης των εθνικών δικαστών·</w:t>
            </w:r>
          </w:p>
        </w:tc>
        <w:tc>
          <w:tcPr>
            <w:tcW w:w="4876" w:type="dxa"/>
            <w:tcBorders>
              <w:top w:val="nil"/>
              <w:left w:val="nil"/>
              <w:bottom w:val="nil"/>
              <w:right w:val="nil"/>
            </w:tcBorders>
          </w:tcPr>
          <w:p>
            <w:pPr>
              <w:pStyle w:val="Normal6a"/>
            </w:pPr>
            <w:r>
              <w:t>52.</w:t>
            </w:r>
            <w:r>
              <w:tab/>
            </w:r>
            <w:r>
              <w:rPr>
                <w:b/>
                <w:i/>
              </w:rPr>
              <w:t>εκτιμά το γεγονός ότι το ΔΕΕ συνεργάζεται πλήρως με την OLAF, το Ελεγκτικό Συνέδριο, τον ΕΕΠΔ και τον Ευρωπαίο Διαμεσολαβητή·</w:t>
            </w:r>
            <w:r>
              <w:t xml:space="preserve"> σημειώνει ότι, το 2023, το ΔΕΕ συνέχισε να εργάζεται για τη διατήρηση του καθιερωμένου διαλόγου με τα εθνικά δικαστήρια, και ιδίως με τα συνταγματικά και ανώτατα δικαστήρια, και ότι το ΔΕΕ φιλοξένησε σειρά συνεδριάσεων, συμπεριλαμβανομένης της ετήσιας συνεδρίασης των εθνικών δικαστών·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α.</w:t>
            </w:r>
            <w:r>
              <w:tab/>
            </w:r>
            <w:r>
              <w:rPr>
                <w:b/>
                <w:i/>
              </w:rPr>
              <w:t>ενθαρρύνει τη βαθύτερη συνεργασία μεταξύ του ΔΕΕ και των εθνικών δικαστηρίων για την ενίσχυση της ομοιόμορφης εφαρμογής του δικαίου της Ένωσης·</w:t>
            </w:r>
            <w:r>
              <w:t xml:space="preserve"> </w:t>
            </w:r>
            <w:r>
              <w:rPr>
                <w:b/>
                <w:i/>
              </w:rPr>
              <w:t>συνιστά τη θέσπιση μόνιμου προγράμματος δικαστικής ανταλλαγής για δικαστές από τα κράτη μέλη ώστε να συνεργάζονται με τους ομολόγους τους από το ΔΕΕ, προωθώντας βέλτιστες πρακτικές στην ερμηνεία του δικαίου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α.</w:t>
            </w:r>
            <w:r>
              <w:tab/>
            </w:r>
            <w:r>
              <w:rPr>
                <w:b/>
                <w:i/>
              </w:rPr>
              <w:t>καλεί το θεσμικό όργανο να απόσχει από την προώθηση, τη διάδοση και την υποστήριξη της ιδεολογίας του φύλου και της woke ιδεολογίας, να τηρεί τη Συνθήκη και τις διατάξεις της, καθώς και να σέβεται τις εθνικές ταυτότητες των κρατών μελών, οι οποίες είναι σύμφυτες με τις θεμελιώδεις δομές, την ιστορία, τη θρησκεία και τις παραδόσεις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AM\1314487EL.docx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AM\1314487EL.docx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AM\1314487EL.docx</w:t>
    </w:r>
    <w:r>
      <w:rPr>
        <w:rStyle w:val="HideTWBExt"/>
      </w:rPr>
      <w:t>&lt;/PathFdR&gt;</w:t>
    </w:r>
    <w:r>
      <w:tab/>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12398</Words>
  <Characters>71240</Characters>
  <Application>Microsoft Office Word</Application>
  <DocSecurity>0</DocSecurity>
  <Lines>1</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1314487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129194</vt:lpwstr>
  </property>
  <property fmtid="{D5CDD505-2E9C-101B-9397-08002B2CF9AE}" pid="7" name="dmxml.render.traceId">
    <vt:lpwstr>67b44117a0f6e8038b7b88c04a4abf7e</vt:lpwstr>
  </property>
  <property fmtid="{D5CDD505-2E9C-101B-9397-08002B2CF9AE}" pid="8" name="FooterPath">
    <vt:lpwstr>AM\1314487EL.docx</vt:lpwstr>
  </property>
  <property fmtid="{D5CDD505-2E9C-101B-9397-08002B2CF9AE}" pid="9" name="PE Number">
    <vt:lpwstr>768.136</vt:lpwstr>
  </property>
  <property fmtid="{D5CDD505-2E9C-101B-9397-08002B2CF9AE}" pid="10" name="UID">
    <vt:lpwstr>eu.europa.europarl-DIN1-2025-0000019342_01.00-el-01.00_text-xml</vt:lpwstr>
  </property>
</Properties>
</file>