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0B6ECF" w:rsidRPr="00E15500" w14:paraId="1FCC8F8D" w14:textId="77777777" w:rsidTr="00AC2424">
        <w:trPr>
          <w:trHeight w:hRule="exact" w:val="1417"/>
          <w:jc w:val="center"/>
        </w:trPr>
        <w:tc>
          <w:tcPr>
            <w:tcW w:w="6804" w:type="dxa"/>
            <w:tcBorders>
              <w:top w:val="nil"/>
              <w:left w:val="nil"/>
              <w:bottom w:val="nil"/>
              <w:right w:val="nil"/>
            </w:tcBorders>
            <w:vAlign w:val="center"/>
          </w:tcPr>
          <w:p w14:paraId="271A5A06" w14:textId="77777777" w:rsidR="000B6ECF" w:rsidRPr="00E15500" w:rsidRDefault="000B6ECF" w:rsidP="00AC2424">
            <w:pPr>
              <w:pStyle w:val="EPName"/>
            </w:pPr>
            <w:bookmarkStart w:id="0" w:name="_GoBack"/>
            <w:bookmarkEnd w:id="0"/>
            <w:r w:rsidRPr="00E15500">
              <w:t>Parlamento europeo</w:t>
            </w:r>
          </w:p>
          <w:p w14:paraId="38FC4FED" w14:textId="77777777" w:rsidR="000B6ECF" w:rsidRPr="00E15500" w:rsidRDefault="000B6ECF" w:rsidP="00AC2424">
            <w:pPr>
              <w:pStyle w:val="EPTerm"/>
            </w:pPr>
            <w:r w:rsidRPr="00E15500">
              <w:t>2024/2029</w:t>
            </w:r>
          </w:p>
        </w:tc>
        <w:tc>
          <w:tcPr>
            <w:tcW w:w="2268" w:type="dxa"/>
            <w:tcBorders>
              <w:top w:val="nil"/>
              <w:left w:val="nil"/>
              <w:bottom w:val="nil"/>
              <w:right w:val="nil"/>
            </w:tcBorders>
          </w:tcPr>
          <w:p w14:paraId="42931655" w14:textId="77777777" w:rsidR="000B6ECF" w:rsidRPr="00E15500" w:rsidRDefault="000B6ECF" w:rsidP="00AC2424">
            <w:pPr>
              <w:pStyle w:val="EPLogo"/>
            </w:pPr>
            <w:r w:rsidRPr="00E15500">
              <w:rPr>
                <w:noProof/>
                <w:lang w:val="en-GB" w:eastAsia="en-GB"/>
              </w:rPr>
              <w:drawing>
                <wp:inline distT="0" distB="0" distL="0" distR="0" wp14:anchorId="6D5BD51A" wp14:editId="770B43CC">
                  <wp:extent cx="1163955" cy="635635"/>
                  <wp:effectExtent l="0" t="0" r="0" b="0"/>
                  <wp:docPr id="1314429535" name="Picture 1" descr="A circular maze with a blue flag and yellow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429535" name="Picture 1" descr="A circular maze with a blue flag and yellow sta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3955" cy="635635"/>
                          </a:xfrm>
                          <a:prstGeom prst="rect">
                            <a:avLst/>
                          </a:prstGeom>
                          <a:noFill/>
                          <a:ln>
                            <a:noFill/>
                          </a:ln>
                        </pic:spPr>
                      </pic:pic>
                    </a:graphicData>
                  </a:graphic>
                </wp:inline>
              </w:drawing>
            </w:r>
          </w:p>
        </w:tc>
      </w:tr>
    </w:tbl>
    <w:p w14:paraId="05ABD171" w14:textId="77777777" w:rsidR="000B6ECF" w:rsidRPr="00E15500" w:rsidRDefault="000B6ECF" w:rsidP="000B6ECF">
      <w:pPr>
        <w:pStyle w:val="LineTop"/>
      </w:pPr>
      <w:r w:rsidRPr="00E15500">
        <w:t xml:space="preserve"> </w:t>
      </w:r>
    </w:p>
    <w:p w14:paraId="2B8E9EE3" w14:textId="77777777" w:rsidR="000B6ECF" w:rsidRPr="00E15500" w:rsidRDefault="000B6ECF" w:rsidP="000B6ECF">
      <w:pPr>
        <w:pStyle w:val="EPBody"/>
      </w:pPr>
      <w:r w:rsidRPr="00E15500">
        <w:rPr>
          <w:rStyle w:val="HideTWBExt"/>
        </w:rPr>
        <w:t>&lt;Commission&gt;</w:t>
      </w:r>
      <w:r w:rsidRPr="00E15500">
        <w:rPr>
          <w:rStyle w:val="HideTWBInt"/>
        </w:rPr>
        <w:t>{CONT}</w:t>
      </w:r>
      <w:r w:rsidRPr="00E15500">
        <w:t>Commissione per il controllo dei bilanci</w:t>
      </w:r>
      <w:r w:rsidRPr="00E15500">
        <w:rPr>
          <w:rStyle w:val="HideTWBExt"/>
        </w:rPr>
        <w:t>&lt;/Commission&gt;</w:t>
      </w:r>
    </w:p>
    <w:p w14:paraId="19724535" w14:textId="77777777" w:rsidR="000B6ECF" w:rsidRPr="00E15500" w:rsidRDefault="000B6ECF" w:rsidP="000B6ECF">
      <w:pPr>
        <w:pStyle w:val="LineBottom"/>
      </w:pPr>
      <w:r w:rsidRPr="00E15500">
        <w:t xml:space="preserve"> </w:t>
      </w:r>
    </w:p>
    <w:p w14:paraId="4FD5B475" w14:textId="77777777" w:rsidR="000B6ECF" w:rsidRPr="00E15500" w:rsidRDefault="000B6ECF" w:rsidP="000B6ECF">
      <w:pPr>
        <w:pStyle w:val="CoverReference"/>
      </w:pPr>
      <w:r w:rsidRPr="00E15500">
        <w:rPr>
          <w:rStyle w:val="HideTWBExt"/>
        </w:rPr>
        <w:t>&lt;RefProc&gt;</w:t>
      </w:r>
      <w:r w:rsidRPr="00E15500">
        <w:t>2024/2022</w:t>
      </w:r>
      <w:r w:rsidRPr="00E15500">
        <w:rPr>
          <w:rStyle w:val="HideTWBExt"/>
        </w:rPr>
        <w:t>&lt;/RefProc&gt;&lt;RefTypeProc&gt;</w:t>
      </w:r>
      <w:r w:rsidRPr="00E15500">
        <w:t>(DEC)</w:t>
      </w:r>
      <w:r w:rsidRPr="00E15500">
        <w:rPr>
          <w:rStyle w:val="HideTWBExt"/>
        </w:rPr>
        <w:t>&lt;/RefTypeProc&gt;</w:t>
      </w:r>
    </w:p>
    <w:p w14:paraId="5478BACE" w14:textId="77777777" w:rsidR="000B6ECF" w:rsidRPr="00E15500" w:rsidRDefault="000B6ECF" w:rsidP="000B6ECF">
      <w:pPr>
        <w:pStyle w:val="CoverDate"/>
      </w:pPr>
      <w:r w:rsidRPr="00E15500">
        <w:rPr>
          <w:rStyle w:val="HideTWBExt"/>
        </w:rPr>
        <w:t>&lt;Date&gt;</w:t>
      </w:r>
      <w:r w:rsidRPr="00E15500">
        <w:rPr>
          <w:rStyle w:val="HideTWBInt"/>
        </w:rPr>
        <w:t>{11/02/2025}</w:t>
      </w:r>
      <w:r w:rsidRPr="00E15500">
        <w:t>11.2.2025</w:t>
      </w:r>
      <w:r w:rsidRPr="00E15500">
        <w:rPr>
          <w:rStyle w:val="HideTWBExt"/>
        </w:rPr>
        <w:t>&lt;/Date&gt;</w:t>
      </w:r>
    </w:p>
    <w:p w14:paraId="36A3438F" w14:textId="77777777" w:rsidR="000B6ECF" w:rsidRPr="00E15500" w:rsidRDefault="000B6ECF" w:rsidP="000B6ECF">
      <w:pPr>
        <w:pStyle w:val="CoverDocType"/>
      </w:pPr>
      <w:r w:rsidRPr="00E15500">
        <w:rPr>
          <w:rStyle w:val="HideTWBExt"/>
        </w:rPr>
        <w:t>&lt;TypeAM&gt;</w:t>
      </w:r>
      <w:r w:rsidRPr="00E15500">
        <w:t>EMENDAMENTI</w:t>
      </w:r>
      <w:r w:rsidRPr="00E15500">
        <w:rPr>
          <w:rStyle w:val="HideTWBExt"/>
        </w:rPr>
        <w:t>&lt;/TypeAM&gt;</w:t>
      </w:r>
    </w:p>
    <w:p w14:paraId="30638CCF" w14:textId="77777777" w:rsidR="000B6ECF" w:rsidRPr="00E15500" w:rsidRDefault="000B6ECF" w:rsidP="000B6ECF">
      <w:pPr>
        <w:pStyle w:val="CoverDocType24a"/>
      </w:pPr>
      <w:r w:rsidRPr="00E15500">
        <w:rPr>
          <w:rStyle w:val="HideTWBExt"/>
        </w:rPr>
        <w:t>&lt;RangeAM&gt;</w:t>
      </w:r>
      <w:r w:rsidRPr="00E15500">
        <w:t>1 - 66</w:t>
      </w:r>
      <w:r w:rsidRPr="00E15500">
        <w:rPr>
          <w:rStyle w:val="HideTWBExt"/>
        </w:rPr>
        <w:t>&lt;/RangeAM&gt;</w:t>
      </w:r>
    </w:p>
    <w:p w14:paraId="761D9C17" w14:textId="77777777" w:rsidR="000B6ECF" w:rsidRPr="00E15500" w:rsidRDefault="000B6ECF" w:rsidP="000B6ECF">
      <w:pPr>
        <w:pStyle w:val="CoverBold"/>
      </w:pPr>
      <w:r w:rsidRPr="00E15500">
        <w:rPr>
          <w:rStyle w:val="HideTWBExt"/>
        </w:rPr>
        <w:t>&lt;TitreType&gt;</w:t>
      </w:r>
      <w:r w:rsidRPr="00E15500">
        <w:t>Progetto di relazione</w:t>
      </w:r>
      <w:r w:rsidRPr="00E15500">
        <w:rPr>
          <w:rStyle w:val="HideTWBExt"/>
        </w:rPr>
        <w:t>&lt;/TitreType&gt;</w:t>
      </w:r>
    </w:p>
    <w:p w14:paraId="68FA15B7" w14:textId="77777777" w:rsidR="000B6ECF" w:rsidRPr="00E15500" w:rsidRDefault="000B6ECF" w:rsidP="000B6ECF">
      <w:pPr>
        <w:pStyle w:val="CoverBold"/>
      </w:pPr>
      <w:r w:rsidRPr="00E15500">
        <w:rPr>
          <w:rStyle w:val="HideTWBExt"/>
        </w:rPr>
        <w:t>&lt;Rapporteur&gt;</w:t>
      </w:r>
      <w:r w:rsidRPr="00E15500">
        <w:t>Cristian Terheş</w:t>
      </w:r>
      <w:r w:rsidRPr="00E15500">
        <w:rPr>
          <w:rStyle w:val="HideTWBExt"/>
        </w:rPr>
        <w:t>&lt;/Rapporteur&gt;</w:t>
      </w:r>
    </w:p>
    <w:p w14:paraId="5D1FF4F4" w14:textId="77777777" w:rsidR="000B6ECF" w:rsidRPr="00E15500" w:rsidRDefault="000B6ECF" w:rsidP="000B6ECF">
      <w:pPr>
        <w:pStyle w:val="CoverNormal24a"/>
      </w:pPr>
      <w:r w:rsidRPr="00E15500">
        <w:rPr>
          <w:rStyle w:val="HideTWBExt"/>
        </w:rPr>
        <w:t>&lt;DocRefPE&gt;</w:t>
      </w:r>
      <w:r w:rsidRPr="00E15500">
        <w:t>(PE764.996v02-00)</w:t>
      </w:r>
      <w:r w:rsidRPr="00E15500">
        <w:rPr>
          <w:rStyle w:val="HideTWBExt"/>
        </w:rPr>
        <w:t>&lt;/DocRefPE&gt;</w:t>
      </w:r>
    </w:p>
    <w:p w14:paraId="2E052EED" w14:textId="77777777" w:rsidR="000B6ECF" w:rsidRPr="00E15500" w:rsidRDefault="000B6ECF" w:rsidP="000B6ECF">
      <w:pPr>
        <w:pStyle w:val="CoverNormal"/>
      </w:pPr>
      <w:r w:rsidRPr="00E15500">
        <w:rPr>
          <w:rStyle w:val="HideTWBExt"/>
        </w:rPr>
        <w:t>&lt;Titre&gt;</w:t>
      </w:r>
      <w:r w:rsidRPr="00E15500">
        <w:t>sul discarico per l'esecuzione del bilancio generale dell'Unione europea per l'esercizio 2023, sezione IV – Corte di giustizia</w:t>
      </w:r>
      <w:r w:rsidRPr="00E15500">
        <w:rPr>
          <w:rStyle w:val="HideTWBExt"/>
        </w:rPr>
        <w:t>&lt;/Titre&gt;</w:t>
      </w:r>
    </w:p>
    <w:p w14:paraId="17E5FE5C" w14:textId="77777777" w:rsidR="000B6ECF" w:rsidRPr="00AC2424" w:rsidRDefault="000B6ECF" w:rsidP="000B6ECF">
      <w:pPr>
        <w:pStyle w:val="CoverNormal24a"/>
        <w:rPr>
          <w:lang w:val="pt-PT"/>
        </w:rPr>
      </w:pPr>
      <w:r w:rsidRPr="00AC2424">
        <w:rPr>
          <w:rStyle w:val="HideTWBExt"/>
          <w:lang w:val="pt-PT"/>
        </w:rPr>
        <w:t>&lt;DocRef&gt;</w:t>
      </w:r>
      <w:r w:rsidRPr="00AC2424">
        <w:rPr>
          <w:lang w:val="pt-PT"/>
        </w:rPr>
        <w:t>(2024/2022(DEC))</w:t>
      </w:r>
      <w:r w:rsidRPr="00AC2424">
        <w:rPr>
          <w:rStyle w:val="HideTWBExt"/>
          <w:lang w:val="pt-PT"/>
        </w:rPr>
        <w:t>&lt;/DocRef&gt;</w:t>
      </w:r>
    </w:p>
    <w:p w14:paraId="5536E997" w14:textId="77777777" w:rsidR="007A11F7" w:rsidRPr="00AC2424" w:rsidRDefault="002F7FAB">
      <w:pPr>
        <w:rPr>
          <w:lang w:val="pt-PT"/>
        </w:rPr>
      </w:pPr>
      <w:r w:rsidRPr="00AC2424">
        <w:rPr>
          <w:lang w:val="pt-PT"/>
        </w:rPr>
        <w:br w:type="page"/>
      </w:r>
      <w:r w:rsidRPr="00AC2424">
        <w:rPr>
          <w:lang w:val="pt-PT"/>
        </w:rPr>
        <w:lastRenderedPageBreak/>
        <w:t>AM_Com_NonLegReport</w:t>
      </w:r>
    </w:p>
    <w:p w14:paraId="307D260E" w14:textId="36A16C16" w:rsidR="000B6ECF" w:rsidRPr="00AC2424" w:rsidRDefault="002F7FAB" w:rsidP="000B6ECF">
      <w:pPr>
        <w:pStyle w:val="AmNumberTabs"/>
        <w:rPr>
          <w:lang w:val="pt-PT"/>
        </w:rPr>
      </w:pPr>
      <w:r w:rsidRPr="00AC2424">
        <w:rPr>
          <w:lang w:val="pt-PT"/>
        </w:rPr>
        <w:br w:type="page"/>
      </w:r>
      <w:r w:rsidR="000B6ECF" w:rsidRPr="00AC2424">
        <w:rPr>
          <w:rStyle w:val="HideTWBExt"/>
          <w:b w:val="0"/>
          <w:lang w:val="pt-PT"/>
        </w:rPr>
        <w:t>&lt;RepeatBlock-Amend&gt;</w:t>
      </w:r>
      <w:r w:rsidR="000B6ECF" w:rsidRPr="00AC2424">
        <w:rPr>
          <w:rStyle w:val="HideTWBExt"/>
          <w:lang w:val="pt-PT"/>
        </w:rPr>
        <w:t>&lt;Amend&gt;</w:t>
      </w:r>
      <w:r w:rsidR="000B6ECF" w:rsidRPr="00AC2424">
        <w:rPr>
          <w:lang w:val="pt-PT"/>
        </w:rPr>
        <w:t>Emendamento</w:t>
      </w:r>
      <w:r w:rsidR="000B6ECF" w:rsidRPr="00AC2424">
        <w:rPr>
          <w:lang w:val="pt-PT"/>
        </w:rPr>
        <w:tab/>
      </w:r>
      <w:r w:rsidR="000B6ECF" w:rsidRPr="00AC2424">
        <w:rPr>
          <w:lang w:val="pt-PT"/>
        </w:rPr>
        <w:tab/>
      </w:r>
      <w:r w:rsidR="000B6ECF" w:rsidRPr="00AC2424">
        <w:rPr>
          <w:rStyle w:val="HideTWBExt"/>
          <w:lang w:val="pt-PT"/>
        </w:rPr>
        <w:t>&lt;NumAm&gt;</w:t>
      </w:r>
      <w:r w:rsidR="000B6ECF" w:rsidRPr="00AC2424">
        <w:rPr>
          <w:lang w:val="pt-PT"/>
        </w:rPr>
        <w:t>1</w:t>
      </w:r>
      <w:r w:rsidR="000B6ECF" w:rsidRPr="00AC2424">
        <w:rPr>
          <w:rStyle w:val="HideTWBExt"/>
          <w:lang w:val="pt-PT"/>
        </w:rPr>
        <w:t>&lt;/NumAm&gt;</w:t>
      </w:r>
    </w:p>
    <w:p w14:paraId="4C29C6B2" w14:textId="77777777" w:rsidR="000B6ECF" w:rsidRPr="00AC2424" w:rsidRDefault="000B6ECF" w:rsidP="000B6ECF">
      <w:pPr>
        <w:pStyle w:val="NormalBold"/>
        <w:rPr>
          <w:lang w:val="pt-PT"/>
        </w:rPr>
      </w:pPr>
      <w:r w:rsidRPr="00AC2424">
        <w:rPr>
          <w:rStyle w:val="HideTWBExt"/>
          <w:b w:val="0"/>
          <w:lang w:val="pt-PT"/>
        </w:rPr>
        <w:t>&lt;RepeatBlock-By&gt;&lt;Members&gt;</w:t>
      </w:r>
      <w:r w:rsidRPr="00AC2424">
        <w:rPr>
          <w:lang w:val="pt-PT"/>
        </w:rPr>
        <w:t>Csaba Molnár, Claudiu Manda, Marit Maij, Eero Heinäluoma</w:t>
      </w:r>
      <w:r w:rsidRPr="00AC2424">
        <w:rPr>
          <w:rStyle w:val="HideTWBExt"/>
          <w:b w:val="0"/>
          <w:lang w:val="pt-PT"/>
        </w:rPr>
        <w:t>&lt;/Members&gt;</w:t>
      </w:r>
    </w:p>
    <w:p w14:paraId="79B86BCF" w14:textId="77777777" w:rsidR="000B6ECF" w:rsidRPr="00AC2424" w:rsidRDefault="000B6ECF" w:rsidP="000B6ECF">
      <w:pPr>
        <w:pStyle w:val="NormalBold"/>
        <w:rPr>
          <w:lang w:val="pt-PT"/>
        </w:rPr>
      </w:pPr>
      <w:r w:rsidRPr="00AC2424">
        <w:rPr>
          <w:rStyle w:val="HideTWBExt"/>
          <w:b w:val="0"/>
          <w:lang w:val="pt-PT"/>
        </w:rPr>
        <w:t>&lt;/RepeatBlock-By&gt;</w:t>
      </w:r>
    </w:p>
    <w:p w14:paraId="330CD98A"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0F0247FF" w14:textId="77777777" w:rsidR="000B6ECF" w:rsidRPr="00E15500" w:rsidRDefault="000B6ECF" w:rsidP="000B6ECF">
      <w:pPr>
        <w:pStyle w:val="NormalBold"/>
      </w:pPr>
      <w:r w:rsidRPr="00E15500">
        <w:rPr>
          <w:rStyle w:val="HideTWBExt"/>
        </w:rPr>
        <w:t>&lt;Article&gt;</w:t>
      </w:r>
      <w:r w:rsidRPr="00E15500">
        <w:t>Considerando C</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7B168FFD" w14:textId="77777777" w:rsidTr="00AC2424">
        <w:trPr>
          <w:trHeight w:hRule="exact" w:val="240"/>
          <w:jc w:val="center"/>
        </w:trPr>
        <w:tc>
          <w:tcPr>
            <w:tcW w:w="9752" w:type="dxa"/>
            <w:gridSpan w:val="2"/>
            <w:tcBorders>
              <w:top w:val="nil"/>
              <w:left w:val="nil"/>
              <w:bottom w:val="nil"/>
              <w:right w:val="nil"/>
            </w:tcBorders>
          </w:tcPr>
          <w:p w14:paraId="6590B257" w14:textId="77777777" w:rsidR="000B6ECF" w:rsidRPr="00E15500" w:rsidRDefault="000B6ECF" w:rsidP="00AC2424"/>
        </w:tc>
      </w:tr>
      <w:tr w:rsidR="000B6ECF" w:rsidRPr="00E15500" w14:paraId="3937B5B9" w14:textId="77777777" w:rsidTr="00AC2424">
        <w:trPr>
          <w:trHeight w:val="240"/>
          <w:jc w:val="center"/>
        </w:trPr>
        <w:tc>
          <w:tcPr>
            <w:tcW w:w="4876" w:type="dxa"/>
            <w:tcBorders>
              <w:top w:val="nil"/>
              <w:left w:val="nil"/>
              <w:bottom w:val="nil"/>
              <w:right w:val="nil"/>
            </w:tcBorders>
          </w:tcPr>
          <w:p w14:paraId="2B9EDBB1"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085ED5AB" w14:textId="77777777" w:rsidR="000B6ECF" w:rsidRPr="00E15500" w:rsidRDefault="000B6ECF" w:rsidP="00AC2424">
            <w:pPr>
              <w:pStyle w:val="AmColumnHeading"/>
            </w:pPr>
            <w:r w:rsidRPr="00E15500">
              <w:t>Emendamento</w:t>
            </w:r>
          </w:p>
        </w:tc>
      </w:tr>
      <w:tr w:rsidR="000B6ECF" w:rsidRPr="00E15500" w14:paraId="30EEFDA2" w14:textId="77777777" w:rsidTr="00AC2424">
        <w:trPr>
          <w:jc w:val="center"/>
        </w:trPr>
        <w:tc>
          <w:tcPr>
            <w:tcW w:w="4876" w:type="dxa"/>
            <w:tcBorders>
              <w:top w:val="nil"/>
              <w:left w:val="nil"/>
              <w:bottom w:val="nil"/>
              <w:right w:val="nil"/>
            </w:tcBorders>
          </w:tcPr>
          <w:p w14:paraId="29434151" w14:textId="77777777" w:rsidR="000B6ECF" w:rsidRPr="00E15500" w:rsidRDefault="000B6ECF" w:rsidP="00AC2424">
            <w:pPr>
              <w:pStyle w:val="Normal6a"/>
            </w:pPr>
            <w:r w:rsidRPr="00E15500">
              <w:rPr>
                <w:b/>
                <w:i/>
              </w:rPr>
              <w:t>C.</w:t>
            </w:r>
            <w:r w:rsidRPr="00E15500">
              <w:tab/>
            </w:r>
            <w:r w:rsidRPr="00E15500">
              <w:rPr>
                <w:b/>
                <w:i/>
              </w:rPr>
              <w:t>considerando che l'articolo 4, paragrafo 2, del trattato sull'Unione europea stabilisce che "L'Unione rispetta l'uguaglianza degli Stati membri davanti ai trattati e la loro identità nazionale insita nella loro struttura fondamentale, politica e costituzionale, compreso il sistema delle autonomie locali e regionali. Rispetta le funzioni essenziali dello Stato [...]";</w:t>
            </w:r>
          </w:p>
        </w:tc>
        <w:tc>
          <w:tcPr>
            <w:tcW w:w="4876" w:type="dxa"/>
            <w:tcBorders>
              <w:top w:val="nil"/>
              <w:left w:val="nil"/>
              <w:bottom w:val="nil"/>
              <w:right w:val="nil"/>
            </w:tcBorders>
          </w:tcPr>
          <w:p w14:paraId="142D825E" w14:textId="77777777" w:rsidR="000B6ECF" w:rsidRPr="00E15500" w:rsidRDefault="000B6ECF" w:rsidP="00AC2424">
            <w:pPr>
              <w:pStyle w:val="Normal6a"/>
            </w:pPr>
            <w:r w:rsidRPr="00E15500">
              <w:rPr>
                <w:b/>
                <w:i/>
              </w:rPr>
              <w:t>soppresso</w:t>
            </w:r>
          </w:p>
        </w:tc>
      </w:tr>
    </w:tbl>
    <w:p w14:paraId="5B84ED24"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158A6E40" w14:textId="77777777" w:rsidR="000B6ECF" w:rsidRPr="00E15500" w:rsidRDefault="000B6ECF" w:rsidP="000B6ECF">
      <w:r w:rsidRPr="00E15500">
        <w:rPr>
          <w:rStyle w:val="HideTWBExt"/>
        </w:rPr>
        <w:t>&lt;/Amend&gt;</w:t>
      </w:r>
    </w:p>
    <w:p w14:paraId="0DAD4D1C"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2</w:t>
      </w:r>
      <w:r w:rsidRPr="00E15500">
        <w:rPr>
          <w:rStyle w:val="HideTWBExt"/>
        </w:rPr>
        <w:t>&lt;/NumAm&gt;</w:t>
      </w:r>
    </w:p>
    <w:p w14:paraId="4C73D641" w14:textId="77777777" w:rsidR="000B6ECF" w:rsidRPr="00AC2424" w:rsidRDefault="000B6ECF" w:rsidP="000B6ECF">
      <w:pPr>
        <w:pStyle w:val="NormalBold"/>
        <w:rPr>
          <w:lang w:val="de-DE"/>
        </w:rPr>
      </w:pPr>
      <w:r w:rsidRPr="00AC2424">
        <w:rPr>
          <w:rStyle w:val="HideTWBExt"/>
          <w:b w:val="0"/>
          <w:lang w:val="de-DE"/>
        </w:rPr>
        <w:t>&lt;RepeatBlock-By&gt;&lt;Members&gt;</w:t>
      </w:r>
      <w:r w:rsidRPr="00AC2424">
        <w:rPr>
          <w:lang w:val="de-DE"/>
        </w:rPr>
        <w:t>Virginie Joron, Tamás Deutsch, Julien Sanchez</w:t>
      </w:r>
      <w:r w:rsidRPr="00AC2424">
        <w:rPr>
          <w:rStyle w:val="HideTWBExt"/>
          <w:b w:val="0"/>
          <w:lang w:val="de-DE"/>
        </w:rPr>
        <w:t>&lt;/Members&gt;</w:t>
      </w:r>
    </w:p>
    <w:p w14:paraId="12EF6677" w14:textId="77777777" w:rsidR="000B6ECF" w:rsidRPr="00AC2424" w:rsidRDefault="000B6ECF" w:rsidP="000B6ECF">
      <w:pPr>
        <w:pStyle w:val="NormalBold"/>
        <w:rPr>
          <w:lang w:val="de-DE"/>
        </w:rPr>
      </w:pPr>
      <w:r w:rsidRPr="00AC2424">
        <w:rPr>
          <w:rStyle w:val="HideTWBExt"/>
          <w:b w:val="0"/>
          <w:lang w:val="de-DE"/>
        </w:rPr>
        <w:t>&lt;/RepeatBlock-By&gt;</w:t>
      </w:r>
    </w:p>
    <w:p w14:paraId="053A9776"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33D12E22" w14:textId="77777777" w:rsidR="000B6ECF" w:rsidRPr="00E15500" w:rsidRDefault="000B6ECF" w:rsidP="000B6ECF">
      <w:pPr>
        <w:pStyle w:val="NormalBold"/>
      </w:pPr>
      <w:r w:rsidRPr="00E15500">
        <w:rPr>
          <w:rStyle w:val="HideTWBExt"/>
        </w:rPr>
        <w:t>&lt;Article&gt;</w:t>
      </w:r>
      <w:r w:rsidRPr="00E15500">
        <w:t>Paragrafo 2</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0A39B72B" w14:textId="77777777" w:rsidTr="00AC2424">
        <w:trPr>
          <w:trHeight w:hRule="exact" w:val="240"/>
          <w:jc w:val="center"/>
        </w:trPr>
        <w:tc>
          <w:tcPr>
            <w:tcW w:w="9752" w:type="dxa"/>
            <w:gridSpan w:val="2"/>
            <w:tcBorders>
              <w:top w:val="nil"/>
              <w:left w:val="nil"/>
              <w:bottom w:val="nil"/>
              <w:right w:val="nil"/>
            </w:tcBorders>
          </w:tcPr>
          <w:p w14:paraId="7AE3A4E4" w14:textId="77777777" w:rsidR="000B6ECF" w:rsidRPr="00E15500" w:rsidRDefault="000B6ECF" w:rsidP="00AC2424"/>
        </w:tc>
      </w:tr>
      <w:tr w:rsidR="000B6ECF" w:rsidRPr="00E15500" w14:paraId="7C64253E" w14:textId="77777777" w:rsidTr="00AC2424">
        <w:trPr>
          <w:trHeight w:val="240"/>
          <w:jc w:val="center"/>
        </w:trPr>
        <w:tc>
          <w:tcPr>
            <w:tcW w:w="4876" w:type="dxa"/>
            <w:tcBorders>
              <w:top w:val="nil"/>
              <w:left w:val="nil"/>
              <w:bottom w:val="nil"/>
              <w:right w:val="nil"/>
            </w:tcBorders>
          </w:tcPr>
          <w:p w14:paraId="6334954E"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7350C360" w14:textId="77777777" w:rsidR="000B6ECF" w:rsidRPr="00E15500" w:rsidRDefault="000B6ECF" w:rsidP="00AC2424">
            <w:pPr>
              <w:pStyle w:val="AmColumnHeading"/>
            </w:pPr>
            <w:r w:rsidRPr="00E15500">
              <w:t>Emendamento</w:t>
            </w:r>
          </w:p>
        </w:tc>
      </w:tr>
      <w:tr w:rsidR="000B6ECF" w:rsidRPr="00E15500" w14:paraId="39682F62" w14:textId="77777777" w:rsidTr="00AC2424">
        <w:trPr>
          <w:jc w:val="center"/>
        </w:trPr>
        <w:tc>
          <w:tcPr>
            <w:tcW w:w="4876" w:type="dxa"/>
            <w:tcBorders>
              <w:top w:val="nil"/>
              <w:left w:val="nil"/>
              <w:bottom w:val="nil"/>
              <w:right w:val="nil"/>
            </w:tcBorders>
          </w:tcPr>
          <w:p w14:paraId="28F5C6F7" w14:textId="77777777" w:rsidR="000B6ECF" w:rsidRPr="00E15500" w:rsidRDefault="000B6ECF" w:rsidP="00AC2424">
            <w:pPr>
              <w:pStyle w:val="Normal6a"/>
            </w:pPr>
            <w:r w:rsidRPr="00E15500">
              <w:t>2.</w:t>
            </w:r>
            <w:r w:rsidRPr="00E15500">
              <w:tab/>
              <w:t>prende atto del fatto che la Corte dei conti (la "Corte"), nella sua relazione annuale per l'esercizio 2023 (la "relazione della Corte"), ha esaminato un campione di 70 operazioni nell'ambito della rubrica "Amministrazione", dieci in più di quelle esaminate nel 2022; prende inoltre atto del fatto che la Corte dichiara che le spese amministrative includono le spese relative alle risorse umane, comprese le pensioni, che nel 2023 hanno rappresentato circa il 70 % delle spese amministrative totali, e le spese concernenti gli immobili, gli impianti e le apparecchiature, l'energia, le comunicazioni e le tecnologie dell'informazione (IT), e che dal lavoro svolto nel corso di molti anni risulta che, nel complesso, questo settore di spesa è a basso rischio;</w:t>
            </w:r>
          </w:p>
        </w:tc>
        <w:tc>
          <w:tcPr>
            <w:tcW w:w="4876" w:type="dxa"/>
            <w:tcBorders>
              <w:top w:val="nil"/>
              <w:left w:val="nil"/>
              <w:bottom w:val="nil"/>
              <w:right w:val="nil"/>
            </w:tcBorders>
          </w:tcPr>
          <w:p w14:paraId="77DECCEA" w14:textId="77777777" w:rsidR="000B6ECF" w:rsidRPr="00E15500" w:rsidRDefault="000B6ECF" w:rsidP="00AC2424">
            <w:pPr>
              <w:pStyle w:val="Normal6a"/>
            </w:pPr>
            <w:r w:rsidRPr="00E15500">
              <w:t>2.</w:t>
            </w:r>
            <w:r w:rsidRPr="00E15500">
              <w:tab/>
              <w:t xml:space="preserve">prende atto del fatto che la Corte dei conti (la "Corte"), nella sua relazione annuale per l'esercizio 2023 (la "relazione della Corte"), ha esaminato un campione di 70 operazioni nell'ambito della rubrica "Amministrazione", dieci in più di quelle esaminate nel 2022; prende inoltre atto del fatto che la Corte dichiara che le spese amministrative includono le spese relative alle risorse umane, comprese le pensioni, che nel 2023 hanno rappresentato circa il 70 % delle spese amministrative totali, e le spese concernenti gli immobili, gli impianti e le apparecchiature, l'energia, le comunicazioni e le tecnologie dell'informazione (IT), e che dal lavoro svolto nel corso di molti anni risulta che, nel complesso, questo settore di spesa è a basso rischio; </w:t>
            </w:r>
            <w:r w:rsidRPr="00E15500">
              <w:rPr>
                <w:b/>
                <w:i/>
              </w:rPr>
              <w:t>si rammarica del fatto che siano forniti pochi dettagli sull'utilizzo dei crediti immobiliari e informatici, che rappresentano un'ampia percentuale di spesa senza che vi siano prove tangibili di un uso più ottimale delle risorse materiali esistenti; constata che, come nel caso delle altre istituzioni dell'UE, non vi è stato alcun annuncio riguardo alla possibilità di procedere finalmente alla riduzione dei costi operativi e al taglio delle spese varie;</w:t>
            </w:r>
          </w:p>
        </w:tc>
      </w:tr>
    </w:tbl>
    <w:p w14:paraId="6CEE9E89" w14:textId="77777777" w:rsidR="000B6ECF" w:rsidRPr="00AC2424" w:rsidRDefault="000B6ECF" w:rsidP="000B6ECF">
      <w:pPr>
        <w:pStyle w:val="AmOrLang"/>
        <w:rPr>
          <w:lang w:val="pt-PT"/>
        </w:rPr>
      </w:pPr>
      <w:r w:rsidRPr="00AC2424">
        <w:rPr>
          <w:lang w:val="pt-PT"/>
        </w:rPr>
        <w:t xml:space="preserve">Or. </w:t>
      </w:r>
      <w:r w:rsidRPr="00AC2424">
        <w:rPr>
          <w:rStyle w:val="HideTWBExt"/>
          <w:lang w:val="pt-PT"/>
        </w:rPr>
        <w:t>&lt;Original&gt;</w:t>
      </w:r>
      <w:r w:rsidRPr="00AC2424">
        <w:rPr>
          <w:rStyle w:val="HideTWBInt"/>
          <w:lang w:val="pt-PT"/>
        </w:rPr>
        <w:t>{FR}</w:t>
      </w:r>
      <w:r w:rsidRPr="00AC2424">
        <w:rPr>
          <w:lang w:val="pt-PT"/>
        </w:rPr>
        <w:t>fr</w:t>
      </w:r>
      <w:r w:rsidRPr="00AC2424">
        <w:rPr>
          <w:rStyle w:val="HideTWBExt"/>
          <w:lang w:val="pt-PT"/>
        </w:rPr>
        <w:t>&lt;/Original&gt;</w:t>
      </w:r>
    </w:p>
    <w:p w14:paraId="1944E91B" w14:textId="77777777" w:rsidR="000B6ECF" w:rsidRPr="00AC2424" w:rsidRDefault="000B6ECF" w:rsidP="000B6ECF">
      <w:pPr>
        <w:rPr>
          <w:lang w:val="pt-PT"/>
        </w:rPr>
      </w:pPr>
      <w:r w:rsidRPr="00AC2424">
        <w:rPr>
          <w:rStyle w:val="HideTWBExt"/>
          <w:lang w:val="pt-PT"/>
        </w:rPr>
        <w:t>&lt;/Amend&gt;</w:t>
      </w:r>
    </w:p>
    <w:p w14:paraId="303F3BCE" w14:textId="77777777" w:rsidR="000B6ECF" w:rsidRPr="00AC2424" w:rsidRDefault="000B6ECF" w:rsidP="000B6ECF">
      <w:pPr>
        <w:pStyle w:val="AmNumberTabs"/>
        <w:rPr>
          <w:lang w:val="pt-PT"/>
        </w:rPr>
      </w:pPr>
      <w:r w:rsidRPr="00AC2424">
        <w:rPr>
          <w:rStyle w:val="HideTWBExt"/>
          <w:lang w:val="pt-PT"/>
        </w:rPr>
        <w:t>&lt;Amend&gt;</w:t>
      </w:r>
      <w:r w:rsidRPr="00AC2424">
        <w:rPr>
          <w:lang w:val="pt-PT"/>
        </w:rPr>
        <w:t>Emendamento</w:t>
      </w:r>
      <w:r w:rsidRPr="00AC2424">
        <w:rPr>
          <w:lang w:val="pt-PT"/>
        </w:rPr>
        <w:tab/>
      </w:r>
      <w:r w:rsidRPr="00AC2424">
        <w:rPr>
          <w:lang w:val="pt-PT"/>
        </w:rPr>
        <w:tab/>
      </w:r>
      <w:r w:rsidRPr="00AC2424">
        <w:rPr>
          <w:rStyle w:val="HideTWBExt"/>
          <w:lang w:val="pt-PT"/>
        </w:rPr>
        <w:t>&lt;NumAm&gt;</w:t>
      </w:r>
      <w:r w:rsidRPr="00AC2424">
        <w:rPr>
          <w:lang w:val="pt-PT"/>
        </w:rPr>
        <w:t>3</w:t>
      </w:r>
      <w:r w:rsidRPr="00AC2424">
        <w:rPr>
          <w:rStyle w:val="HideTWBExt"/>
          <w:lang w:val="pt-PT"/>
        </w:rPr>
        <w:t>&lt;/NumAm&gt;</w:t>
      </w:r>
    </w:p>
    <w:p w14:paraId="04E6194B" w14:textId="77777777" w:rsidR="000B6ECF" w:rsidRPr="00AC2424" w:rsidRDefault="000B6ECF" w:rsidP="000B6ECF">
      <w:pPr>
        <w:pStyle w:val="NormalBold"/>
        <w:rPr>
          <w:lang w:val="pt-PT"/>
        </w:rPr>
      </w:pPr>
      <w:r w:rsidRPr="00AC2424">
        <w:rPr>
          <w:rStyle w:val="HideTWBExt"/>
          <w:b w:val="0"/>
          <w:lang w:val="pt-PT"/>
        </w:rPr>
        <w:t>&lt;RepeatBlock-By&gt;&lt;Members&gt;</w:t>
      </w:r>
      <w:r w:rsidRPr="00AC2424">
        <w:rPr>
          <w:lang w:val="pt-PT"/>
        </w:rPr>
        <w:t>Csaba Molnár, Claudiu Manda</w:t>
      </w:r>
      <w:r w:rsidRPr="00AC2424">
        <w:rPr>
          <w:rStyle w:val="HideTWBExt"/>
          <w:b w:val="0"/>
          <w:lang w:val="pt-PT"/>
        </w:rPr>
        <w:t>&lt;/Members&gt;</w:t>
      </w:r>
    </w:p>
    <w:p w14:paraId="0A65025B" w14:textId="77777777" w:rsidR="000B6ECF" w:rsidRPr="00AC2424" w:rsidRDefault="000B6ECF" w:rsidP="000B6ECF">
      <w:pPr>
        <w:pStyle w:val="NormalBold"/>
        <w:rPr>
          <w:lang w:val="pt-PT"/>
        </w:rPr>
      </w:pPr>
      <w:r w:rsidRPr="00AC2424">
        <w:rPr>
          <w:rStyle w:val="HideTWBExt"/>
          <w:b w:val="0"/>
          <w:lang w:val="pt-PT"/>
        </w:rPr>
        <w:t>&lt;/RepeatBlock-By&gt;</w:t>
      </w:r>
    </w:p>
    <w:p w14:paraId="601801B2"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1406030D" w14:textId="77777777" w:rsidR="000B6ECF" w:rsidRPr="00E15500" w:rsidRDefault="000B6ECF" w:rsidP="000B6ECF">
      <w:pPr>
        <w:pStyle w:val="NormalBold"/>
      </w:pPr>
      <w:r w:rsidRPr="00E15500">
        <w:rPr>
          <w:rStyle w:val="HideTWBExt"/>
        </w:rPr>
        <w:t>&lt;Article&gt;</w:t>
      </w:r>
      <w:r w:rsidRPr="00E15500">
        <w:t>Paragrafo 5</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03758E22" w14:textId="77777777" w:rsidTr="00AC2424">
        <w:trPr>
          <w:trHeight w:hRule="exact" w:val="240"/>
          <w:jc w:val="center"/>
        </w:trPr>
        <w:tc>
          <w:tcPr>
            <w:tcW w:w="9752" w:type="dxa"/>
            <w:gridSpan w:val="2"/>
            <w:tcBorders>
              <w:top w:val="nil"/>
              <w:left w:val="nil"/>
              <w:bottom w:val="nil"/>
              <w:right w:val="nil"/>
            </w:tcBorders>
          </w:tcPr>
          <w:p w14:paraId="45AFC717" w14:textId="77777777" w:rsidR="000B6ECF" w:rsidRPr="00E15500" w:rsidRDefault="000B6ECF" w:rsidP="00AC2424"/>
        </w:tc>
      </w:tr>
      <w:tr w:rsidR="000B6ECF" w:rsidRPr="00E15500" w14:paraId="2CBC570B" w14:textId="77777777" w:rsidTr="00AC2424">
        <w:trPr>
          <w:trHeight w:val="240"/>
          <w:jc w:val="center"/>
        </w:trPr>
        <w:tc>
          <w:tcPr>
            <w:tcW w:w="4876" w:type="dxa"/>
            <w:tcBorders>
              <w:top w:val="nil"/>
              <w:left w:val="nil"/>
              <w:bottom w:val="nil"/>
              <w:right w:val="nil"/>
            </w:tcBorders>
          </w:tcPr>
          <w:p w14:paraId="4FDA5A7C"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06CE205D" w14:textId="77777777" w:rsidR="000B6ECF" w:rsidRPr="00E15500" w:rsidRDefault="000B6ECF" w:rsidP="00AC2424">
            <w:pPr>
              <w:pStyle w:val="AmColumnHeading"/>
            </w:pPr>
            <w:r w:rsidRPr="00E15500">
              <w:t>Emendamento</w:t>
            </w:r>
          </w:p>
        </w:tc>
      </w:tr>
      <w:tr w:rsidR="000B6ECF" w:rsidRPr="00E15500" w14:paraId="45529970" w14:textId="77777777" w:rsidTr="00AC2424">
        <w:trPr>
          <w:jc w:val="center"/>
        </w:trPr>
        <w:tc>
          <w:tcPr>
            <w:tcW w:w="4876" w:type="dxa"/>
            <w:tcBorders>
              <w:top w:val="nil"/>
              <w:left w:val="nil"/>
              <w:bottom w:val="nil"/>
              <w:right w:val="nil"/>
            </w:tcBorders>
          </w:tcPr>
          <w:p w14:paraId="506410DE" w14:textId="77777777" w:rsidR="000B6ECF" w:rsidRPr="00E15500" w:rsidRDefault="000B6ECF" w:rsidP="00AC2424">
            <w:pPr>
              <w:pStyle w:val="Normal6a"/>
            </w:pPr>
            <w:r w:rsidRPr="00E15500">
              <w:t>5.</w:t>
            </w:r>
            <w:r w:rsidRPr="00E15500">
              <w:tab/>
              <w:t xml:space="preserve">rileva che il bilancio allocato per la CGUE nel </w:t>
            </w:r>
            <w:r w:rsidRPr="00E15500">
              <w:rPr>
                <w:b/>
                <w:i/>
              </w:rPr>
              <w:t>2033</w:t>
            </w:r>
            <w:r w:rsidRPr="00E15500">
              <w:t xml:space="preserve"> ammontava a 486 025 796 EUR, che rappresentano un aumento del 3,7 % rispetto al 2022; osserva che tale aumento è legato principalmente agli adeguamenti salariali previsti per il 2023;</w:t>
            </w:r>
          </w:p>
        </w:tc>
        <w:tc>
          <w:tcPr>
            <w:tcW w:w="4876" w:type="dxa"/>
            <w:tcBorders>
              <w:top w:val="nil"/>
              <w:left w:val="nil"/>
              <w:bottom w:val="nil"/>
              <w:right w:val="nil"/>
            </w:tcBorders>
          </w:tcPr>
          <w:p w14:paraId="29E8069E" w14:textId="77777777" w:rsidR="000B6ECF" w:rsidRPr="00E15500" w:rsidRDefault="000B6ECF" w:rsidP="00AC2424">
            <w:pPr>
              <w:pStyle w:val="Normal6a"/>
            </w:pPr>
            <w:r w:rsidRPr="00E15500">
              <w:t>5.</w:t>
            </w:r>
            <w:r w:rsidRPr="00E15500">
              <w:tab/>
              <w:t xml:space="preserve">rileva che il bilancio allocato per la CGUE nel </w:t>
            </w:r>
            <w:r w:rsidRPr="00E15500">
              <w:rPr>
                <w:b/>
                <w:i/>
              </w:rPr>
              <w:t>2023</w:t>
            </w:r>
            <w:r w:rsidRPr="00E15500">
              <w:t xml:space="preserve"> ammontava a 486 025 796 EUR, che rappresentano un aumento del 3,7 % rispetto al 2022; osserva che tale aumento è legato principalmente agli adeguamenti salariali previsti per il 2023;</w:t>
            </w:r>
          </w:p>
        </w:tc>
      </w:tr>
    </w:tbl>
    <w:p w14:paraId="0CD546D1" w14:textId="77777777" w:rsidR="000B6ECF" w:rsidRPr="00AC2424" w:rsidRDefault="000B6ECF" w:rsidP="000B6ECF">
      <w:pPr>
        <w:pStyle w:val="AmOrLang"/>
        <w:rPr>
          <w:lang w:val="es-ES"/>
        </w:rPr>
      </w:pPr>
      <w:r w:rsidRPr="00AC2424">
        <w:rPr>
          <w:lang w:val="es-ES"/>
        </w:rPr>
        <w:t xml:space="preserve">Or. </w:t>
      </w:r>
      <w:r w:rsidRPr="00AC2424">
        <w:rPr>
          <w:rStyle w:val="HideTWBExt"/>
          <w:rFonts w:eastAsiaTheme="majorEastAsia"/>
          <w:lang w:val="es-ES"/>
        </w:rPr>
        <w:t>&lt;Original&gt;</w:t>
      </w:r>
      <w:r w:rsidRPr="00AC2424">
        <w:rPr>
          <w:rStyle w:val="HideTWBInt"/>
          <w:lang w:val="es-ES"/>
        </w:rPr>
        <w:t>{EN}</w:t>
      </w:r>
      <w:r w:rsidRPr="00AC2424">
        <w:rPr>
          <w:lang w:val="es-ES"/>
        </w:rPr>
        <w:t>en</w:t>
      </w:r>
      <w:r w:rsidRPr="00AC2424">
        <w:rPr>
          <w:rStyle w:val="HideTWBExt"/>
          <w:rFonts w:eastAsiaTheme="majorEastAsia"/>
          <w:lang w:val="es-ES"/>
        </w:rPr>
        <w:t>&lt;/Original&gt;</w:t>
      </w:r>
    </w:p>
    <w:p w14:paraId="6D0A6D54" w14:textId="77777777" w:rsidR="000B6ECF" w:rsidRPr="00AC2424" w:rsidRDefault="000B6ECF" w:rsidP="000B6ECF">
      <w:pPr>
        <w:rPr>
          <w:lang w:val="es-ES"/>
        </w:rPr>
      </w:pPr>
      <w:r w:rsidRPr="00AC2424">
        <w:rPr>
          <w:rStyle w:val="HideTWBExt"/>
          <w:lang w:val="es-ES"/>
        </w:rPr>
        <w:t>&lt;/Amend&gt;</w:t>
      </w:r>
    </w:p>
    <w:p w14:paraId="7038C482" w14:textId="77777777" w:rsidR="000B6ECF" w:rsidRPr="00AC2424" w:rsidRDefault="000B6ECF" w:rsidP="000B6ECF">
      <w:pPr>
        <w:pStyle w:val="AmNumberTabs"/>
        <w:rPr>
          <w:lang w:val="es-ES"/>
        </w:rPr>
      </w:pPr>
      <w:r w:rsidRPr="00AC2424">
        <w:rPr>
          <w:rStyle w:val="HideTWBExt"/>
          <w:lang w:val="es-ES"/>
        </w:rPr>
        <w:t>&lt;Amend&gt;</w:t>
      </w:r>
      <w:r w:rsidRPr="00AC2424">
        <w:rPr>
          <w:lang w:val="es-ES"/>
        </w:rPr>
        <w:t>Emendamento</w:t>
      </w:r>
      <w:r w:rsidRPr="00AC2424">
        <w:rPr>
          <w:lang w:val="es-ES"/>
        </w:rPr>
        <w:tab/>
      </w:r>
      <w:r w:rsidRPr="00AC2424">
        <w:rPr>
          <w:lang w:val="es-ES"/>
        </w:rPr>
        <w:tab/>
      </w:r>
      <w:r w:rsidRPr="00AC2424">
        <w:rPr>
          <w:rStyle w:val="HideTWBExt"/>
          <w:lang w:val="es-ES"/>
        </w:rPr>
        <w:t>&lt;NumAm&gt;</w:t>
      </w:r>
      <w:r w:rsidRPr="00AC2424">
        <w:rPr>
          <w:lang w:val="es-ES"/>
        </w:rPr>
        <w:t>4</w:t>
      </w:r>
      <w:r w:rsidRPr="00AC2424">
        <w:rPr>
          <w:rStyle w:val="HideTWBExt"/>
          <w:lang w:val="es-ES"/>
        </w:rPr>
        <w:t>&lt;/NumAm&gt;</w:t>
      </w:r>
    </w:p>
    <w:p w14:paraId="4CD79308" w14:textId="77777777" w:rsidR="000B6ECF" w:rsidRPr="00AC2424" w:rsidRDefault="000B6ECF" w:rsidP="000B6ECF">
      <w:pPr>
        <w:pStyle w:val="NormalBold"/>
        <w:rPr>
          <w:lang w:val="es-ES"/>
        </w:rPr>
      </w:pPr>
      <w:r w:rsidRPr="00AC2424">
        <w:rPr>
          <w:rStyle w:val="HideTWBExt"/>
          <w:b w:val="0"/>
          <w:lang w:val="es-ES"/>
        </w:rPr>
        <w:t>&lt;RepeatBlock-By&gt;&lt;Members&gt;</w:t>
      </w:r>
      <w:r w:rsidRPr="00AC2424">
        <w:rPr>
          <w:lang w:val="es-ES"/>
        </w:rPr>
        <w:t>Cristian Terheş</w:t>
      </w:r>
      <w:r w:rsidRPr="00AC2424">
        <w:rPr>
          <w:rStyle w:val="HideTWBExt"/>
          <w:b w:val="0"/>
          <w:lang w:val="es-ES"/>
        </w:rPr>
        <w:t>&lt;/Members&gt;</w:t>
      </w:r>
    </w:p>
    <w:p w14:paraId="053071A7" w14:textId="77777777" w:rsidR="000B6ECF" w:rsidRPr="00AC2424" w:rsidRDefault="000B6ECF" w:rsidP="000B6ECF">
      <w:pPr>
        <w:pStyle w:val="NormalBold"/>
        <w:rPr>
          <w:lang w:val="es-ES"/>
        </w:rPr>
      </w:pPr>
      <w:r w:rsidRPr="00AC2424">
        <w:rPr>
          <w:rStyle w:val="HideTWBExt"/>
          <w:b w:val="0"/>
          <w:lang w:val="es-ES"/>
        </w:rPr>
        <w:t>&lt;/RepeatBlock-By&gt;</w:t>
      </w:r>
    </w:p>
    <w:p w14:paraId="2E84BBAE"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3520DBE7" w14:textId="77777777" w:rsidR="000B6ECF" w:rsidRPr="00E15500" w:rsidRDefault="000B6ECF" w:rsidP="000B6ECF">
      <w:pPr>
        <w:pStyle w:val="NormalBold"/>
      </w:pPr>
      <w:r w:rsidRPr="00E15500">
        <w:rPr>
          <w:rStyle w:val="HideTWBExt"/>
        </w:rPr>
        <w:t>&lt;Article&gt;</w:t>
      </w:r>
      <w:r w:rsidRPr="00E15500">
        <w:t>Paragrafo 5</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613D184C" w14:textId="77777777" w:rsidTr="00AC2424">
        <w:trPr>
          <w:trHeight w:hRule="exact" w:val="240"/>
          <w:jc w:val="center"/>
        </w:trPr>
        <w:tc>
          <w:tcPr>
            <w:tcW w:w="9752" w:type="dxa"/>
            <w:gridSpan w:val="2"/>
            <w:tcBorders>
              <w:top w:val="nil"/>
              <w:left w:val="nil"/>
              <w:bottom w:val="nil"/>
              <w:right w:val="nil"/>
            </w:tcBorders>
          </w:tcPr>
          <w:p w14:paraId="48A0F0A7" w14:textId="77777777" w:rsidR="000B6ECF" w:rsidRPr="00E15500" w:rsidRDefault="000B6ECF" w:rsidP="00AC2424"/>
        </w:tc>
      </w:tr>
      <w:tr w:rsidR="000B6ECF" w:rsidRPr="00E15500" w14:paraId="7B6AB34C" w14:textId="77777777" w:rsidTr="00AC2424">
        <w:trPr>
          <w:trHeight w:val="240"/>
          <w:jc w:val="center"/>
        </w:trPr>
        <w:tc>
          <w:tcPr>
            <w:tcW w:w="4876" w:type="dxa"/>
            <w:tcBorders>
              <w:top w:val="nil"/>
              <w:left w:val="nil"/>
              <w:bottom w:val="nil"/>
              <w:right w:val="nil"/>
            </w:tcBorders>
          </w:tcPr>
          <w:p w14:paraId="7FDA0F72"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6B8F8192" w14:textId="77777777" w:rsidR="000B6ECF" w:rsidRPr="00E15500" w:rsidRDefault="000B6ECF" w:rsidP="00AC2424">
            <w:pPr>
              <w:pStyle w:val="AmColumnHeading"/>
            </w:pPr>
            <w:r w:rsidRPr="00E15500">
              <w:t>Emendamento</w:t>
            </w:r>
          </w:p>
        </w:tc>
      </w:tr>
      <w:tr w:rsidR="000B6ECF" w:rsidRPr="00E15500" w14:paraId="65C0EEF7" w14:textId="77777777" w:rsidTr="00AC2424">
        <w:trPr>
          <w:jc w:val="center"/>
        </w:trPr>
        <w:tc>
          <w:tcPr>
            <w:tcW w:w="4876" w:type="dxa"/>
            <w:tcBorders>
              <w:top w:val="nil"/>
              <w:left w:val="nil"/>
              <w:bottom w:val="nil"/>
              <w:right w:val="nil"/>
            </w:tcBorders>
          </w:tcPr>
          <w:p w14:paraId="476D7527" w14:textId="77777777" w:rsidR="000B6ECF" w:rsidRPr="00E15500" w:rsidRDefault="000B6ECF" w:rsidP="00AC2424">
            <w:pPr>
              <w:pStyle w:val="Normal6a"/>
            </w:pPr>
            <w:r w:rsidRPr="00E15500">
              <w:t>5.</w:t>
            </w:r>
            <w:r w:rsidRPr="00E15500">
              <w:tab/>
              <w:t xml:space="preserve">rileva che il bilancio allocato per la CGUE nel </w:t>
            </w:r>
            <w:r w:rsidRPr="00E15500">
              <w:rPr>
                <w:b/>
                <w:i/>
              </w:rPr>
              <w:t>2033</w:t>
            </w:r>
            <w:r w:rsidRPr="00E15500">
              <w:t xml:space="preserve"> ammontava a 486 025 796 EUR, che rappresentano un aumento del </w:t>
            </w:r>
            <w:r w:rsidRPr="00E15500">
              <w:rPr>
                <w:b/>
                <w:i/>
              </w:rPr>
              <w:t>3,7 %</w:t>
            </w:r>
            <w:r w:rsidRPr="00E15500">
              <w:t xml:space="preserve"> rispetto al 2022; osserva che tale aumento è legato principalmente agli adeguamenti salariali previsti per il 2023;</w:t>
            </w:r>
          </w:p>
        </w:tc>
        <w:tc>
          <w:tcPr>
            <w:tcW w:w="4876" w:type="dxa"/>
            <w:tcBorders>
              <w:top w:val="nil"/>
              <w:left w:val="nil"/>
              <w:bottom w:val="nil"/>
              <w:right w:val="nil"/>
            </w:tcBorders>
          </w:tcPr>
          <w:p w14:paraId="4D342D76" w14:textId="77777777" w:rsidR="000B6ECF" w:rsidRPr="00E15500" w:rsidRDefault="000B6ECF" w:rsidP="00AC2424">
            <w:pPr>
              <w:pStyle w:val="Normal6a"/>
            </w:pPr>
            <w:r w:rsidRPr="00E15500">
              <w:t>5.</w:t>
            </w:r>
            <w:r w:rsidRPr="00E15500">
              <w:tab/>
              <w:t xml:space="preserve">rileva che il bilancio allocato per la CGUE nel </w:t>
            </w:r>
            <w:r w:rsidRPr="00E15500">
              <w:rPr>
                <w:b/>
                <w:i/>
              </w:rPr>
              <w:t>2023</w:t>
            </w:r>
            <w:r w:rsidRPr="00E15500">
              <w:t xml:space="preserve"> ammontava a 486 025 796 EUR, che rappresentano un aumento del </w:t>
            </w:r>
            <w:r w:rsidRPr="00E15500">
              <w:rPr>
                <w:b/>
                <w:i/>
              </w:rPr>
              <w:t>3,9 %</w:t>
            </w:r>
            <w:r w:rsidRPr="00E15500">
              <w:t xml:space="preserve"> rispetto al 2022; osserva che tale aumento è legato principalmente agli adeguamenti salariali previsti per il 2023;</w:t>
            </w:r>
          </w:p>
        </w:tc>
      </w:tr>
    </w:tbl>
    <w:p w14:paraId="359C7789"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4EA29BA2" w14:textId="77777777" w:rsidR="000B6ECF" w:rsidRPr="00E15500" w:rsidRDefault="000B6ECF" w:rsidP="000B6ECF">
      <w:r w:rsidRPr="00E15500">
        <w:rPr>
          <w:rStyle w:val="HideTWBExt"/>
        </w:rPr>
        <w:t>&lt;/Amend&gt;</w:t>
      </w:r>
    </w:p>
    <w:p w14:paraId="283DB051"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5</w:t>
      </w:r>
      <w:r w:rsidRPr="00E15500">
        <w:rPr>
          <w:rStyle w:val="HideTWBExt"/>
        </w:rPr>
        <w:t>&lt;/NumAm&gt;</w:t>
      </w:r>
    </w:p>
    <w:p w14:paraId="61A1EBC4" w14:textId="77777777" w:rsidR="000B6ECF" w:rsidRPr="00E15500" w:rsidRDefault="000B6ECF" w:rsidP="000B6ECF">
      <w:pPr>
        <w:pStyle w:val="NormalBold"/>
      </w:pPr>
      <w:r w:rsidRPr="00E15500">
        <w:rPr>
          <w:rStyle w:val="HideTWBExt"/>
          <w:b w:val="0"/>
        </w:rPr>
        <w:t>&lt;RepeatBlock-By&gt;&lt;Members&gt;</w:t>
      </w:r>
      <w:r w:rsidRPr="00E15500">
        <w:t>Virginie Joron, Tamás Deutsch, Julien Sanchez</w:t>
      </w:r>
      <w:r w:rsidRPr="00E15500">
        <w:rPr>
          <w:rStyle w:val="HideTWBExt"/>
          <w:b w:val="0"/>
        </w:rPr>
        <w:t>&lt;/Members&gt;</w:t>
      </w:r>
    </w:p>
    <w:p w14:paraId="1BDE9DF7" w14:textId="77777777" w:rsidR="000B6ECF" w:rsidRPr="00E15500" w:rsidRDefault="000B6ECF" w:rsidP="000B6ECF">
      <w:pPr>
        <w:pStyle w:val="NormalBold"/>
      </w:pPr>
      <w:r w:rsidRPr="00E15500">
        <w:rPr>
          <w:rStyle w:val="HideTWBExt"/>
          <w:b w:val="0"/>
        </w:rPr>
        <w:t>&lt;/RepeatBlock-By&gt;</w:t>
      </w:r>
    </w:p>
    <w:p w14:paraId="465EC573"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3CC9B9E0" w14:textId="77777777" w:rsidR="000B6ECF" w:rsidRPr="00E15500" w:rsidRDefault="000B6ECF" w:rsidP="000B6ECF">
      <w:pPr>
        <w:pStyle w:val="NormalBold"/>
      </w:pPr>
      <w:r w:rsidRPr="00E15500">
        <w:rPr>
          <w:rStyle w:val="HideTWBExt"/>
        </w:rPr>
        <w:t>&lt;Article&gt;</w:t>
      </w:r>
      <w:r w:rsidRPr="00E15500">
        <w:t>Paragrafo 9</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0ABD52D5" w14:textId="77777777" w:rsidTr="00AC2424">
        <w:trPr>
          <w:trHeight w:hRule="exact" w:val="240"/>
          <w:jc w:val="center"/>
        </w:trPr>
        <w:tc>
          <w:tcPr>
            <w:tcW w:w="9752" w:type="dxa"/>
            <w:gridSpan w:val="2"/>
            <w:tcBorders>
              <w:top w:val="nil"/>
              <w:left w:val="nil"/>
              <w:bottom w:val="nil"/>
              <w:right w:val="nil"/>
            </w:tcBorders>
          </w:tcPr>
          <w:p w14:paraId="21EC8BD6" w14:textId="77777777" w:rsidR="000B6ECF" w:rsidRPr="00E15500" w:rsidRDefault="000B6ECF" w:rsidP="00AC2424"/>
        </w:tc>
      </w:tr>
      <w:tr w:rsidR="000B6ECF" w:rsidRPr="00E15500" w14:paraId="4674683C" w14:textId="77777777" w:rsidTr="00AC2424">
        <w:trPr>
          <w:trHeight w:val="240"/>
          <w:jc w:val="center"/>
        </w:trPr>
        <w:tc>
          <w:tcPr>
            <w:tcW w:w="4876" w:type="dxa"/>
            <w:tcBorders>
              <w:top w:val="nil"/>
              <w:left w:val="nil"/>
              <w:bottom w:val="nil"/>
              <w:right w:val="nil"/>
            </w:tcBorders>
          </w:tcPr>
          <w:p w14:paraId="1C1F70CD"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7D371D85" w14:textId="77777777" w:rsidR="000B6ECF" w:rsidRPr="00E15500" w:rsidRDefault="000B6ECF" w:rsidP="00AC2424">
            <w:pPr>
              <w:pStyle w:val="AmColumnHeading"/>
            </w:pPr>
            <w:r w:rsidRPr="00E15500">
              <w:t>Emendamento</w:t>
            </w:r>
          </w:p>
        </w:tc>
      </w:tr>
      <w:tr w:rsidR="000B6ECF" w:rsidRPr="00E15500" w14:paraId="3FE8F9E0" w14:textId="77777777" w:rsidTr="00AC2424">
        <w:trPr>
          <w:jc w:val="center"/>
        </w:trPr>
        <w:tc>
          <w:tcPr>
            <w:tcW w:w="4876" w:type="dxa"/>
            <w:tcBorders>
              <w:top w:val="nil"/>
              <w:left w:val="nil"/>
              <w:bottom w:val="nil"/>
              <w:right w:val="nil"/>
            </w:tcBorders>
          </w:tcPr>
          <w:p w14:paraId="7ACF9571" w14:textId="77777777" w:rsidR="000B6ECF" w:rsidRPr="00E15500" w:rsidRDefault="000B6ECF" w:rsidP="00AC2424">
            <w:pPr>
              <w:pStyle w:val="Normal6a"/>
            </w:pPr>
            <w:r w:rsidRPr="00E15500">
              <w:t>9.</w:t>
            </w:r>
            <w:r w:rsidRPr="00E15500">
              <w:tab/>
            </w:r>
            <w:r w:rsidRPr="00E15500">
              <w:rPr>
                <w:b/>
                <w:i/>
              </w:rPr>
              <w:t>osserva</w:t>
            </w:r>
            <w:r w:rsidRPr="00E15500">
              <w:t xml:space="preserve"> che il bilancio della missione della CGUE, pari a 616 000 EUR per il personale e i membri nel 2023, </w:t>
            </w:r>
            <w:r w:rsidRPr="00E15500">
              <w:rPr>
                <w:b/>
                <w:i/>
              </w:rPr>
              <w:t>ha continuato a diminuire</w:t>
            </w:r>
            <w:r w:rsidRPr="00E15500">
              <w:t xml:space="preserve"> del 3,3 % nel 2023 rispetto al 2022; osserva che nel 2023 è stato utilizzato l'85,1 % degli stanziamenti per le missioni, rispetto al 46,6 % del 2022, a causa delle persistenti restrizioni ai viaggi in vigore in tale periodo;</w:t>
            </w:r>
          </w:p>
        </w:tc>
        <w:tc>
          <w:tcPr>
            <w:tcW w:w="4876" w:type="dxa"/>
            <w:tcBorders>
              <w:top w:val="nil"/>
              <w:left w:val="nil"/>
              <w:bottom w:val="nil"/>
              <w:right w:val="nil"/>
            </w:tcBorders>
          </w:tcPr>
          <w:p w14:paraId="08A5137B" w14:textId="77777777" w:rsidR="000B6ECF" w:rsidRPr="00E15500" w:rsidRDefault="000B6ECF" w:rsidP="00AC2424">
            <w:pPr>
              <w:pStyle w:val="Normal6a"/>
            </w:pPr>
            <w:r w:rsidRPr="00E15500">
              <w:t>9.</w:t>
            </w:r>
            <w:r w:rsidRPr="00E15500">
              <w:tab/>
            </w:r>
            <w:r w:rsidRPr="00E15500">
              <w:rPr>
                <w:b/>
                <w:i/>
              </w:rPr>
              <w:t>si rammarica del fatto</w:t>
            </w:r>
            <w:r w:rsidRPr="00E15500">
              <w:t xml:space="preserve"> che il bilancio della missione della CGUE, pari </w:t>
            </w:r>
            <w:r w:rsidRPr="00E15500">
              <w:rPr>
                <w:b/>
                <w:i/>
              </w:rPr>
              <w:t>alla somma elevata di</w:t>
            </w:r>
            <w:r w:rsidRPr="00E15500">
              <w:t xml:space="preserve"> 616 000 EUR per il personale e i membri nel 2023, </w:t>
            </w:r>
            <w:r w:rsidRPr="00E15500">
              <w:rPr>
                <w:b/>
                <w:i/>
              </w:rPr>
              <w:t>sia diminuito solo leggermente</w:t>
            </w:r>
            <w:r w:rsidRPr="00E15500">
              <w:t xml:space="preserve"> del 3,3 % nel 2023 rispetto al 2022; osserva che nel 2023 è stato utilizzato l'85,1 % degli stanziamenti per le missioni, rispetto al 46,6 % del 2022, a causa delle persistenti restrizioni ai viaggi in vigore in tale periodo;</w:t>
            </w:r>
          </w:p>
        </w:tc>
      </w:tr>
    </w:tbl>
    <w:p w14:paraId="67C6D5F2" w14:textId="77777777" w:rsidR="000B6ECF" w:rsidRPr="00E15500" w:rsidRDefault="000B6ECF" w:rsidP="000B6ECF">
      <w:pPr>
        <w:pStyle w:val="AmOrLang"/>
      </w:pPr>
      <w:r w:rsidRPr="00E15500">
        <w:t xml:space="preserve">Or. </w:t>
      </w:r>
      <w:r w:rsidRPr="00E15500">
        <w:rPr>
          <w:rStyle w:val="HideTWBExt"/>
        </w:rPr>
        <w:t>&lt;Original&gt;</w:t>
      </w:r>
      <w:r w:rsidRPr="00E15500">
        <w:rPr>
          <w:rStyle w:val="HideTWBInt"/>
        </w:rPr>
        <w:t>{FR}</w:t>
      </w:r>
      <w:r w:rsidRPr="00E15500">
        <w:t>fr</w:t>
      </w:r>
      <w:r w:rsidRPr="00E15500">
        <w:rPr>
          <w:rStyle w:val="HideTWBExt"/>
        </w:rPr>
        <w:t>&lt;/Original&gt;</w:t>
      </w:r>
    </w:p>
    <w:p w14:paraId="520AA15F" w14:textId="77777777" w:rsidR="000B6ECF" w:rsidRPr="00E15500" w:rsidRDefault="000B6ECF" w:rsidP="000B6ECF">
      <w:r w:rsidRPr="00E15500">
        <w:rPr>
          <w:rStyle w:val="HideTWBExt"/>
        </w:rPr>
        <w:t>&lt;/Amend&gt;</w:t>
      </w:r>
    </w:p>
    <w:p w14:paraId="51E47B0B"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6</w:t>
      </w:r>
      <w:r w:rsidRPr="00E15500">
        <w:rPr>
          <w:rStyle w:val="HideTWBExt"/>
        </w:rPr>
        <w:t>&lt;/NumAm&gt;</w:t>
      </w:r>
    </w:p>
    <w:p w14:paraId="455125D8" w14:textId="77777777" w:rsidR="000B6ECF" w:rsidRPr="00E15500" w:rsidRDefault="000B6ECF" w:rsidP="000B6ECF">
      <w:pPr>
        <w:pStyle w:val="NormalBold"/>
      </w:pPr>
      <w:r w:rsidRPr="00E15500">
        <w:rPr>
          <w:rStyle w:val="HideTWBExt"/>
          <w:b w:val="0"/>
        </w:rPr>
        <w:t>&lt;RepeatBlock-By&gt;&lt;Members&gt;</w:t>
      </w:r>
      <w:r w:rsidRPr="00E15500">
        <w:t>Cristian Terheş</w:t>
      </w:r>
      <w:r w:rsidRPr="00E15500">
        <w:rPr>
          <w:rStyle w:val="HideTWBExt"/>
          <w:b w:val="0"/>
        </w:rPr>
        <w:t>&lt;/Members&gt;</w:t>
      </w:r>
    </w:p>
    <w:p w14:paraId="5525A8EF" w14:textId="77777777" w:rsidR="000B6ECF" w:rsidRPr="00E15500" w:rsidRDefault="000B6ECF" w:rsidP="000B6ECF">
      <w:pPr>
        <w:pStyle w:val="NormalBold"/>
      </w:pPr>
      <w:r w:rsidRPr="00E15500">
        <w:rPr>
          <w:rStyle w:val="HideTWBExt"/>
          <w:b w:val="0"/>
        </w:rPr>
        <w:t>&lt;/RepeatBlock-By&gt;</w:t>
      </w:r>
    </w:p>
    <w:p w14:paraId="20CEAE05"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33F6BD73" w14:textId="77777777" w:rsidR="000B6ECF" w:rsidRPr="00E15500" w:rsidRDefault="000B6ECF" w:rsidP="000B6ECF">
      <w:pPr>
        <w:pStyle w:val="NormalBold"/>
      </w:pPr>
      <w:r w:rsidRPr="00E15500">
        <w:rPr>
          <w:rStyle w:val="HideTWBExt"/>
        </w:rPr>
        <w:t>&lt;Article&gt;</w:t>
      </w:r>
      <w:r w:rsidRPr="00E15500">
        <w:t>Paragrafo 9</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636E1C59" w14:textId="77777777" w:rsidTr="00AC2424">
        <w:trPr>
          <w:trHeight w:hRule="exact" w:val="240"/>
          <w:jc w:val="center"/>
        </w:trPr>
        <w:tc>
          <w:tcPr>
            <w:tcW w:w="9752" w:type="dxa"/>
            <w:gridSpan w:val="2"/>
            <w:tcBorders>
              <w:top w:val="nil"/>
              <w:left w:val="nil"/>
              <w:bottom w:val="nil"/>
              <w:right w:val="nil"/>
            </w:tcBorders>
          </w:tcPr>
          <w:p w14:paraId="1BCEB122" w14:textId="77777777" w:rsidR="000B6ECF" w:rsidRPr="00E15500" w:rsidRDefault="000B6ECF" w:rsidP="00AC2424"/>
        </w:tc>
      </w:tr>
      <w:tr w:rsidR="000B6ECF" w:rsidRPr="00E15500" w14:paraId="4C781145" w14:textId="77777777" w:rsidTr="00AC2424">
        <w:trPr>
          <w:trHeight w:val="240"/>
          <w:jc w:val="center"/>
        </w:trPr>
        <w:tc>
          <w:tcPr>
            <w:tcW w:w="4876" w:type="dxa"/>
            <w:tcBorders>
              <w:top w:val="nil"/>
              <w:left w:val="nil"/>
              <w:bottom w:val="nil"/>
              <w:right w:val="nil"/>
            </w:tcBorders>
          </w:tcPr>
          <w:p w14:paraId="1242689D"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18B40031" w14:textId="77777777" w:rsidR="000B6ECF" w:rsidRPr="00E15500" w:rsidRDefault="000B6ECF" w:rsidP="00AC2424">
            <w:pPr>
              <w:pStyle w:val="AmColumnHeading"/>
            </w:pPr>
            <w:r w:rsidRPr="00E15500">
              <w:t>Emendamento</w:t>
            </w:r>
          </w:p>
        </w:tc>
      </w:tr>
      <w:tr w:rsidR="000B6ECF" w:rsidRPr="00E15500" w14:paraId="44B2FC35" w14:textId="77777777" w:rsidTr="00AC2424">
        <w:trPr>
          <w:jc w:val="center"/>
        </w:trPr>
        <w:tc>
          <w:tcPr>
            <w:tcW w:w="4876" w:type="dxa"/>
            <w:tcBorders>
              <w:top w:val="nil"/>
              <w:left w:val="nil"/>
              <w:bottom w:val="nil"/>
              <w:right w:val="nil"/>
            </w:tcBorders>
          </w:tcPr>
          <w:p w14:paraId="353B6A1F" w14:textId="77777777" w:rsidR="000B6ECF" w:rsidRPr="00E15500" w:rsidRDefault="000B6ECF" w:rsidP="00AC2424">
            <w:pPr>
              <w:pStyle w:val="Normal6a"/>
            </w:pPr>
            <w:r w:rsidRPr="00E15500">
              <w:t>9.</w:t>
            </w:r>
            <w:r w:rsidRPr="00E15500">
              <w:tab/>
              <w:t xml:space="preserve">osserva che il bilancio della missione della CGUE, pari a </w:t>
            </w:r>
            <w:r w:rsidRPr="00E15500">
              <w:rPr>
                <w:b/>
                <w:i/>
              </w:rPr>
              <w:t>616 000</w:t>
            </w:r>
            <w:r w:rsidRPr="00E15500">
              <w:t xml:space="preserve"> EUR per il personale e i membri nel 2023, ha continuato a diminuire del 3,3 % nel 2023 rispetto al 2022; osserva che nel 2023 è stato utilizzato l'85,1 % degli stanziamenti per le missioni, rispetto al 46,6 % del 2022, a causa delle persistenti restrizioni ai viaggi in vigore in tale periodo;</w:t>
            </w:r>
          </w:p>
        </w:tc>
        <w:tc>
          <w:tcPr>
            <w:tcW w:w="4876" w:type="dxa"/>
            <w:tcBorders>
              <w:top w:val="nil"/>
              <w:left w:val="nil"/>
              <w:bottom w:val="nil"/>
              <w:right w:val="nil"/>
            </w:tcBorders>
          </w:tcPr>
          <w:p w14:paraId="4362E9E0" w14:textId="77777777" w:rsidR="000B6ECF" w:rsidRPr="00E15500" w:rsidRDefault="000B6ECF" w:rsidP="00AC2424">
            <w:pPr>
              <w:pStyle w:val="Normal6a"/>
            </w:pPr>
            <w:r w:rsidRPr="00E15500">
              <w:t>9.</w:t>
            </w:r>
            <w:r w:rsidRPr="00E15500">
              <w:tab/>
              <w:t xml:space="preserve">osserva che il bilancio della missione della CGUE, pari a </w:t>
            </w:r>
            <w:r w:rsidRPr="00E15500">
              <w:rPr>
                <w:b/>
                <w:i/>
              </w:rPr>
              <w:t>638 000</w:t>
            </w:r>
            <w:r w:rsidRPr="00E15500">
              <w:t xml:space="preserve"> EUR per il personale e i membri nel 2023, ha continuato a diminuire del 3,3 % nel 2023 rispetto al 2022; osserva che nel 2023 è stato utilizzato l'85,1 % degli stanziamenti per le missioni, rispetto al 46,6 % del 2022, a causa delle persistenti restrizioni ai viaggi in vigore in tale periodo;</w:t>
            </w:r>
          </w:p>
        </w:tc>
      </w:tr>
    </w:tbl>
    <w:p w14:paraId="2182622F" w14:textId="77777777" w:rsidR="000B6ECF" w:rsidRPr="00AC2424" w:rsidRDefault="000B6ECF" w:rsidP="000B6ECF">
      <w:pPr>
        <w:pStyle w:val="AmOrLang"/>
        <w:rPr>
          <w:lang w:val="es-ES"/>
        </w:rPr>
      </w:pPr>
      <w:r w:rsidRPr="00AC2424">
        <w:rPr>
          <w:lang w:val="es-ES"/>
        </w:rPr>
        <w:t xml:space="preserve">Or. </w:t>
      </w:r>
      <w:r w:rsidRPr="00AC2424">
        <w:rPr>
          <w:rStyle w:val="HideTWBExt"/>
          <w:rFonts w:eastAsiaTheme="majorEastAsia"/>
          <w:lang w:val="es-ES"/>
        </w:rPr>
        <w:t>&lt;Original&gt;</w:t>
      </w:r>
      <w:r w:rsidRPr="00AC2424">
        <w:rPr>
          <w:rStyle w:val="HideTWBInt"/>
          <w:lang w:val="es-ES"/>
        </w:rPr>
        <w:t>{EN}</w:t>
      </w:r>
      <w:r w:rsidRPr="00AC2424">
        <w:rPr>
          <w:lang w:val="es-ES"/>
        </w:rPr>
        <w:t>en</w:t>
      </w:r>
      <w:r w:rsidRPr="00AC2424">
        <w:rPr>
          <w:rStyle w:val="HideTWBExt"/>
          <w:rFonts w:eastAsiaTheme="majorEastAsia"/>
          <w:lang w:val="es-ES"/>
        </w:rPr>
        <w:t>&lt;/Original&gt;</w:t>
      </w:r>
    </w:p>
    <w:p w14:paraId="21FD7241" w14:textId="77777777" w:rsidR="000B6ECF" w:rsidRPr="00AC2424" w:rsidRDefault="000B6ECF" w:rsidP="000B6ECF">
      <w:pPr>
        <w:rPr>
          <w:lang w:val="es-ES"/>
        </w:rPr>
      </w:pPr>
      <w:r w:rsidRPr="00AC2424">
        <w:rPr>
          <w:rStyle w:val="HideTWBExt"/>
          <w:lang w:val="es-ES"/>
        </w:rPr>
        <w:t>&lt;/Amend&gt;</w:t>
      </w:r>
    </w:p>
    <w:p w14:paraId="1B494C34" w14:textId="77777777" w:rsidR="000B6ECF" w:rsidRPr="00AC2424" w:rsidRDefault="000B6ECF" w:rsidP="000B6ECF">
      <w:pPr>
        <w:pStyle w:val="AmNumberTabs"/>
        <w:rPr>
          <w:lang w:val="es-ES"/>
        </w:rPr>
      </w:pPr>
      <w:r w:rsidRPr="00AC2424">
        <w:rPr>
          <w:rStyle w:val="HideTWBExt"/>
          <w:lang w:val="es-ES"/>
        </w:rPr>
        <w:t>&lt;Amend&gt;</w:t>
      </w:r>
      <w:r w:rsidRPr="00AC2424">
        <w:rPr>
          <w:lang w:val="es-ES"/>
        </w:rPr>
        <w:t>Emendamento</w:t>
      </w:r>
      <w:r w:rsidRPr="00AC2424">
        <w:rPr>
          <w:lang w:val="es-ES"/>
        </w:rPr>
        <w:tab/>
      </w:r>
      <w:r w:rsidRPr="00AC2424">
        <w:rPr>
          <w:lang w:val="es-ES"/>
        </w:rPr>
        <w:tab/>
      </w:r>
      <w:r w:rsidRPr="00AC2424">
        <w:rPr>
          <w:rStyle w:val="HideTWBExt"/>
          <w:lang w:val="es-ES"/>
        </w:rPr>
        <w:t>&lt;NumAm&gt;</w:t>
      </w:r>
      <w:r w:rsidRPr="00AC2424">
        <w:rPr>
          <w:lang w:val="es-ES"/>
        </w:rPr>
        <w:t>7</w:t>
      </w:r>
      <w:r w:rsidRPr="00AC2424">
        <w:rPr>
          <w:rStyle w:val="HideTWBExt"/>
          <w:lang w:val="es-ES"/>
        </w:rPr>
        <w:t>&lt;/NumAm&gt;</w:t>
      </w:r>
    </w:p>
    <w:p w14:paraId="65FD1CC3" w14:textId="77777777" w:rsidR="000B6ECF" w:rsidRPr="00AC2424" w:rsidRDefault="000B6ECF" w:rsidP="000B6ECF">
      <w:pPr>
        <w:pStyle w:val="NormalBold"/>
        <w:rPr>
          <w:lang w:val="es-ES"/>
        </w:rPr>
      </w:pPr>
      <w:r w:rsidRPr="00AC2424">
        <w:rPr>
          <w:rStyle w:val="HideTWBExt"/>
          <w:b w:val="0"/>
          <w:lang w:val="es-ES"/>
        </w:rPr>
        <w:t>&lt;RepeatBlock-By&gt;&lt;Members&gt;</w:t>
      </w:r>
      <w:r w:rsidRPr="00AC2424">
        <w:rPr>
          <w:lang w:val="es-ES"/>
        </w:rPr>
        <w:t>Tamás Deutsch</w:t>
      </w:r>
      <w:r w:rsidRPr="00AC2424">
        <w:rPr>
          <w:rStyle w:val="HideTWBExt"/>
          <w:b w:val="0"/>
          <w:lang w:val="es-ES"/>
        </w:rPr>
        <w:t>&lt;/Members&gt;</w:t>
      </w:r>
    </w:p>
    <w:p w14:paraId="3A4555AF" w14:textId="77777777" w:rsidR="000B6ECF" w:rsidRPr="00AC2424" w:rsidRDefault="000B6ECF" w:rsidP="000B6ECF">
      <w:pPr>
        <w:pStyle w:val="NormalBold"/>
        <w:rPr>
          <w:lang w:val="es-ES"/>
        </w:rPr>
      </w:pPr>
      <w:r w:rsidRPr="00AC2424">
        <w:rPr>
          <w:rStyle w:val="HideTWBExt"/>
          <w:b w:val="0"/>
          <w:lang w:val="es-ES"/>
        </w:rPr>
        <w:t>&lt;/RepeatBlock-By&gt;</w:t>
      </w:r>
    </w:p>
    <w:p w14:paraId="10F4E32F"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1DBC35ED" w14:textId="77777777" w:rsidR="000B6ECF" w:rsidRPr="00E15500" w:rsidRDefault="000B6ECF" w:rsidP="000B6ECF">
      <w:pPr>
        <w:pStyle w:val="NormalBold"/>
      </w:pPr>
      <w:r w:rsidRPr="00E15500">
        <w:rPr>
          <w:rStyle w:val="HideTWBExt"/>
        </w:rPr>
        <w:t>&lt;Article&gt;</w:t>
      </w:r>
      <w:r w:rsidRPr="00E15500">
        <w:t>Paragrafo 9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7EB6C308" w14:textId="77777777" w:rsidTr="00AC2424">
        <w:trPr>
          <w:trHeight w:hRule="exact" w:val="240"/>
          <w:jc w:val="center"/>
        </w:trPr>
        <w:tc>
          <w:tcPr>
            <w:tcW w:w="9752" w:type="dxa"/>
            <w:gridSpan w:val="2"/>
            <w:tcBorders>
              <w:top w:val="nil"/>
              <w:left w:val="nil"/>
              <w:bottom w:val="nil"/>
              <w:right w:val="nil"/>
            </w:tcBorders>
          </w:tcPr>
          <w:p w14:paraId="586D933F" w14:textId="77777777" w:rsidR="000B6ECF" w:rsidRPr="00E15500" w:rsidRDefault="000B6ECF" w:rsidP="00AC2424"/>
        </w:tc>
      </w:tr>
      <w:tr w:rsidR="000B6ECF" w:rsidRPr="00E15500" w14:paraId="38C542F2" w14:textId="77777777" w:rsidTr="00AC2424">
        <w:trPr>
          <w:trHeight w:val="240"/>
          <w:jc w:val="center"/>
        </w:trPr>
        <w:tc>
          <w:tcPr>
            <w:tcW w:w="4876" w:type="dxa"/>
            <w:tcBorders>
              <w:top w:val="nil"/>
              <w:left w:val="nil"/>
              <w:bottom w:val="nil"/>
              <w:right w:val="nil"/>
            </w:tcBorders>
          </w:tcPr>
          <w:p w14:paraId="4465005E"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71CBF6BA" w14:textId="77777777" w:rsidR="000B6ECF" w:rsidRPr="00E15500" w:rsidRDefault="000B6ECF" w:rsidP="00AC2424">
            <w:pPr>
              <w:pStyle w:val="AmColumnHeading"/>
            </w:pPr>
            <w:r w:rsidRPr="00E15500">
              <w:t>Emendamento</w:t>
            </w:r>
          </w:p>
        </w:tc>
      </w:tr>
      <w:tr w:rsidR="000B6ECF" w:rsidRPr="00E15500" w14:paraId="200DBE76" w14:textId="77777777" w:rsidTr="00AC2424">
        <w:trPr>
          <w:jc w:val="center"/>
        </w:trPr>
        <w:tc>
          <w:tcPr>
            <w:tcW w:w="4876" w:type="dxa"/>
            <w:tcBorders>
              <w:top w:val="nil"/>
              <w:left w:val="nil"/>
              <w:bottom w:val="nil"/>
              <w:right w:val="nil"/>
            </w:tcBorders>
          </w:tcPr>
          <w:p w14:paraId="02A5FDAF" w14:textId="77777777" w:rsidR="000B6ECF" w:rsidRPr="00E15500" w:rsidRDefault="000B6ECF" w:rsidP="00AC2424">
            <w:pPr>
              <w:pStyle w:val="Normal6a"/>
            </w:pPr>
          </w:p>
        </w:tc>
        <w:tc>
          <w:tcPr>
            <w:tcW w:w="4876" w:type="dxa"/>
            <w:tcBorders>
              <w:top w:val="nil"/>
              <w:left w:val="nil"/>
              <w:bottom w:val="nil"/>
              <w:right w:val="nil"/>
            </w:tcBorders>
          </w:tcPr>
          <w:p w14:paraId="3501C5CB" w14:textId="77777777" w:rsidR="000B6ECF" w:rsidRPr="00E15500" w:rsidRDefault="000B6ECF" w:rsidP="00AC2424">
            <w:pPr>
              <w:pStyle w:val="Normal6a"/>
            </w:pPr>
            <w:r w:rsidRPr="00E15500">
              <w:rPr>
                <w:b/>
                <w:i/>
              </w:rPr>
              <w:t>9 bis.</w:t>
            </w:r>
            <w:r w:rsidRPr="00E15500">
              <w:tab/>
            </w:r>
            <w:r w:rsidRPr="00E15500">
              <w:rPr>
                <w:b/>
                <w:i/>
              </w:rPr>
              <w:t>invita la CGUE a valutare in che modo il quadro normativo del Parlamento europeo volto a evitare la corruzione e la frode non abbia funzionato e abbia consentito il coinvolgimento attivo dei parlamentari europei in una rete mafiosa, facendo sì che prendessero parte per anni a corruzione e riciclaggio di denaro senza essere individuati;</w:t>
            </w:r>
          </w:p>
        </w:tc>
      </w:tr>
    </w:tbl>
    <w:p w14:paraId="4A508ACF" w14:textId="77777777" w:rsidR="000B6ECF" w:rsidRPr="00AC2424" w:rsidRDefault="000B6ECF" w:rsidP="000B6ECF">
      <w:pPr>
        <w:pStyle w:val="AmOrLang"/>
        <w:rPr>
          <w:lang w:val="es-ES"/>
        </w:rPr>
      </w:pPr>
      <w:r w:rsidRPr="00AC2424">
        <w:rPr>
          <w:lang w:val="es-ES"/>
        </w:rPr>
        <w:t xml:space="preserve">Or. </w:t>
      </w:r>
      <w:r w:rsidRPr="00AC2424">
        <w:rPr>
          <w:rStyle w:val="HideTWBExt"/>
          <w:rFonts w:eastAsiaTheme="majorEastAsia"/>
          <w:lang w:val="es-ES"/>
        </w:rPr>
        <w:t>&lt;Original&gt;</w:t>
      </w:r>
      <w:r w:rsidRPr="00AC2424">
        <w:rPr>
          <w:rStyle w:val="HideTWBInt"/>
          <w:lang w:val="es-ES"/>
        </w:rPr>
        <w:t>{EN}</w:t>
      </w:r>
      <w:r w:rsidRPr="00AC2424">
        <w:rPr>
          <w:lang w:val="es-ES"/>
        </w:rPr>
        <w:t>en</w:t>
      </w:r>
      <w:r w:rsidRPr="00AC2424">
        <w:rPr>
          <w:rStyle w:val="HideTWBExt"/>
          <w:rFonts w:eastAsiaTheme="majorEastAsia"/>
          <w:lang w:val="es-ES"/>
        </w:rPr>
        <w:t>&lt;/Original&gt;</w:t>
      </w:r>
    </w:p>
    <w:p w14:paraId="0EEA0E27" w14:textId="77777777" w:rsidR="000B6ECF" w:rsidRPr="00AC2424" w:rsidRDefault="000B6ECF" w:rsidP="000B6ECF">
      <w:pPr>
        <w:rPr>
          <w:lang w:val="es-ES"/>
        </w:rPr>
      </w:pPr>
      <w:r w:rsidRPr="00AC2424">
        <w:rPr>
          <w:rStyle w:val="HideTWBExt"/>
          <w:lang w:val="es-ES"/>
        </w:rPr>
        <w:t>&lt;/Amend&gt;</w:t>
      </w:r>
    </w:p>
    <w:p w14:paraId="307CFBF7" w14:textId="77777777" w:rsidR="000B6ECF" w:rsidRPr="00AC2424" w:rsidRDefault="000B6ECF" w:rsidP="000B6ECF">
      <w:pPr>
        <w:pStyle w:val="AmNumberTabs"/>
        <w:rPr>
          <w:lang w:val="es-ES"/>
        </w:rPr>
      </w:pPr>
      <w:r w:rsidRPr="00AC2424">
        <w:rPr>
          <w:rStyle w:val="HideTWBExt"/>
          <w:lang w:val="es-ES"/>
        </w:rPr>
        <w:t>&lt;Amend&gt;</w:t>
      </w:r>
      <w:r w:rsidRPr="00AC2424">
        <w:rPr>
          <w:lang w:val="es-ES"/>
        </w:rPr>
        <w:t>Emendamento</w:t>
      </w:r>
      <w:r w:rsidRPr="00AC2424">
        <w:rPr>
          <w:lang w:val="es-ES"/>
        </w:rPr>
        <w:tab/>
      </w:r>
      <w:r w:rsidRPr="00AC2424">
        <w:rPr>
          <w:lang w:val="es-ES"/>
        </w:rPr>
        <w:tab/>
      </w:r>
      <w:r w:rsidRPr="00AC2424">
        <w:rPr>
          <w:rStyle w:val="HideTWBExt"/>
          <w:lang w:val="es-ES"/>
        </w:rPr>
        <w:t>&lt;NumAm&gt;</w:t>
      </w:r>
      <w:r w:rsidRPr="00AC2424">
        <w:rPr>
          <w:lang w:val="es-ES"/>
        </w:rPr>
        <w:t>8</w:t>
      </w:r>
      <w:r w:rsidRPr="00AC2424">
        <w:rPr>
          <w:rStyle w:val="HideTWBExt"/>
          <w:lang w:val="es-ES"/>
        </w:rPr>
        <w:t>&lt;/NumAm&gt;</w:t>
      </w:r>
    </w:p>
    <w:p w14:paraId="45DAEFA6" w14:textId="77777777" w:rsidR="000B6ECF" w:rsidRPr="00AC2424" w:rsidRDefault="000B6ECF" w:rsidP="000B6ECF">
      <w:pPr>
        <w:pStyle w:val="NormalBold"/>
        <w:rPr>
          <w:lang w:val="es-ES"/>
        </w:rPr>
      </w:pPr>
      <w:r w:rsidRPr="00AC2424">
        <w:rPr>
          <w:rStyle w:val="HideTWBExt"/>
          <w:b w:val="0"/>
          <w:lang w:val="es-ES"/>
        </w:rPr>
        <w:t>&lt;RepeatBlock-By&gt;&lt;Members&gt;</w:t>
      </w:r>
      <w:r w:rsidRPr="00AC2424">
        <w:rPr>
          <w:lang w:val="es-ES"/>
        </w:rPr>
        <w:t>Tamás Deutsch</w:t>
      </w:r>
      <w:r w:rsidRPr="00AC2424">
        <w:rPr>
          <w:rStyle w:val="HideTWBExt"/>
          <w:b w:val="0"/>
          <w:lang w:val="es-ES"/>
        </w:rPr>
        <w:t>&lt;/Members&gt;</w:t>
      </w:r>
    </w:p>
    <w:p w14:paraId="7B2880A1" w14:textId="77777777" w:rsidR="000B6ECF" w:rsidRPr="00AC2424" w:rsidRDefault="000B6ECF" w:rsidP="000B6ECF">
      <w:pPr>
        <w:pStyle w:val="NormalBold"/>
        <w:rPr>
          <w:lang w:val="es-ES"/>
        </w:rPr>
      </w:pPr>
      <w:r w:rsidRPr="00AC2424">
        <w:rPr>
          <w:rStyle w:val="HideTWBExt"/>
          <w:b w:val="0"/>
          <w:lang w:val="es-ES"/>
        </w:rPr>
        <w:t>&lt;/RepeatBlock-By&gt;</w:t>
      </w:r>
    </w:p>
    <w:p w14:paraId="5BDB8BB6"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108B9C43" w14:textId="77777777" w:rsidR="000B6ECF" w:rsidRPr="00E15500" w:rsidRDefault="000B6ECF" w:rsidP="000B6ECF">
      <w:pPr>
        <w:pStyle w:val="NormalBold"/>
      </w:pPr>
      <w:r w:rsidRPr="00E15500">
        <w:rPr>
          <w:rStyle w:val="HideTWBExt"/>
        </w:rPr>
        <w:t>&lt;Article&gt;</w:t>
      </w:r>
      <w:r w:rsidRPr="00E15500">
        <w:t>Paragrafo 9 ter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47B3582C" w14:textId="77777777" w:rsidTr="00AC2424">
        <w:trPr>
          <w:trHeight w:hRule="exact" w:val="240"/>
          <w:jc w:val="center"/>
        </w:trPr>
        <w:tc>
          <w:tcPr>
            <w:tcW w:w="9752" w:type="dxa"/>
            <w:gridSpan w:val="2"/>
            <w:tcBorders>
              <w:top w:val="nil"/>
              <w:left w:val="nil"/>
              <w:bottom w:val="nil"/>
              <w:right w:val="nil"/>
            </w:tcBorders>
          </w:tcPr>
          <w:p w14:paraId="56F67355" w14:textId="77777777" w:rsidR="000B6ECF" w:rsidRPr="00E15500" w:rsidRDefault="000B6ECF" w:rsidP="00AC2424"/>
        </w:tc>
      </w:tr>
      <w:tr w:rsidR="000B6ECF" w:rsidRPr="00E15500" w14:paraId="487EA130" w14:textId="77777777" w:rsidTr="00AC2424">
        <w:trPr>
          <w:trHeight w:val="240"/>
          <w:jc w:val="center"/>
        </w:trPr>
        <w:tc>
          <w:tcPr>
            <w:tcW w:w="4876" w:type="dxa"/>
            <w:tcBorders>
              <w:top w:val="nil"/>
              <w:left w:val="nil"/>
              <w:bottom w:val="nil"/>
              <w:right w:val="nil"/>
            </w:tcBorders>
          </w:tcPr>
          <w:p w14:paraId="464A7716"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31C75E6F" w14:textId="77777777" w:rsidR="000B6ECF" w:rsidRPr="00E15500" w:rsidRDefault="000B6ECF" w:rsidP="00AC2424">
            <w:pPr>
              <w:pStyle w:val="AmColumnHeading"/>
            </w:pPr>
            <w:r w:rsidRPr="00E15500">
              <w:t>Emendamento</w:t>
            </w:r>
          </w:p>
        </w:tc>
      </w:tr>
      <w:tr w:rsidR="000B6ECF" w:rsidRPr="00E15500" w14:paraId="251523C9" w14:textId="77777777" w:rsidTr="00AC2424">
        <w:trPr>
          <w:jc w:val="center"/>
        </w:trPr>
        <w:tc>
          <w:tcPr>
            <w:tcW w:w="4876" w:type="dxa"/>
            <w:tcBorders>
              <w:top w:val="nil"/>
              <w:left w:val="nil"/>
              <w:bottom w:val="nil"/>
              <w:right w:val="nil"/>
            </w:tcBorders>
          </w:tcPr>
          <w:p w14:paraId="3CFA989D" w14:textId="77777777" w:rsidR="000B6ECF" w:rsidRPr="00E15500" w:rsidRDefault="000B6ECF" w:rsidP="00AC2424">
            <w:pPr>
              <w:pStyle w:val="Normal6a"/>
            </w:pPr>
          </w:p>
        </w:tc>
        <w:tc>
          <w:tcPr>
            <w:tcW w:w="4876" w:type="dxa"/>
            <w:tcBorders>
              <w:top w:val="nil"/>
              <w:left w:val="nil"/>
              <w:bottom w:val="nil"/>
              <w:right w:val="nil"/>
            </w:tcBorders>
          </w:tcPr>
          <w:p w14:paraId="74BD8145" w14:textId="77777777" w:rsidR="000B6ECF" w:rsidRPr="00E15500" w:rsidRDefault="000B6ECF" w:rsidP="00AC2424">
            <w:pPr>
              <w:pStyle w:val="Normal6a"/>
            </w:pPr>
            <w:r w:rsidRPr="00E15500">
              <w:rPr>
                <w:b/>
                <w:i/>
              </w:rPr>
              <w:t>9 ter.</w:t>
            </w:r>
            <w:r w:rsidRPr="00E15500">
              <w:tab/>
            </w:r>
            <w:r w:rsidRPr="00E15500">
              <w:rPr>
                <w:b/>
                <w:i/>
              </w:rPr>
              <w:t>invita la CGUE a trarre insegnamenti e conclusioni sulle proprie norme e procedure interne, tenendo conto della revisione del regolamento e del codice di condotta del Parlamento europeo del settembre 2023; raccomanda tuttavia all'istituzione di trovare nuovi e più incisivi modi per intensificare la lotta contro le frodi e tutelare pienamente gli interessi finanziari dell'UE;</w:t>
            </w:r>
          </w:p>
        </w:tc>
      </w:tr>
    </w:tbl>
    <w:p w14:paraId="370AA944" w14:textId="77777777" w:rsidR="000B6ECF" w:rsidRPr="00AC2424" w:rsidRDefault="000B6ECF" w:rsidP="000B6ECF">
      <w:pPr>
        <w:pStyle w:val="AmOrLang"/>
        <w:rPr>
          <w:lang w:val="es-ES"/>
        </w:rPr>
      </w:pPr>
      <w:r w:rsidRPr="00AC2424">
        <w:rPr>
          <w:lang w:val="es-ES"/>
        </w:rPr>
        <w:t xml:space="preserve">Or. </w:t>
      </w:r>
      <w:r w:rsidRPr="00AC2424">
        <w:rPr>
          <w:rStyle w:val="HideTWBExt"/>
          <w:rFonts w:eastAsiaTheme="majorEastAsia"/>
          <w:lang w:val="es-ES"/>
        </w:rPr>
        <w:t>&lt;Original&gt;</w:t>
      </w:r>
      <w:r w:rsidRPr="00AC2424">
        <w:rPr>
          <w:rStyle w:val="HideTWBInt"/>
          <w:lang w:val="es-ES"/>
        </w:rPr>
        <w:t>{EN}</w:t>
      </w:r>
      <w:r w:rsidRPr="00AC2424">
        <w:rPr>
          <w:lang w:val="es-ES"/>
        </w:rPr>
        <w:t>en</w:t>
      </w:r>
      <w:r w:rsidRPr="00AC2424">
        <w:rPr>
          <w:rStyle w:val="HideTWBExt"/>
          <w:rFonts w:eastAsiaTheme="majorEastAsia"/>
          <w:lang w:val="es-ES"/>
        </w:rPr>
        <w:t>&lt;/Original&gt;</w:t>
      </w:r>
    </w:p>
    <w:p w14:paraId="2F0C67FA" w14:textId="77777777" w:rsidR="000B6ECF" w:rsidRPr="00AC2424" w:rsidRDefault="000B6ECF" w:rsidP="000B6ECF">
      <w:pPr>
        <w:rPr>
          <w:lang w:val="es-ES"/>
        </w:rPr>
      </w:pPr>
      <w:r w:rsidRPr="00AC2424">
        <w:rPr>
          <w:rStyle w:val="HideTWBExt"/>
          <w:lang w:val="es-ES"/>
        </w:rPr>
        <w:t>&lt;/Amend&gt;</w:t>
      </w:r>
    </w:p>
    <w:p w14:paraId="6A86F639" w14:textId="77777777" w:rsidR="000B6ECF" w:rsidRPr="00AC2424" w:rsidRDefault="000B6ECF" w:rsidP="000B6ECF">
      <w:pPr>
        <w:pStyle w:val="AmNumberTabs"/>
        <w:rPr>
          <w:lang w:val="es-ES"/>
        </w:rPr>
      </w:pPr>
      <w:r w:rsidRPr="00AC2424">
        <w:rPr>
          <w:rStyle w:val="HideTWBExt"/>
          <w:lang w:val="es-ES"/>
        </w:rPr>
        <w:t>&lt;Amend&gt;</w:t>
      </w:r>
      <w:r w:rsidRPr="00AC2424">
        <w:rPr>
          <w:lang w:val="es-ES"/>
        </w:rPr>
        <w:t>Emendamento</w:t>
      </w:r>
      <w:r w:rsidRPr="00AC2424">
        <w:rPr>
          <w:lang w:val="es-ES"/>
        </w:rPr>
        <w:tab/>
      </w:r>
      <w:r w:rsidRPr="00AC2424">
        <w:rPr>
          <w:lang w:val="es-ES"/>
        </w:rPr>
        <w:tab/>
      </w:r>
      <w:r w:rsidRPr="00AC2424">
        <w:rPr>
          <w:rStyle w:val="HideTWBExt"/>
          <w:lang w:val="es-ES"/>
        </w:rPr>
        <w:t>&lt;NumAm&gt;</w:t>
      </w:r>
      <w:r w:rsidRPr="00AC2424">
        <w:rPr>
          <w:lang w:val="es-ES"/>
        </w:rPr>
        <w:t>9</w:t>
      </w:r>
      <w:r w:rsidRPr="00AC2424">
        <w:rPr>
          <w:rStyle w:val="HideTWBExt"/>
          <w:lang w:val="es-ES"/>
        </w:rPr>
        <w:t>&lt;/NumAm&gt;</w:t>
      </w:r>
    </w:p>
    <w:p w14:paraId="56A0CFE2" w14:textId="77777777" w:rsidR="000B6ECF" w:rsidRPr="00AC2424" w:rsidRDefault="000B6ECF" w:rsidP="000B6ECF">
      <w:pPr>
        <w:pStyle w:val="NormalBold"/>
        <w:rPr>
          <w:lang w:val="es-ES"/>
        </w:rPr>
      </w:pPr>
      <w:r w:rsidRPr="00AC2424">
        <w:rPr>
          <w:rStyle w:val="HideTWBExt"/>
          <w:b w:val="0"/>
          <w:lang w:val="es-ES"/>
        </w:rPr>
        <w:t>&lt;RepeatBlock-By&gt;&lt;Members&gt;</w:t>
      </w:r>
      <w:r w:rsidRPr="00AC2424">
        <w:rPr>
          <w:lang w:val="es-ES"/>
        </w:rPr>
        <w:t>Tamás Deutsch</w:t>
      </w:r>
      <w:r w:rsidRPr="00AC2424">
        <w:rPr>
          <w:rStyle w:val="HideTWBExt"/>
          <w:b w:val="0"/>
          <w:lang w:val="es-ES"/>
        </w:rPr>
        <w:t>&lt;/Members&gt;</w:t>
      </w:r>
    </w:p>
    <w:p w14:paraId="7253EF82" w14:textId="77777777" w:rsidR="000B6ECF" w:rsidRPr="00AC2424" w:rsidRDefault="000B6ECF" w:rsidP="000B6ECF">
      <w:pPr>
        <w:pStyle w:val="NormalBold"/>
        <w:rPr>
          <w:lang w:val="es-ES"/>
        </w:rPr>
      </w:pPr>
      <w:r w:rsidRPr="00AC2424">
        <w:rPr>
          <w:rStyle w:val="HideTWBExt"/>
          <w:b w:val="0"/>
          <w:lang w:val="es-ES"/>
        </w:rPr>
        <w:t>&lt;/RepeatBlock-By&gt;</w:t>
      </w:r>
    </w:p>
    <w:p w14:paraId="19184956"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53C22C80" w14:textId="77777777" w:rsidR="000B6ECF" w:rsidRPr="00E15500" w:rsidRDefault="000B6ECF" w:rsidP="000B6ECF">
      <w:pPr>
        <w:pStyle w:val="NormalBold"/>
      </w:pPr>
      <w:r w:rsidRPr="00E15500">
        <w:rPr>
          <w:rStyle w:val="HideTWBExt"/>
        </w:rPr>
        <w:t>&lt;Article&gt;</w:t>
      </w:r>
      <w:r w:rsidRPr="00E15500">
        <w:t>Paragrafo 11</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2B97CFDA" w14:textId="77777777" w:rsidTr="00AC2424">
        <w:trPr>
          <w:trHeight w:hRule="exact" w:val="240"/>
          <w:jc w:val="center"/>
        </w:trPr>
        <w:tc>
          <w:tcPr>
            <w:tcW w:w="9752" w:type="dxa"/>
            <w:gridSpan w:val="2"/>
            <w:tcBorders>
              <w:top w:val="nil"/>
              <w:left w:val="nil"/>
              <w:bottom w:val="nil"/>
              <w:right w:val="nil"/>
            </w:tcBorders>
          </w:tcPr>
          <w:p w14:paraId="5B32168C" w14:textId="77777777" w:rsidR="000B6ECF" w:rsidRPr="00E15500" w:rsidRDefault="000B6ECF" w:rsidP="00AC2424"/>
        </w:tc>
      </w:tr>
      <w:tr w:rsidR="000B6ECF" w:rsidRPr="00E15500" w14:paraId="5CF54977" w14:textId="77777777" w:rsidTr="00AC2424">
        <w:trPr>
          <w:trHeight w:val="240"/>
          <w:jc w:val="center"/>
        </w:trPr>
        <w:tc>
          <w:tcPr>
            <w:tcW w:w="4876" w:type="dxa"/>
            <w:tcBorders>
              <w:top w:val="nil"/>
              <w:left w:val="nil"/>
              <w:bottom w:val="nil"/>
              <w:right w:val="nil"/>
            </w:tcBorders>
          </w:tcPr>
          <w:p w14:paraId="7A0DB39C"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7AB06A91" w14:textId="77777777" w:rsidR="000B6ECF" w:rsidRPr="00E15500" w:rsidRDefault="000B6ECF" w:rsidP="00AC2424">
            <w:pPr>
              <w:pStyle w:val="AmColumnHeading"/>
            </w:pPr>
            <w:r w:rsidRPr="00E15500">
              <w:t>Emendamento</w:t>
            </w:r>
          </w:p>
        </w:tc>
      </w:tr>
      <w:tr w:rsidR="000B6ECF" w:rsidRPr="00E15500" w14:paraId="10553FF4" w14:textId="77777777" w:rsidTr="00AC2424">
        <w:trPr>
          <w:jc w:val="center"/>
        </w:trPr>
        <w:tc>
          <w:tcPr>
            <w:tcW w:w="4876" w:type="dxa"/>
            <w:tcBorders>
              <w:top w:val="nil"/>
              <w:left w:val="nil"/>
              <w:bottom w:val="nil"/>
              <w:right w:val="nil"/>
            </w:tcBorders>
          </w:tcPr>
          <w:p w14:paraId="49103FC2" w14:textId="77777777" w:rsidR="000B6ECF" w:rsidRPr="00E15500" w:rsidRDefault="000B6ECF" w:rsidP="00AC2424">
            <w:pPr>
              <w:pStyle w:val="Normal6a"/>
            </w:pPr>
            <w:r w:rsidRPr="00E15500">
              <w:t>11.</w:t>
            </w:r>
            <w:r w:rsidRPr="00E15500">
              <w:tab/>
              <w:t xml:space="preserve">osserva che, nel 2023, la Corte di giustizia si è pronunciata in cinque cause </w:t>
            </w:r>
            <w:r w:rsidRPr="00E15500">
              <w:rPr>
                <w:b/>
                <w:i/>
              </w:rPr>
              <w:t>riguardanti il</w:t>
            </w:r>
            <w:r w:rsidRPr="00E15500">
              <w:t xml:space="preserve"> principio del primato </w:t>
            </w:r>
            <w:r w:rsidRPr="00E15500">
              <w:rPr>
                <w:b/>
                <w:i/>
              </w:rPr>
              <w:t>nell'ambito di quattro questioni pregiudiziali</w:t>
            </w:r>
            <w:r w:rsidRPr="00E15500">
              <w:t xml:space="preserve"> presentate dai tribunali di Germania, Irlanda, Polonia e Romania, </w:t>
            </w:r>
            <w:r w:rsidRPr="00E15500">
              <w:rPr>
                <w:b/>
                <w:i/>
              </w:rPr>
              <w:t>e</w:t>
            </w:r>
            <w:r w:rsidRPr="00E15500">
              <w:t xml:space="preserve"> in una causa di infrazione </w:t>
            </w:r>
            <w:r w:rsidRPr="00E15500">
              <w:rPr>
                <w:b/>
                <w:i/>
              </w:rPr>
              <w:t>riguardante la</w:t>
            </w:r>
            <w:r w:rsidRPr="00E15500">
              <w:t xml:space="preserve"> Polonia; sottolinea che </w:t>
            </w:r>
            <w:r w:rsidRPr="00E15500">
              <w:rPr>
                <w:b/>
                <w:i/>
              </w:rPr>
              <w:t>la supremazia</w:t>
            </w:r>
            <w:r w:rsidRPr="00E15500">
              <w:t xml:space="preserve"> delle costituzioni nazionali rimane il principio assoluto </w:t>
            </w:r>
            <w:r w:rsidRPr="00E15500">
              <w:rPr>
                <w:b/>
                <w:i/>
              </w:rPr>
              <w:t>che disciplina il</w:t>
            </w:r>
            <w:r w:rsidRPr="00E15500">
              <w:t xml:space="preserve"> rapporto tra le costituzioni degli Stati membri e il diritto dell'Unione;</w:t>
            </w:r>
            <w:r w:rsidRPr="00E15500">
              <w:rPr>
                <w:b/>
                <w:i/>
              </w:rPr>
              <w:t xml:space="preserve"> rileva inoltre</w:t>
            </w:r>
            <w:r w:rsidRPr="00E15500">
              <w:t xml:space="preserve"> che </w:t>
            </w:r>
            <w:r w:rsidRPr="00E15500">
              <w:rPr>
                <w:b/>
                <w:i/>
              </w:rPr>
              <w:t>il Tribunale si è pronunciato in sei cause relative a misure per la protezione del bilancio</w:t>
            </w:r>
            <w:r w:rsidRPr="00E15500">
              <w:t xml:space="preserve"> dell'Unione </w:t>
            </w:r>
            <w:r w:rsidRPr="00E15500">
              <w:rPr>
                <w:b/>
                <w:i/>
              </w:rPr>
              <w:t>dalle violazioni dei principi dello Stato di diritto in Ungheria</w:t>
            </w:r>
            <w:r w:rsidRPr="00E15500">
              <w:t>;</w:t>
            </w:r>
          </w:p>
        </w:tc>
        <w:tc>
          <w:tcPr>
            <w:tcW w:w="4876" w:type="dxa"/>
            <w:tcBorders>
              <w:top w:val="nil"/>
              <w:left w:val="nil"/>
              <w:bottom w:val="nil"/>
              <w:right w:val="nil"/>
            </w:tcBorders>
          </w:tcPr>
          <w:p w14:paraId="0F6AD40A" w14:textId="77777777" w:rsidR="000B6ECF" w:rsidRPr="00E15500" w:rsidRDefault="000B6ECF" w:rsidP="00AC2424">
            <w:pPr>
              <w:pStyle w:val="Normal6a"/>
            </w:pPr>
            <w:r w:rsidRPr="00E15500">
              <w:t>11.</w:t>
            </w:r>
            <w:r w:rsidRPr="00E15500">
              <w:tab/>
              <w:t xml:space="preserve">osserva che, nel 2023, la Corte di giustizia si è pronunciata in cinque cause </w:t>
            </w:r>
            <w:r w:rsidRPr="00E15500">
              <w:rPr>
                <w:b/>
                <w:i/>
              </w:rPr>
              <w:t>legate al</w:t>
            </w:r>
            <w:r w:rsidRPr="00E15500">
              <w:t xml:space="preserve"> principio del primato presentate dai tribunali di Germania, Irlanda, Polonia e Romania, </w:t>
            </w:r>
            <w:r w:rsidRPr="00E15500">
              <w:rPr>
                <w:b/>
                <w:i/>
              </w:rPr>
              <w:t>nonché</w:t>
            </w:r>
            <w:r w:rsidRPr="00E15500">
              <w:t xml:space="preserve"> in una causa di infrazione </w:t>
            </w:r>
            <w:r w:rsidRPr="00E15500">
              <w:rPr>
                <w:b/>
                <w:i/>
              </w:rPr>
              <w:t>nei confronti della</w:t>
            </w:r>
            <w:r w:rsidRPr="00E15500">
              <w:t xml:space="preserve"> Polonia; sottolinea che </w:t>
            </w:r>
            <w:r w:rsidRPr="00E15500">
              <w:rPr>
                <w:b/>
                <w:i/>
              </w:rPr>
              <w:t>il primato</w:t>
            </w:r>
            <w:r w:rsidRPr="00E15500">
              <w:t xml:space="preserve"> delle costituzioni nazionali rimane il principio assoluto </w:t>
            </w:r>
            <w:r w:rsidRPr="00E15500">
              <w:rPr>
                <w:b/>
                <w:i/>
              </w:rPr>
              <w:t>nel</w:t>
            </w:r>
            <w:r w:rsidRPr="00E15500">
              <w:t xml:space="preserve"> rapporto tra le costituzioni degli Stati membri e il diritto dell'Unione;</w:t>
            </w:r>
            <w:r w:rsidRPr="00E15500">
              <w:rPr>
                <w:b/>
                <w:i/>
              </w:rPr>
              <w:t xml:space="preserve"> sottolinea</w:t>
            </w:r>
            <w:r w:rsidRPr="00E15500">
              <w:t xml:space="preserve"> che </w:t>
            </w:r>
            <w:r w:rsidRPr="00E15500">
              <w:rPr>
                <w:b/>
                <w:i/>
              </w:rPr>
              <w:t>l'ordinamento giuridico</w:t>
            </w:r>
            <w:r w:rsidRPr="00E15500">
              <w:t xml:space="preserve"> dell'Unione </w:t>
            </w:r>
            <w:r w:rsidRPr="00E15500">
              <w:rPr>
                <w:b/>
                <w:i/>
              </w:rPr>
              <w:t>europea non deve prevalere sulle disposizioni costituzionali alla base della sovranità degli Stati membri e che ogni sentenza della Corte di giustizia dell'Unione europea (CGUE) deve rispettare la struttura politica e giuridica di ciascuno Stato membro; esprime particolare preoccupazione per il fatto che alcune sentenze siano servite a raggiungere obiettivi politici e siano state interpretate in modo da limitare il diritto degli Stati membri all'autodeterminazione; invita la CGUE ad attribuire maggiore importanza alle strutture costituzionali sovrane e alle tradizioni storiche degli Stati membri nelle proprie sentenze e interpretazioni giuridiche</w:t>
            </w:r>
            <w:r w:rsidRPr="00E15500">
              <w:t>;</w:t>
            </w:r>
          </w:p>
        </w:tc>
      </w:tr>
    </w:tbl>
    <w:p w14:paraId="31832F96"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10C54CF6" w14:textId="77777777" w:rsidR="000B6ECF" w:rsidRPr="00E15500" w:rsidRDefault="000B6ECF" w:rsidP="000B6ECF">
      <w:r w:rsidRPr="00E15500">
        <w:rPr>
          <w:rStyle w:val="HideTWBExt"/>
        </w:rPr>
        <w:t>&lt;/Amend&gt;</w:t>
      </w:r>
    </w:p>
    <w:p w14:paraId="7C4C53B4"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10</w:t>
      </w:r>
      <w:r w:rsidRPr="00E15500">
        <w:rPr>
          <w:rStyle w:val="HideTWBExt"/>
        </w:rPr>
        <w:t>&lt;/NumAm&gt;</w:t>
      </w:r>
    </w:p>
    <w:p w14:paraId="1734161B" w14:textId="77777777" w:rsidR="000B6ECF" w:rsidRPr="00E15500" w:rsidRDefault="000B6ECF" w:rsidP="000B6ECF">
      <w:pPr>
        <w:pStyle w:val="NormalBold"/>
      </w:pPr>
      <w:r w:rsidRPr="00E15500">
        <w:rPr>
          <w:rStyle w:val="HideTWBExt"/>
          <w:b w:val="0"/>
        </w:rPr>
        <w:t>&lt;RepeatBlock-By&gt;&lt;Members&gt;</w:t>
      </w:r>
      <w:r w:rsidRPr="00E15500">
        <w:t>Csaba Molnár, Claudiu Manda, Marit Maij, Eero Heinäluoma</w:t>
      </w:r>
      <w:r w:rsidRPr="00E15500">
        <w:rPr>
          <w:rStyle w:val="HideTWBExt"/>
          <w:b w:val="0"/>
        </w:rPr>
        <w:t>&lt;/Members&gt;</w:t>
      </w:r>
    </w:p>
    <w:p w14:paraId="4440CB12" w14:textId="77777777" w:rsidR="000B6ECF" w:rsidRPr="00E15500" w:rsidRDefault="000B6ECF" w:rsidP="000B6ECF">
      <w:pPr>
        <w:pStyle w:val="NormalBold"/>
      </w:pPr>
      <w:r w:rsidRPr="00E15500">
        <w:rPr>
          <w:rStyle w:val="HideTWBExt"/>
          <w:b w:val="0"/>
        </w:rPr>
        <w:t>&lt;/RepeatBlock-By&gt;</w:t>
      </w:r>
    </w:p>
    <w:p w14:paraId="04BB5366"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217B2C13" w14:textId="77777777" w:rsidR="000B6ECF" w:rsidRPr="00E15500" w:rsidRDefault="000B6ECF" w:rsidP="000B6ECF">
      <w:pPr>
        <w:pStyle w:val="NormalBold"/>
      </w:pPr>
      <w:r w:rsidRPr="00E15500">
        <w:rPr>
          <w:rStyle w:val="HideTWBExt"/>
        </w:rPr>
        <w:t>&lt;Article&gt;</w:t>
      </w:r>
      <w:r w:rsidRPr="00E15500">
        <w:t>Paragrafo 11</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4E920231" w14:textId="77777777" w:rsidTr="00AC2424">
        <w:trPr>
          <w:trHeight w:hRule="exact" w:val="240"/>
          <w:jc w:val="center"/>
        </w:trPr>
        <w:tc>
          <w:tcPr>
            <w:tcW w:w="9752" w:type="dxa"/>
            <w:gridSpan w:val="2"/>
            <w:tcBorders>
              <w:top w:val="nil"/>
              <w:left w:val="nil"/>
              <w:bottom w:val="nil"/>
              <w:right w:val="nil"/>
            </w:tcBorders>
          </w:tcPr>
          <w:p w14:paraId="0D569B57" w14:textId="77777777" w:rsidR="000B6ECF" w:rsidRPr="00E15500" w:rsidRDefault="000B6ECF" w:rsidP="00AC2424"/>
        </w:tc>
      </w:tr>
      <w:tr w:rsidR="000B6ECF" w:rsidRPr="00E15500" w14:paraId="366D853F" w14:textId="77777777" w:rsidTr="00AC2424">
        <w:trPr>
          <w:trHeight w:val="240"/>
          <w:jc w:val="center"/>
        </w:trPr>
        <w:tc>
          <w:tcPr>
            <w:tcW w:w="4876" w:type="dxa"/>
            <w:tcBorders>
              <w:top w:val="nil"/>
              <w:left w:val="nil"/>
              <w:bottom w:val="nil"/>
              <w:right w:val="nil"/>
            </w:tcBorders>
          </w:tcPr>
          <w:p w14:paraId="526AE45F"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69C7F0CB" w14:textId="77777777" w:rsidR="000B6ECF" w:rsidRPr="00E15500" w:rsidRDefault="000B6ECF" w:rsidP="00AC2424">
            <w:pPr>
              <w:pStyle w:val="AmColumnHeading"/>
            </w:pPr>
            <w:r w:rsidRPr="00E15500">
              <w:t>Emendamento</w:t>
            </w:r>
          </w:p>
        </w:tc>
      </w:tr>
      <w:tr w:rsidR="000B6ECF" w:rsidRPr="00E15500" w14:paraId="0E1D31E9" w14:textId="77777777" w:rsidTr="00AC2424">
        <w:trPr>
          <w:jc w:val="center"/>
        </w:trPr>
        <w:tc>
          <w:tcPr>
            <w:tcW w:w="4876" w:type="dxa"/>
            <w:tcBorders>
              <w:top w:val="nil"/>
              <w:left w:val="nil"/>
              <w:bottom w:val="nil"/>
              <w:right w:val="nil"/>
            </w:tcBorders>
          </w:tcPr>
          <w:p w14:paraId="229D9223" w14:textId="77777777" w:rsidR="000B6ECF" w:rsidRPr="00E15500" w:rsidRDefault="000B6ECF" w:rsidP="00AC2424">
            <w:pPr>
              <w:pStyle w:val="Normal6a"/>
            </w:pPr>
            <w:r w:rsidRPr="00E15500">
              <w:t>11.</w:t>
            </w:r>
            <w:r w:rsidRPr="00E15500">
              <w:tab/>
              <w:t xml:space="preserve">osserva che, nel 2023, la Corte di giustizia si è pronunciata in cinque cause riguardanti il principio del primato nell'ambito di quattro questioni pregiudiziali presentate dai tribunali di Germania, Irlanda, Polonia e Romania, e in una causa di infrazione riguardante la Polonia; sottolinea </w:t>
            </w:r>
            <w:r w:rsidRPr="00E15500">
              <w:rPr>
                <w:b/>
                <w:i/>
              </w:rPr>
              <w:t>che la supremazia delle costituzioni nazionali rimane il</w:t>
            </w:r>
            <w:r w:rsidRPr="00E15500">
              <w:t xml:space="preserve"> principio </w:t>
            </w:r>
            <w:r w:rsidRPr="00E15500">
              <w:rPr>
                <w:b/>
                <w:i/>
              </w:rPr>
              <w:t>assoluto</w:t>
            </w:r>
            <w:r w:rsidRPr="00E15500">
              <w:t xml:space="preserve"> che </w:t>
            </w:r>
            <w:r w:rsidRPr="00E15500">
              <w:rPr>
                <w:b/>
                <w:i/>
              </w:rPr>
              <w:t>disciplina il rapporto tra le costituzioni degli</w:t>
            </w:r>
            <w:r w:rsidRPr="00E15500">
              <w:t xml:space="preserve"> Stati membri e </w:t>
            </w:r>
            <w:r w:rsidRPr="00E15500">
              <w:rPr>
                <w:b/>
                <w:i/>
              </w:rPr>
              <w:t>il</w:t>
            </w:r>
            <w:r w:rsidRPr="00E15500">
              <w:t xml:space="preserve"> diritto dell'Unione; rileva inoltre che il Tribunale si è pronunciato in sei cause relative a misure per la protezione del bilancio dell'Unione dalle violazioni dei principi dello Stato di diritto </w:t>
            </w:r>
            <w:r w:rsidRPr="00E15500">
              <w:rPr>
                <w:b/>
                <w:i/>
              </w:rPr>
              <w:t>in</w:t>
            </w:r>
            <w:r w:rsidRPr="00E15500">
              <w:t xml:space="preserve"> Ungheria;</w:t>
            </w:r>
          </w:p>
        </w:tc>
        <w:tc>
          <w:tcPr>
            <w:tcW w:w="4876" w:type="dxa"/>
            <w:tcBorders>
              <w:top w:val="nil"/>
              <w:left w:val="nil"/>
              <w:bottom w:val="nil"/>
              <w:right w:val="nil"/>
            </w:tcBorders>
          </w:tcPr>
          <w:p w14:paraId="11FC10CD" w14:textId="77777777" w:rsidR="000B6ECF" w:rsidRPr="00E15500" w:rsidRDefault="000B6ECF" w:rsidP="00AC2424">
            <w:pPr>
              <w:pStyle w:val="Normal6a"/>
            </w:pPr>
            <w:r w:rsidRPr="00E15500">
              <w:t>11.</w:t>
            </w:r>
            <w:r w:rsidRPr="00E15500">
              <w:tab/>
              <w:t xml:space="preserve">osserva che, nel 2023, la Corte di giustizia si è pronunciata in cinque cause riguardanti il principio del primato nell'ambito di quattro questioni pregiudiziali presentate dai tribunali di Germania, Irlanda, Polonia e Romania, e in una causa di infrazione riguardante la Polonia; sottolinea </w:t>
            </w:r>
            <w:r w:rsidRPr="00E15500">
              <w:rPr>
                <w:b/>
                <w:i/>
              </w:rPr>
              <w:t>l'importanza fondamentale del</w:t>
            </w:r>
            <w:r w:rsidRPr="00E15500">
              <w:t xml:space="preserve"> principio </w:t>
            </w:r>
            <w:r w:rsidRPr="00E15500">
              <w:rPr>
                <w:b/>
                <w:i/>
              </w:rPr>
              <w:t>del primato del diritto dell'UE,</w:t>
            </w:r>
            <w:r w:rsidRPr="00E15500">
              <w:t xml:space="preserve"> che </w:t>
            </w:r>
            <w:r w:rsidRPr="00E15500">
              <w:rPr>
                <w:b/>
                <w:i/>
              </w:rPr>
              <w:t>garantisce l'interpretazione e l'applicazione uniformi del diritto dell'UE in tutti gli</w:t>
            </w:r>
            <w:r w:rsidRPr="00E15500">
              <w:t xml:space="preserve"> Stati membri e </w:t>
            </w:r>
            <w:r w:rsidRPr="00E15500">
              <w:rPr>
                <w:b/>
                <w:i/>
              </w:rPr>
              <w:t>tutela lo Stato di</w:t>
            </w:r>
            <w:r w:rsidRPr="00E15500">
              <w:t xml:space="preserve"> diritto </w:t>
            </w:r>
            <w:r w:rsidRPr="00E15500">
              <w:rPr>
                <w:b/>
                <w:i/>
              </w:rPr>
              <w:t>in quanto valore fondamentale</w:t>
            </w:r>
            <w:r w:rsidRPr="00E15500">
              <w:t xml:space="preserve"> dell'Unione;</w:t>
            </w:r>
            <w:r w:rsidRPr="00E15500">
              <w:rPr>
                <w:b/>
                <w:i/>
              </w:rPr>
              <w:t xml:space="preserve"> evidenzia il ruolo fondamentale della CGUE nel mantenimento dello Stato di diritto nell'Unione</w:t>
            </w:r>
            <w:r w:rsidRPr="00E15500">
              <w:t xml:space="preserve">; rileva inoltre che il Tribunale si è pronunciato in sei cause relative a misure per la protezione del bilancio dell'Unione dalle violazioni dei principi dello Stato di diritto </w:t>
            </w:r>
            <w:r w:rsidRPr="00E15500">
              <w:rPr>
                <w:b/>
                <w:i/>
              </w:rPr>
              <w:t>da parte del governo dell'</w:t>
            </w:r>
            <w:r w:rsidRPr="00E15500">
              <w:t>Ungheria</w:t>
            </w:r>
            <w:r w:rsidRPr="00E15500">
              <w:rPr>
                <w:b/>
                <w:i/>
              </w:rPr>
              <w:t>, che danneggia in maniera sistematica i valori fondamentali dell'UE</w:t>
            </w:r>
            <w:r w:rsidRPr="00E15500">
              <w:t>;</w:t>
            </w:r>
          </w:p>
        </w:tc>
      </w:tr>
    </w:tbl>
    <w:p w14:paraId="11107C48"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407C9851" w14:textId="77777777" w:rsidR="000B6ECF" w:rsidRPr="00E15500" w:rsidRDefault="000B6ECF" w:rsidP="000B6ECF">
      <w:r w:rsidRPr="00E15500">
        <w:rPr>
          <w:rStyle w:val="HideTWBExt"/>
        </w:rPr>
        <w:t>&lt;/Amend&gt;</w:t>
      </w:r>
    </w:p>
    <w:p w14:paraId="5C0FE4EF"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11</w:t>
      </w:r>
      <w:r w:rsidRPr="00E15500">
        <w:rPr>
          <w:rStyle w:val="HideTWBExt"/>
        </w:rPr>
        <w:t>&lt;/NumAm&gt;</w:t>
      </w:r>
    </w:p>
    <w:p w14:paraId="68CE7DC3" w14:textId="77777777" w:rsidR="000B6ECF" w:rsidRPr="00E15500" w:rsidRDefault="000B6ECF" w:rsidP="000B6ECF">
      <w:pPr>
        <w:pStyle w:val="NormalBold"/>
      </w:pPr>
      <w:r w:rsidRPr="00E15500">
        <w:rPr>
          <w:rStyle w:val="HideTWBExt"/>
          <w:b w:val="0"/>
        </w:rPr>
        <w:t>&lt;RepeatBlock-By&gt;&lt;Members&gt;</w:t>
      </w:r>
      <w:r w:rsidRPr="00E15500">
        <w:t>Gilles Boyer, Olivier Chastel, Michal Wiezik, Gerben-Jan Gerbrandy, Vlad Vasile-Voiculescu</w:t>
      </w:r>
      <w:r w:rsidRPr="00E15500">
        <w:rPr>
          <w:rStyle w:val="HideTWBExt"/>
          <w:b w:val="0"/>
        </w:rPr>
        <w:t>&lt;/Members&gt;</w:t>
      </w:r>
    </w:p>
    <w:p w14:paraId="54BB92FB" w14:textId="77777777" w:rsidR="000B6ECF" w:rsidRPr="00E15500" w:rsidRDefault="000B6ECF" w:rsidP="000B6ECF">
      <w:pPr>
        <w:pStyle w:val="NormalBold"/>
      </w:pPr>
      <w:r w:rsidRPr="00E15500">
        <w:rPr>
          <w:rStyle w:val="HideTWBExt"/>
          <w:b w:val="0"/>
        </w:rPr>
        <w:t>&lt;/RepeatBlock-By&gt;</w:t>
      </w:r>
    </w:p>
    <w:p w14:paraId="3B028BAA"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6BB4C27C" w14:textId="77777777" w:rsidR="000B6ECF" w:rsidRPr="00E15500" w:rsidRDefault="000B6ECF" w:rsidP="000B6ECF">
      <w:pPr>
        <w:pStyle w:val="NormalBold"/>
      </w:pPr>
      <w:r w:rsidRPr="00E15500">
        <w:rPr>
          <w:rStyle w:val="HideTWBExt"/>
        </w:rPr>
        <w:t>&lt;Article&gt;</w:t>
      </w:r>
      <w:r w:rsidRPr="00E15500">
        <w:t>Paragrafo 11</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664CED95" w14:textId="77777777" w:rsidTr="00AC2424">
        <w:trPr>
          <w:trHeight w:hRule="exact" w:val="240"/>
          <w:jc w:val="center"/>
        </w:trPr>
        <w:tc>
          <w:tcPr>
            <w:tcW w:w="9752" w:type="dxa"/>
            <w:gridSpan w:val="2"/>
            <w:tcBorders>
              <w:top w:val="nil"/>
              <w:left w:val="nil"/>
              <w:bottom w:val="nil"/>
              <w:right w:val="nil"/>
            </w:tcBorders>
          </w:tcPr>
          <w:p w14:paraId="10960510" w14:textId="77777777" w:rsidR="000B6ECF" w:rsidRPr="00E15500" w:rsidRDefault="000B6ECF" w:rsidP="00AC2424"/>
        </w:tc>
      </w:tr>
      <w:tr w:rsidR="000B6ECF" w:rsidRPr="00E15500" w14:paraId="10D367F8" w14:textId="77777777" w:rsidTr="00AC2424">
        <w:trPr>
          <w:trHeight w:val="240"/>
          <w:jc w:val="center"/>
        </w:trPr>
        <w:tc>
          <w:tcPr>
            <w:tcW w:w="4876" w:type="dxa"/>
            <w:tcBorders>
              <w:top w:val="nil"/>
              <w:left w:val="nil"/>
              <w:bottom w:val="nil"/>
              <w:right w:val="nil"/>
            </w:tcBorders>
          </w:tcPr>
          <w:p w14:paraId="304364DE"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2481562B" w14:textId="77777777" w:rsidR="000B6ECF" w:rsidRPr="00E15500" w:rsidRDefault="000B6ECF" w:rsidP="00AC2424">
            <w:pPr>
              <w:pStyle w:val="AmColumnHeading"/>
            </w:pPr>
            <w:r w:rsidRPr="00E15500">
              <w:t>Emendamento</w:t>
            </w:r>
          </w:p>
        </w:tc>
      </w:tr>
      <w:tr w:rsidR="000B6ECF" w:rsidRPr="00E15500" w14:paraId="7FB51044" w14:textId="77777777" w:rsidTr="00AC2424">
        <w:trPr>
          <w:jc w:val="center"/>
        </w:trPr>
        <w:tc>
          <w:tcPr>
            <w:tcW w:w="4876" w:type="dxa"/>
            <w:tcBorders>
              <w:top w:val="nil"/>
              <w:left w:val="nil"/>
              <w:bottom w:val="nil"/>
              <w:right w:val="nil"/>
            </w:tcBorders>
          </w:tcPr>
          <w:p w14:paraId="19485F5A" w14:textId="77777777" w:rsidR="000B6ECF" w:rsidRPr="00E15500" w:rsidRDefault="000B6ECF" w:rsidP="00AC2424">
            <w:pPr>
              <w:pStyle w:val="Normal6a"/>
            </w:pPr>
            <w:r w:rsidRPr="00E15500">
              <w:t>11.</w:t>
            </w:r>
            <w:r w:rsidRPr="00E15500">
              <w:tab/>
              <w:t xml:space="preserve">osserva che, nel 2023, la Corte di giustizia si è pronunciata in cinque cause riguardanti il principio del primato nell'ambito di quattro questioni pregiudiziali presentate dai tribunali di Germania, Irlanda, Polonia e Romania, e in una causa di infrazione riguardante la Polonia; </w:t>
            </w:r>
            <w:r w:rsidRPr="00E15500">
              <w:rPr>
                <w:b/>
                <w:i/>
              </w:rPr>
              <w:t>sottolinea che la supremazia delle costituzioni nazionali rimane il principio assoluto che disciplina il rapporto tra le costituzioni degli Stati membri e il diritto dell'Unione;</w:t>
            </w:r>
            <w:r w:rsidRPr="00E15500">
              <w:t xml:space="preserve"> rileva inoltre che il Tribunale si è pronunciato in sei cause relative a misure per la protezione del bilancio dell'Unione dalle violazioni dei principi dello Stato di diritto in Ungheria;</w:t>
            </w:r>
          </w:p>
        </w:tc>
        <w:tc>
          <w:tcPr>
            <w:tcW w:w="4876" w:type="dxa"/>
            <w:tcBorders>
              <w:top w:val="nil"/>
              <w:left w:val="nil"/>
              <w:bottom w:val="nil"/>
              <w:right w:val="nil"/>
            </w:tcBorders>
          </w:tcPr>
          <w:p w14:paraId="087EB366" w14:textId="77777777" w:rsidR="000B6ECF" w:rsidRPr="00E15500" w:rsidRDefault="000B6ECF" w:rsidP="00AC2424">
            <w:pPr>
              <w:pStyle w:val="Normal6a"/>
            </w:pPr>
            <w:r w:rsidRPr="00E15500">
              <w:t>11.</w:t>
            </w:r>
            <w:r w:rsidRPr="00E15500">
              <w:tab/>
              <w:t>osserva che, nel 2023, la Corte di giustizia si è pronunciata in cinque cause riguardanti il principio del primato nell'ambito di quattro questioni pregiudiziali presentate dai tribunali di Germania, Irlanda, Polonia e Romania, e in una causa di infrazione riguardante la Polonia; rileva inoltre che il Tribunale si è pronunciato in sei cause relative a misure per la protezione del bilancio dell'Unione dalle violazioni dei principi dello Stato di diritto in Ungheria;</w:t>
            </w:r>
          </w:p>
        </w:tc>
      </w:tr>
    </w:tbl>
    <w:p w14:paraId="603DF417"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43CA0C11" w14:textId="77777777" w:rsidR="000B6ECF" w:rsidRPr="00E15500" w:rsidRDefault="000B6ECF" w:rsidP="000B6ECF">
      <w:r w:rsidRPr="00E15500">
        <w:rPr>
          <w:rStyle w:val="HideTWBExt"/>
        </w:rPr>
        <w:t>&lt;/Amend&gt;</w:t>
      </w:r>
    </w:p>
    <w:p w14:paraId="0B1278DD"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12</w:t>
      </w:r>
      <w:r w:rsidRPr="00E15500">
        <w:rPr>
          <w:rStyle w:val="HideTWBExt"/>
        </w:rPr>
        <w:t>&lt;/NumAm&gt;</w:t>
      </w:r>
    </w:p>
    <w:p w14:paraId="5EB36EDB" w14:textId="77777777" w:rsidR="000B6ECF" w:rsidRPr="00E15500" w:rsidRDefault="000B6ECF" w:rsidP="000B6ECF">
      <w:pPr>
        <w:pStyle w:val="NormalBold"/>
      </w:pPr>
      <w:r w:rsidRPr="00E15500">
        <w:rPr>
          <w:rStyle w:val="HideTWBExt"/>
          <w:b w:val="0"/>
        </w:rPr>
        <w:t>&lt;RepeatBlock-By&gt;&lt;Members&gt;</w:t>
      </w:r>
      <w:r w:rsidRPr="00E15500">
        <w:t>Caterina Chinnici</w:t>
      </w:r>
      <w:r w:rsidRPr="00E15500">
        <w:rPr>
          <w:rStyle w:val="HideTWBExt"/>
          <w:b w:val="0"/>
        </w:rPr>
        <w:t>&lt;/Members&gt;</w:t>
      </w:r>
    </w:p>
    <w:p w14:paraId="24B0A6B8" w14:textId="77777777" w:rsidR="000B6ECF" w:rsidRPr="00E15500" w:rsidRDefault="000B6ECF" w:rsidP="000B6ECF">
      <w:pPr>
        <w:pStyle w:val="NormalBold"/>
      </w:pPr>
      <w:r w:rsidRPr="00E15500">
        <w:rPr>
          <w:rStyle w:val="HideTWBExt"/>
          <w:b w:val="0"/>
        </w:rPr>
        <w:t>&lt;/RepeatBlock-By&gt;</w:t>
      </w:r>
    </w:p>
    <w:p w14:paraId="27F8AE8C"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0A4CF233" w14:textId="77777777" w:rsidR="000B6ECF" w:rsidRPr="00E15500" w:rsidRDefault="000B6ECF" w:rsidP="000B6ECF">
      <w:pPr>
        <w:pStyle w:val="NormalBold"/>
      </w:pPr>
      <w:r w:rsidRPr="00E15500">
        <w:rPr>
          <w:rStyle w:val="HideTWBExt"/>
        </w:rPr>
        <w:t>&lt;Article&gt;</w:t>
      </w:r>
      <w:r w:rsidRPr="00E15500">
        <w:t>Paragrafo 11</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6BD3D82B" w14:textId="77777777" w:rsidTr="00AC2424">
        <w:trPr>
          <w:trHeight w:hRule="exact" w:val="240"/>
          <w:jc w:val="center"/>
        </w:trPr>
        <w:tc>
          <w:tcPr>
            <w:tcW w:w="9752" w:type="dxa"/>
            <w:gridSpan w:val="2"/>
            <w:tcBorders>
              <w:top w:val="nil"/>
              <w:left w:val="nil"/>
              <w:bottom w:val="nil"/>
              <w:right w:val="nil"/>
            </w:tcBorders>
          </w:tcPr>
          <w:p w14:paraId="44F450FD" w14:textId="77777777" w:rsidR="000B6ECF" w:rsidRPr="00E15500" w:rsidRDefault="000B6ECF" w:rsidP="00AC2424"/>
        </w:tc>
      </w:tr>
      <w:tr w:rsidR="000B6ECF" w:rsidRPr="00E15500" w14:paraId="3897BA2F" w14:textId="77777777" w:rsidTr="00AC2424">
        <w:trPr>
          <w:trHeight w:val="240"/>
          <w:jc w:val="center"/>
        </w:trPr>
        <w:tc>
          <w:tcPr>
            <w:tcW w:w="4876" w:type="dxa"/>
            <w:tcBorders>
              <w:top w:val="nil"/>
              <w:left w:val="nil"/>
              <w:bottom w:val="nil"/>
              <w:right w:val="nil"/>
            </w:tcBorders>
          </w:tcPr>
          <w:p w14:paraId="3918D6CB"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08F4F640" w14:textId="77777777" w:rsidR="000B6ECF" w:rsidRPr="00E15500" w:rsidRDefault="000B6ECF" w:rsidP="00AC2424">
            <w:pPr>
              <w:pStyle w:val="AmColumnHeading"/>
            </w:pPr>
            <w:r w:rsidRPr="00E15500">
              <w:t>Emendamento</w:t>
            </w:r>
          </w:p>
        </w:tc>
      </w:tr>
      <w:tr w:rsidR="000B6ECF" w:rsidRPr="00E15500" w14:paraId="36B7D67A" w14:textId="77777777" w:rsidTr="00AC2424">
        <w:trPr>
          <w:jc w:val="center"/>
        </w:trPr>
        <w:tc>
          <w:tcPr>
            <w:tcW w:w="4876" w:type="dxa"/>
            <w:tcBorders>
              <w:top w:val="nil"/>
              <w:left w:val="nil"/>
              <w:bottom w:val="nil"/>
              <w:right w:val="nil"/>
            </w:tcBorders>
          </w:tcPr>
          <w:p w14:paraId="2FCE7B1C" w14:textId="77777777" w:rsidR="000B6ECF" w:rsidRPr="00E15500" w:rsidRDefault="000B6ECF" w:rsidP="00AC2424">
            <w:pPr>
              <w:pStyle w:val="Normal6a"/>
            </w:pPr>
            <w:r w:rsidRPr="00E15500">
              <w:t>11.</w:t>
            </w:r>
            <w:r w:rsidRPr="00E15500">
              <w:tab/>
              <w:t xml:space="preserve">osserva che, nel 2023, la Corte di giustizia si è pronunciata in cinque cause riguardanti il principio del primato nell'ambito di quattro questioni pregiudiziali presentate dai tribunali di Germania, Irlanda, Polonia e Romania, e in una causa di infrazione riguardante la Polonia; </w:t>
            </w:r>
            <w:r w:rsidRPr="00E15500">
              <w:rPr>
                <w:b/>
                <w:i/>
              </w:rPr>
              <w:t>sottolinea che la supremazia delle costituzioni nazionali rimane il principio assoluto che disciplina il rapporto tra le costituzioni degli Stati membri e il diritto dell'Unione;</w:t>
            </w:r>
            <w:r w:rsidRPr="00E15500">
              <w:t xml:space="preserve"> rileva inoltre che il Tribunale si è pronunciato in sei cause relative a misure per la protezione del bilancio dell'Unione dalle violazioni dei principi dello Stato di diritto in Ungheria;</w:t>
            </w:r>
          </w:p>
        </w:tc>
        <w:tc>
          <w:tcPr>
            <w:tcW w:w="4876" w:type="dxa"/>
            <w:tcBorders>
              <w:top w:val="nil"/>
              <w:left w:val="nil"/>
              <w:bottom w:val="nil"/>
              <w:right w:val="nil"/>
            </w:tcBorders>
          </w:tcPr>
          <w:p w14:paraId="1F55B971" w14:textId="77777777" w:rsidR="000B6ECF" w:rsidRPr="00E15500" w:rsidRDefault="000B6ECF" w:rsidP="00AC2424">
            <w:pPr>
              <w:pStyle w:val="Normal6a"/>
            </w:pPr>
            <w:r w:rsidRPr="00E15500">
              <w:t>11.</w:t>
            </w:r>
            <w:r w:rsidRPr="00E15500">
              <w:tab/>
              <w:t>osserva che, nel 2023, la Corte di giustizia si è pronunciata in cinque cause riguardanti il principio del primato nell'ambito di quattro questioni pregiudiziali presentate dai tribunali di Germania, Irlanda, Polonia e Romania, e in una causa di infrazione riguardante la Polonia; rileva inoltre che il Tribunale si è pronunciato in sei cause relative a misure per la protezione del bilancio dell'Unione dalle violazioni dei principi dello Stato di diritto in Ungheria;</w:t>
            </w:r>
          </w:p>
        </w:tc>
      </w:tr>
    </w:tbl>
    <w:p w14:paraId="45ABE986"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6F2AA666" w14:textId="77777777" w:rsidR="000B6ECF" w:rsidRPr="00E15500" w:rsidRDefault="000B6ECF" w:rsidP="000B6ECF">
      <w:r w:rsidRPr="00E15500">
        <w:rPr>
          <w:rStyle w:val="HideTWBExt"/>
        </w:rPr>
        <w:t>&lt;/Amend&gt;</w:t>
      </w:r>
    </w:p>
    <w:p w14:paraId="7D418E7C"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13</w:t>
      </w:r>
      <w:r w:rsidRPr="00E15500">
        <w:rPr>
          <w:rStyle w:val="HideTWBExt"/>
        </w:rPr>
        <w:t>&lt;/NumAm&gt;</w:t>
      </w:r>
    </w:p>
    <w:p w14:paraId="57041C6A" w14:textId="77777777" w:rsidR="000B6ECF" w:rsidRPr="00E15500" w:rsidRDefault="000B6ECF" w:rsidP="000B6ECF">
      <w:pPr>
        <w:pStyle w:val="NormalBold"/>
      </w:pPr>
      <w:r w:rsidRPr="00E15500">
        <w:rPr>
          <w:rStyle w:val="HideTWBExt"/>
          <w:b w:val="0"/>
        </w:rPr>
        <w:t>&lt;RepeatBlock-By&gt;&lt;Members&gt;</w:t>
      </w:r>
      <w:r w:rsidRPr="00E15500">
        <w:t>Damian Boeselager</w:t>
      </w:r>
      <w:r w:rsidRPr="00E15500">
        <w:rPr>
          <w:rStyle w:val="HideTWBExt"/>
          <w:b w:val="0"/>
        </w:rPr>
        <w:t>&lt;/Members&gt;</w:t>
      </w:r>
    </w:p>
    <w:p w14:paraId="53C2E19A" w14:textId="77777777" w:rsidR="000B6ECF" w:rsidRPr="00E15500" w:rsidRDefault="000B6ECF" w:rsidP="000B6ECF">
      <w:r w:rsidRPr="00E15500">
        <w:rPr>
          <w:rStyle w:val="HideTWBExt"/>
        </w:rPr>
        <w:t>&lt;AuNomDe&gt;</w:t>
      </w:r>
      <w:r w:rsidRPr="00E15500">
        <w:rPr>
          <w:rStyle w:val="HideTWBInt"/>
        </w:rPr>
        <w:t>{Greens/EFA}</w:t>
      </w:r>
      <w:r w:rsidRPr="00E15500">
        <w:t>a nome del gruppo Verts/ALE</w:t>
      </w:r>
      <w:r w:rsidRPr="00E15500">
        <w:rPr>
          <w:rStyle w:val="HideTWBExt"/>
        </w:rPr>
        <w:t>&lt;/AuNomDe&gt;</w:t>
      </w:r>
    </w:p>
    <w:p w14:paraId="7655BBA4" w14:textId="77777777" w:rsidR="000B6ECF" w:rsidRPr="00E15500" w:rsidRDefault="000B6ECF" w:rsidP="000B6ECF">
      <w:pPr>
        <w:pStyle w:val="NormalBold"/>
      </w:pPr>
      <w:r w:rsidRPr="00E15500">
        <w:rPr>
          <w:rStyle w:val="HideTWBExt"/>
          <w:b w:val="0"/>
        </w:rPr>
        <w:t>&lt;/RepeatBlock-By&gt;</w:t>
      </w:r>
    </w:p>
    <w:p w14:paraId="520C7598"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43081B2A" w14:textId="77777777" w:rsidR="000B6ECF" w:rsidRPr="00E15500" w:rsidRDefault="000B6ECF" w:rsidP="000B6ECF">
      <w:pPr>
        <w:pStyle w:val="NormalBold"/>
      </w:pPr>
      <w:r w:rsidRPr="00E15500">
        <w:rPr>
          <w:rStyle w:val="HideTWBExt"/>
        </w:rPr>
        <w:t>&lt;Article&gt;</w:t>
      </w:r>
      <w:r w:rsidRPr="00E15500">
        <w:t>Paragrafo 11</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0B3F4FB7" w14:textId="77777777" w:rsidTr="00AC2424">
        <w:trPr>
          <w:trHeight w:hRule="exact" w:val="240"/>
          <w:jc w:val="center"/>
        </w:trPr>
        <w:tc>
          <w:tcPr>
            <w:tcW w:w="9752" w:type="dxa"/>
            <w:gridSpan w:val="2"/>
            <w:tcBorders>
              <w:top w:val="nil"/>
              <w:left w:val="nil"/>
              <w:bottom w:val="nil"/>
              <w:right w:val="nil"/>
            </w:tcBorders>
          </w:tcPr>
          <w:p w14:paraId="2906F705" w14:textId="77777777" w:rsidR="000B6ECF" w:rsidRPr="00E15500" w:rsidRDefault="000B6ECF" w:rsidP="00AC2424"/>
        </w:tc>
      </w:tr>
      <w:tr w:rsidR="000B6ECF" w:rsidRPr="00E15500" w14:paraId="5558757F" w14:textId="77777777" w:rsidTr="00AC2424">
        <w:trPr>
          <w:trHeight w:val="240"/>
          <w:jc w:val="center"/>
        </w:trPr>
        <w:tc>
          <w:tcPr>
            <w:tcW w:w="4876" w:type="dxa"/>
            <w:tcBorders>
              <w:top w:val="nil"/>
              <w:left w:val="nil"/>
              <w:bottom w:val="nil"/>
              <w:right w:val="nil"/>
            </w:tcBorders>
          </w:tcPr>
          <w:p w14:paraId="16E1CB3E"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6F3EBFFE" w14:textId="77777777" w:rsidR="000B6ECF" w:rsidRPr="00E15500" w:rsidRDefault="000B6ECF" w:rsidP="00AC2424">
            <w:pPr>
              <w:pStyle w:val="AmColumnHeading"/>
            </w:pPr>
            <w:r w:rsidRPr="00E15500">
              <w:t>Emendamento</w:t>
            </w:r>
          </w:p>
        </w:tc>
      </w:tr>
      <w:tr w:rsidR="000B6ECF" w:rsidRPr="00E15500" w14:paraId="3646163D" w14:textId="77777777" w:rsidTr="00AC2424">
        <w:trPr>
          <w:jc w:val="center"/>
        </w:trPr>
        <w:tc>
          <w:tcPr>
            <w:tcW w:w="4876" w:type="dxa"/>
            <w:tcBorders>
              <w:top w:val="nil"/>
              <w:left w:val="nil"/>
              <w:bottom w:val="nil"/>
              <w:right w:val="nil"/>
            </w:tcBorders>
          </w:tcPr>
          <w:p w14:paraId="3DA07DA7" w14:textId="77777777" w:rsidR="000B6ECF" w:rsidRPr="00E15500" w:rsidRDefault="000B6ECF" w:rsidP="00AC2424">
            <w:pPr>
              <w:pStyle w:val="Normal6a"/>
            </w:pPr>
            <w:r w:rsidRPr="00E15500">
              <w:t>11.</w:t>
            </w:r>
            <w:r w:rsidRPr="00E15500">
              <w:tab/>
              <w:t xml:space="preserve">osserva che, nel 2023, la Corte di giustizia si è pronunciata in cinque cause riguardanti il principio del primato nell'ambito di quattro questioni pregiudiziali presentate dai tribunali di Germania, Irlanda, Polonia e Romania, </w:t>
            </w:r>
            <w:r w:rsidRPr="00E15500">
              <w:rPr>
                <w:b/>
                <w:i/>
              </w:rPr>
              <w:t>e</w:t>
            </w:r>
            <w:r w:rsidRPr="00E15500">
              <w:t xml:space="preserve"> in una causa di infrazione riguardante la Polonia; </w:t>
            </w:r>
            <w:r w:rsidRPr="00E15500">
              <w:rPr>
                <w:b/>
                <w:i/>
              </w:rPr>
              <w:t>sottolinea che la supremazia delle costituzioni nazionali rimane il principio assoluto che disciplina il rapporto tra le costituzioni degli Stati membri e il diritto dell'Unione; rileva inoltre</w:t>
            </w:r>
            <w:r w:rsidRPr="00E15500">
              <w:t xml:space="preserve"> che il </w:t>
            </w:r>
            <w:r w:rsidRPr="00E15500">
              <w:rPr>
                <w:b/>
                <w:i/>
              </w:rPr>
              <w:t>Tribunale si è pronunciato in sei cause relative a</w:t>
            </w:r>
            <w:r w:rsidRPr="00E15500">
              <w:t xml:space="preserve"> misure </w:t>
            </w:r>
            <w:r w:rsidRPr="00E15500">
              <w:rPr>
                <w:b/>
                <w:i/>
              </w:rPr>
              <w:t>per la protezione del bilancio dell'Unione dalle violazioni dei principi dello Stato</w:t>
            </w:r>
            <w:r w:rsidRPr="00E15500">
              <w:t xml:space="preserve"> di </w:t>
            </w:r>
            <w:r w:rsidRPr="00E15500">
              <w:rPr>
                <w:b/>
                <w:i/>
              </w:rPr>
              <w:t>diritto in Ungheria</w:t>
            </w:r>
            <w:r w:rsidRPr="00E15500">
              <w:t>;</w:t>
            </w:r>
          </w:p>
        </w:tc>
        <w:tc>
          <w:tcPr>
            <w:tcW w:w="4876" w:type="dxa"/>
            <w:tcBorders>
              <w:top w:val="nil"/>
              <w:left w:val="nil"/>
              <w:bottom w:val="nil"/>
              <w:right w:val="nil"/>
            </w:tcBorders>
          </w:tcPr>
          <w:p w14:paraId="51013474" w14:textId="77777777" w:rsidR="000B6ECF" w:rsidRPr="00E15500" w:rsidRDefault="000B6ECF" w:rsidP="00AC2424">
            <w:pPr>
              <w:pStyle w:val="Normal6a"/>
            </w:pPr>
            <w:r w:rsidRPr="00E15500">
              <w:t>11.</w:t>
            </w:r>
            <w:r w:rsidRPr="00E15500">
              <w:tab/>
              <w:t xml:space="preserve">osserva che, nel 2023, la Corte di giustizia si è pronunciata in cinque cause riguardanti il principio del primato nell'ambito di quattro questioni pregiudiziali presentate dai tribunali di Germania, Irlanda, Polonia e Romania, </w:t>
            </w:r>
            <w:r w:rsidRPr="00E15500">
              <w:rPr>
                <w:b/>
                <w:i/>
              </w:rPr>
              <w:t>nonché</w:t>
            </w:r>
            <w:r w:rsidRPr="00E15500">
              <w:t xml:space="preserve"> in una causa di infrazione riguardante la Polonia; </w:t>
            </w:r>
            <w:r w:rsidRPr="00E15500">
              <w:rPr>
                <w:b/>
                <w:i/>
              </w:rPr>
              <w:t>riafferma con vigore</w:t>
            </w:r>
            <w:r w:rsidRPr="00E15500">
              <w:t xml:space="preserve"> che il </w:t>
            </w:r>
            <w:r w:rsidRPr="00E15500">
              <w:rPr>
                <w:b/>
                <w:i/>
              </w:rPr>
              <w:t>primato del diritto dell'UE rappresenta il fondamento dell'ordinamento giuridico dell'Unione ed esorta la Commissione ad adottare</w:t>
            </w:r>
            <w:r w:rsidRPr="00E15500">
              <w:t xml:space="preserve"> misure di </w:t>
            </w:r>
            <w:r w:rsidRPr="00E15500">
              <w:rPr>
                <w:b/>
                <w:i/>
              </w:rPr>
              <w:t>contrasto incisive nei confronti di qualsiasi Stato membro che metta in discussione la natura vincolante delle sentenze della CGUE o non ne tenga conto</w:t>
            </w:r>
            <w:r w:rsidRPr="00E15500">
              <w:t>;</w:t>
            </w:r>
          </w:p>
        </w:tc>
      </w:tr>
    </w:tbl>
    <w:p w14:paraId="39D002AB"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7C033229" w14:textId="77777777" w:rsidR="000B6ECF" w:rsidRPr="00E15500" w:rsidRDefault="000B6ECF" w:rsidP="000B6ECF">
      <w:r w:rsidRPr="00E15500">
        <w:rPr>
          <w:rStyle w:val="HideTWBExt"/>
        </w:rPr>
        <w:t>&lt;/Amend&gt;</w:t>
      </w:r>
    </w:p>
    <w:p w14:paraId="0EF21FDC"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14</w:t>
      </w:r>
      <w:r w:rsidRPr="00E15500">
        <w:rPr>
          <w:rStyle w:val="HideTWBExt"/>
        </w:rPr>
        <w:t>&lt;/NumAm&gt;</w:t>
      </w:r>
    </w:p>
    <w:p w14:paraId="79BCFB22" w14:textId="77777777" w:rsidR="000B6ECF" w:rsidRPr="00E15500" w:rsidRDefault="000B6ECF" w:rsidP="000B6ECF">
      <w:pPr>
        <w:pStyle w:val="NormalBold"/>
      </w:pPr>
      <w:r w:rsidRPr="00E15500">
        <w:rPr>
          <w:rStyle w:val="HideTWBExt"/>
          <w:b w:val="0"/>
        </w:rPr>
        <w:t>&lt;RepeatBlock-By&gt;&lt;Members&gt;</w:t>
      </w:r>
      <w:r w:rsidRPr="00E15500">
        <w:t>Pasquale Tridico</w:t>
      </w:r>
      <w:r w:rsidRPr="00E15500">
        <w:rPr>
          <w:rStyle w:val="HideTWBExt"/>
          <w:b w:val="0"/>
        </w:rPr>
        <w:t>&lt;/Members&gt;</w:t>
      </w:r>
    </w:p>
    <w:p w14:paraId="61FB4865" w14:textId="77777777" w:rsidR="000B6ECF" w:rsidRPr="00E15500" w:rsidRDefault="000B6ECF" w:rsidP="000B6ECF">
      <w:pPr>
        <w:pStyle w:val="NormalBold"/>
      </w:pPr>
      <w:r w:rsidRPr="00E15500">
        <w:rPr>
          <w:rStyle w:val="HideTWBExt"/>
          <w:b w:val="0"/>
        </w:rPr>
        <w:t>&lt;/RepeatBlock-By&gt;</w:t>
      </w:r>
    </w:p>
    <w:p w14:paraId="00153ADD"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497FE08A" w14:textId="77777777" w:rsidR="000B6ECF" w:rsidRPr="00E15500" w:rsidRDefault="000B6ECF" w:rsidP="000B6ECF">
      <w:pPr>
        <w:pStyle w:val="NormalBold"/>
      </w:pPr>
      <w:r w:rsidRPr="00E15500">
        <w:rPr>
          <w:rStyle w:val="HideTWBExt"/>
        </w:rPr>
        <w:t>&lt;Article&gt;</w:t>
      </w:r>
      <w:r w:rsidRPr="00E15500">
        <w:t>Paragrafo 11</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2E0E9C52" w14:textId="77777777" w:rsidTr="00AC2424">
        <w:trPr>
          <w:trHeight w:hRule="exact" w:val="240"/>
          <w:jc w:val="center"/>
        </w:trPr>
        <w:tc>
          <w:tcPr>
            <w:tcW w:w="9752" w:type="dxa"/>
            <w:gridSpan w:val="2"/>
            <w:tcBorders>
              <w:top w:val="nil"/>
              <w:left w:val="nil"/>
              <w:bottom w:val="nil"/>
              <w:right w:val="nil"/>
            </w:tcBorders>
          </w:tcPr>
          <w:p w14:paraId="49D5E713" w14:textId="77777777" w:rsidR="000B6ECF" w:rsidRPr="00E15500" w:rsidRDefault="000B6ECF" w:rsidP="00AC2424"/>
        </w:tc>
      </w:tr>
      <w:tr w:rsidR="000B6ECF" w:rsidRPr="00E15500" w14:paraId="54A2CC75" w14:textId="77777777" w:rsidTr="00AC2424">
        <w:trPr>
          <w:trHeight w:val="240"/>
          <w:jc w:val="center"/>
        </w:trPr>
        <w:tc>
          <w:tcPr>
            <w:tcW w:w="4876" w:type="dxa"/>
            <w:tcBorders>
              <w:top w:val="nil"/>
              <w:left w:val="nil"/>
              <w:bottom w:val="nil"/>
              <w:right w:val="nil"/>
            </w:tcBorders>
          </w:tcPr>
          <w:p w14:paraId="018FB628"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014BD123" w14:textId="77777777" w:rsidR="000B6ECF" w:rsidRPr="00E15500" w:rsidRDefault="000B6ECF" w:rsidP="00AC2424">
            <w:pPr>
              <w:pStyle w:val="AmColumnHeading"/>
            </w:pPr>
            <w:r w:rsidRPr="00E15500">
              <w:t>Emendamento</w:t>
            </w:r>
          </w:p>
        </w:tc>
      </w:tr>
      <w:tr w:rsidR="000B6ECF" w:rsidRPr="00E15500" w14:paraId="605E02B8" w14:textId="77777777" w:rsidTr="00AC2424">
        <w:trPr>
          <w:jc w:val="center"/>
        </w:trPr>
        <w:tc>
          <w:tcPr>
            <w:tcW w:w="4876" w:type="dxa"/>
            <w:tcBorders>
              <w:top w:val="nil"/>
              <w:left w:val="nil"/>
              <w:bottom w:val="nil"/>
              <w:right w:val="nil"/>
            </w:tcBorders>
          </w:tcPr>
          <w:p w14:paraId="048A984F" w14:textId="77777777" w:rsidR="000B6ECF" w:rsidRPr="00E15500" w:rsidRDefault="000B6ECF" w:rsidP="00AC2424">
            <w:pPr>
              <w:pStyle w:val="Normal6a"/>
            </w:pPr>
            <w:r w:rsidRPr="00E15500">
              <w:t>11.</w:t>
            </w:r>
            <w:r w:rsidRPr="00E15500">
              <w:tab/>
              <w:t xml:space="preserve">osserva che, nel 2023, la Corte di giustizia si è pronunciata in cinque cause riguardanti il principio del primato nell'ambito di quattro questioni pregiudiziali presentate dai tribunali di Germania, Irlanda, Polonia e Romania, e in una causa di infrazione riguardante la Polonia; sottolinea che </w:t>
            </w:r>
            <w:r w:rsidRPr="00E15500">
              <w:rPr>
                <w:b/>
                <w:i/>
              </w:rPr>
              <w:t>la supremazia delle</w:t>
            </w:r>
            <w:r w:rsidRPr="00E15500">
              <w:t xml:space="preserve"> costituzioni nazionali </w:t>
            </w:r>
            <w:r w:rsidRPr="00E15500">
              <w:rPr>
                <w:b/>
                <w:i/>
              </w:rPr>
              <w:t>rimane il principio assoluto che disciplina il rapporto tra le costituzioni degli Stati membri e il diritto dell'Unione</w:t>
            </w:r>
            <w:r w:rsidRPr="00E15500">
              <w:t>; rileva inoltre che il Tribunale si è pronunciato in sei cause relative a misure per la protezione del bilancio dell'Unione dalle violazioni dei principi dello Stato di diritto in Ungheria;</w:t>
            </w:r>
          </w:p>
        </w:tc>
        <w:tc>
          <w:tcPr>
            <w:tcW w:w="4876" w:type="dxa"/>
            <w:tcBorders>
              <w:top w:val="nil"/>
              <w:left w:val="nil"/>
              <w:bottom w:val="nil"/>
              <w:right w:val="nil"/>
            </w:tcBorders>
          </w:tcPr>
          <w:p w14:paraId="5401B3DD" w14:textId="77777777" w:rsidR="000B6ECF" w:rsidRPr="00E15500" w:rsidRDefault="000B6ECF" w:rsidP="00AC2424">
            <w:pPr>
              <w:pStyle w:val="Normal6a"/>
            </w:pPr>
            <w:r w:rsidRPr="00E15500">
              <w:t>11.</w:t>
            </w:r>
            <w:r w:rsidRPr="00E15500">
              <w:tab/>
              <w:t xml:space="preserve">osserva che, nel 2023, la Corte di giustizia si è pronunciata in cinque cause riguardanti il principio del primato nell'ambito di quattro questioni pregiudiziali presentate dai tribunali di Germania, Irlanda, Polonia e Romania, e in una causa di infrazione riguardante la Polonia; sottolinea che </w:t>
            </w:r>
            <w:r w:rsidRPr="00E15500">
              <w:rPr>
                <w:b/>
                <w:i/>
              </w:rPr>
              <w:t>il principio del primato del diritto dell'UE in rapporto ai diritti fondamentali garantiti nelle</w:t>
            </w:r>
            <w:r w:rsidRPr="00E15500">
              <w:t xml:space="preserve"> costituzioni nazionali </w:t>
            </w:r>
            <w:r w:rsidRPr="00E15500">
              <w:rPr>
                <w:b/>
                <w:i/>
              </w:rPr>
              <w:t>costituisce una dottrina riconosciuta fin dalla pronuncia della CGUE nella causa 11-70 (Internationale Handelsgesellschaft)</w:t>
            </w:r>
            <w:r w:rsidRPr="00E15500">
              <w:t>; rileva inoltre che il Tribunale si è pronunciato in sei cause relative a misure per la protezione del bilancio dell'Unione dalle violazioni dei principi dello Stato di diritto in Ungheria;</w:t>
            </w:r>
          </w:p>
        </w:tc>
      </w:tr>
    </w:tbl>
    <w:p w14:paraId="119B3A18"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0B1057C1" w14:textId="77777777" w:rsidR="000B6ECF" w:rsidRPr="00E15500" w:rsidRDefault="000B6ECF" w:rsidP="000B6ECF">
      <w:r w:rsidRPr="00E15500">
        <w:rPr>
          <w:rStyle w:val="HideTWBExt"/>
        </w:rPr>
        <w:t>&lt;/Amend&gt;</w:t>
      </w:r>
    </w:p>
    <w:p w14:paraId="0321F626"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15</w:t>
      </w:r>
      <w:r w:rsidRPr="00E15500">
        <w:rPr>
          <w:rStyle w:val="HideTWBExt"/>
        </w:rPr>
        <w:t>&lt;/NumAm&gt;</w:t>
      </w:r>
    </w:p>
    <w:p w14:paraId="48ECC3A8" w14:textId="77777777" w:rsidR="000B6ECF" w:rsidRPr="00E15500" w:rsidRDefault="000B6ECF" w:rsidP="000B6ECF">
      <w:pPr>
        <w:pStyle w:val="NormalBold"/>
      </w:pPr>
      <w:r w:rsidRPr="00E15500">
        <w:rPr>
          <w:rStyle w:val="HideTWBExt"/>
          <w:b w:val="0"/>
        </w:rPr>
        <w:t>&lt;RepeatBlock-By&gt;&lt;Members&gt;</w:t>
      </w:r>
      <w:r w:rsidRPr="00E15500">
        <w:t>Damian Boeselager</w:t>
      </w:r>
      <w:r w:rsidRPr="00E15500">
        <w:rPr>
          <w:rStyle w:val="HideTWBExt"/>
          <w:b w:val="0"/>
        </w:rPr>
        <w:t>&lt;/Members&gt;</w:t>
      </w:r>
    </w:p>
    <w:p w14:paraId="3E1AD22F" w14:textId="77777777" w:rsidR="000B6ECF" w:rsidRPr="00E15500" w:rsidRDefault="000B6ECF" w:rsidP="000B6ECF">
      <w:r w:rsidRPr="00E15500">
        <w:rPr>
          <w:rStyle w:val="HideTWBExt"/>
        </w:rPr>
        <w:t>&lt;AuNomDe&gt;</w:t>
      </w:r>
      <w:r w:rsidRPr="00E15500">
        <w:rPr>
          <w:rStyle w:val="HideTWBInt"/>
        </w:rPr>
        <w:t>{Greens/EFA}</w:t>
      </w:r>
      <w:r w:rsidRPr="00E15500">
        <w:t>a nome del gruppo Verts/ALE</w:t>
      </w:r>
      <w:r w:rsidRPr="00E15500">
        <w:rPr>
          <w:rStyle w:val="HideTWBExt"/>
        </w:rPr>
        <w:t>&lt;/AuNomDe&gt;</w:t>
      </w:r>
    </w:p>
    <w:p w14:paraId="25FE30DD" w14:textId="77777777" w:rsidR="000B6ECF" w:rsidRPr="00E15500" w:rsidRDefault="000B6ECF" w:rsidP="000B6ECF">
      <w:pPr>
        <w:pStyle w:val="NormalBold"/>
      </w:pPr>
      <w:r w:rsidRPr="00E15500">
        <w:rPr>
          <w:rStyle w:val="HideTWBExt"/>
          <w:b w:val="0"/>
        </w:rPr>
        <w:t>&lt;/RepeatBlock-By&gt;</w:t>
      </w:r>
    </w:p>
    <w:p w14:paraId="23A55552"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18C6E5C3" w14:textId="77777777" w:rsidR="000B6ECF" w:rsidRPr="00E15500" w:rsidRDefault="000B6ECF" w:rsidP="000B6ECF">
      <w:pPr>
        <w:pStyle w:val="NormalBold"/>
      </w:pPr>
      <w:r w:rsidRPr="00E15500">
        <w:rPr>
          <w:rStyle w:val="HideTWBExt"/>
        </w:rPr>
        <w:t>&lt;Article&gt;</w:t>
      </w:r>
      <w:r w:rsidRPr="00E15500">
        <w:t>Paragrafo 11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584EA154" w14:textId="77777777" w:rsidTr="00AC2424">
        <w:trPr>
          <w:trHeight w:hRule="exact" w:val="240"/>
          <w:jc w:val="center"/>
        </w:trPr>
        <w:tc>
          <w:tcPr>
            <w:tcW w:w="9752" w:type="dxa"/>
            <w:gridSpan w:val="2"/>
            <w:tcBorders>
              <w:top w:val="nil"/>
              <w:left w:val="nil"/>
              <w:bottom w:val="nil"/>
              <w:right w:val="nil"/>
            </w:tcBorders>
          </w:tcPr>
          <w:p w14:paraId="21691B72" w14:textId="77777777" w:rsidR="000B6ECF" w:rsidRPr="00E15500" w:rsidRDefault="000B6ECF" w:rsidP="00AC2424"/>
        </w:tc>
      </w:tr>
      <w:tr w:rsidR="000B6ECF" w:rsidRPr="00E15500" w14:paraId="76DBCC99" w14:textId="77777777" w:rsidTr="00AC2424">
        <w:trPr>
          <w:trHeight w:val="240"/>
          <w:jc w:val="center"/>
        </w:trPr>
        <w:tc>
          <w:tcPr>
            <w:tcW w:w="4876" w:type="dxa"/>
            <w:tcBorders>
              <w:top w:val="nil"/>
              <w:left w:val="nil"/>
              <w:bottom w:val="nil"/>
              <w:right w:val="nil"/>
            </w:tcBorders>
          </w:tcPr>
          <w:p w14:paraId="5B900734"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3F71411D" w14:textId="77777777" w:rsidR="000B6ECF" w:rsidRPr="00E15500" w:rsidRDefault="000B6ECF" w:rsidP="00AC2424">
            <w:pPr>
              <w:pStyle w:val="AmColumnHeading"/>
            </w:pPr>
            <w:r w:rsidRPr="00E15500">
              <w:t>Emendamento</w:t>
            </w:r>
          </w:p>
        </w:tc>
      </w:tr>
      <w:tr w:rsidR="000B6ECF" w:rsidRPr="00E15500" w14:paraId="549690D8" w14:textId="77777777" w:rsidTr="00AC2424">
        <w:trPr>
          <w:jc w:val="center"/>
        </w:trPr>
        <w:tc>
          <w:tcPr>
            <w:tcW w:w="4876" w:type="dxa"/>
            <w:tcBorders>
              <w:top w:val="nil"/>
              <w:left w:val="nil"/>
              <w:bottom w:val="nil"/>
              <w:right w:val="nil"/>
            </w:tcBorders>
          </w:tcPr>
          <w:p w14:paraId="69450C54" w14:textId="77777777" w:rsidR="000B6ECF" w:rsidRPr="00E15500" w:rsidRDefault="000B6ECF" w:rsidP="00AC2424">
            <w:pPr>
              <w:pStyle w:val="Normal6a"/>
            </w:pPr>
          </w:p>
        </w:tc>
        <w:tc>
          <w:tcPr>
            <w:tcW w:w="4876" w:type="dxa"/>
            <w:tcBorders>
              <w:top w:val="nil"/>
              <w:left w:val="nil"/>
              <w:bottom w:val="nil"/>
              <w:right w:val="nil"/>
            </w:tcBorders>
          </w:tcPr>
          <w:p w14:paraId="18F6F15F" w14:textId="77777777" w:rsidR="000B6ECF" w:rsidRPr="00E15500" w:rsidRDefault="000B6ECF" w:rsidP="00AC2424">
            <w:pPr>
              <w:pStyle w:val="Normal6a"/>
            </w:pPr>
            <w:r w:rsidRPr="00E15500">
              <w:rPr>
                <w:b/>
                <w:i/>
              </w:rPr>
              <w:t>11 bis.</w:t>
            </w:r>
            <w:r w:rsidRPr="00E15500">
              <w:tab/>
            </w:r>
            <w:r w:rsidRPr="00E15500">
              <w:rPr>
                <w:b/>
                <w:i/>
              </w:rPr>
              <w:t>condanna qualsiasi misura o azione legislativa nazionale che miri a compromettere la codifica e l'esecuzione delle sentenze della CGUE; chiede l'istituzione di un meccanismo di monitoraggio formale volto a monitorare il rispetto da parte degli Stati membri delle sentenze della CGUE e raccomanda che l'erogazione dei finanziamenti dell'UE sia collegata al rispetto di tali sentenze nell'ambito del quadro di condizionalità dello Stato di diritto;</w:t>
            </w:r>
          </w:p>
        </w:tc>
      </w:tr>
    </w:tbl>
    <w:p w14:paraId="2F3F8550"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32EA158C" w14:textId="77777777" w:rsidR="000B6ECF" w:rsidRPr="00E15500" w:rsidRDefault="000B6ECF" w:rsidP="000B6ECF">
      <w:r w:rsidRPr="00E15500">
        <w:rPr>
          <w:rStyle w:val="HideTWBExt"/>
        </w:rPr>
        <w:t>&lt;/Amend&gt;</w:t>
      </w:r>
    </w:p>
    <w:p w14:paraId="3266F452"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16</w:t>
      </w:r>
      <w:r w:rsidRPr="00E15500">
        <w:rPr>
          <w:rStyle w:val="HideTWBExt"/>
        </w:rPr>
        <w:t>&lt;/NumAm&gt;</w:t>
      </w:r>
    </w:p>
    <w:p w14:paraId="32B7B100" w14:textId="77777777" w:rsidR="000B6ECF" w:rsidRPr="00E15500" w:rsidRDefault="000B6ECF" w:rsidP="000B6ECF">
      <w:pPr>
        <w:pStyle w:val="NormalBold"/>
      </w:pPr>
      <w:r w:rsidRPr="00E15500">
        <w:rPr>
          <w:rStyle w:val="HideTWBExt"/>
          <w:b w:val="0"/>
        </w:rPr>
        <w:t>&lt;RepeatBlock-By&gt;&lt;Members&gt;</w:t>
      </w:r>
      <w:r w:rsidRPr="00E15500">
        <w:t>Csaba Molnár, Claudiu Manda</w:t>
      </w:r>
      <w:r w:rsidRPr="00E15500">
        <w:rPr>
          <w:rStyle w:val="HideTWBExt"/>
          <w:b w:val="0"/>
        </w:rPr>
        <w:t>&lt;/Members&gt;</w:t>
      </w:r>
    </w:p>
    <w:p w14:paraId="4C0E2437" w14:textId="77777777" w:rsidR="000B6ECF" w:rsidRPr="00E15500" w:rsidRDefault="000B6ECF" w:rsidP="000B6ECF">
      <w:pPr>
        <w:pStyle w:val="NormalBold"/>
      </w:pPr>
      <w:r w:rsidRPr="00E15500">
        <w:rPr>
          <w:rStyle w:val="HideTWBExt"/>
          <w:b w:val="0"/>
        </w:rPr>
        <w:t>&lt;/RepeatBlock-By&gt;</w:t>
      </w:r>
    </w:p>
    <w:p w14:paraId="55903C4D"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19664C83" w14:textId="77777777" w:rsidR="000B6ECF" w:rsidRPr="00E15500" w:rsidRDefault="000B6ECF" w:rsidP="000B6ECF">
      <w:pPr>
        <w:pStyle w:val="NormalBold"/>
      </w:pPr>
      <w:r w:rsidRPr="00E15500">
        <w:rPr>
          <w:rStyle w:val="HideTWBExt"/>
        </w:rPr>
        <w:t>&lt;Article&gt;</w:t>
      </w:r>
      <w:r w:rsidRPr="00E15500">
        <w:t>Paragrafo 14</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6FE5134F" w14:textId="77777777" w:rsidTr="00AC2424">
        <w:trPr>
          <w:trHeight w:hRule="exact" w:val="240"/>
          <w:jc w:val="center"/>
        </w:trPr>
        <w:tc>
          <w:tcPr>
            <w:tcW w:w="9752" w:type="dxa"/>
            <w:gridSpan w:val="2"/>
            <w:tcBorders>
              <w:top w:val="nil"/>
              <w:left w:val="nil"/>
              <w:bottom w:val="nil"/>
              <w:right w:val="nil"/>
            </w:tcBorders>
          </w:tcPr>
          <w:p w14:paraId="0491FEB5" w14:textId="77777777" w:rsidR="000B6ECF" w:rsidRPr="00E15500" w:rsidRDefault="000B6ECF" w:rsidP="00AC2424"/>
        </w:tc>
      </w:tr>
      <w:tr w:rsidR="000B6ECF" w:rsidRPr="00E15500" w14:paraId="0C73F19C" w14:textId="77777777" w:rsidTr="00AC2424">
        <w:trPr>
          <w:trHeight w:val="240"/>
          <w:jc w:val="center"/>
        </w:trPr>
        <w:tc>
          <w:tcPr>
            <w:tcW w:w="4876" w:type="dxa"/>
            <w:tcBorders>
              <w:top w:val="nil"/>
              <w:left w:val="nil"/>
              <w:bottom w:val="nil"/>
              <w:right w:val="nil"/>
            </w:tcBorders>
          </w:tcPr>
          <w:p w14:paraId="4222A853"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46A03DE9" w14:textId="77777777" w:rsidR="000B6ECF" w:rsidRPr="00E15500" w:rsidRDefault="000B6ECF" w:rsidP="00AC2424">
            <w:pPr>
              <w:pStyle w:val="AmColumnHeading"/>
            </w:pPr>
            <w:r w:rsidRPr="00E15500">
              <w:t>Emendamento</w:t>
            </w:r>
          </w:p>
        </w:tc>
      </w:tr>
      <w:tr w:rsidR="000B6ECF" w:rsidRPr="00E15500" w14:paraId="6892FA2C" w14:textId="77777777" w:rsidTr="00AC2424">
        <w:trPr>
          <w:jc w:val="center"/>
        </w:trPr>
        <w:tc>
          <w:tcPr>
            <w:tcW w:w="4876" w:type="dxa"/>
            <w:tcBorders>
              <w:top w:val="nil"/>
              <w:left w:val="nil"/>
              <w:bottom w:val="nil"/>
              <w:right w:val="nil"/>
            </w:tcBorders>
          </w:tcPr>
          <w:p w14:paraId="5708989B" w14:textId="77777777" w:rsidR="000B6ECF" w:rsidRPr="00E15500" w:rsidRDefault="000B6ECF" w:rsidP="00AC2424">
            <w:pPr>
              <w:pStyle w:val="Normal6a"/>
            </w:pPr>
            <w:r w:rsidRPr="00E15500">
              <w:t>14.</w:t>
            </w:r>
            <w:r w:rsidRPr="00E15500">
              <w:tab/>
              <w:t>osserva che la durata media dei procedimenti per le cause chiuse dalla Corte di giustizia è diminuita a 16,1 mesi nel 2023, rispetto a 16,4 mesi nel 2022; osserva che la durata media dei procedimenti delle cause chiuse dal Tribunale è stata di 18,2 mesi, rispetto ai 16,2 mesi del 2022, a causa, spiega il Tribunale, della natura e della relativa complessità dei procedimenti gestiti nel 2023;</w:t>
            </w:r>
          </w:p>
        </w:tc>
        <w:tc>
          <w:tcPr>
            <w:tcW w:w="4876" w:type="dxa"/>
            <w:tcBorders>
              <w:top w:val="nil"/>
              <w:left w:val="nil"/>
              <w:bottom w:val="nil"/>
              <w:right w:val="nil"/>
            </w:tcBorders>
          </w:tcPr>
          <w:p w14:paraId="7FD34F37" w14:textId="77777777" w:rsidR="000B6ECF" w:rsidRPr="00E15500" w:rsidRDefault="000B6ECF" w:rsidP="00AC2424">
            <w:pPr>
              <w:pStyle w:val="Normal6a"/>
            </w:pPr>
            <w:r w:rsidRPr="00E15500">
              <w:t>14.</w:t>
            </w:r>
            <w:r w:rsidRPr="00E15500">
              <w:tab/>
              <w:t>osserva che la durata media dei procedimenti per le cause chiuse dalla Corte di giustizia è diminuita a 16,1 mesi nel 2023, rispetto a 16,4 mesi nel 2022</w:t>
            </w:r>
            <w:r w:rsidRPr="00E15500">
              <w:rPr>
                <w:b/>
                <w:i/>
              </w:rPr>
              <w:t>; accoglie con favore la diminuzione della durata media dei procedimenti rispetto all'anno precedente per quanto riguarda le cause sottoposte alla Corte di giustizia</w:t>
            </w:r>
            <w:r w:rsidRPr="00E15500">
              <w:t>; osserva che la durata media dei procedimenti delle cause chiuse dal Tribunale è stata di 18,2 mesi, rispetto ai 16,2 mesi del 2022, a causa, spiega il Tribunale, della natura e della relativa complessità dei procedimenti gestiti nel 2023;</w:t>
            </w:r>
          </w:p>
        </w:tc>
      </w:tr>
    </w:tbl>
    <w:p w14:paraId="69945A4D"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7B592086" w14:textId="77777777" w:rsidR="000B6ECF" w:rsidRPr="00E15500" w:rsidRDefault="000B6ECF" w:rsidP="000B6ECF">
      <w:r w:rsidRPr="00E15500">
        <w:rPr>
          <w:rStyle w:val="HideTWBExt"/>
        </w:rPr>
        <w:t>&lt;/Amend&gt;</w:t>
      </w:r>
    </w:p>
    <w:p w14:paraId="11A3C76B"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17</w:t>
      </w:r>
      <w:r w:rsidRPr="00E15500">
        <w:rPr>
          <w:rStyle w:val="HideTWBExt"/>
        </w:rPr>
        <w:t>&lt;/NumAm&gt;</w:t>
      </w:r>
    </w:p>
    <w:p w14:paraId="5325FE81" w14:textId="77777777" w:rsidR="000B6ECF" w:rsidRPr="00E15500" w:rsidRDefault="000B6ECF" w:rsidP="000B6ECF">
      <w:pPr>
        <w:pStyle w:val="NormalBold"/>
      </w:pPr>
      <w:r w:rsidRPr="00E15500">
        <w:rPr>
          <w:rStyle w:val="HideTWBExt"/>
          <w:b w:val="0"/>
        </w:rPr>
        <w:t>&lt;RepeatBlock-By&gt;&lt;Members&gt;</w:t>
      </w:r>
      <w:r w:rsidRPr="00E15500">
        <w:t>Caterina Chinnici</w:t>
      </w:r>
      <w:r w:rsidRPr="00E15500">
        <w:rPr>
          <w:rStyle w:val="HideTWBExt"/>
          <w:b w:val="0"/>
        </w:rPr>
        <w:t>&lt;/Members&gt;</w:t>
      </w:r>
    </w:p>
    <w:p w14:paraId="73A18243" w14:textId="77777777" w:rsidR="000B6ECF" w:rsidRPr="00E15500" w:rsidRDefault="000B6ECF" w:rsidP="000B6ECF">
      <w:pPr>
        <w:pStyle w:val="NormalBold"/>
      </w:pPr>
      <w:r w:rsidRPr="00E15500">
        <w:rPr>
          <w:rStyle w:val="HideTWBExt"/>
          <w:b w:val="0"/>
        </w:rPr>
        <w:t>&lt;/RepeatBlock-By&gt;</w:t>
      </w:r>
    </w:p>
    <w:p w14:paraId="160F37A8"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60D6F07C" w14:textId="77777777" w:rsidR="000B6ECF" w:rsidRPr="00E15500" w:rsidRDefault="000B6ECF" w:rsidP="000B6ECF">
      <w:pPr>
        <w:pStyle w:val="NormalBold"/>
      </w:pPr>
      <w:r w:rsidRPr="00E15500">
        <w:rPr>
          <w:rStyle w:val="HideTWBExt"/>
        </w:rPr>
        <w:t>&lt;Article&gt;</w:t>
      </w:r>
      <w:r w:rsidRPr="00E15500">
        <w:t>Paragrafo 14</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6B97B154" w14:textId="77777777" w:rsidTr="00AC2424">
        <w:trPr>
          <w:trHeight w:hRule="exact" w:val="240"/>
          <w:jc w:val="center"/>
        </w:trPr>
        <w:tc>
          <w:tcPr>
            <w:tcW w:w="9752" w:type="dxa"/>
            <w:gridSpan w:val="2"/>
            <w:tcBorders>
              <w:top w:val="nil"/>
              <w:left w:val="nil"/>
              <w:bottom w:val="nil"/>
              <w:right w:val="nil"/>
            </w:tcBorders>
          </w:tcPr>
          <w:p w14:paraId="30D4B7B0" w14:textId="77777777" w:rsidR="000B6ECF" w:rsidRPr="00E15500" w:rsidRDefault="000B6ECF" w:rsidP="00AC2424"/>
        </w:tc>
      </w:tr>
      <w:tr w:rsidR="000B6ECF" w:rsidRPr="00E15500" w14:paraId="31ADD229" w14:textId="77777777" w:rsidTr="00AC2424">
        <w:trPr>
          <w:trHeight w:val="240"/>
          <w:jc w:val="center"/>
        </w:trPr>
        <w:tc>
          <w:tcPr>
            <w:tcW w:w="4876" w:type="dxa"/>
            <w:tcBorders>
              <w:top w:val="nil"/>
              <w:left w:val="nil"/>
              <w:bottom w:val="nil"/>
              <w:right w:val="nil"/>
            </w:tcBorders>
          </w:tcPr>
          <w:p w14:paraId="357ACDEA"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433A6126" w14:textId="77777777" w:rsidR="000B6ECF" w:rsidRPr="00E15500" w:rsidRDefault="000B6ECF" w:rsidP="00AC2424">
            <w:pPr>
              <w:pStyle w:val="AmColumnHeading"/>
            </w:pPr>
            <w:r w:rsidRPr="00E15500">
              <w:t>Emendamento</w:t>
            </w:r>
          </w:p>
        </w:tc>
      </w:tr>
      <w:tr w:rsidR="000B6ECF" w:rsidRPr="00E15500" w14:paraId="522DD893" w14:textId="77777777" w:rsidTr="00AC2424">
        <w:trPr>
          <w:jc w:val="center"/>
        </w:trPr>
        <w:tc>
          <w:tcPr>
            <w:tcW w:w="4876" w:type="dxa"/>
            <w:tcBorders>
              <w:top w:val="nil"/>
              <w:left w:val="nil"/>
              <w:bottom w:val="nil"/>
              <w:right w:val="nil"/>
            </w:tcBorders>
          </w:tcPr>
          <w:p w14:paraId="74644330" w14:textId="77777777" w:rsidR="000B6ECF" w:rsidRPr="00E15500" w:rsidRDefault="000B6ECF" w:rsidP="00AC2424">
            <w:pPr>
              <w:pStyle w:val="Normal6a"/>
            </w:pPr>
            <w:r w:rsidRPr="00E15500">
              <w:t>14.</w:t>
            </w:r>
            <w:r w:rsidRPr="00E15500">
              <w:tab/>
            </w:r>
            <w:r w:rsidRPr="00E15500">
              <w:rPr>
                <w:b/>
                <w:i/>
              </w:rPr>
              <w:t>osserva</w:t>
            </w:r>
            <w:r w:rsidRPr="00E15500">
              <w:t xml:space="preserve"> che la durata media dei procedimenti per le cause chiuse dalla Corte di giustizia </w:t>
            </w:r>
            <w:r w:rsidRPr="00E15500">
              <w:rPr>
                <w:b/>
                <w:i/>
              </w:rPr>
              <w:t>è</w:t>
            </w:r>
            <w:r w:rsidRPr="00E15500">
              <w:t xml:space="preserve"> diminuita a 16,1 mesi nel 2023, rispetto a 16,4 mesi nel 2022; osserva che la durata media dei procedimenti delle cause chiuse dal Tribunale è stata di 18,2 mesi, rispetto ai 16,2 mesi del 2022, a causa, spiega il Tribunale, della natura e della relativa complessità dei procedimenti gestiti nel 2023;</w:t>
            </w:r>
          </w:p>
        </w:tc>
        <w:tc>
          <w:tcPr>
            <w:tcW w:w="4876" w:type="dxa"/>
            <w:tcBorders>
              <w:top w:val="nil"/>
              <w:left w:val="nil"/>
              <w:bottom w:val="nil"/>
              <w:right w:val="nil"/>
            </w:tcBorders>
          </w:tcPr>
          <w:p w14:paraId="45726F8A" w14:textId="77777777" w:rsidR="000B6ECF" w:rsidRPr="00E15500" w:rsidRDefault="000B6ECF" w:rsidP="00AC2424">
            <w:pPr>
              <w:pStyle w:val="Normal6a"/>
            </w:pPr>
            <w:r w:rsidRPr="00E15500">
              <w:t>14.</w:t>
            </w:r>
            <w:r w:rsidRPr="00E15500">
              <w:tab/>
            </w:r>
            <w:r w:rsidRPr="00E15500">
              <w:rPr>
                <w:b/>
                <w:i/>
              </w:rPr>
              <w:t>accoglie con favore il fatto</w:t>
            </w:r>
            <w:r w:rsidRPr="00E15500">
              <w:t xml:space="preserve"> che la durata media dei procedimenti per le cause chiuse dalla Corte di giustizia </w:t>
            </w:r>
            <w:r w:rsidRPr="00E15500">
              <w:rPr>
                <w:b/>
                <w:i/>
              </w:rPr>
              <w:t>sia</w:t>
            </w:r>
            <w:r w:rsidRPr="00E15500">
              <w:t xml:space="preserve"> diminuita a 16,1 mesi nel 2023, rispetto a 16,4 mesi nel 2022; osserva che la durata media dei procedimenti delle cause chiuse dal Tribunale è stata di 18,2 mesi, rispetto ai 16,2 mesi del 2022, a causa, spiega il Tribunale, della natura e della relativa complessità dei procedimenti gestiti nel 2023;</w:t>
            </w:r>
          </w:p>
        </w:tc>
      </w:tr>
    </w:tbl>
    <w:p w14:paraId="43DA5844"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2A7912E1" w14:textId="77777777" w:rsidR="000B6ECF" w:rsidRPr="00E15500" w:rsidRDefault="000B6ECF" w:rsidP="000B6ECF">
      <w:r w:rsidRPr="00E15500">
        <w:rPr>
          <w:rStyle w:val="HideTWBExt"/>
        </w:rPr>
        <w:t>&lt;/Amend&gt;</w:t>
      </w:r>
    </w:p>
    <w:p w14:paraId="3B0CA0D9"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18</w:t>
      </w:r>
      <w:r w:rsidRPr="00E15500">
        <w:rPr>
          <w:rStyle w:val="HideTWBExt"/>
        </w:rPr>
        <w:t>&lt;/NumAm&gt;</w:t>
      </w:r>
    </w:p>
    <w:p w14:paraId="6E8388B5" w14:textId="77777777" w:rsidR="000B6ECF" w:rsidRPr="00E15500" w:rsidRDefault="000B6ECF" w:rsidP="000B6ECF">
      <w:pPr>
        <w:pStyle w:val="NormalBold"/>
      </w:pPr>
      <w:r w:rsidRPr="00E15500">
        <w:rPr>
          <w:rStyle w:val="HideTWBExt"/>
          <w:b w:val="0"/>
        </w:rPr>
        <w:t>&lt;RepeatBlock-By&gt;&lt;Members&gt;</w:t>
      </w:r>
      <w:r w:rsidRPr="00E15500">
        <w:t>Damian Boeselager</w:t>
      </w:r>
      <w:r w:rsidRPr="00E15500">
        <w:rPr>
          <w:rStyle w:val="HideTWBExt"/>
          <w:b w:val="0"/>
        </w:rPr>
        <w:t>&lt;/Members&gt;</w:t>
      </w:r>
    </w:p>
    <w:p w14:paraId="47208CD4" w14:textId="77777777" w:rsidR="000B6ECF" w:rsidRPr="00E15500" w:rsidRDefault="000B6ECF" w:rsidP="000B6ECF">
      <w:r w:rsidRPr="00E15500">
        <w:rPr>
          <w:rStyle w:val="HideTWBExt"/>
        </w:rPr>
        <w:t>&lt;AuNomDe&gt;</w:t>
      </w:r>
      <w:r w:rsidRPr="00E15500">
        <w:rPr>
          <w:rStyle w:val="HideTWBInt"/>
        </w:rPr>
        <w:t>{Greens/EFA}</w:t>
      </w:r>
      <w:r w:rsidRPr="00E15500">
        <w:t>a nome del gruppo Verts/ALE</w:t>
      </w:r>
      <w:r w:rsidRPr="00E15500">
        <w:rPr>
          <w:rStyle w:val="HideTWBExt"/>
        </w:rPr>
        <w:t>&lt;/AuNomDe&gt;</w:t>
      </w:r>
    </w:p>
    <w:p w14:paraId="46C76B45" w14:textId="77777777" w:rsidR="000B6ECF" w:rsidRPr="00E15500" w:rsidRDefault="000B6ECF" w:rsidP="000B6ECF">
      <w:pPr>
        <w:pStyle w:val="NormalBold"/>
      </w:pPr>
      <w:r w:rsidRPr="00E15500">
        <w:rPr>
          <w:rStyle w:val="HideTWBExt"/>
          <w:b w:val="0"/>
        </w:rPr>
        <w:t>&lt;/RepeatBlock-By&gt;</w:t>
      </w:r>
    </w:p>
    <w:p w14:paraId="6B6B1021"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0556A892" w14:textId="77777777" w:rsidR="000B6ECF" w:rsidRPr="00E15500" w:rsidRDefault="000B6ECF" w:rsidP="000B6ECF">
      <w:pPr>
        <w:pStyle w:val="NormalBold"/>
      </w:pPr>
      <w:r w:rsidRPr="00E15500">
        <w:rPr>
          <w:rStyle w:val="HideTWBExt"/>
        </w:rPr>
        <w:t>&lt;Article&gt;</w:t>
      </w:r>
      <w:r w:rsidRPr="00E15500">
        <w:t>Paragrafo 15</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19D19B9D" w14:textId="77777777" w:rsidTr="00AC2424">
        <w:trPr>
          <w:trHeight w:hRule="exact" w:val="240"/>
          <w:jc w:val="center"/>
        </w:trPr>
        <w:tc>
          <w:tcPr>
            <w:tcW w:w="9752" w:type="dxa"/>
            <w:gridSpan w:val="2"/>
            <w:tcBorders>
              <w:top w:val="nil"/>
              <w:left w:val="nil"/>
              <w:bottom w:val="nil"/>
              <w:right w:val="nil"/>
            </w:tcBorders>
          </w:tcPr>
          <w:p w14:paraId="688D8FC6" w14:textId="77777777" w:rsidR="000B6ECF" w:rsidRPr="00E15500" w:rsidRDefault="000B6ECF" w:rsidP="00AC2424"/>
        </w:tc>
      </w:tr>
      <w:tr w:rsidR="000B6ECF" w:rsidRPr="00E15500" w14:paraId="419B2DBC" w14:textId="77777777" w:rsidTr="00AC2424">
        <w:trPr>
          <w:trHeight w:val="240"/>
          <w:jc w:val="center"/>
        </w:trPr>
        <w:tc>
          <w:tcPr>
            <w:tcW w:w="4876" w:type="dxa"/>
            <w:tcBorders>
              <w:top w:val="nil"/>
              <w:left w:val="nil"/>
              <w:bottom w:val="nil"/>
              <w:right w:val="nil"/>
            </w:tcBorders>
          </w:tcPr>
          <w:p w14:paraId="194B931B"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035727B6" w14:textId="77777777" w:rsidR="000B6ECF" w:rsidRPr="00E15500" w:rsidRDefault="000B6ECF" w:rsidP="00AC2424">
            <w:pPr>
              <w:pStyle w:val="AmColumnHeading"/>
            </w:pPr>
            <w:r w:rsidRPr="00E15500">
              <w:t>Emendamento</w:t>
            </w:r>
          </w:p>
        </w:tc>
      </w:tr>
      <w:tr w:rsidR="000B6ECF" w:rsidRPr="00E15500" w14:paraId="2E71EB62" w14:textId="77777777" w:rsidTr="00AC2424">
        <w:trPr>
          <w:jc w:val="center"/>
        </w:trPr>
        <w:tc>
          <w:tcPr>
            <w:tcW w:w="4876" w:type="dxa"/>
            <w:tcBorders>
              <w:top w:val="nil"/>
              <w:left w:val="nil"/>
              <w:bottom w:val="nil"/>
              <w:right w:val="nil"/>
            </w:tcBorders>
          </w:tcPr>
          <w:p w14:paraId="79365D1C" w14:textId="77777777" w:rsidR="000B6ECF" w:rsidRPr="00E15500" w:rsidRDefault="000B6ECF" w:rsidP="00AC2424">
            <w:pPr>
              <w:pStyle w:val="Normal6a"/>
            </w:pPr>
            <w:r w:rsidRPr="00E15500">
              <w:t>15.</w:t>
            </w:r>
            <w:r w:rsidRPr="00E15500">
              <w:tab/>
              <w:t xml:space="preserve">accoglie con favore l'approccio basato sui risultati sviluppato dalla CGUE, che le consente di prendere decisioni in base al livello di raggiungimento dei suoi obiettivi, </w:t>
            </w:r>
            <w:r w:rsidRPr="00E15500">
              <w:rPr>
                <w:b/>
                <w:i/>
              </w:rPr>
              <w:t>misurato</w:t>
            </w:r>
            <w:r w:rsidRPr="00E15500">
              <w:t xml:space="preserve"> attraverso una serie di indicatori di carico di lavoro e operativi; osserva che gli indicatori chiave di performance utilizzati dalla CGUE coprono un'ampia gamma di ambiti specifici a sostegno dei cinque obiettivi di gestione relativi al corretto funzionamento della CGUE, alla digitalizzazione e alle tecnologie emergenti, all'apertura e alla trasparenza, al multilinguismo e alla gestione delle risorse umane;</w:t>
            </w:r>
          </w:p>
        </w:tc>
        <w:tc>
          <w:tcPr>
            <w:tcW w:w="4876" w:type="dxa"/>
            <w:tcBorders>
              <w:top w:val="nil"/>
              <w:left w:val="nil"/>
              <w:bottom w:val="nil"/>
              <w:right w:val="nil"/>
            </w:tcBorders>
          </w:tcPr>
          <w:p w14:paraId="359EF6E1" w14:textId="77777777" w:rsidR="000B6ECF" w:rsidRPr="00E15500" w:rsidRDefault="000B6ECF" w:rsidP="00AC2424">
            <w:pPr>
              <w:pStyle w:val="Normal6a"/>
            </w:pPr>
            <w:r w:rsidRPr="00E15500">
              <w:t>15.</w:t>
            </w:r>
            <w:r w:rsidRPr="00E15500">
              <w:tab/>
              <w:t xml:space="preserve">accoglie con favore l'approccio basato sui risultati sviluppato dalla CGUE, che le consente di prendere decisioni in base ai </w:t>
            </w:r>
            <w:r w:rsidRPr="00E15500">
              <w:rPr>
                <w:b/>
                <w:i/>
              </w:rPr>
              <w:t>risultati di performance e</w:t>
            </w:r>
            <w:r w:rsidRPr="00E15500">
              <w:t xml:space="preserve"> al livello di raggiungimento dei suoi obiettivi, </w:t>
            </w:r>
            <w:r w:rsidRPr="00E15500">
              <w:rPr>
                <w:b/>
                <w:i/>
              </w:rPr>
              <w:t>misurati</w:t>
            </w:r>
            <w:r w:rsidRPr="00E15500">
              <w:t xml:space="preserve"> attraverso una serie di indicatori di carico di lavoro e operativi; osserva che gli indicatori chiave di performance utilizzati dalla CGUE coprono un'ampia gamma di ambiti specifici a sostegno dei cinque obiettivi di gestione relativi al corretto funzionamento della CGUE, alla digitalizzazione e alle tecnologie emergenti, all'apertura e alla trasparenza, al multilinguismo e alla gestione delle risorse umane;</w:t>
            </w:r>
          </w:p>
        </w:tc>
      </w:tr>
    </w:tbl>
    <w:p w14:paraId="635FD9AE" w14:textId="77777777" w:rsidR="000B6ECF" w:rsidRPr="00AC2424" w:rsidRDefault="000B6ECF" w:rsidP="000B6ECF">
      <w:pPr>
        <w:pStyle w:val="AmOrLang"/>
        <w:rPr>
          <w:lang w:val="es-ES"/>
        </w:rPr>
      </w:pPr>
      <w:r w:rsidRPr="00AC2424">
        <w:rPr>
          <w:lang w:val="es-ES"/>
        </w:rPr>
        <w:t xml:space="preserve">Or. </w:t>
      </w:r>
      <w:r w:rsidRPr="00AC2424">
        <w:rPr>
          <w:rStyle w:val="HideTWBExt"/>
          <w:rFonts w:eastAsiaTheme="majorEastAsia"/>
          <w:lang w:val="es-ES"/>
        </w:rPr>
        <w:t>&lt;Original&gt;</w:t>
      </w:r>
      <w:r w:rsidRPr="00AC2424">
        <w:rPr>
          <w:rStyle w:val="HideTWBInt"/>
          <w:lang w:val="es-ES"/>
        </w:rPr>
        <w:t>{EN}</w:t>
      </w:r>
      <w:r w:rsidRPr="00AC2424">
        <w:rPr>
          <w:lang w:val="es-ES"/>
        </w:rPr>
        <w:t>en</w:t>
      </w:r>
      <w:r w:rsidRPr="00AC2424">
        <w:rPr>
          <w:rStyle w:val="HideTWBExt"/>
          <w:rFonts w:eastAsiaTheme="majorEastAsia"/>
          <w:lang w:val="es-ES"/>
        </w:rPr>
        <w:t>&lt;/Original&gt;</w:t>
      </w:r>
    </w:p>
    <w:p w14:paraId="6F2EC232" w14:textId="77777777" w:rsidR="000B6ECF" w:rsidRPr="00AC2424" w:rsidRDefault="000B6ECF" w:rsidP="000B6ECF">
      <w:pPr>
        <w:rPr>
          <w:lang w:val="es-ES"/>
        </w:rPr>
      </w:pPr>
      <w:r w:rsidRPr="00AC2424">
        <w:rPr>
          <w:rStyle w:val="HideTWBExt"/>
          <w:lang w:val="es-ES"/>
        </w:rPr>
        <w:t>&lt;/Amend&gt;</w:t>
      </w:r>
    </w:p>
    <w:p w14:paraId="7AB92C4B" w14:textId="77777777" w:rsidR="000B6ECF" w:rsidRPr="00AC2424" w:rsidRDefault="000B6ECF" w:rsidP="000B6ECF">
      <w:pPr>
        <w:pStyle w:val="AmNumberTabs"/>
        <w:rPr>
          <w:lang w:val="es-ES"/>
        </w:rPr>
      </w:pPr>
      <w:r w:rsidRPr="00AC2424">
        <w:rPr>
          <w:rStyle w:val="HideTWBExt"/>
          <w:lang w:val="es-ES"/>
        </w:rPr>
        <w:t>&lt;Amend&gt;</w:t>
      </w:r>
      <w:r w:rsidRPr="00AC2424">
        <w:rPr>
          <w:lang w:val="es-ES"/>
        </w:rPr>
        <w:t>Emendamento</w:t>
      </w:r>
      <w:r w:rsidRPr="00AC2424">
        <w:rPr>
          <w:lang w:val="es-ES"/>
        </w:rPr>
        <w:tab/>
      </w:r>
      <w:r w:rsidRPr="00AC2424">
        <w:rPr>
          <w:lang w:val="es-ES"/>
        </w:rPr>
        <w:tab/>
      </w:r>
      <w:r w:rsidRPr="00AC2424">
        <w:rPr>
          <w:rStyle w:val="HideTWBExt"/>
          <w:lang w:val="es-ES"/>
        </w:rPr>
        <w:t>&lt;NumAm&gt;</w:t>
      </w:r>
      <w:r w:rsidRPr="00AC2424">
        <w:rPr>
          <w:lang w:val="es-ES"/>
        </w:rPr>
        <w:t>19</w:t>
      </w:r>
      <w:r w:rsidRPr="00AC2424">
        <w:rPr>
          <w:rStyle w:val="HideTWBExt"/>
          <w:lang w:val="es-ES"/>
        </w:rPr>
        <w:t>&lt;/NumAm&gt;</w:t>
      </w:r>
    </w:p>
    <w:p w14:paraId="2CE524FF" w14:textId="77777777" w:rsidR="000B6ECF" w:rsidRPr="00AC2424" w:rsidRDefault="000B6ECF" w:rsidP="000B6ECF">
      <w:pPr>
        <w:pStyle w:val="NormalBold"/>
        <w:rPr>
          <w:lang w:val="es-ES"/>
        </w:rPr>
      </w:pPr>
      <w:r w:rsidRPr="00AC2424">
        <w:rPr>
          <w:rStyle w:val="HideTWBExt"/>
          <w:b w:val="0"/>
          <w:lang w:val="es-ES"/>
        </w:rPr>
        <w:t>&lt;RepeatBlock-By&gt;&lt;Members&gt;</w:t>
      </w:r>
      <w:r w:rsidRPr="00AC2424">
        <w:rPr>
          <w:lang w:val="es-ES"/>
        </w:rPr>
        <w:t>Tamás Deutsch</w:t>
      </w:r>
      <w:r w:rsidRPr="00AC2424">
        <w:rPr>
          <w:rStyle w:val="HideTWBExt"/>
          <w:b w:val="0"/>
          <w:lang w:val="es-ES"/>
        </w:rPr>
        <w:t>&lt;/Members&gt;</w:t>
      </w:r>
    </w:p>
    <w:p w14:paraId="6DC905E7" w14:textId="77777777" w:rsidR="000B6ECF" w:rsidRPr="00AC2424" w:rsidRDefault="000B6ECF" w:rsidP="000B6ECF">
      <w:pPr>
        <w:pStyle w:val="NormalBold"/>
        <w:rPr>
          <w:lang w:val="es-ES"/>
        </w:rPr>
      </w:pPr>
      <w:r w:rsidRPr="00AC2424">
        <w:rPr>
          <w:rStyle w:val="HideTWBExt"/>
          <w:b w:val="0"/>
          <w:lang w:val="es-ES"/>
        </w:rPr>
        <w:t>&lt;/RepeatBlock-By&gt;</w:t>
      </w:r>
    </w:p>
    <w:p w14:paraId="53F462C2"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617D7F6C" w14:textId="77777777" w:rsidR="000B6ECF" w:rsidRPr="00E15500" w:rsidRDefault="000B6ECF" w:rsidP="000B6ECF">
      <w:pPr>
        <w:pStyle w:val="NormalBold"/>
      </w:pPr>
      <w:r w:rsidRPr="00E15500">
        <w:rPr>
          <w:rStyle w:val="HideTWBExt"/>
        </w:rPr>
        <w:t>&lt;Article&gt;</w:t>
      </w:r>
      <w:r w:rsidRPr="00E15500">
        <w:t>Paragrafo 17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37ADC188" w14:textId="77777777" w:rsidTr="00AC2424">
        <w:trPr>
          <w:trHeight w:hRule="exact" w:val="240"/>
          <w:jc w:val="center"/>
        </w:trPr>
        <w:tc>
          <w:tcPr>
            <w:tcW w:w="9752" w:type="dxa"/>
            <w:gridSpan w:val="2"/>
            <w:tcBorders>
              <w:top w:val="nil"/>
              <w:left w:val="nil"/>
              <w:bottom w:val="nil"/>
              <w:right w:val="nil"/>
            </w:tcBorders>
          </w:tcPr>
          <w:p w14:paraId="268E2EFF" w14:textId="77777777" w:rsidR="000B6ECF" w:rsidRPr="00E15500" w:rsidRDefault="000B6ECF" w:rsidP="00AC2424"/>
        </w:tc>
      </w:tr>
      <w:tr w:rsidR="000B6ECF" w:rsidRPr="00E15500" w14:paraId="2482BE9A" w14:textId="77777777" w:rsidTr="00AC2424">
        <w:trPr>
          <w:trHeight w:val="240"/>
          <w:jc w:val="center"/>
        </w:trPr>
        <w:tc>
          <w:tcPr>
            <w:tcW w:w="4876" w:type="dxa"/>
            <w:tcBorders>
              <w:top w:val="nil"/>
              <w:left w:val="nil"/>
              <w:bottom w:val="nil"/>
              <w:right w:val="nil"/>
            </w:tcBorders>
          </w:tcPr>
          <w:p w14:paraId="1FE65088"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61AC27E1" w14:textId="77777777" w:rsidR="000B6ECF" w:rsidRPr="00E15500" w:rsidRDefault="000B6ECF" w:rsidP="00AC2424">
            <w:pPr>
              <w:pStyle w:val="AmColumnHeading"/>
            </w:pPr>
            <w:r w:rsidRPr="00E15500">
              <w:t>Emendamento</w:t>
            </w:r>
          </w:p>
        </w:tc>
      </w:tr>
      <w:tr w:rsidR="000B6ECF" w:rsidRPr="00E15500" w14:paraId="6716FFF7" w14:textId="77777777" w:rsidTr="00AC2424">
        <w:trPr>
          <w:jc w:val="center"/>
        </w:trPr>
        <w:tc>
          <w:tcPr>
            <w:tcW w:w="4876" w:type="dxa"/>
            <w:tcBorders>
              <w:top w:val="nil"/>
              <w:left w:val="nil"/>
              <w:bottom w:val="nil"/>
              <w:right w:val="nil"/>
            </w:tcBorders>
          </w:tcPr>
          <w:p w14:paraId="46D6E7F2" w14:textId="77777777" w:rsidR="000B6ECF" w:rsidRPr="00E15500" w:rsidRDefault="000B6ECF" w:rsidP="00AC2424">
            <w:pPr>
              <w:pStyle w:val="Normal6a"/>
            </w:pPr>
          </w:p>
        </w:tc>
        <w:tc>
          <w:tcPr>
            <w:tcW w:w="4876" w:type="dxa"/>
            <w:tcBorders>
              <w:top w:val="nil"/>
              <w:left w:val="nil"/>
              <w:bottom w:val="nil"/>
              <w:right w:val="nil"/>
            </w:tcBorders>
          </w:tcPr>
          <w:p w14:paraId="3D8D0C20" w14:textId="77777777" w:rsidR="000B6ECF" w:rsidRPr="00E15500" w:rsidRDefault="000B6ECF" w:rsidP="00AC2424">
            <w:pPr>
              <w:pStyle w:val="Normal6a"/>
            </w:pPr>
            <w:r w:rsidRPr="00E15500">
              <w:rPr>
                <w:b/>
                <w:i/>
              </w:rPr>
              <w:t>17 bis.</w:t>
            </w:r>
            <w:r w:rsidRPr="00E15500">
              <w:tab/>
            </w:r>
            <w:r w:rsidRPr="00E15500">
              <w:rPr>
                <w:b/>
                <w:i/>
              </w:rPr>
              <w:t>ricorda che, a norma del trattato sull'Unione europea, l'UE e le sue istituzioni promuovono la solidarietà e la parità tra donne e uomini;</w:t>
            </w:r>
          </w:p>
        </w:tc>
      </w:tr>
    </w:tbl>
    <w:p w14:paraId="7866867C"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1042487F" w14:textId="77777777" w:rsidR="000B6ECF" w:rsidRPr="00E15500" w:rsidRDefault="000B6ECF" w:rsidP="000B6ECF">
      <w:r w:rsidRPr="00E15500">
        <w:rPr>
          <w:rStyle w:val="HideTWBExt"/>
        </w:rPr>
        <w:t>&lt;/Amend&gt;</w:t>
      </w:r>
    </w:p>
    <w:p w14:paraId="7642043E"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20</w:t>
      </w:r>
      <w:r w:rsidRPr="00E15500">
        <w:rPr>
          <w:rStyle w:val="HideTWBExt"/>
        </w:rPr>
        <w:t>&lt;/NumAm&gt;</w:t>
      </w:r>
    </w:p>
    <w:p w14:paraId="5DA9AD31" w14:textId="77777777" w:rsidR="000B6ECF" w:rsidRPr="00E15500" w:rsidRDefault="000B6ECF" w:rsidP="000B6ECF">
      <w:pPr>
        <w:pStyle w:val="NormalBold"/>
      </w:pPr>
      <w:r w:rsidRPr="00E15500">
        <w:rPr>
          <w:rStyle w:val="HideTWBExt"/>
          <w:b w:val="0"/>
        </w:rPr>
        <w:t>&lt;RepeatBlock-By&gt;&lt;Members&gt;</w:t>
      </w:r>
      <w:r w:rsidRPr="00E15500">
        <w:t>Csaba Molnár, Claudiu Manda, Marit Maij</w:t>
      </w:r>
      <w:r w:rsidRPr="00E15500">
        <w:rPr>
          <w:rStyle w:val="HideTWBExt"/>
          <w:b w:val="0"/>
        </w:rPr>
        <w:t>&lt;/Members&gt;</w:t>
      </w:r>
    </w:p>
    <w:p w14:paraId="5166211E" w14:textId="77777777" w:rsidR="000B6ECF" w:rsidRPr="00E15500" w:rsidRDefault="000B6ECF" w:rsidP="000B6ECF">
      <w:pPr>
        <w:pStyle w:val="NormalBold"/>
      </w:pPr>
      <w:r w:rsidRPr="00E15500">
        <w:rPr>
          <w:rStyle w:val="HideTWBExt"/>
          <w:b w:val="0"/>
        </w:rPr>
        <w:t>&lt;/RepeatBlock-By&gt;</w:t>
      </w:r>
    </w:p>
    <w:p w14:paraId="56116074"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73AE12D6" w14:textId="77777777" w:rsidR="000B6ECF" w:rsidRPr="00E15500" w:rsidRDefault="000B6ECF" w:rsidP="000B6ECF">
      <w:pPr>
        <w:pStyle w:val="NormalBold"/>
      </w:pPr>
      <w:r w:rsidRPr="00E15500">
        <w:rPr>
          <w:rStyle w:val="HideTWBExt"/>
        </w:rPr>
        <w:t>&lt;Article&gt;</w:t>
      </w:r>
      <w:r w:rsidRPr="00E15500">
        <w:t>Paragrafo 20</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6DE75D49" w14:textId="77777777" w:rsidTr="00AC2424">
        <w:trPr>
          <w:trHeight w:hRule="exact" w:val="240"/>
          <w:jc w:val="center"/>
        </w:trPr>
        <w:tc>
          <w:tcPr>
            <w:tcW w:w="9752" w:type="dxa"/>
            <w:gridSpan w:val="2"/>
            <w:tcBorders>
              <w:top w:val="nil"/>
              <w:left w:val="nil"/>
              <w:bottom w:val="nil"/>
              <w:right w:val="nil"/>
            </w:tcBorders>
          </w:tcPr>
          <w:p w14:paraId="78158DA1" w14:textId="77777777" w:rsidR="000B6ECF" w:rsidRPr="00E15500" w:rsidRDefault="000B6ECF" w:rsidP="00AC2424"/>
        </w:tc>
      </w:tr>
      <w:tr w:rsidR="000B6ECF" w:rsidRPr="00E15500" w14:paraId="7F3F978C" w14:textId="77777777" w:rsidTr="00AC2424">
        <w:trPr>
          <w:trHeight w:val="240"/>
          <w:jc w:val="center"/>
        </w:trPr>
        <w:tc>
          <w:tcPr>
            <w:tcW w:w="4876" w:type="dxa"/>
            <w:tcBorders>
              <w:top w:val="nil"/>
              <w:left w:val="nil"/>
              <w:bottom w:val="nil"/>
              <w:right w:val="nil"/>
            </w:tcBorders>
          </w:tcPr>
          <w:p w14:paraId="5FF2A6D7"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7AF7608A" w14:textId="77777777" w:rsidR="000B6ECF" w:rsidRPr="00E15500" w:rsidRDefault="000B6ECF" w:rsidP="00AC2424">
            <w:pPr>
              <w:pStyle w:val="AmColumnHeading"/>
            </w:pPr>
            <w:r w:rsidRPr="00E15500">
              <w:t>Emendamento</w:t>
            </w:r>
          </w:p>
        </w:tc>
      </w:tr>
      <w:tr w:rsidR="000B6ECF" w:rsidRPr="00E15500" w14:paraId="44BA6FDF" w14:textId="77777777" w:rsidTr="00AC2424">
        <w:trPr>
          <w:jc w:val="center"/>
        </w:trPr>
        <w:tc>
          <w:tcPr>
            <w:tcW w:w="4876" w:type="dxa"/>
            <w:tcBorders>
              <w:top w:val="nil"/>
              <w:left w:val="nil"/>
              <w:bottom w:val="nil"/>
              <w:right w:val="nil"/>
            </w:tcBorders>
          </w:tcPr>
          <w:p w14:paraId="45A5DB28" w14:textId="77777777" w:rsidR="000B6ECF" w:rsidRPr="00E15500" w:rsidRDefault="000B6ECF" w:rsidP="00AC2424">
            <w:pPr>
              <w:pStyle w:val="Normal6a"/>
            </w:pPr>
            <w:r w:rsidRPr="00E15500">
              <w:t>20.</w:t>
            </w:r>
            <w:r w:rsidRPr="00E15500">
              <w:tab/>
              <w:t>rileva che la composizione di genere della Corte di giustizia e del Tribunale continua a essere molto sbilanciata; esprime il proprio apprezzamento per la lettera del presidente del Tribunale al presidente della conferenza dei rappresentanti dei governi degli Stati membri nel 2024, che invitava gli Stati membri a prendere in considerazione la necessità di un equilibrio di genere nella nomina dei candidati per la sostituzione dei giudici e degli avvocati generali; ribadisce il suo invito al Consiglio a riconsiderare la procedura di nomina al fine di affrontare tale problema con azioni concrete, come l'obbligo per gli Stati membri di proporre almeno due candidati di genere diverso per ciascun posto vacante;</w:t>
            </w:r>
          </w:p>
        </w:tc>
        <w:tc>
          <w:tcPr>
            <w:tcW w:w="4876" w:type="dxa"/>
            <w:tcBorders>
              <w:top w:val="nil"/>
              <w:left w:val="nil"/>
              <w:bottom w:val="nil"/>
              <w:right w:val="nil"/>
            </w:tcBorders>
          </w:tcPr>
          <w:p w14:paraId="06D56CC5" w14:textId="77777777" w:rsidR="000B6ECF" w:rsidRPr="00E15500" w:rsidRDefault="000B6ECF" w:rsidP="00AC2424">
            <w:pPr>
              <w:pStyle w:val="Normal6a"/>
            </w:pPr>
            <w:r w:rsidRPr="00E15500">
              <w:t>20.</w:t>
            </w:r>
            <w:r w:rsidRPr="00E15500">
              <w:tab/>
              <w:t xml:space="preserve">rileva </w:t>
            </w:r>
            <w:r w:rsidRPr="00E15500">
              <w:rPr>
                <w:b/>
                <w:i/>
              </w:rPr>
              <w:t>con preoccupazione</w:t>
            </w:r>
            <w:r w:rsidRPr="00E15500">
              <w:t xml:space="preserve"> che la composizione di genere della Corte di giustizia e del Tribunale continua a essere molto sbilanciata; esprime il proprio apprezzamento per la lettera del presidente del Tribunale al presidente della conferenza dei rappresentanti dei governi degli Stati membri nel 2024, che invitava gli Stati membri a prendere in considerazione la necessità di un equilibrio di genere nella nomina dei candidati per la sostituzione dei giudici e degli avvocati generali; ribadisce il suo invito al Consiglio a riconsiderare la procedura di nomina al fine di affrontare tale problema con azioni concrete, come l'obbligo per gli Stati membri di proporre almeno due candidati di genere diverso per ciascun posto vacante; </w:t>
            </w:r>
            <w:r w:rsidRPr="00E15500">
              <w:rPr>
                <w:b/>
                <w:i/>
              </w:rPr>
              <w:t>invita gli Stati membri a tenere conto della necessità di un equilibrio di genere al momento di nominare i candidati per la sostituzione dei giudici;</w:t>
            </w:r>
          </w:p>
        </w:tc>
      </w:tr>
    </w:tbl>
    <w:p w14:paraId="3F62A197"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45DE070E" w14:textId="77777777" w:rsidR="000B6ECF" w:rsidRPr="00E15500" w:rsidRDefault="000B6ECF" w:rsidP="000B6ECF">
      <w:r w:rsidRPr="00E15500">
        <w:rPr>
          <w:rStyle w:val="HideTWBExt"/>
        </w:rPr>
        <w:t>&lt;/Amend&gt;</w:t>
      </w:r>
    </w:p>
    <w:p w14:paraId="7D78A333"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21</w:t>
      </w:r>
      <w:r w:rsidRPr="00E15500">
        <w:rPr>
          <w:rStyle w:val="HideTWBExt"/>
        </w:rPr>
        <w:t>&lt;/NumAm&gt;</w:t>
      </w:r>
    </w:p>
    <w:p w14:paraId="1819CB79" w14:textId="77777777" w:rsidR="000B6ECF" w:rsidRPr="00E15500" w:rsidRDefault="000B6ECF" w:rsidP="000B6ECF">
      <w:pPr>
        <w:pStyle w:val="NormalBold"/>
      </w:pPr>
      <w:r w:rsidRPr="00E15500">
        <w:rPr>
          <w:rStyle w:val="HideTWBExt"/>
          <w:b w:val="0"/>
        </w:rPr>
        <w:t>&lt;RepeatBlock-By&gt;&lt;Members&gt;</w:t>
      </w:r>
      <w:r w:rsidRPr="00E15500">
        <w:t>Damian Boeselager</w:t>
      </w:r>
      <w:r w:rsidRPr="00E15500">
        <w:rPr>
          <w:rStyle w:val="HideTWBExt"/>
          <w:b w:val="0"/>
        </w:rPr>
        <w:t>&lt;/Members&gt;</w:t>
      </w:r>
    </w:p>
    <w:p w14:paraId="309FA2D2" w14:textId="77777777" w:rsidR="000B6ECF" w:rsidRPr="00E15500" w:rsidRDefault="000B6ECF" w:rsidP="000B6ECF">
      <w:r w:rsidRPr="00E15500">
        <w:rPr>
          <w:rStyle w:val="HideTWBExt"/>
        </w:rPr>
        <w:t>&lt;AuNomDe&gt;</w:t>
      </w:r>
      <w:r w:rsidRPr="00E15500">
        <w:rPr>
          <w:rStyle w:val="HideTWBInt"/>
        </w:rPr>
        <w:t>{Greens/EFA}</w:t>
      </w:r>
      <w:r w:rsidRPr="00E15500">
        <w:t>a nome del gruppo Verts/ALE</w:t>
      </w:r>
      <w:r w:rsidRPr="00E15500">
        <w:rPr>
          <w:rStyle w:val="HideTWBExt"/>
        </w:rPr>
        <w:t>&lt;/AuNomDe&gt;</w:t>
      </w:r>
    </w:p>
    <w:p w14:paraId="77361F2A" w14:textId="77777777" w:rsidR="000B6ECF" w:rsidRPr="00E15500" w:rsidRDefault="000B6ECF" w:rsidP="000B6ECF">
      <w:pPr>
        <w:pStyle w:val="NormalBold"/>
      </w:pPr>
      <w:r w:rsidRPr="00E15500">
        <w:rPr>
          <w:rStyle w:val="HideTWBExt"/>
          <w:b w:val="0"/>
        </w:rPr>
        <w:t>&lt;/RepeatBlock-By&gt;</w:t>
      </w:r>
    </w:p>
    <w:p w14:paraId="72567608"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79FB00C5" w14:textId="77777777" w:rsidR="000B6ECF" w:rsidRPr="00E15500" w:rsidRDefault="000B6ECF" w:rsidP="000B6ECF">
      <w:pPr>
        <w:pStyle w:val="NormalBold"/>
      </w:pPr>
      <w:r w:rsidRPr="00E15500">
        <w:rPr>
          <w:rStyle w:val="HideTWBExt"/>
        </w:rPr>
        <w:t>&lt;Article&gt;</w:t>
      </w:r>
      <w:r w:rsidRPr="00E15500">
        <w:t>Paragrafo 20</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5F875BA3" w14:textId="77777777" w:rsidTr="00AC2424">
        <w:trPr>
          <w:trHeight w:hRule="exact" w:val="240"/>
          <w:jc w:val="center"/>
        </w:trPr>
        <w:tc>
          <w:tcPr>
            <w:tcW w:w="9752" w:type="dxa"/>
            <w:gridSpan w:val="2"/>
            <w:tcBorders>
              <w:top w:val="nil"/>
              <w:left w:val="nil"/>
              <w:bottom w:val="nil"/>
              <w:right w:val="nil"/>
            </w:tcBorders>
          </w:tcPr>
          <w:p w14:paraId="2D598D1D" w14:textId="77777777" w:rsidR="000B6ECF" w:rsidRPr="00E15500" w:rsidRDefault="000B6ECF" w:rsidP="00AC2424"/>
        </w:tc>
      </w:tr>
      <w:tr w:rsidR="000B6ECF" w:rsidRPr="00E15500" w14:paraId="4B3B89E5" w14:textId="77777777" w:rsidTr="00AC2424">
        <w:trPr>
          <w:trHeight w:val="240"/>
          <w:jc w:val="center"/>
        </w:trPr>
        <w:tc>
          <w:tcPr>
            <w:tcW w:w="4876" w:type="dxa"/>
            <w:tcBorders>
              <w:top w:val="nil"/>
              <w:left w:val="nil"/>
              <w:bottom w:val="nil"/>
              <w:right w:val="nil"/>
            </w:tcBorders>
          </w:tcPr>
          <w:p w14:paraId="66D36EB4"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584ADE35" w14:textId="77777777" w:rsidR="000B6ECF" w:rsidRPr="00E15500" w:rsidRDefault="000B6ECF" w:rsidP="00AC2424">
            <w:pPr>
              <w:pStyle w:val="AmColumnHeading"/>
            </w:pPr>
            <w:r w:rsidRPr="00E15500">
              <w:t>Emendamento</w:t>
            </w:r>
          </w:p>
        </w:tc>
      </w:tr>
      <w:tr w:rsidR="000B6ECF" w:rsidRPr="00E15500" w14:paraId="5924E42F" w14:textId="77777777" w:rsidTr="00AC2424">
        <w:trPr>
          <w:jc w:val="center"/>
        </w:trPr>
        <w:tc>
          <w:tcPr>
            <w:tcW w:w="4876" w:type="dxa"/>
            <w:tcBorders>
              <w:top w:val="nil"/>
              <w:left w:val="nil"/>
              <w:bottom w:val="nil"/>
              <w:right w:val="nil"/>
            </w:tcBorders>
          </w:tcPr>
          <w:p w14:paraId="4625EC95" w14:textId="77777777" w:rsidR="000B6ECF" w:rsidRPr="00E15500" w:rsidRDefault="000B6ECF" w:rsidP="00AC2424">
            <w:pPr>
              <w:pStyle w:val="Normal6a"/>
            </w:pPr>
            <w:r w:rsidRPr="00E15500">
              <w:t>20.</w:t>
            </w:r>
            <w:r w:rsidRPr="00E15500">
              <w:tab/>
              <w:t xml:space="preserve">rileva che la composizione di genere della Corte di giustizia e del Tribunale continua a essere molto sbilanciata; esprime il proprio apprezzamento per la lettera del presidente del Tribunale al presidente della conferenza dei rappresentanti dei governi degli Stati membri nel 2024, che invitava gli Stati membri a prendere in considerazione la necessità di un equilibrio di genere nella nomina dei candidati per la sostituzione dei giudici e degli avvocati generali; </w:t>
            </w:r>
            <w:r w:rsidRPr="00E15500">
              <w:rPr>
                <w:b/>
                <w:i/>
              </w:rPr>
              <w:t>ribadisce il suo invito al</w:t>
            </w:r>
            <w:r w:rsidRPr="00E15500">
              <w:t xml:space="preserve"> Consiglio a </w:t>
            </w:r>
            <w:r w:rsidRPr="00E15500">
              <w:rPr>
                <w:b/>
                <w:i/>
              </w:rPr>
              <w:t>riconsiderare la procedura di nomina</w:t>
            </w:r>
            <w:r w:rsidRPr="00E15500">
              <w:t xml:space="preserve"> al fine di </w:t>
            </w:r>
            <w:r w:rsidRPr="00E15500">
              <w:rPr>
                <w:b/>
                <w:i/>
              </w:rPr>
              <w:t>affrontare tale problema con azioni concrete, come l'obbligo</w:t>
            </w:r>
            <w:r w:rsidRPr="00E15500">
              <w:t xml:space="preserve"> per gli Stati membri di proporre almeno due candidati di genere diverso per ciascun posto vacante;</w:t>
            </w:r>
          </w:p>
        </w:tc>
        <w:tc>
          <w:tcPr>
            <w:tcW w:w="4876" w:type="dxa"/>
            <w:tcBorders>
              <w:top w:val="nil"/>
              <w:left w:val="nil"/>
              <w:bottom w:val="nil"/>
              <w:right w:val="nil"/>
            </w:tcBorders>
          </w:tcPr>
          <w:p w14:paraId="37F1FA87" w14:textId="77777777" w:rsidR="000B6ECF" w:rsidRPr="00E15500" w:rsidRDefault="000B6ECF" w:rsidP="00AC2424">
            <w:pPr>
              <w:pStyle w:val="Normal6a"/>
            </w:pPr>
            <w:r w:rsidRPr="00E15500">
              <w:t>20.</w:t>
            </w:r>
            <w:r w:rsidRPr="00E15500">
              <w:tab/>
              <w:t xml:space="preserve">rileva che la composizione di genere della Corte di giustizia e del Tribunale continua a essere molto sbilanciata; esprime il proprio apprezzamento per la lettera del presidente del Tribunale al presidente della conferenza dei rappresentanti dei governi degli Stati membri nel 2024, che invitava gli Stati membri a prendere in considerazione la necessità di un equilibrio di genere nella nomina dei candidati per la sostituzione dei giudici e degli avvocati generali; </w:t>
            </w:r>
            <w:r w:rsidRPr="00E15500">
              <w:rPr>
                <w:b/>
                <w:i/>
              </w:rPr>
              <w:t>invita il</w:t>
            </w:r>
            <w:r w:rsidRPr="00E15500">
              <w:t xml:space="preserve"> Consiglio a </w:t>
            </w:r>
            <w:r w:rsidRPr="00E15500">
              <w:rPr>
                <w:b/>
                <w:i/>
              </w:rPr>
              <w:t>introdurre una norma obbligatoria in materia di parità di genere</w:t>
            </w:r>
            <w:r w:rsidRPr="00E15500">
              <w:t xml:space="preserve"> al fine di </w:t>
            </w:r>
            <w:r w:rsidRPr="00E15500">
              <w:rPr>
                <w:b/>
                <w:i/>
              </w:rPr>
              <w:t>rendere obbligatorio</w:t>
            </w:r>
            <w:r w:rsidRPr="00E15500">
              <w:t xml:space="preserve"> per gli Stati membri di proporre almeno due candidati di genere diverso per ciascun posto vacante;</w:t>
            </w:r>
          </w:p>
        </w:tc>
      </w:tr>
    </w:tbl>
    <w:p w14:paraId="7752C26D"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3CF9CA41" w14:textId="77777777" w:rsidR="000B6ECF" w:rsidRPr="00E15500" w:rsidRDefault="000B6ECF" w:rsidP="000B6ECF">
      <w:r w:rsidRPr="00E15500">
        <w:rPr>
          <w:rStyle w:val="HideTWBExt"/>
        </w:rPr>
        <w:t>&lt;/Amend&gt;</w:t>
      </w:r>
    </w:p>
    <w:p w14:paraId="66D6FCC8"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22</w:t>
      </w:r>
      <w:r w:rsidRPr="00E15500">
        <w:rPr>
          <w:rStyle w:val="HideTWBExt"/>
        </w:rPr>
        <w:t>&lt;/NumAm&gt;</w:t>
      </w:r>
    </w:p>
    <w:p w14:paraId="60AC78DE" w14:textId="77777777" w:rsidR="000B6ECF" w:rsidRPr="00E15500" w:rsidRDefault="000B6ECF" w:rsidP="000B6ECF">
      <w:pPr>
        <w:pStyle w:val="NormalBold"/>
      </w:pPr>
      <w:r w:rsidRPr="00E15500">
        <w:rPr>
          <w:rStyle w:val="HideTWBExt"/>
          <w:b w:val="0"/>
        </w:rPr>
        <w:t>&lt;RepeatBlock-By&gt;&lt;Members&gt;</w:t>
      </w:r>
      <w:r w:rsidRPr="00E15500">
        <w:t>Csaba Molnár, Claudiu Manda</w:t>
      </w:r>
      <w:r w:rsidRPr="00E15500">
        <w:rPr>
          <w:rStyle w:val="HideTWBExt"/>
          <w:b w:val="0"/>
        </w:rPr>
        <w:t>&lt;/Members&gt;</w:t>
      </w:r>
    </w:p>
    <w:p w14:paraId="53A5D249" w14:textId="77777777" w:rsidR="000B6ECF" w:rsidRPr="00E15500" w:rsidRDefault="000B6ECF" w:rsidP="000B6ECF">
      <w:pPr>
        <w:pStyle w:val="NormalBold"/>
      </w:pPr>
      <w:r w:rsidRPr="00E15500">
        <w:rPr>
          <w:rStyle w:val="HideTWBExt"/>
          <w:b w:val="0"/>
        </w:rPr>
        <w:t>&lt;/RepeatBlock-By&gt;</w:t>
      </w:r>
    </w:p>
    <w:p w14:paraId="1B811B1B"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42F99374" w14:textId="77777777" w:rsidR="000B6ECF" w:rsidRPr="00E15500" w:rsidRDefault="000B6ECF" w:rsidP="000B6ECF">
      <w:pPr>
        <w:pStyle w:val="NormalBold"/>
      </w:pPr>
      <w:r w:rsidRPr="00E15500">
        <w:rPr>
          <w:rStyle w:val="HideTWBExt"/>
        </w:rPr>
        <w:t>&lt;Article&gt;</w:t>
      </w:r>
      <w:r w:rsidRPr="00E15500">
        <w:t>Paragrafo 20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7842B3A5" w14:textId="77777777" w:rsidTr="00AC2424">
        <w:trPr>
          <w:trHeight w:hRule="exact" w:val="240"/>
          <w:jc w:val="center"/>
        </w:trPr>
        <w:tc>
          <w:tcPr>
            <w:tcW w:w="9752" w:type="dxa"/>
            <w:gridSpan w:val="2"/>
            <w:tcBorders>
              <w:top w:val="nil"/>
              <w:left w:val="nil"/>
              <w:bottom w:val="nil"/>
              <w:right w:val="nil"/>
            </w:tcBorders>
          </w:tcPr>
          <w:p w14:paraId="7B9AAF44" w14:textId="77777777" w:rsidR="000B6ECF" w:rsidRPr="00E15500" w:rsidRDefault="000B6ECF" w:rsidP="00AC2424"/>
        </w:tc>
      </w:tr>
      <w:tr w:rsidR="000B6ECF" w:rsidRPr="00E15500" w14:paraId="41A006C9" w14:textId="77777777" w:rsidTr="00AC2424">
        <w:trPr>
          <w:trHeight w:val="240"/>
          <w:jc w:val="center"/>
        </w:trPr>
        <w:tc>
          <w:tcPr>
            <w:tcW w:w="4876" w:type="dxa"/>
            <w:tcBorders>
              <w:top w:val="nil"/>
              <w:left w:val="nil"/>
              <w:bottom w:val="nil"/>
              <w:right w:val="nil"/>
            </w:tcBorders>
          </w:tcPr>
          <w:p w14:paraId="31F2A92B"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4550A393" w14:textId="77777777" w:rsidR="000B6ECF" w:rsidRPr="00E15500" w:rsidRDefault="000B6ECF" w:rsidP="00AC2424">
            <w:pPr>
              <w:pStyle w:val="AmColumnHeading"/>
            </w:pPr>
            <w:r w:rsidRPr="00E15500">
              <w:t>Emendamento</w:t>
            </w:r>
          </w:p>
        </w:tc>
      </w:tr>
      <w:tr w:rsidR="000B6ECF" w:rsidRPr="00E15500" w14:paraId="13E32592" w14:textId="77777777" w:rsidTr="00AC2424">
        <w:trPr>
          <w:jc w:val="center"/>
        </w:trPr>
        <w:tc>
          <w:tcPr>
            <w:tcW w:w="4876" w:type="dxa"/>
            <w:tcBorders>
              <w:top w:val="nil"/>
              <w:left w:val="nil"/>
              <w:bottom w:val="nil"/>
              <w:right w:val="nil"/>
            </w:tcBorders>
          </w:tcPr>
          <w:p w14:paraId="33311254" w14:textId="77777777" w:rsidR="000B6ECF" w:rsidRPr="00E15500" w:rsidRDefault="000B6ECF" w:rsidP="00AC2424">
            <w:pPr>
              <w:pStyle w:val="Normal6a"/>
            </w:pPr>
          </w:p>
        </w:tc>
        <w:tc>
          <w:tcPr>
            <w:tcW w:w="4876" w:type="dxa"/>
            <w:tcBorders>
              <w:top w:val="nil"/>
              <w:left w:val="nil"/>
              <w:bottom w:val="nil"/>
              <w:right w:val="nil"/>
            </w:tcBorders>
          </w:tcPr>
          <w:p w14:paraId="7C98FB07" w14:textId="77777777" w:rsidR="000B6ECF" w:rsidRPr="00E15500" w:rsidRDefault="000B6ECF" w:rsidP="00AC2424">
            <w:pPr>
              <w:pStyle w:val="Normal6a"/>
            </w:pPr>
            <w:r w:rsidRPr="00E15500">
              <w:rPr>
                <w:b/>
                <w:i/>
              </w:rPr>
              <w:t>20 bis.</w:t>
            </w:r>
            <w:r w:rsidRPr="00E15500">
              <w:tab/>
            </w:r>
            <w:r w:rsidRPr="00E15500">
              <w:rPr>
                <w:b/>
                <w:i/>
              </w:rPr>
              <w:t>accoglie con favore le risposte dettagliate della CGUE al questionario della commissione per il controllo dei bilanci del Parlamento europeo, fornite nell'ambito dell'attuale procedura di discarico, in particolare per quanto riguarda la distribuzione del personale alla fine del 2023;</w:t>
            </w:r>
          </w:p>
        </w:tc>
      </w:tr>
    </w:tbl>
    <w:p w14:paraId="0C25066B"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0373E914" w14:textId="77777777" w:rsidR="000B6ECF" w:rsidRPr="00E15500" w:rsidRDefault="000B6ECF" w:rsidP="000B6ECF">
      <w:r w:rsidRPr="00E15500">
        <w:rPr>
          <w:rStyle w:val="HideTWBExt"/>
        </w:rPr>
        <w:t>&lt;/Amend&gt;</w:t>
      </w:r>
    </w:p>
    <w:p w14:paraId="6BCE2732"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23</w:t>
      </w:r>
      <w:r w:rsidRPr="00E15500">
        <w:rPr>
          <w:rStyle w:val="HideTWBExt"/>
        </w:rPr>
        <w:t>&lt;/NumAm&gt;</w:t>
      </w:r>
    </w:p>
    <w:p w14:paraId="5EC28806" w14:textId="77777777" w:rsidR="000B6ECF" w:rsidRPr="00E15500" w:rsidRDefault="000B6ECF" w:rsidP="000B6ECF">
      <w:pPr>
        <w:pStyle w:val="NormalBold"/>
      </w:pPr>
      <w:r w:rsidRPr="00E15500">
        <w:rPr>
          <w:rStyle w:val="HideTWBExt"/>
          <w:b w:val="0"/>
        </w:rPr>
        <w:t>&lt;RepeatBlock-By&gt;&lt;Members&gt;</w:t>
      </w:r>
      <w:r w:rsidRPr="00E15500">
        <w:t>Gilles Boyer, Olivier Chastel, Michal Wiezik, Vlad Vasile-Voiculescu</w:t>
      </w:r>
      <w:r w:rsidRPr="00E15500">
        <w:rPr>
          <w:rStyle w:val="HideTWBExt"/>
          <w:b w:val="0"/>
        </w:rPr>
        <w:t>&lt;/Members&gt;</w:t>
      </w:r>
    </w:p>
    <w:p w14:paraId="67E92685" w14:textId="77777777" w:rsidR="000B6ECF" w:rsidRPr="00E15500" w:rsidRDefault="000B6ECF" w:rsidP="000B6ECF">
      <w:pPr>
        <w:pStyle w:val="NormalBold"/>
      </w:pPr>
      <w:r w:rsidRPr="00E15500">
        <w:rPr>
          <w:rStyle w:val="HideTWBExt"/>
          <w:b w:val="0"/>
        </w:rPr>
        <w:t>&lt;/RepeatBlock-By&gt;</w:t>
      </w:r>
    </w:p>
    <w:p w14:paraId="76779C12"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65AB63FC" w14:textId="77777777" w:rsidR="000B6ECF" w:rsidRPr="00E15500" w:rsidRDefault="000B6ECF" w:rsidP="000B6ECF">
      <w:pPr>
        <w:pStyle w:val="NormalBold"/>
      </w:pPr>
      <w:r w:rsidRPr="00E15500">
        <w:rPr>
          <w:rStyle w:val="HideTWBExt"/>
        </w:rPr>
        <w:t>&lt;Article&gt;</w:t>
      </w:r>
      <w:r w:rsidRPr="00E15500">
        <w:t>Paragrafo 21</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3B5A0A45" w14:textId="77777777" w:rsidTr="00AC2424">
        <w:trPr>
          <w:trHeight w:hRule="exact" w:val="240"/>
          <w:jc w:val="center"/>
        </w:trPr>
        <w:tc>
          <w:tcPr>
            <w:tcW w:w="9752" w:type="dxa"/>
            <w:gridSpan w:val="2"/>
            <w:tcBorders>
              <w:top w:val="nil"/>
              <w:left w:val="nil"/>
              <w:bottom w:val="nil"/>
              <w:right w:val="nil"/>
            </w:tcBorders>
          </w:tcPr>
          <w:p w14:paraId="7B27A7B7" w14:textId="77777777" w:rsidR="000B6ECF" w:rsidRPr="00E15500" w:rsidRDefault="000B6ECF" w:rsidP="00AC2424"/>
        </w:tc>
      </w:tr>
      <w:tr w:rsidR="000B6ECF" w:rsidRPr="00E15500" w14:paraId="4C5155B9" w14:textId="77777777" w:rsidTr="00AC2424">
        <w:trPr>
          <w:trHeight w:val="240"/>
          <w:jc w:val="center"/>
        </w:trPr>
        <w:tc>
          <w:tcPr>
            <w:tcW w:w="4876" w:type="dxa"/>
            <w:tcBorders>
              <w:top w:val="nil"/>
              <w:left w:val="nil"/>
              <w:bottom w:val="nil"/>
              <w:right w:val="nil"/>
            </w:tcBorders>
          </w:tcPr>
          <w:p w14:paraId="0848DD66"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6E624DD8" w14:textId="77777777" w:rsidR="000B6ECF" w:rsidRPr="00E15500" w:rsidRDefault="000B6ECF" w:rsidP="00AC2424">
            <w:pPr>
              <w:pStyle w:val="AmColumnHeading"/>
            </w:pPr>
            <w:r w:rsidRPr="00E15500">
              <w:t>Emendamento</w:t>
            </w:r>
          </w:p>
        </w:tc>
      </w:tr>
      <w:tr w:rsidR="000B6ECF" w:rsidRPr="00E15500" w14:paraId="4B8C9694" w14:textId="77777777" w:rsidTr="00AC2424">
        <w:trPr>
          <w:jc w:val="center"/>
        </w:trPr>
        <w:tc>
          <w:tcPr>
            <w:tcW w:w="4876" w:type="dxa"/>
            <w:tcBorders>
              <w:top w:val="nil"/>
              <w:left w:val="nil"/>
              <w:bottom w:val="nil"/>
              <w:right w:val="nil"/>
            </w:tcBorders>
          </w:tcPr>
          <w:p w14:paraId="67527697" w14:textId="77777777" w:rsidR="000B6ECF" w:rsidRPr="00E15500" w:rsidRDefault="000B6ECF" w:rsidP="00AC2424">
            <w:pPr>
              <w:pStyle w:val="Normal6a"/>
            </w:pPr>
            <w:r w:rsidRPr="00E15500">
              <w:t>21.</w:t>
            </w:r>
            <w:r w:rsidRPr="00E15500">
              <w:tab/>
              <w:t>osserva che, nel 2023, il personale della CGUE era composto per il 61,27 % da donne e per il 38,73 % da uomini; rileva che la rappresentanza femminile era massima nei gradi di assistente, mentre era minima nelle posizioni dirigenziali, occupati per il 43,75 % da donne e per il 56,25 % da uomini; accoglie con favore gli sforzi compiuti dalla CGUE a favore dell'uguaglianza, dell'inclusione e della diversità, soprattutto in fase di assunzione;</w:t>
            </w:r>
          </w:p>
        </w:tc>
        <w:tc>
          <w:tcPr>
            <w:tcW w:w="4876" w:type="dxa"/>
            <w:tcBorders>
              <w:top w:val="nil"/>
              <w:left w:val="nil"/>
              <w:bottom w:val="nil"/>
              <w:right w:val="nil"/>
            </w:tcBorders>
          </w:tcPr>
          <w:p w14:paraId="619C7DA2" w14:textId="77777777" w:rsidR="000B6ECF" w:rsidRPr="00E15500" w:rsidRDefault="000B6ECF" w:rsidP="00AC2424">
            <w:pPr>
              <w:pStyle w:val="Normal6a"/>
            </w:pPr>
            <w:r w:rsidRPr="00E15500">
              <w:t>21.</w:t>
            </w:r>
            <w:r w:rsidRPr="00E15500">
              <w:tab/>
              <w:t xml:space="preserve">osserva che, nel 2023, il personale della CGUE era composto per il 61,27 % da donne e per il 38,73 % da uomini; rileva che la rappresentanza femminile era massima nei gradi di assistente, mentre era minima nelle posizioni dirigenziali, occupati per il 43,75 % da donne e per il 56,25 % da uomini; </w:t>
            </w:r>
            <w:r w:rsidRPr="00E15500">
              <w:rPr>
                <w:b/>
                <w:i/>
              </w:rPr>
              <w:t>invita la CGUE a garantire una maggiore rappresentanza femminile nelle posizioni dirigenziali e ad adottare ulteriori misure per promuovere l'equilibrio di genere a tutti i livelli;</w:t>
            </w:r>
            <w:r w:rsidRPr="00E15500">
              <w:t xml:space="preserve"> accoglie con favore gli sforzi compiuti dalla CGUE a favore dell'uguaglianza, dell'inclusione e della diversità, soprattutto in fase di assunzione;</w:t>
            </w:r>
          </w:p>
        </w:tc>
      </w:tr>
    </w:tbl>
    <w:p w14:paraId="6B7986BA"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30327B0B" w14:textId="77777777" w:rsidR="000B6ECF" w:rsidRPr="00E15500" w:rsidRDefault="000B6ECF" w:rsidP="000B6ECF">
      <w:r w:rsidRPr="00E15500">
        <w:rPr>
          <w:rStyle w:val="HideTWBExt"/>
        </w:rPr>
        <w:t>&lt;/Amend&gt;</w:t>
      </w:r>
    </w:p>
    <w:p w14:paraId="5CB53512"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24</w:t>
      </w:r>
      <w:r w:rsidRPr="00E15500">
        <w:rPr>
          <w:rStyle w:val="HideTWBExt"/>
        </w:rPr>
        <w:t>&lt;/NumAm&gt;</w:t>
      </w:r>
    </w:p>
    <w:p w14:paraId="2EC1ED39" w14:textId="77777777" w:rsidR="000B6ECF" w:rsidRPr="00E15500" w:rsidRDefault="000B6ECF" w:rsidP="000B6ECF">
      <w:pPr>
        <w:pStyle w:val="NormalBold"/>
      </w:pPr>
      <w:r w:rsidRPr="00E15500">
        <w:rPr>
          <w:rStyle w:val="HideTWBExt"/>
          <w:b w:val="0"/>
        </w:rPr>
        <w:t>&lt;RepeatBlock-By&gt;&lt;Members&gt;</w:t>
      </w:r>
      <w:r w:rsidRPr="00E15500">
        <w:t>Damian Boeselager</w:t>
      </w:r>
      <w:r w:rsidRPr="00E15500">
        <w:rPr>
          <w:rStyle w:val="HideTWBExt"/>
          <w:b w:val="0"/>
        </w:rPr>
        <w:t>&lt;/Members&gt;</w:t>
      </w:r>
    </w:p>
    <w:p w14:paraId="60B67CF2" w14:textId="77777777" w:rsidR="000B6ECF" w:rsidRPr="00E15500" w:rsidRDefault="000B6ECF" w:rsidP="000B6ECF">
      <w:r w:rsidRPr="00E15500">
        <w:rPr>
          <w:rStyle w:val="HideTWBExt"/>
        </w:rPr>
        <w:t>&lt;AuNomDe&gt;</w:t>
      </w:r>
      <w:r w:rsidRPr="00E15500">
        <w:rPr>
          <w:rStyle w:val="HideTWBInt"/>
        </w:rPr>
        <w:t>{Greens/EFA}</w:t>
      </w:r>
      <w:r w:rsidRPr="00E15500">
        <w:t>a nome del gruppo Verts/ALE</w:t>
      </w:r>
      <w:r w:rsidRPr="00E15500">
        <w:rPr>
          <w:rStyle w:val="HideTWBExt"/>
        </w:rPr>
        <w:t>&lt;/AuNomDe&gt;</w:t>
      </w:r>
    </w:p>
    <w:p w14:paraId="53E43691" w14:textId="77777777" w:rsidR="000B6ECF" w:rsidRPr="00E15500" w:rsidRDefault="000B6ECF" w:rsidP="000B6ECF">
      <w:pPr>
        <w:pStyle w:val="NormalBold"/>
      </w:pPr>
      <w:r w:rsidRPr="00E15500">
        <w:rPr>
          <w:rStyle w:val="HideTWBExt"/>
          <w:b w:val="0"/>
        </w:rPr>
        <w:t>&lt;/RepeatBlock-By&gt;</w:t>
      </w:r>
    </w:p>
    <w:p w14:paraId="750E2CAB"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3BD48DB7" w14:textId="77777777" w:rsidR="000B6ECF" w:rsidRPr="00E15500" w:rsidRDefault="000B6ECF" w:rsidP="000B6ECF">
      <w:pPr>
        <w:pStyle w:val="NormalBold"/>
      </w:pPr>
      <w:r w:rsidRPr="00E15500">
        <w:rPr>
          <w:rStyle w:val="HideTWBExt"/>
        </w:rPr>
        <w:t>&lt;Article&gt;</w:t>
      </w:r>
      <w:r w:rsidRPr="00E15500">
        <w:t>Paragrafo 21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0876E85E" w14:textId="77777777" w:rsidTr="00AC2424">
        <w:trPr>
          <w:trHeight w:hRule="exact" w:val="240"/>
          <w:jc w:val="center"/>
        </w:trPr>
        <w:tc>
          <w:tcPr>
            <w:tcW w:w="9752" w:type="dxa"/>
            <w:gridSpan w:val="2"/>
            <w:tcBorders>
              <w:top w:val="nil"/>
              <w:left w:val="nil"/>
              <w:bottom w:val="nil"/>
              <w:right w:val="nil"/>
            </w:tcBorders>
          </w:tcPr>
          <w:p w14:paraId="644D670A" w14:textId="77777777" w:rsidR="000B6ECF" w:rsidRPr="00E15500" w:rsidRDefault="000B6ECF" w:rsidP="00AC2424"/>
        </w:tc>
      </w:tr>
      <w:tr w:rsidR="000B6ECF" w:rsidRPr="00E15500" w14:paraId="1182AB17" w14:textId="77777777" w:rsidTr="00AC2424">
        <w:trPr>
          <w:trHeight w:val="240"/>
          <w:jc w:val="center"/>
        </w:trPr>
        <w:tc>
          <w:tcPr>
            <w:tcW w:w="4876" w:type="dxa"/>
            <w:tcBorders>
              <w:top w:val="nil"/>
              <w:left w:val="nil"/>
              <w:bottom w:val="nil"/>
              <w:right w:val="nil"/>
            </w:tcBorders>
          </w:tcPr>
          <w:p w14:paraId="54BD09AE"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73294681" w14:textId="77777777" w:rsidR="000B6ECF" w:rsidRPr="00E15500" w:rsidRDefault="000B6ECF" w:rsidP="00AC2424">
            <w:pPr>
              <w:pStyle w:val="AmColumnHeading"/>
            </w:pPr>
            <w:r w:rsidRPr="00E15500">
              <w:t>Emendamento</w:t>
            </w:r>
          </w:p>
        </w:tc>
      </w:tr>
      <w:tr w:rsidR="000B6ECF" w:rsidRPr="00E15500" w14:paraId="38057BF0" w14:textId="77777777" w:rsidTr="00AC2424">
        <w:trPr>
          <w:jc w:val="center"/>
        </w:trPr>
        <w:tc>
          <w:tcPr>
            <w:tcW w:w="4876" w:type="dxa"/>
            <w:tcBorders>
              <w:top w:val="nil"/>
              <w:left w:val="nil"/>
              <w:bottom w:val="nil"/>
              <w:right w:val="nil"/>
            </w:tcBorders>
          </w:tcPr>
          <w:p w14:paraId="5CEA5E4E" w14:textId="77777777" w:rsidR="000B6ECF" w:rsidRPr="00E15500" w:rsidRDefault="000B6ECF" w:rsidP="00AC2424">
            <w:pPr>
              <w:pStyle w:val="Normal6a"/>
            </w:pPr>
          </w:p>
        </w:tc>
        <w:tc>
          <w:tcPr>
            <w:tcW w:w="4876" w:type="dxa"/>
            <w:tcBorders>
              <w:top w:val="nil"/>
              <w:left w:val="nil"/>
              <w:bottom w:val="nil"/>
              <w:right w:val="nil"/>
            </w:tcBorders>
          </w:tcPr>
          <w:p w14:paraId="2630C515" w14:textId="77777777" w:rsidR="000B6ECF" w:rsidRPr="00E15500" w:rsidRDefault="000B6ECF" w:rsidP="00AC2424">
            <w:pPr>
              <w:pStyle w:val="Normal6a"/>
            </w:pPr>
            <w:r w:rsidRPr="00E15500">
              <w:rPr>
                <w:b/>
                <w:i/>
              </w:rPr>
              <w:t>21 bis.</w:t>
            </w:r>
            <w:r w:rsidRPr="00E15500">
              <w:tab/>
            </w:r>
            <w:r w:rsidRPr="00E15500">
              <w:rPr>
                <w:b/>
                <w:i/>
              </w:rPr>
              <w:t>invita la CGUE a pubblicare una relazione annuale in materia di genere e diversità al fine di garantire la trasparenza sulla rappresentanza di genere a tutti i livelli dell'istituzione, anche tra i giudici, gli avvocati generali e il personale amministrativo, nonché di prevedere misure concrete per migliorare la parità di genere nelle posizioni di alto livello;</w:t>
            </w:r>
          </w:p>
        </w:tc>
      </w:tr>
    </w:tbl>
    <w:p w14:paraId="457080B3" w14:textId="77777777" w:rsidR="000B6ECF" w:rsidRPr="00AC2424" w:rsidRDefault="000B6ECF" w:rsidP="000B6ECF">
      <w:pPr>
        <w:pStyle w:val="AmOrLang"/>
        <w:rPr>
          <w:lang w:val="es-ES"/>
        </w:rPr>
      </w:pPr>
      <w:r w:rsidRPr="00AC2424">
        <w:rPr>
          <w:lang w:val="es-ES"/>
        </w:rPr>
        <w:t xml:space="preserve">Or. </w:t>
      </w:r>
      <w:r w:rsidRPr="00AC2424">
        <w:rPr>
          <w:rStyle w:val="HideTWBExt"/>
          <w:rFonts w:eastAsiaTheme="majorEastAsia"/>
          <w:lang w:val="es-ES"/>
        </w:rPr>
        <w:t>&lt;Original&gt;</w:t>
      </w:r>
      <w:r w:rsidRPr="00AC2424">
        <w:rPr>
          <w:rStyle w:val="HideTWBInt"/>
          <w:lang w:val="es-ES"/>
        </w:rPr>
        <w:t>{EN}</w:t>
      </w:r>
      <w:r w:rsidRPr="00AC2424">
        <w:rPr>
          <w:lang w:val="es-ES"/>
        </w:rPr>
        <w:t>en</w:t>
      </w:r>
      <w:r w:rsidRPr="00AC2424">
        <w:rPr>
          <w:rStyle w:val="HideTWBExt"/>
          <w:rFonts w:eastAsiaTheme="majorEastAsia"/>
          <w:lang w:val="es-ES"/>
        </w:rPr>
        <w:t>&lt;/Original&gt;</w:t>
      </w:r>
    </w:p>
    <w:p w14:paraId="08063D0E" w14:textId="77777777" w:rsidR="000B6ECF" w:rsidRPr="00AC2424" w:rsidRDefault="000B6ECF" w:rsidP="000B6ECF">
      <w:pPr>
        <w:rPr>
          <w:lang w:val="es-ES"/>
        </w:rPr>
      </w:pPr>
      <w:r w:rsidRPr="00AC2424">
        <w:rPr>
          <w:rStyle w:val="HideTWBExt"/>
          <w:lang w:val="es-ES"/>
        </w:rPr>
        <w:t>&lt;/Amend&gt;</w:t>
      </w:r>
    </w:p>
    <w:p w14:paraId="36197951" w14:textId="77777777" w:rsidR="000B6ECF" w:rsidRPr="00AC2424" w:rsidRDefault="000B6ECF" w:rsidP="000B6ECF">
      <w:pPr>
        <w:pStyle w:val="AmNumberTabs"/>
        <w:rPr>
          <w:lang w:val="es-ES"/>
        </w:rPr>
      </w:pPr>
      <w:r w:rsidRPr="00AC2424">
        <w:rPr>
          <w:rStyle w:val="HideTWBExt"/>
          <w:lang w:val="es-ES"/>
        </w:rPr>
        <w:t>&lt;Amend&gt;</w:t>
      </w:r>
      <w:r w:rsidRPr="00AC2424">
        <w:rPr>
          <w:lang w:val="es-ES"/>
        </w:rPr>
        <w:t>Emendamento</w:t>
      </w:r>
      <w:r w:rsidRPr="00AC2424">
        <w:rPr>
          <w:lang w:val="es-ES"/>
        </w:rPr>
        <w:tab/>
      </w:r>
      <w:r w:rsidRPr="00AC2424">
        <w:rPr>
          <w:lang w:val="es-ES"/>
        </w:rPr>
        <w:tab/>
      </w:r>
      <w:r w:rsidRPr="00AC2424">
        <w:rPr>
          <w:rStyle w:val="HideTWBExt"/>
          <w:lang w:val="es-ES"/>
        </w:rPr>
        <w:t>&lt;NumAm&gt;</w:t>
      </w:r>
      <w:r w:rsidRPr="00AC2424">
        <w:rPr>
          <w:lang w:val="es-ES"/>
        </w:rPr>
        <w:t>25</w:t>
      </w:r>
      <w:r w:rsidRPr="00AC2424">
        <w:rPr>
          <w:rStyle w:val="HideTWBExt"/>
          <w:lang w:val="es-ES"/>
        </w:rPr>
        <w:t>&lt;/NumAm&gt;</w:t>
      </w:r>
    </w:p>
    <w:p w14:paraId="0A4FF9B0" w14:textId="77777777" w:rsidR="000B6ECF" w:rsidRPr="00AC2424" w:rsidRDefault="000B6ECF" w:rsidP="000B6ECF">
      <w:pPr>
        <w:pStyle w:val="NormalBold"/>
        <w:rPr>
          <w:lang w:val="es-ES"/>
        </w:rPr>
      </w:pPr>
      <w:r w:rsidRPr="00AC2424">
        <w:rPr>
          <w:rStyle w:val="HideTWBExt"/>
          <w:b w:val="0"/>
          <w:lang w:val="es-ES"/>
        </w:rPr>
        <w:t>&lt;RepeatBlock-By&gt;&lt;Members&gt;</w:t>
      </w:r>
      <w:r w:rsidRPr="00AC2424">
        <w:rPr>
          <w:lang w:val="es-ES"/>
        </w:rPr>
        <w:t>Tomáš Zdechovský</w:t>
      </w:r>
      <w:r w:rsidRPr="00AC2424">
        <w:rPr>
          <w:rStyle w:val="HideTWBExt"/>
          <w:b w:val="0"/>
          <w:lang w:val="es-ES"/>
        </w:rPr>
        <w:t>&lt;/Members&gt;</w:t>
      </w:r>
    </w:p>
    <w:p w14:paraId="392A7F93" w14:textId="77777777" w:rsidR="000B6ECF" w:rsidRPr="00AC2424" w:rsidRDefault="000B6ECF" w:rsidP="000B6ECF">
      <w:pPr>
        <w:pStyle w:val="NormalBold"/>
        <w:rPr>
          <w:lang w:val="es-ES"/>
        </w:rPr>
      </w:pPr>
      <w:r w:rsidRPr="00AC2424">
        <w:rPr>
          <w:rStyle w:val="HideTWBExt"/>
          <w:b w:val="0"/>
          <w:lang w:val="es-ES"/>
        </w:rPr>
        <w:t>&lt;/RepeatBlock-By&gt;</w:t>
      </w:r>
    </w:p>
    <w:p w14:paraId="2E6CEB71"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23911B01" w14:textId="77777777" w:rsidR="000B6ECF" w:rsidRPr="00E15500" w:rsidRDefault="000B6ECF" w:rsidP="000B6ECF">
      <w:pPr>
        <w:pStyle w:val="NormalBold"/>
      </w:pPr>
      <w:r w:rsidRPr="00E15500">
        <w:rPr>
          <w:rStyle w:val="HideTWBExt"/>
        </w:rPr>
        <w:t>&lt;Article&gt;</w:t>
      </w:r>
      <w:r w:rsidRPr="00E15500">
        <w:t>Paragrafo 22</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0D0D0DB3" w14:textId="77777777" w:rsidTr="00AC2424">
        <w:trPr>
          <w:trHeight w:hRule="exact" w:val="240"/>
          <w:jc w:val="center"/>
        </w:trPr>
        <w:tc>
          <w:tcPr>
            <w:tcW w:w="9752" w:type="dxa"/>
            <w:gridSpan w:val="2"/>
            <w:tcBorders>
              <w:top w:val="nil"/>
              <w:left w:val="nil"/>
              <w:bottom w:val="nil"/>
              <w:right w:val="nil"/>
            </w:tcBorders>
          </w:tcPr>
          <w:p w14:paraId="10C5BDBF" w14:textId="77777777" w:rsidR="000B6ECF" w:rsidRPr="00E15500" w:rsidRDefault="000B6ECF" w:rsidP="00AC2424"/>
        </w:tc>
      </w:tr>
      <w:tr w:rsidR="000B6ECF" w:rsidRPr="00E15500" w14:paraId="404C5F2D" w14:textId="77777777" w:rsidTr="00AC2424">
        <w:trPr>
          <w:trHeight w:val="240"/>
          <w:jc w:val="center"/>
        </w:trPr>
        <w:tc>
          <w:tcPr>
            <w:tcW w:w="4876" w:type="dxa"/>
            <w:tcBorders>
              <w:top w:val="nil"/>
              <w:left w:val="nil"/>
              <w:bottom w:val="nil"/>
              <w:right w:val="nil"/>
            </w:tcBorders>
          </w:tcPr>
          <w:p w14:paraId="48D3402D"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6B51E85E" w14:textId="77777777" w:rsidR="000B6ECF" w:rsidRPr="00E15500" w:rsidRDefault="000B6ECF" w:rsidP="00AC2424">
            <w:pPr>
              <w:pStyle w:val="AmColumnHeading"/>
            </w:pPr>
            <w:r w:rsidRPr="00E15500">
              <w:t>Emendamento</w:t>
            </w:r>
          </w:p>
        </w:tc>
      </w:tr>
      <w:tr w:rsidR="000B6ECF" w:rsidRPr="00E15500" w14:paraId="3E63A95F" w14:textId="77777777" w:rsidTr="00AC2424">
        <w:trPr>
          <w:jc w:val="center"/>
        </w:trPr>
        <w:tc>
          <w:tcPr>
            <w:tcW w:w="4876" w:type="dxa"/>
            <w:tcBorders>
              <w:top w:val="nil"/>
              <w:left w:val="nil"/>
              <w:bottom w:val="nil"/>
              <w:right w:val="nil"/>
            </w:tcBorders>
          </w:tcPr>
          <w:p w14:paraId="4CEC1318" w14:textId="77777777" w:rsidR="000B6ECF" w:rsidRPr="00E15500" w:rsidRDefault="000B6ECF" w:rsidP="00AC2424">
            <w:pPr>
              <w:pStyle w:val="Normal6a"/>
            </w:pPr>
            <w:r w:rsidRPr="00E15500">
              <w:t>22.</w:t>
            </w:r>
            <w:r w:rsidRPr="00E15500">
              <w:tab/>
              <w:t>accoglie con favore il fatto che tutte le nazionalità dell'Unione siano rappresentate nell'organico della CGUE; rileva tuttavia che alcune nazionalità sono più rappresentate di altre; osserva che, nel 2023, la CGUE ha proseguito gli sforzi per promuovere un migliore equilibrio geografico all'interno del proprio personale, in particolare promuovendo la visibilità e l'attrattiva delle posizioni vacanti, creando e offrendo condizioni di lavoro più favorevoli per attirare agenti temporanei da alcuni Stati membri sottorappresentati e comunicando ampiamente a vari pubblici le opportunità di lavoro presso la CGUE; nota che sono stati compiuti sforzi significativi per attrarre molti giovani di talento da diversi Stati membri attraverso il programma di tirocinio della CGUE;</w:t>
            </w:r>
          </w:p>
        </w:tc>
        <w:tc>
          <w:tcPr>
            <w:tcW w:w="4876" w:type="dxa"/>
            <w:tcBorders>
              <w:top w:val="nil"/>
              <w:left w:val="nil"/>
              <w:bottom w:val="nil"/>
              <w:right w:val="nil"/>
            </w:tcBorders>
          </w:tcPr>
          <w:p w14:paraId="17A56014" w14:textId="77777777" w:rsidR="000B6ECF" w:rsidRPr="00E15500" w:rsidRDefault="000B6ECF" w:rsidP="00AC2424">
            <w:pPr>
              <w:pStyle w:val="Normal6a"/>
            </w:pPr>
            <w:r w:rsidRPr="00E15500">
              <w:t>22.</w:t>
            </w:r>
            <w:r w:rsidRPr="00E15500">
              <w:tab/>
              <w:t xml:space="preserve">accoglie con favore il fatto che tutte le nazionalità dell'Unione siano rappresentate nell'organico della CGUE; rileva tuttavia che alcune nazionalità sono più rappresentate di altre; osserva che, nel 2023, la CGUE ha proseguito gli sforzi per promuovere un migliore equilibrio geografico all'interno del proprio personale, in particolare promuovendo la visibilità e l'attrattiva delle posizioni vacanti, creando e offrendo condizioni di lavoro più favorevoli per attirare agenti temporanei da alcuni Stati membri sottorappresentati e comunicando ampiamente a vari pubblici le opportunità di lavoro presso la CGUE; nota che sono stati compiuti sforzi significativi per attrarre molti giovani di talento da diversi Stati membri attraverso il programma di tirocinio della CGUE; </w:t>
            </w:r>
            <w:r w:rsidRPr="00E15500">
              <w:rPr>
                <w:b/>
                <w:i/>
              </w:rPr>
              <w:t>invita la CGUE a valutare se vi sia una rappresentanza proporzionale di tirocinanti provenienti da tutti gli Stati membri;</w:t>
            </w:r>
          </w:p>
        </w:tc>
      </w:tr>
    </w:tbl>
    <w:p w14:paraId="10656DA4"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1E2BF509" w14:textId="77777777" w:rsidR="000B6ECF" w:rsidRPr="00E15500" w:rsidRDefault="000B6ECF" w:rsidP="000B6ECF">
      <w:r w:rsidRPr="00E15500">
        <w:rPr>
          <w:rStyle w:val="HideTWBExt"/>
        </w:rPr>
        <w:t>&lt;/Amend&gt;</w:t>
      </w:r>
    </w:p>
    <w:p w14:paraId="17E7715B"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26</w:t>
      </w:r>
      <w:r w:rsidRPr="00E15500">
        <w:rPr>
          <w:rStyle w:val="HideTWBExt"/>
        </w:rPr>
        <w:t>&lt;/NumAm&gt;</w:t>
      </w:r>
    </w:p>
    <w:p w14:paraId="24F4760B" w14:textId="77777777" w:rsidR="000B6ECF" w:rsidRPr="00E15500" w:rsidRDefault="000B6ECF" w:rsidP="000B6ECF">
      <w:pPr>
        <w:pStyle w:val="NormalBold"/>
      </w:pPr>
      <w:r w:rsidRPr="00E15500">
        <w:rPr>
          <w:rStyle w:val="HideTWBExt"/>
          <w:b w:val="0"/>
        </w:rPr>
        <w:t>&lt;RepeatBlock-By&gt;&lt;Members&gt;</w:t>
      </w:r>
      <w:r w:rsidRPr="00E15500">
        <w:t>Gilles Boyer, Olivier Chastel, Michal Wiezik, Vlad Vasile-Voiculescu</w:t>
      </w:r>
      <w:r w:rsidRPr="00E15500">
        <w:rPr>
          <w:rStyle w:val="HideTWBExt"/>
          <w:b w:val="0"/>
        </w:rPr>
        <w:t>&lt;/Members&gt;</w:t>
      </w:r>
    </w:p>
    <w:p w14:paraId="5161507F" w14:textId="77777777" w:rsidR="000B6ECF" w:rsidRPr="00E15500" w:rsidRDefault="000B6ECF" w:rsidP="000B6ECF">
      <w:pPr>
        <w:pStyle w:val="NormalBold"/>
      </w:pPr>
      <w:r w:rsidRPr="00E15500">
        <w:rPr>
          <w:rStyle w:val="HideTWBExt"/>
          <w:b w:val="0"/>
        </w:rPr>
        <w:t>&lt;/RepeatBlock-By&gt;</w:t>
      </w:r>
    </w:p>
    <w:p w14:paraId="1D5A0370"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2142975D" w14:textId="77777777" w:rsidR="000B6ECF" w:rsidRPr="00E15500" w:rsidRDefault="000B6ECF" w:rsidP="000B6ECF">
      <w:pPr>
        <w:pStyle w:val="NormalBold"/>
      </w:pPr>
      <w:r w:rsidRPr="00E15500">
        <w:rPr>
          <w:rStyle w:val="HideTWBExt"/>
        </w:rPr>
        <w:t>&lt;Article&gt;</w:t>
      </w:r>
      <w:r w:rsidRPr="00E15500">
        <w:t>Paragrafo 22</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577D44BA" w14:textId="77777777" w:rsidTr="00AC2424">
        <w:trPr>
          <w:trHeight w:hRule="exact" w:val="240"/>
          <w:jc w:val="center"/>
        </w:trPr>
        <w:tc>
          <w:tcPr>
            <w:tcW w:w="9752" w:type="dxa"/>
            <w:gridSpan w:val="2"/>
            <w:tcBorders>
              <w:top w:val="nil"/>
              <w:left w:val="nil"/>
              <w:bottom w:val="nil"/>
              <w:right w:val="nil"/>
            </w:tcBorders>
          </w:tcPr>
          <w:p w14:paraId="12B57CB1" w14:textId="77777777" w:rsidR="000B6ECF" w:rsidRPr="00E15500" w:rsidRDefault="000B6ECF" w:rsidP="00AC2424"/>
        </w:tc>
      </w:tr>
      <w:tr w:rsidR="000B6ECF" w:rsidRPr="00E15500" w14:paraId="12FBADBA" w14:textId="77777777" w:rsidTr="00AC2424">
        <w:trPr>
          <w:trHeight w:val="240"/>
          <w:jc w:val="center"/>
        </w:trPr>
        <w:tc>
          <w:tcPr>
            <w:tcW w:w="4876" w:type="dxa"/>
            <w:tcBorders>
              <w:top w:val="nil"/>
              <w:left w:val="nil"/>
              <w:bottom w:val="nil"/>
              <w:right w:val="nil"/>
            </w:tcBorders>
          </w:tcPr>
          <w:p w14:paraId="7BC276C6"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6E5376A6" w14:textId="77777777" w:rsidR="000B6ECF" w:rsidRPr="00E15500" w:rsidRDefault="000B6ECF" w:rsidP="00AC2424">
            <w:pPr>
              <w:pStyle w:val="AmColumnHeading"/>
            </w:pPr>
            <w:r w:rsidRPr="00E15500">
              <w:t>Emendamento</w:t>
            </w:r>
          </w:p>
        </w:tc>
      </w:tr>
      <w:tr w:rsidR="000B6ECF" w:rsidRPr="00E15500" w14:paraId="0A93C09D" w14:textId="77777777" w:rsidTr="00AC2424">
        <w:trPr>
          <w:jc w:val="center"/>
        </w:trPr>
        <w:tc>
          <w:tcPr>
            <w:tcW w:w="4876" w:type="dxa"/>
            <w:tcBorders>
              <w:top w:val="nil"/>
              <w:left w:val="nil"/>
              <w:bottom w:val="nil"/>
              <w:right w:val="nil"/>
            </w:tcBorders>
          </w:tcPr>
          <w:p w14:paraId="5C446FF1" w14:textId="77777777" w:rsidR="000B6ECF" w:rsidRPr="00E15500" w:rsidRDefault="000B6ECF" w:rsidP="00AC2424">
            <w:pPr>
              <w:pStyle w:val="Normal6a"/>
            </w:pPr>
            <w:r w:rsidRPr="00E15500">
              <w:t>22.</w:t>
            </w:r>
            <w:r w:rsidRPr="00E15500">
              <w:tab/>
              <w:t xml:space="preserve">accoglie con favore il fatto che tutte le nazionalità dell'Unione siano rappresentate nell'organico della CGUE; rileva tuttavia che alcune nazionalità sono più rappresentate di altre; </w:t>
            </w:r>
            <w:r w:rsidRPr="00E15500">
              <w:rPr>
                <w:b/>
                <w:i/>
              </w:rPr>
              <w:t>osserva</w:t>
            </w:r>
            <w:r w:rsidRPr="00E15500">
              <w:t xml:space="preserve"> che, nel 2023, la CGUE </w:t>
            </w:r>
            <w:r w:rsidRPr="00E15500">
              <w:rPr>
                <w:b/>
                <w:i/>
              </w:rPr>
              <w:t>ha</w:t>
            </w:r>
            <w:r w:rsidRPr="00E15500">
              <w:t xml:space="preserve"> proseguito gli sforzi per promuovere un migliore equilibrio geografico all'interno del proprio personale, in particolare promuovendo la visibilità e l'attrattiva delle posizioni vacanti, creando e offrendo condizioni di lavoro più favorevoli per attirare agenti temporanei da alcuni Stati membri sottorappresentati e comunicando ampiamente a vari pubblici le opportunità di lavoro presso la CGUE; nota che sono stati compiuti sforzi significativi per attrarre molti giovani di talento da diversi Stati membri attraverso il programma di tirocinio della CGUE;</w:t>
            </w:r>
          </w:p>
        </w:tc>
        <w:tc>
          <w:tcPr>
            <w:tcW w:w="4876" w:type="dxa"/>
            <w:tcBorders>
              <w:top w:val="nil"/>
              <w:left w:val="nil"/>
              <w:bottom w:val="nil"/>
              <w:right w:val="nil"/>
            </w:tcBorders>
          </w:tcPr>
          <w:p w14:paraId="4887534E" w14:textId="77777777" w:rsidR="000B6ECF" w:rsidRPr="00E15500" w:rsidRDefault="000B6ECF" w:rsidP="00AC2424">
            <w:pPr>
              <w:pStyle w:val="Normal6a"/>
            </w:pPr>
            <w:r w:rsidRPr="00E15500">
              <w:t>22.</w:t>
            </w:r>
            <w:r w:rsidRPr="00E15500">
              <w:tab/>
              <w:t xml:space="preserve">accoglie con favore il fatto che tutte le nazionalità dell'Unione siano rappresentate nell'organico della CGUE; rileva tuttavia che alcune nazionalità sono più rappresentate di altre; </w:t>
            </w:r>
            <w:r w:rsidRPr="00E15500">
              <w:rPr>
                <w:b/>
                <w:i/>
              </w:rPr>
              <w:t>si compiace del fatto</w:t>
            </w:r>
            <w:r w:rsidRPr="00E15500">
              <w:t xml:space="preserve"> che, nel 2023, la CGUE </w:t>
            </w:r>
            <w:r w:rsidRPr="00E15500">
              <w:rPr>
                <w:b/>
                <w:i/>
              </w:rPr>
              <w:t>abbia</w:t>
            </w:r>
            <w:r w:rsidRPr="00E15500">
              <w:t xml:space="preserve"> proseguito gli sforzi per promuovere un migliore equilibrio geografico all'interno del proprio personale, in particolare promuovendo la visibilità e l'attrattiva delle posizioni vacanti, creando e offrendo condizioni di lavoro più favorevoli per attirare agenti temporanei da alcuni Stati membri sottorappresentati e comunicando ampiamente a vari pubblici le opportunità di lavoro presso la CGUE; nota che sono stati compiuti sforzi significativi per attrarre molti giovani di talento da diversi Stati membri attraverso il programma di tirocinio della CGUE;</w:t>
            </w:r>
          </w:p>
        </w:tc>
      </w:tr>
    </w:tbl>
    <w:p w14:paraId="61510260"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7BD517AE" w14:textId="77777777" w:rsidR="000B6ECF" w:rsidRPr="00E15500" w:rsidRDefault="000B6ECF" w:rsidP="000B6ECF">
      <w:r w:rsidRPr="00E15500">
        <w:rPr>
          <w:rStyle w:val="HideTWBExt"/>
        </w:rPr>
        <w:t>&lt;/Amend&gt;</w:t>
      </w:r>
    </w:p>
    <w:p w14:paraId="486459A4"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27</w:t>
      </w:r>
      <w:r w:rsidRPr="00E15500">
        <w:rPr>
          <w:rStyle w:val="HideTWBExt"/>
        </w:rPr>
        <w:t>&lt;/NumAm&gt;</w:t>
      </w:r>
    </w:p>
    <w:p w14:paraId="4CCFBFB8" w14:textId="77777777" w:rsidR="000B6ECF" w:rsidRPr="00E15500" w:rsidRDefault="000B6ECF" w:rsidP="000B6ECF">
      <w:pPr>
        <w:pStyle w:val="NormalBold"/>
      </w:pPr>
      <w:r w:rsidRPr="00E15500">
        <w:rPr>
          <w:rStyle w:val="HideTWBExt"/>
          <w:b w:val="0"/>
        </w:rPr>
        <w:t>&lt;RepeatBlock-By&gt;&lt;Members&gt;</w:t>
      </w:r>
      <w:r w:rsidRPr="00E15500">
        <w:t>Csaba Molnár, Claudiu Manda</w:t>
      </w:r>
      <w:r w:rsidRPr="00E15500">
        <w:rPr>
          <w:rStyle w:val="HideTWBExt"/>
          <w:b w:val="0"/>
        </w:rPr>
        <w:t>&lt;/Members&gt;</w:t>
      </w:r>
    </w:p>
    <w:p w14:paraId="58FAD933" w14:textId="77777777" w:rsidR="000B6ECF" w:rsidRPr="00E15500" w:rsidRDefault="000B6ECF" w:rsidP="000B6ECF">
      <w:pPr>
        <w:pStyle w:val="NormalBold"/>
      </w:pPr>
      <w:r w:rsidRPr="00E15500">
        <w:rPr>
          <w:rStyle w:val="HideTWBExt"/>
          <w:b w:val="0"/>
        </w:rPr>
        <w:t>&lt;/RepeatBlock-By&gt;</w:t>
      </w:r>
    </w:p>
    <w:p w14:paraId="2A6B4DD3"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71955863" w14:textId="77777777" w:rsidR="000B6ECF" w:rsidRPr="00E15500" w:rsidRDefault="000B6ECF" w:rsidP="000B6ECF">
      <w:pPr>
        <w:pStyle w:val="NormalBold"/>
      </w:pPr>
      <w:r w:rsidRPr="00E15500">
        <w:rPr>
          <w:rStyle w:val="HideTWBExt"/>
        </w:rPr>
        <w:t>&lt;Article&gt;</w:t>
      </w:r>
      <w:r w:rsidRPr="00E15500">
        <w:t>Paragrafo 22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2DD21D82" w14:textId="77777777" w:rsidTr="00AC2424">
        <w:trPr>
          <w:trHeight w:hRule="exact" w:val="240"/>
          <w:jc w:val="center"/>
        </w:trPr>
        <w:tc>
          <w:tcPr>
            <w:tcW w:w="9752" w:type="dxa"/>
            <w:gridSpan w:val="2"/>
            <w:tcBorders>
              <w:top w:val="nil"/>
              <w:left w:val="nil"/>
              <w:bottom w:val="nil"/>
              <w:right w:val="nil"/>
            </w:tcBorders>
          </w:tcPr>
          <w:p w14:paraId="096CCBC6" w14:textId="77777777" w:rsidR="000B6ECF" w:rsidRPr="00E15500" w:rsidRDefault="000B6ECF" w:rsidP="00AC2424"/>
        </w:tc>
      </w:tr>
      <w:tr w:rsidR="000B6ECF" w:rsidRPr="00E15500" w14:paraId="2B2D5146" w14:textId="77777777" w:rsidTr="00AC2424">
        <w:trPr>
          <w:trHeight w:val="240"/>
          <w:jc w:val="center"/>
        </w:trPr>
        <w:tc>
          <w:tcPr>
            <w:tcW w:w="4876" w:type="dxa"/>
            <w:tcBorders>
              <w:top w:val="nil"/>
              <w:left w:val="nil"/>
              <w:bottom w:val="nil"/>
              <w:right w:val="nil"/>
            </w:tcBorders>
          </w:tcPr>
          <w:p w14:paraId="70C2CF01"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7C8C3DD7" w14:textId="77777777" w:rsidR="000B6ECF" w:rsidRPr="00E15500" w:rsidRDefault="000B6ECF" w:rsidP="00AC2424">
            <w:pPr>
              <w:pStyle w:val="AmColumnHeading"/>
            </w:pPr>
            <w:r w:rsidRPr="00E15500">
              <w:t>Emendamento</w:t>
            </w:r>
          </w:p>
        </w:tc>
      </w:tr>
      <w:tr w:rsidR="000B6ECF" w:rsidRPr="00E15500" w14:paraId="36AE38A5" w14:textId="77777777" w:rsidTr="00AC2424">
        <w:trPr>
          <w:jc w:val="center"/>
        </w:trPr>
        <w:tc>
          <w:tcPr>
            <w:tcW w:w="4876" w:type="dxa"/>
            <w:tcBorders>
              <w:top w:val="nil"/>
              <w:left w:val="nil"/>
              <w:bottom w:val="nil"/>
              <w:right w:val="nil"/>
            </w:tcBorders>
          </w:tcPr>
          <w:p w14:paraId="0493C120" w14:textId="77777777" w:rsidR="000B6ECF" w:rsidRPr="00E15500" w:rsidRDefault="000B6ECF" w:rsidP="00AC2424">
            <w:pPr>
              <w:pStyle w:val="Normal6a"/>
            </w:pPr>
          </w:p>
        </w:tc>
        <w:tc>
          <w:tcPr>
            <w:tcW w:w="4876" w:type="dxa"/>
            <w:tcBorders>
              <w:top w:val="nil"/>
              <w:left w:val="nil"/>
              <w:bottom w:val="nil"/>
              <w:right w:val="nil"/>
            </w:tcBorders>
          </w:tcPr>
          <w:p w14:paraId="3364A22C" w14:textId="77777777" w:rsidR="000B6ECF" w:rsidRPr="00E15500" w:rsidRDefault="000B6ECF" w:rsidP="00AC2424">
            <w:pPr>
              <w:pStyle w:val="Normal6a"/>
            </w:pPr>
            <w:r w:rsidRPr="00E15500">
              <w:rPr>
                <w:b/>
                <w:i/>
              </w:rPr>
              <w:t>22 bis.</w:t>
            </w:r>
            <w:r w:rsidRPr="00E15500">
              <w:tab/>
            </w:r>
            <w:r w:rsidRPr="00E15500">
              <w:rPr>
                <w:b/>
                <w:i/>
              </w:rPr>
              <w:t>esorta la CGUE a promuovere un ambiente di lavoro multilingue, riconoscendo il suo potenziale nel migliorare l'equa distribuzione delle nazionalità all'interno del suo personale; invita tutte le istituzioni dell'UE a sostenere e garantire il principio del multilinguismo;</w:t>
            </w:r>
          </w:p>
        </w:tc>
      </w:tr>
    </w:tbl>
    <w:p w14:paraId="54BFD06E"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5DABF888" w14:textId="77777777" w:rsidR="000B6ECF" w:rsidRPr="00E15500" w:rsidRDefault="000B6ECF" w:rsidP="000B6ECF">
      <w:r w:rsidRPr="00E15500">
        <w:rPr>
          <w:rStyle w:val="HideTWBExt"/>
        </w:rPr>
        <w:t>&lt;/Amend&gt;</w:t>
      </w:r>
    </w:p>
    <w:p w14:paraId="3144876F"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28</w:t>
      </w:r>
      <w:r w:rsidRPr="00E15500">
        <w:rPr>
          <w:rStyle w:val="HideTWBExt"/>
        </w:rPr>
        <w:t>&lt;/NumAm&gt;</w:t>
      </w:r>
    </w:p>
    <w:p w14:paraId="2D0C7FAC" w14:textId="77777777" w:rsidR="000B6ECF" w:rsidRPr="00E15500" w:rsidRDefault="000B6ECF" w:rsidP="000B6ECF">
      <w:pPr>
        <w:pStyle w:val="NormalBold"/>
      </w:pPr>
      <w:r w:rsidRPr="00E15500">
        <w:rPr>
          <w:rStyle w:val="HideTWBExt"/>
          <w:b w:val="0"/>
        </w:rPr>
        <w:t>&lt;RepeatBlock-By&gt;&lt;Members&gt;</w:t>
      </w:r>
      <w:r w:rsidRPr="00E15500">
        <w:t>Csaba Molnár, Claudiu Manda</w:t>
      </w:r>
      <w:r w:rsidRPr="00E15500">
        <w:rPr>
          <w:rStyle w:val="HideTWBExt"/>
          <w:b w:val="0"/>
        </w:rPr>
        <w:t>&lt;/Members&gt;</w:t>
      </w:r>
    </w:p>
    <w:p w14:paraId="538AB4DD" w14:textId="77777777" w:rsidR="000B6ECF" w:rsidRPr="00E15500" w:rsidRDefault="000B6ECF" w:rsidP="000B6ECF">
      <w:pPr>
        <w:pStyle w:val="NormalBold"/>
      </w:pPr>
      <w:r w:rsidRPr="00E15500">
        <w:rPr>
          <w:rStyle w:val="HideTWBExt"/>
          <w:b w:val="0"/>
        </w:rPr>
        <w:t>&lt;/RepeatBlock-By&gt;</w:t>
      </w:r>
    </w:p>
    <w:p w14:paraId="0B4951CA"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16D35B26" w14:textId="77777777" w:rsidR="000B6ECF" w:rsidRPr="00E15500" w:rsidRDefault="000B6ECF" w:rsidP="000B6ECF">
      <w:pPr>
        <w:pStyle w:val="NormalBold"/>
      </w:pPr>
      <w:r w:rsidRPr="00E15500">
        <w:rPr>
          <w:rStyle w:val="HideTWBExt"/>
        </w:rPr>
        <w:t>&lt;Article&gt;</w:t>
      </w:r>
      <w:r w:rsidRPr="00E15500">
        <w:t>Paragrafo 23</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05D1CC3F" w14:textId="77777777" w:rsidTr="00AC2424">
        <w:trPr>
          <w:trHeight w:hRule="exact" w:val="240"/>
          <w:jc w:val="center"/>
        </w:trPr>
        <w:tc>
          <w:tcPr>
            <w:tcW w:w="9752" w:type="dxa"/>
            <w:gridSpan w:val="2"/>
            <w:tcBorders>
              <w:top w:val="nil"/>
              <w:left w:val="nil"/>
              <w:bottom w:val="nil"/>
              <w:right w:val="nil"/>
            </w:tcBorders>
          </w:tcPr>
          <w:p w14:paraId="455C6D16" w14:textId="77777777" w:rsidR="000B6ECF" w:rsidRPr="00E15500" w:rsidRDefault="000B6ECF" w:rsidP="00AC2424"/>
        </w:tc>
      </w:tr>
      <w:tr w:rsidR="000B6ECF" w:rsidRPr="00E15500" w14:paraId="6447720E" w14:textId="77777777" w:rsidTr="00AC2424">
        <w:trPr>
          <w:trHeight w:val="240"/>
          <w:jc w:val="center"/>
        </w:trPr>
        <w:tc>
          <w:tcPr>
            <w:tcW w:w="4876" w:type="dxa"/>
            <w:tcBorders>
              <w:top w:val="nil"/>
              <w:left w:val="nil"/>
              <w:bottom w:val="nil"/>
              <w:right w:val="nil"/>
            </w:tcBorders>
          </w:tcPr>
          <w:p w14:paraId="5C954BE6"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668DAD8A" w14:textId="77777777" w:rsidR="000B6ECF" w:rsidRPr="00E15500" w:rsidRDefault="000B6ECF" w:rsidP="00AC2424">
            <w:pPr>
              <w:pStyle w:val="AmColumnHeading"/>
            </w:pPr>
            <w:r w:rsidRPr="00E15500">
              <w:t>Emendamento</w:t>
            </w:r>
          </w:p>
        </w:tc>
      </w:tr>
      <w:tr w:rsidR="000B6ECF" w:rsidRPr="00E15500" w14:paraId="188716B2" w14:textId="77777777" w:rsidTr="00AC2424">
        <w:trPr>
          <w:jc w:val="center"/>
        </w:trPr>
        <w:tc>
          <w:tcPr>
            <w:tcW w:w="4876" w:type="dxa"/>
            <w:tcBorders>
              <w:top w:val="nil"/>
              <w:left w:val="nil"/>
              <w:bottom w:val="nil"/>
              <w:right w:val="nil"/>
            </w:tcBorders>
          </w:tcPr>
          <w:p w14:paraId="23EF64A5" w14:textId="77777777" w:rsidR="000B6ECF" w:rsidRPr="00E15500" w:rsidRDefault="000B6ECF" w:rsidP="00AC2424">
            <w:pPr>
              <w:pStyle w:val="Normal6a"/>
            </w:pPr>
            <w:r w:rsidRPr="00E15500">
              <w:t>23.</w:t>
            </w:r>
            <w:r w:rsidRPr="00E15500">
              <w:tab/>
              <w:t>apprezza il lavoro svolto nel gruppo interistituzionale di alto livello sul miglioramento dell'attrattiva del Lussemburgo come luogo di lavoro per il personale; rileva che l'autorità di bilancio ha approvato per l'esercizio finanziario 2025 gli stanziamenti necessari per consentire la concessione di un'indennità di alloggio al personale di grado inferiore, come raccomandato dal gruppo interistituzionale di alto livello; chiede che il Parlamento sia aggiornato sui progressi di tali iniziative volte a migliorare l'attrattiva del Lussemburgo come luogo di lavoro;</w:t>
            </w:r>
          </w:p>
        </w:tc>
        <w:tc>
          <w:tcPr>
            <w:tcW w:w="4876" w:type="dxa"/>
            <w:tcBorders>
              <w:top w:val="nil"/>
              <w:left w:val="nil"/>
              <w:bottom w:val="nil"/>
              <w:right w:val="nil"/>
            </w:tcBorders>
          </w:tcPr>
          <w:p w14:paraId="31F4D473" w14:textId="77777777" w:rsidR="000B6ECF" w:rsidRPr="00E15500" w:rsidRDefault="000B6ECF" w:rsidP="00AC2424">
            <w:pPr>
              <w:pStyle w:val="Normal6a"/>
            </w:pPr>
            <w:r w:rsidRPr="00E15500">
              <w:t>23.</w:t>
            </w:r>
            <w:r w:rsidRPr="00E15500">
              <w:tab/>
              <w:t xml:space="preserve">apprezza il lavoro svolto nel gruppo interistituzionale di alto livello sul miglioramento dell'attrattiva del Lussemburgo come luogo di lavoro per il personale; </w:t>
            </w:r>
            <w:r w:rsidRPr="00E15500">
              <w:rPr>
                <w:b/>
                <w:i/>
              </w:rPr>
              <w:t>invita la CGUE a mantenere e rafforzare la cooperazione con altre istituzioni con sede in Lussemburgo nell'ambito di diverse iniziative;</w:t>
            </w:r>
            <w:r w:rsidRPr="00E15500">
              <w:t xml:space="preserve"> rileva </w:t>
            </w:r>
            <w:r w:rsidRPr="00E15500">
              <w:rPr>
                <w:b/>
                <w:i/>
              </w:rPr>
              <w:t>con soddisfazione</w:t>
            </w:r>
            <w:r w:rsidRPr="00E15500">
              <w:t xml:space="preserve"> che l'autorità di bilancio ha approvato per l'esercizio finanziario 2025 gli stanziamenti necessari per consentire la concessione di un'indennità di alloggio al personale di grado inferiore, come raccomandato dal gruppo interistituzionale di alto livello; chiede che il Parlamento sia aggiornato sui progressi di tali iniziative volte a migliorare l'attrattiva del Lussemburgo come luogo di lavoro;</w:t>
            </w:r>
          </w:p>
        </w:tc>
      </w:tr>
    </w:tbl>
    <w:p w14:paraId="117E791E"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3BF92E31" w14:textId="77777777" w:rsidR="000B6ECF" w:rsidRPr="00E15500" w:rsidRDefault="000B6ECF" w:rsidP="000B6ECF">
      <w:r w:rsidRPr="00E15500">
        <w:rPr>
          <w:rStyle w:val="HideTWBExt"/>
        </w:rPr>
        <w:t>&lt;/Amend&gt;</w:t>
      </w:r>
    </w:p>
    <w:p w14:paraId="6E8B33A1"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29</w:t>
      </w:r>
      <w:r w:rsidRPr="00E15500">
        <w:rPr>
          <w:rStyle w:val="HideTWBExt"/>
        </w:rPr>
        <w:t>&lt;/NumAm&gt;</w:t>
      </w:r>
    </w:p>
    <w:p w14:paraId="6D489555" w14:textId="77777777" w:rsidR="000B6ECF" w:rsidRPr="00E15500" w:rsidRDefault="000B6ECF" w:rsidP="000B6ECF">
      <w:pPr>
        <w:pStyle w:val="NormalBold"/>
      </w:pPr>
      <w:r w:rsidRPr="00E15500">
        <w:rPr>
          <w:rStyle w:val="HideTWBExt"/>
          <w:b w:val="0"/>
        </w:rPr>
        <w:t>&lt;RepeatBlock-By&gt;&lt;Members&gt;</w:t>
      </w:r>
      <w:r w:rsidRPr="00E15500">
        <w:t>Caterina Chinnici</w:t>
      </w:r>
      <w:r w:rsidRPr="00E15500">
        <w:rPr>
          <w:rStyle w:val="HideTWBExt"/>
          <w:b w:val="0"/>
        </w:rPr>
        <w:t>&lt;/Members&gt;</w:t>
      </w:r>
    </w:p>
    <w:p w14:paraId="1495C2CF" w14:textId="77777777" w:rsidR="000B6ECF" w:rsidRPr="00E15500" w:rsidRDefault="000B6ECF" w:rsidP="000B6ECF">
      <w:pPr>
        <w:pStyle w:val="NormalBold"/>
      </w:pPr>
      <w:r w:rsidRPr="00E15500">
        <w:rPr>
          <w:rStyle w:val="HideTWBExt"/>
          <w:b w:val="0"/>
        </w:rPr>
        <w:t>&lt;/RepeatBlock-By&gt;</w:t>
      </w:r>
    </w:p>
    <w:p w14:paraId="505F4C73"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7304BC07" w14:textId="77777777" w:rsidR="000B6ECF" w:rsidRPr="00E15500" w:rsidRDefault="000B6ECF" w:rsidP="000B6ECF">
      <w:pPr>
        <w:pStyle w:val="NormalBold"/>
      </w:pPr>
      <w:r w:rsidRPr="00E15500">
        <w:rPr>
          <w:rStyle w:val="HideTWBExt"/>
        </w:rPr>
        <w:t>&lt;Article&gt;</w:t>
      </w:r>
      <w:r w:rsidRPr="00E15500">
        <w:t>Paragrafo 24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16C326CF" w14:textId="77777777" w:rsidTr="00AC2424">
        <w:trPr>
          <w:trHeight w:hRule="exact" w:val="240"/>
          <w:jc w:val="center"/>
        </w:trPr>
        <w:tc>
          <w:tcPr>
            <w:tcW w:w="9752" w:type="dxa"/>
            <w:gridSpan w:val="2"/>
            <w:tcBorders>
              <w:top w:val="nil"/>
              <w:left w:val="nil"/>
              <w:bottom w:val="nil"/>
              <w:right w:val="nil"/>
            </w:tcBorders>
          </w:tcPr>
          <w:p w14:paraId="17AE5A19" w14:textId="77777777" w:rsidR="000B6ECF" w:rsidRPr="00E15500" w:rsidRDefault="000B6ECF" w:rsidP="00AC2424"/>
        </w:tc>
      </w:tr>
      <w:tr w:rsidR="000B6ECF" w:rsidRPr="00E15500" w14:paraId="755B1079" w14:textId="77777777" w:rsidTr="00AC2424">
        <w:trPr>
          <w:trHeight w:val="240"/>
          <w:jc w:val="center"/>
        </w:trPr>
        <w:tc>
          <w:tcPr>
            <w:tcW w:w="4876" w:type="dxa"/>
            <w:tcBorders>
              <w:top w:val="nil"/>
              <w:left w:val="nil"/>
              <w:bottom w:val="nil"/>
              <w:right w:val="nil"/>
            </w:tcBorders>
          </w:tcPr>
          <w:p w14:paraId="57B48FBD"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44FB3CDF" w14:textId="77777777" w:rsidR="000B6ECF" w:rsidRPr="00E15500" w:rsidRDefault="000B6ECF" w:rsidP="00AC2424">
            <w:pPr>
              <w:pStyle w:val="AmColumnHeading"/>
            </w:pPr>
            <w:r w:rsidRPr="00E15500">
              <w:t>Emendamento</w:t>
            </w:r>
          </w:p>
        </w:tc>
      </w:tr>
      <w:tr w:rsidR="000B6ECF" w:rsidRPr="00E15500" w14:paraId="51522EB7" w14:textId="77777777" w:rsidTr="00AC2424">
        <w:trPr>
          <w:jc w:val="center"/>
        </w:trPr>
        <w:tc>
          <w:tcPr>
            <w:tcW w:w="4876" w:type="dxa"/>
            <w:tcBorders>
              <w:top w:val="nil"/>
              <w:left w:val="nil"/>
              <w:bottom w:val="nil"/>
              <w:right w:val="nil"/>
            </w:tcBorders>
          </w:tcPr>
          <w:p w14:paraId="4193ED84" w14:textId="77777777" w:rsidR="000B6ECF" w:rsidRPr="00E15500" w:rsidRDefault="000B6ECF" w:rsidP="00AC2424">
            <w:pPr>
              <w:pStyle w:val="Normal6a"/>
            </w:pPr>
          </w:p>
        </w:tc>
        <w:tc>
          <w:tcPr>
            <w:tcW w:w="4876" w:type="dxa"/>
            <w:tcBorders>
              <w:top w:val="nil"/>
              <w:left w:val="nil"/>
              <w:bottom w:val="nil"/>
              <w:right w:val="nil"/>
            </w:tcBorders>
          </w:tcPr>
          <w:p w14:paraId="630BA8A8" w14:textId="77777777" w:rsidR="000B6ECF" w:rsidRPr="00E15500" w:rsidRDefault="000B6ECF" w:rsidP="00AC2424">
            <w:pPr>
              <w:pStyle w:val="Normal6a"/>
            </w:pPr>
            <w:r w:rsidRPr="00E15500">
              <w:rPr>
                <w:b/>
                <w:i/>
              </w:rPr>
              <w:t>24 bis.</w:t>
            </w:r>
            <w:r w:rsidRPr="00E15500">
              <w:tab/>
            </w:r>
            <w:r w:rsidRPr="00E15500">
              <w:rPr>
                <w:b/>
                <w:i/>
              </w:rPr>
              <w:t>accoglie con favore le campagne di sensibilizzazione, informazione e formazione in corso volte a promuovere l'inclusione, il rispetto reciproco, la cooperazione e il sostegno alle persone con disabilità e a chi le assiste;</w:t>
            </w:r>
          </w:p>
        </w:tc>
      </w:tr>
    </w:tbl>
    <w:p w14:paraId="58D6FBB8"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4A83A87F" w14:textId="77777777" w:rsidR="000B6ECF" w:rsidRPr="00E15500" w:rsidRDefault="000B6ECF" w:rsidP="000B6ECF">
      <w:r w:rsidRPr="00E15500">
        <w:rPr>
          <w:rStyle w:val="HideTWBExt"/>
        </w:rPr>
        <w:t>&lt;/Amend&gt;</w:t>
      </w:r>
    </w:p>
    <w:p w14:paraId="38F20E8F"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30</w:t>
      </w:r>
      <w:r w:rsidRPr="00E15500">
        <w:rPr>
          <w:rStyle w:val="HideTWBExt"/>
        </w:rPr>
        <w:t>&lt;/NumAm&gt;</w:t>
      </w:r>
    </w:p>
    <w:p w14:paraId="392568F4" w14:textId="77777777" w:rsidR="000B6ECF" w:rsidRPr="00E15500" w:rsidRDefault="000B6ECF" w:rsidP="000B6ECF">
      <w:pPr>
        <w:pStyle w:val="NormalBold"/>
      </w:pPr>
      <w:r w:rsidRPr="00E15500">
        <w:rPr>
          <w:rStyle w:val="HideTWBExt"/>
          <w:b w:val="0"/>
        </w:rPr>
        <w:t>&lt;RepeatBlock-By&gt;&lt;Members&gt;</w:t>
      </w:r>
      <w:r w:rsidRPr="00E15500">
        <w:t>Csaba Molnár, Claudiu Manda, Marit Maij</w:t>
      </w:r>
      <w:r w:rsidRPr="00E15500">
        <w:rPr>
          <w:rStyle w:val="HideTWBExt"/>
          <w:b w:val="0"/>
        </w:rPr>
        <w:t>&lt;/Members&gt;</w:t>
      </w:r>
    </w:p>
    <w:p w14:paraId="6B382CC8" w14:textId="77777777" w:rsidR="000B6ECF" w:rsidRPr="00E15500" w:rsidRDefault="000B6ECF" w:rsidP="000B6ECF">
      <w:pPr>
        <w:pStyle w:val="NormalBold"/>
      </w:pPr>
      <w:r w:rsidRPr="00E15500">
        <w:rPr>
          <w:rStyle w:val="HideTWBExt"/>
          <w:b w:val="0"/>
        </w:rPr>
        <w:t>&lt;/RepeatBlock-By&gt;</w:t>
      </w:r>
    </w:p>
    <w:p w14:paraId="651AF42F"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56168EE8" w14:textId="77777777" w:rsidR="000B6ECF" w:rsidRPr="00E15500" w:rsidRDefault="000B6ECF" w:rsidP="000B6ECF">
      <w:pPr>
        <w:pStyle w:val="NormalBold"/>
      </w:pPr>
      <w:r w:rsidRPr="00E15500">
        <w:rPr>
          <w:rStyle w:val="HideTWBExt"/>
        </w:rPr>
        <w:t>&lt;Article&gt;</w:t>
      </w:r>
      <w:r w:rsidRPr="00E15500">
        <w:t>Paragrafo 25</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3F31E5DB" w14:textId="77777777" w:rsidTr="00AC2424">
        <w:trPr>
          <w:trHeight w:hRule="exact" w:val="240"/>
          <w:jc w:val="center"/>
        </w:trPr>
        <w:tc>
          <w:tcPr>
            <w:tcW w:w="9752" w:type="dxa"/>
            <w:gridSpan w:val="2"/>
            <w:tcBorders>
              <w:top w:val="nil"/>
              <w:left w:val="nil"/>
              <w:bottom w:val="nil"/>
              <w:right w:val="nil"/>
            </w:tcBorders>
          </w:tcPr>
          <w:p w14:paraId="3A754056" w14:textId="77777777" w:rsidR="000B6ECF" w:rsidRPr="00E15500" w:rsidRDefault="000B6ECF" w:rsidP="00AC2424"/>
        </w:tc>
      </w:tr>
      <w:tr w:rsidR="000B6ECF" w:rsidRPr="00E15500" w14:paraId="35C5763B" w14:textId="77777777" w:rsidTr="00AC2424">
        <w:trPr>
          <w:trHeight w:val="240"/>
          <w:jc w:val="center"/>
        </w:trPr>
        <w:tc>
          <w:tcPr>
            <w:tcW w:w="4876" w:type="dxa"/>
            <w:tcBorders>
              <w:top w:val="nil"/>
              <w:left w:val="nil"/>
              <w:bottom w:val="nil"/>
              <w:right w:val="nil"/>
            </w:tcBorders>
          </w:tcPr>
          <w:p w14:paraId="784BC863"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0E538943" w14:textId="77777777" w:rsidR="000B6ECF" w:rsidRPr="00E15500" w:rsidRDefault="000B6ECF" w:rsidP="00AC2424">
            <w:pPr>
              <w:pStyle w:val="AmColumnHeading"/>
            </w:pPr>
            <w:r w:rsidRPr="00E15500">
              <w:t>Emendamento</w:t>
            </w:r>
          </w:p>
        </w:tc>
      </w:tr>
      <w:tr w:rsidR="000B6ECF" w:rsidRPr="00E15500" w14:paraId="256A6FB2" w14:textId="77777777" w:rsidTr="00AC2424">
        <w:trPr>
          <w:jc w:val="center"/>
        </w:trPr>
        <w:tc>
          <w:tcPr>
            <w:tcW w:w="4876" w:type="dxa"/>
            <w:tcBorders>
              <w:top w:val="nil"/>
              <w:left w:val="nil"/>
              <w:bottom w:val="nil"/>
              <w:right w:val="nil"/>
            </w:tcBorders>
          </w:tcPr>
          <w:p w14:paraId="73557352" w14:textId="77777777" w:rsidR="000B6ECF" w:rsidRPr="00E15500" w:rsidRDefault="000B6ECF" w:rsidP="00AC2424">
            <w:pPr>
              <w:pStyle w:val="Normal6a"/>
            </w:pPr>
            <w:r w:rsidRPr="00E15500">
              <w:t>25.</w:t>
            </w:r>
            <w:r w:rsidRPr="00E15500">
              <w:tab/>
              <w:t xml:space="preserve">rileva che il numero di giorni di congedo per malattia nel 2023 è stato di 20 198, equivalenti a una riduzione del 14,78 % rispetto al 2022; constata con preoccupazione che il servizio medico ha segnalato 11 casi di burnout nel 2023; </w:t>
            </w:r>
            <w:r w:rsidRPr="00E15500">
              <w:rPr>
                <w:b/>
                <w:i/>
              </w:rPr>
              <w:t>osserva</w:t>
            </w:r>
            <w:r w:rsidRPr="00E15500">
              <w:t xml:space="preserve"> che la CGUE </w:t>
            </w:r>
            <w:r w:rsidRPr="00E15500">
              <w:rPr>
                <w:b/>
                <w:i/>
              </w:rPr>
              <w:t>ha</w:t>
            </w:r>
            <w:r w:rsidRPr="00E15500">
              <w:t xml:space="preserve"> intrapreso un'analisi approfondita dei rapporti diagnostici per individuare i casi di burnout professionale e </w:t>
            </w:r>
            <w:r w:rsidRPr="00E15500">
              <w:rPr>
                <w:b/>
                <w:i/>
              </w:rPr>
              <w:t>ha</w:t>
            </w:r>
            <w:r w:rsidRPr="00E15500">
              <w:t xml:space="preserve"> concentrato l'attenzione sulle misure preventive, in particolare sul rafforzamento della squadra medica e degli assistenti sociali, sulla prevenzione dei rischi psicosociali sul luogo di lavoro e </w:t>
            </w:r>
            <w:r w:rsidRPr="00E15500">
              <w:rPr>
                <w:b/>
                <w:i/>
              </w:rPr>
              <w:t>sulle</w:t>
            </w:r>
            <w:r w:rsidRPr="00E15500">
              <w:t xml:space="preserve"> attività di sensibilizzazione; incoraggia la CGUE a continuare a concentrarsi su tale problema per prevenire ulteriori casi di burnout;</w:t>
            </w:r>
          </w:p>
        </w:tc>
        <w:tc>
          <w:tcPr>
            <w:tcW w:w="4876" w:type="dxa"/>
            <w:tcBorders>
              <w:top w:val="nil"/>
              <w:left w:val="nil"/>
              <w:bottom w:val="nil"/>
              <w:right w:val="nil"/>
            </w:tcBorders>
          </w:tcPr>
          <w:p w14:paraId="30361257" w14:textId="77777777" w:rsidR="000B6ECF" w:rsidRPr="00E15500" w:rsidRDefault="000B6ECF" w:rsidP="00AC2424">
            <w:pPr>
              <w:pStyle w:val="Normal6a"/>
            </w:pPr>
            <w:r w:rsidRPr="00E15500">
              <w:t>25.</w:t>
            </w:r>
            <w:r w:rsidRPr="00E15500">
              <w:tab/>
              <w:t xml:space="preserve">rileva che il numero di giorni di congedo per malattia nel 2023 è stato di 20 198, equivalenti a una riduzione del 14,78 % rispetto al 2022; constata con preoccupazione che il servizio medico ha segnalato 11 casi di burnout nel 2023; </w:t>
            </w:r>
            <w:r w:rsidRPr="00E15500">
              <w:rPr>
                <w:b/>
                <w:i/>
              </w:rPr>
              <w:t>accoglie con favore il fatto</w:t>
            </w:r>
            <w:r w:rsidRPr="00E15500">
              <w:t xml:space="preserve"> che la CGUE </w:t>
            </w:r>
            <w:r w:rsidRPr="00E15500">
              <w:rPr>
                <w:b/>
                <w:i/>
              </w:rPr>
              <w:t>abbia</w:t>
            </w:r>
            <w:r w:rsidRPr="00E15500">
              <w:t xml:space="preserve"> intrapreso un'analisi approfondita dei rapporti diagnostici per individuare i casi di burnout professionale e </w:t>
            </w:r>
            <w:r w:rsidRPr="00E15500">
              <w:rPr>
                <w:b/>
                <w:i/>
              </w:rPr>
              <w:t>abbia</w:t>
            </w:r>
            <w:r w:rsidRPr="00E15500">
              <w:t xml:space="preserve"> concentrato l'attenzione sulle misure preventive, in particolare sul rafforzamento della squadra medica e degli assistenti sociali, sulla prevenzione dei rischi psicosociali sul luogo di lavoro e </w:t>
            </w:r>
            <w:r w:rsidRPr="00E15500">
              <w:rPr>
                <w:b/>
                <w:i/>
              </w:rPr>
              <w:t>sull'introduzione di</w:t>
            </w:r>
            <w:r w:rsidRPr="00E15500">
              <w:t xml:space="preserve"> attività di sensibilizzazione </w:t>
            </w:r>
            <w:r w:rsidRPr="00E15500">
              <w:rPr>
                <w:b/>
                <w:i/>
              </w:rPr>
              <w:t>rivolte ai dirigenti riguardanti il diritto alla disconnessione e i rischi derivanti da prestazioni lavorative eccessive</w:t>
            </w:r>
            <w:r w:rsidRPr="00E15500">
              <w:t>; incoraggia la CGUE a continuare a concentrarsi su tale problema per prevenire ulteriori casi di burnout;</w:t>
            </w:r>
          </w:p>
        </w:tc>
      </w:tr>
    </w:tbl>
    <w:p w14:paraId="7F4BBC34" w14:textId="77777777" w:rsidR="000B6ECF" w:rsidRPr="00AC2424" w:rsidRDefault="000B6ECF" w:rsidP="000B6ECF">
      <w:pPr>
        <w:pStyle w:val="AmOrLang"/>
        <w:rPr>
          <w:lang w:val="es-ES"/>
        </w:rPr>
      </w:pPr>
      <w:r w:rsidRPr="00AC2424">
        <w:rPr>
          <w:lang w:val="es-ES"/>
        </w:rPr>
        <w:t xml:space="preserve">Or. </w:t>
      </w:r>
      <w:r w:rsidRPr="00AC2424">
        <w:rPr>
          <w:rStyle w:val="HideTWBExt"/>
          <w:rFonts w:eastAsiaTheme="majorEastAsia"/>
          <w:lang w:val="es-ES"/>
        </w:rPr>
        <w:t>&lt;Original&gt;</w:t>
      </w:r>
      <w:r w:rsidRPr="00AC2424">
        <w:rPr>
          <w:rStyle w:val="HideTWBInt"/>
          <w:lang w:val="es-ES"/>
        </w:rPr>
        <w:t>{EN}</w:t>
      </w:r>
      <w:r w:rsidRPr="00AC2424">
        <w:rPr>
          <w:lang w:val="es-ES"/>
        </w:rPr>
        <w:t>en</w:t>
      </w:r>
      <w:r w:rsidRPr="00AC2424">
        <w:rPr>
          <w:rStyle w:val="HideTWBExt"/>
          <w:rFonts w:eastAsiaTheme="majorEastAsia"/>
          <w:lang w:val="es-ES"/>
        </w:rPr>
        <w:t>&lt;/Original&gt;</w:t>
      </w:r>
    </w:p>
    <w:p w14:paraId="17800E1B" w14:textId="77777777" w:rsidR="000B6ECF" w:rsidRPr="00AC2424" w:rsidRDefault="000B6ECF" w:rsidP="000B6ECF">
      <w:pPr>
        <w:rPr>
          <w:lang w:val="es-ES"/>
        </w:rPr>
      </w:pPr>
      <w:r w:rsidRPr="00AC2424">
        <w:rPr>
          <w:rStyle w:val="HideTWBExt"/>
          <w:lang w:val="es-ES"/>
        </w:rPr>
        <w:t>&lt;/Amend&gt;</w:t>
      </w:r>
    </w:p>
    <w:p w14:paraId="57222AA3" w14:textId="77777777" w:rsidR="000B6ECF" w:rsidRPr="00AC2424" w:rsidRDefault="000B6ECF" w:rsidP="000B6ECF">
      <w:pPr>
        <w:pStyle w:val="AmNumberTabs"/>
        <w:rPr>
          <w:lang w:val="es-ES"/>
        </w:rPr>
      </w:pPr>
      <w:r w:rsidRPr="00AC2424">
        <w:rPr>
          <w:rStyle w:val="HideTWBExt"/>
          <w:lang w:val="es-ES"/>
        </w:rPr>
        <w:t>&lt;Amend&gt;</w:t>
      </w:r>
      <w:r w:rsidRPr="00AC2424">
        <w:rPr>
          <w:lang w:val="es-ES"/>
        </w:rPr>
        <w:t>Emendamento</w:t>
      </w:r>
      <w:r w:rsidRPr="00AC2424">
        <w:rPr>
          <w:lang w:val="es-ES"/>
        </w:rPr>
        <w:tab/>
      </w:r>
      <w:r w:rsidRPr="00AC2424">
        <w:rPr>
          <w:lang w:val="es-ES"/>
        </w:rPr>
        <w:tab/>
      </w:r>
      <w:r w:rsidRPr="00AC2424">
        <w:rPr>
          <w:rStyle w:val="HideTWBExt"/>
          <w:lang w:val="es-ES"/>
        </w:rPr>
        <w:t>&lt;NumAm&gt;</w:t>
      </w:r>
      <w:r w:rsidRPr="00AC2424">
        <w:rPr>
          <w:lang w:val="es-ES"/>
        </w:rPr>
        <w:t>31</w:t>
      </w:r>
      <w:r w:rsidRPr="00AC2424">
        <w:rPr>
          <w:rStyle w:val="HideTWBExt"/>
          <w:lang w:val="es-ES"/>
        </w:rPr>
        <w:t>&lt;/NumAm&gt;</w:t>
      </w:r>
    </w:p>
    <w:p w14:paraId="54CA8FF2" w14:textId="77777777" w:rsidR="000B6ECF" w:rsidRPr="00AC2424" w:rsidRDefault="000B6ECF" w:rsidP="000B6ECF">
      <w:pPr>
        <w:pStyle w:val="NormalBold"/>
        <w:rPr>
          <w:lang w:val="es-ES"/>
        </w:rPr>
      </w:pPr>
      <w:r w:rsidRPr="00AC2424">
        <w:rPr>
          <w:rStyle w:val="HideTWBExt"/>
          <w:b w:val="0"/>
          <w:lang w:val="es-ES"/>
        </w:rPr>
        <w:t>&lt;RepeatBlock-By&gt;&lt;Members&gt;</w:t>
      </w:r>
      <w:r w:rsidRPr="00AC2424">
        <w:rPr>
          <w:lang w:val="es-ES"/>
        </w:rPr>
        <w:t>Tomáš Zdechovský</w:t>
      </w:r>
      <w:r w:rsidRPr="00AC2424">
        <w:rPr>
          <w:rStyle w:val="HideTWBExt"/>
          <w:b w:val="0"/>
          <w:lang w:val="es-ES"/>
        </w:rPr>
        <w:t>&lt;/Members&gt;</w:t>
      </w:r>
    </w:p>
    <w:p w14:paraId="7A0123DB" w14:textId="77777777" w:rsidR="000B6ECF" w:rsidRPr="00AC2424" w:rsidRDefault="000B6ECF" w:rsidP="000B6ECF">
      <w:pPr>
        <w:pStyle w:val="NormalBold"/>
        <w:rPr>
          <w:lang w:val="es-ES"/>
        </w:rPr>
      </w:pPr>
      <w:r w:rsidRPr="00AC2424">
        <w:rPr>
          <w:rStyle w:val="HideTWBExt"/>
          <w:b w:val="0"/>
          <w:lang w:val="es-ES"/>
        </w:rPr>
        <w:t>&lt;/RepeatBlock-By&gt;</w:t>
      </w:r>
    </w:p>
    <w:p w14:paraId="18C98CCF"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072BAB9B" w14:textId="77777777" w:rsidR="000B6ECF" w:rsidRPr="00E15500" w:rsidRDefault="000B6ECF" w:rsidP="000B6ECF">
      <w:pPr>
        <w:pStyle w:val="NormalBold"/>
      </w:pPr>
      <w:r w:rsidRPr="00E15500">
        <w:rPr>
          <w:rStyle w:val="HideTWBExt"/>
        </w:rPr>
        <w:t>&lt;Article&gt;</w:t>
      </w:r>
      <w:r w:rsidRPr="00E15500">
        <w:t>Paragrafo 25</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420D9440" w14:textId="77777777" w:rsidTr="00AC2424">
        <w:trPr>
          <w:trHeight w:hRule="exact" w:val="240"/>
          <w:jc w:val="center"/>
        </w:trPr>
        <w:tc>
          <w:tcPr>
            <w:tcW w:w="9752" w:type="dxa"/>
            <w:gridSpan w:val="2"/>
            <w:tcBorders>
              <w:top w:val="nil"/>
              <w:left w:val="nil"/>
              <w:bottom w:val="nil"/>
              <w:right w:val="nil"/>
            </w:tcBorders>
          </w:tcPr>
          <w:p w14:paraId="31631AF2" w14:textId="77777777" w:rsidR="000B6ECF" w:rsidRPr="00E15500" w:rsidRDefault="000B6ECF" w:rsidP="00AC2424"/>
        </w:tc>
      </w:tr>
      <w:tr w:rsidR="000B6ECF" w:rsidRPr="00E15500" w14:paraId="06B59E8A" w14:textId="77777777" w:rsidTr="00AC2424">
        <w:trPr>
          <w:trHeight w:val="240"/>
          <w:jc w:val="center"/>
        </w:trPr>
        <w:tc>
          <w:tcPr>
            <w:tcW w:w="4876" w:type="dxa"/>
            <w:tcBorders>
              <w:top w:val="nil"/>
              <w:left w:val="nil"/>
              <w:bottom w:val="nil"/>
              <w:right w:val="nil"/>
            </w:tcBorders>
          </w:tcPr>
          <w:p w14:paraId="1DFD2907"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141BB9DA" w14:textId="77777777" w:rsidR="000B6ECF" w:rsidRPr="00E15500" w:rsidRDefault="000B6ECF" w:rsidP="00AC2424">
            <w:pPr>
              <w:pStyle w:val="AmColumnHeading"/>
            </w:pPr>
            <w:r w:rsidRPr="00E15500">
              <w:t>Emendamento</w:t>
            </w:r>
          </w:p>
        </w:tc>
      </w:tr>
      <w:tr w:rsidR="000B6ECF" w:rsidRPr="00E15500" w14:paraId="7814EB5C" w14:textId="77777777" w:rsidTr="00AC2424">
        <w:trPr>
          <w:jc w:val="center"/>
        </w:trPr>
        <w:tc>
          <w:tcPr>
            <w:tcW w:w="4876" w:type="dxa"/>
            <w:tcBorders>
              <w:top w:val="nil"/>
              <w:left w:val="nil"/>
              <w:bottom w:val="nil"/>
              <w:right w:val="nil"/>
            </w:tcBorders>
          </w:tcPr>
          <w:p w14:paraId="008FCC68" w14:textId="77777777" w:rsidR="000B6ECF" w:rsidRPr="00E15500" w:rsidRDefault="000B6ECF" w:rsidP="00AC2424">
            <w:pPr>
              <w:pStyle w:val="Normal6a"/>
            </w:pPr>
            <w:r w:rsidRPr="00E15500">
              <w:t>25.</w:t>
            </w:r>
            <w:r w:rsidRPr="00E15500">
              <w:tab/>
              <w:t>rileva che il numero di giorni di congedo per malattia nel 2023 è stato di 20 198, equivalenti a una riduzione del 14,78 % rispetto al 2022; constata con preoccupazione che il servizio medico ha segnalato 11 casi di burnout nel 2023; osserva che la CGUE ha intrapreso un'analisi approfondita dei rapporti diagnostici per individuare i casi di burnout professionale e ha concentrato l'attenzione sulle misure preventive, in particolare sul rafforzamento della squadra medica e degli assistenti sociali, sulla prevenzione dei rischi psicosociali sul luogo di lavoro e sulle attività di sensibilizzazione; incoraggia la CGUE a continuare a concentrarsi su tale problema per prevenire ulteriori casi di burnout;</w:t>
            </w:r>
          </w:p>
        </w:tc>
        <w:tc>
          <w:tcPr>
            <w:tcW w:w="4876" w:type="dxa"/>
            <w:tcBorders>
              <w:top w:val="nil"/>
              <w:left w:val="nil"/>
              <w:bottom w:val="nil"/>
              <w:right w:val="nil"/>
            </w:tcBorders>
          </w:tcPr>
          <w:p w14:paraId="27A17512" w14:textId="77777777" w:rsidR="000B6ECF" w:rsidRPr="00E15500" w:rsidRDefault="000B6ECF" w:rsidP="00AC2424">
            <w:pPr>
              <w:pStyle w:val="Normal6a"/>
            </w:pPr>
            <w:r w:rsidRPr="00E15500">
              <w:t>25.</w:t>
            </w:r>
            <w:r w:rsidRPr="00E15500">
              <w:tab/>
              <w:t xml:space="preserve">rileva che il numero di giorni di congedo per malattia nel 2023 è stato di 20 198, equivalenti a una riduzione del 14,78 % rispetto al 2022; constata con preoccupazione che il servizio medico ha segnalato 11 casi di burnout nel 2023; osserva che la CGUE ha intrapreso un'analisi approfondita dei rapporti diagnostici per individuare i casi di burnout professionale e ha concentrato l'attenzione sulle misure preventive, in particolare sul rafforzamento della squadra medica e degli assistenti sociali, sulla prevenzione dei rischi psicosociali sul luogo di lavoro e sulle attività di sensibilizzazione; incoraggia la CGUE a continuare a concentrarsi su tale problema per prevenire ulteriori casi di burnout </w:t>
            </w:r>
            <w:r w:rsidRPr="00E15500">
              <w:rPr>
                <w:b/>
                <w:i/>
              </w:rPr>
              <w:t>e a informare il Parlamento europeo sulle misure adottate in materia</w:t>
            </w:r>
            <w:r w:rsidRPr="00E15500">
              <w:t>;</w:t>
            </w:r>
          </w:p>
        </w:tc>
      </w:tr>
    </w:tbl>
    <w:p w14:paraId="55961A20"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7A751CDB" w14:textId="77777777" w:rsidR="000B6ECF" w:rsidRPr="00E15500" w:rsidRDefault="000B6ECF" w:rsidP="000B6ECF">
      <w:r w:rsidRPr="00E15500">
        <w:rPr>
          <w:rStyle w:val="HideTWBExt"/>
        </w:rPr>
        <w:t>&lt;/Amend&gt;</w:t>
      </w:r>
    </w:p>
    <w:p w14:paraId="40D1A195"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32</w:t>
      </w:r>
      <w:r w:rsidRPr="00E15500">
        <w:rPr>
          <w:rStyle w:val="HideTWBExt"/>
        </w:rPr>
        <w:t>&lt;/NumAm&gt;</w:t>
      </w:r>
    </w:p>
    <w:p w14:paraId="453098D6" w14:textId="77777777" w:rsidR="000B6ECF" w:rsidRPr="00E15500" w:rsidRDefault="000B6ECF" w:rsidP="000B6ECF">
      <w:pPr>
        <w:pStyle w:val="NormalBold"/>
      </w:pPr>
      <w:r w:rsidRPr="00E15500">
        <w:rPr>
          <w:rStyle w:val="HideTWBExt"/>
          <w:b w:val="0"/>
        </w:rPr>
        <w:t>&lt;RepeatBlock-By&gt;&lt;Members&gt;</w:t>
      </w:r>
      <w:r w:rsidRPr="00E15500">
        <w:t>Csaba Molnár, Claudiu Manda</w:t>
      </w:r>
      <w:r w:rsidRPr="00E15500">
        <w:rPr>
          <w:rStyle w:val="HideTWBExt"/>
          <w:b w:val="0"/>
        </w:rPr>
        <w:t>&lt;/Members&gt;</w:t>
      </w:r>
    </w:p>
    <w:p w14:paraId="74641D0F" w14:textId="77777777" w:rsidR="000B6ECF" w:rsidRPr="00E15500" w:rsidRDefault="000B6ECF" w:rsidP="000B6ECF">
      <w:pPr>
        <w:pStyle w:val="NormalBold"/>
      </w:pPr>
      <w:r w:rsidRPr="00E15500">
        <w:rPr>
          <w:rStyle w:val="HideTWBExt"/>
          <w:b w:val="0"/>
        </w:rPr>
        <w:t>&lt;/RepeatBlock-By&gt;</w:t>
      </w:r>
    </w:p>
    <w:p w14:paraId="3FBBC80D"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21F68174" w14:textId="77777777" w:rsidR="000B6ECF" w:rsidRPr="00E15500" w:rsidRDefault="000B6ECF" w:rsidP="000B6ECF">
      <w:pPr>
        <w:pStyle w:val="NormalBold"/>
      </w:pPr>
      <w:r w:rsidRPr="00E15500">
        <w:rPr>
          <w:rStyle w:val="HideTWBExt"/>
        </w:rPr>
        <w:t>&lt;Article&gt;</w:t>
      </w:r>
      <w:r w:rsidRPr="00E15500">
        <w:t>Paragrafo 26</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53238721" w14:textId="77777777" w:rsidTr="00AC2424">
        <w:trPr>
          <w:trHeight w:hRule="exact" w:val="240"/>
          <w:jc w:val="center"/>
        </w:trPr>
        <w:tc>
          <w:tcPr>
            <w:tcW w:w="9752" w:type="dxa"/>
            <w:gridSpan w:val="2"/>
            <w:tcBorders>
              <w:top w:val="nil"/>
              <w:left w:val="nil"/>
              <w:bottom w:val="nil"/>
              <w:right w:val="nil"/>
            </w:tcBorders>
          </w:tcPr>
          <w:p w14:paraId="08D0F3BE" w14:textId="77777777" w:rsidR="000B6ECF" w:rsidRPr="00E15500" w:rsidRDefault="000B6ECF" w:rsidP="00AC2424"/>
        </w:tc>
      </w:tr>
      <w:tr w:rsidR="000B6ECF" w:rsidRPr="00E15500" w14:paraId="3AB4923A" w14:textId="77777777" w:rsidTr="00AC2424">
        <w:trPr>
          <w:trHeight w:val="240"/>
          <w:jc w:val="center"/>
        </w:trPr>
        <w:tc>
          <w:tcPr>
            <w:tcW w:w="4876" w:type="dxa"/>
            <w:tcBorders>
              <w:top w:val="nil"/>
              <w:left w:val="nil"/>
              <w:bottom w:val="nil"/>
              <w:right w:val="nil"/>
            </w:tcBorders>
          </w:tcPr>
          <w:p w14:paraId="1503E54B"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51801BBA" w14:textId="77777777" w:rsidR="000B6ECF" w:rsidRPr="00E15500" w:rsidRDefault="000B6ECF" w:rsidP="00AC2424">
            <w:pPr>
              <w:pStyle w:val="AmColumnHeading"/>
            </w:pPr>
            <w:r w:rsidRPr="00E15500">
              <w:t>Emendamento</w:t>
            </w:r>
          </w:p>
        </w:tc>
      </w:tr>
      <w:tr w:rsidR="000B6ECF" w:rsidRPr="00E15500" w14:paraId="10DDF837" w14:textId="77777777" w:rsidTr="00AC2424">
        <w:trPr>
          <w:jc w:val="center"/>
        </w:trPr>
        <w:tc>
          <w:tcPr>
            <w:tcW w:w="4876" w:type="dxa"/>
            <w:tcBorders>
              <w:top w:val="nil"/>
              <w:left w:val="nil"/>
              <w:bottom w:val="nil"/>
              <w:right w:val="nil"/>
            </w:tcBorders>
          </w:tcPr>
          <w:p w14:paraId="3C5A84E0" w14:textId="77777777" w:rsidR="000B6ECF" w:rsidRPr="00E15500" w:rsidRDefault="000B6ECF" w:rsidP="00AC2424">
            <w:pPr>
              <w:pStyle w:val="Normal6a"/>
            </w:pPr>
            <w:r w:rsidRPr="00E15500">
              <w:t>26.</w:t>
            </w:r>
            <w:r w:rsidRPr="00E15500">
              <w:tab/>
              <w:t xml:space="preserve">prende atto del fatto che nel 2023 era stata avviata un'indagine amministrativa relativa a un presunto caso di molestie sessuali nei confronti di un membro del personale e che il caso è stato chiuso nel 2024 con una sanzione; </w:t>
            </w:r>
            <w:r w:rsidRPr="00E15500">
              <w:rPr>
                <w:b/>
                <w:i/>
              </w:rPr>
              <w:t>osserva</w:t>
            </w:r>
            <w:r w:rsidRPr="00E15500">
              <w:t xml:space="preserve"> che nel 2023 </w:t>
            </w:r>
            <w:r w:rsidRPr="00E15500">
              <w:rPr>
                <w:b/>
                <w:i/>
              </w:rPr>
              <w:t>è</w:t>
            </w:r>
            <w:r w:rsidRPr="00E15500">
              <w:t xml:space="preserve"> stata inoltre presentata una procedura di assistenza per presunte molestie nei confronti di un giudice, ma in quel caso non </w:t>
            </w:r>
            <w:r w:rsidRPr="00E15500">
              <w:rPr>
                <w:b/>
                <w:i/>
              </w:rPr>
              <w:t>è</w:t>
            </w:r>
            <w:r w:rsidRPr="00E15500">
              <w:t xml:space="preserve"> stata accertata alcuna molestia; osserva che un gruppo di lavoro interdipartimentale, istituito nel marzo 2023, e pertanto antecedentemente alla ratifica della convenzione del Consiglio d'Europa sulla prevenzione e la lotta contro la violenza nei confronti delle donne e la violenza domestica, ha esaminato le norme e le procedure in vigore presso la CGUE per prevenire le molestie e ha formulato alcune raccomandazioni al fine di migliorarle; incoraggia la CGUE a dare seguito alla questione e a continuare a non mostrare alcuna tolleranza nei confronti delle molestie sul posto di lavoro;</w:t>
            </w:r>
          </w:p>
        </w:tc>
        <w:tc>
          <w:tcPr>
            <w:tcW w:w="4876" w:type="dxa"/>
            <w:tcBorders>
              <w:top w:val="nil"/>
              <w:left w:val="nil"/>
              <w:bottom w:val="nil"/>
              <w:right w:val="nil"/>
            </w:tcBorders>
          </w:tcPr>
          <w:p w14:paraId="77A85BFD" w14:textId="77777777" w:rsidR="000B6ECF" w:rsidRPr="00E15500" w:rsidRDefault="000B6ECF" w:rsidP="00AC2424">
            <w:pPr>
              <w:pStyle w:val="Normal6a"/>
            </w:pPr>
            <w:r w:rsidRPr="00E15500">
              <w:t>26.</w:t>
            </w:r>
            <w:r w:rsidRPr="00E15500">
              <w:tab/>
              <w:t xml:space="preserve">prende atto del fatto che nel 2023 era stata avviata un'indagine amministrativa relativa a un presunto caso di molestie sessuali nei confronti di un membro del personale e che il caso è stato chiuso nel 2024 con una sanzione; </w:t>
            </w:r>
            <w:r w:rsidRPr="00E15500">
              <w:rPr>
                <w:b/>
                <w:i/>
              </w:rPr>
              <w:t>esprime preoccupazione per il fatto</w:t>
            </w:r>
            <w:r w:rsidRPr="00E15500">
              <w:t xml:space="preserve"> che nel 2023 </w:t>
            </w:r>
            <w:r w:rsidRPr="00E15500">
              <w:rPr>
                <w:b/>
                <w:i/>
              </w:rPr>
              <w:t>sia</w:t>
            </w:r>
            <w:r w:rsidRPr="00E15500">
              <w:t xml:space="preserve"> stata inoltre presentata una procedura di assistenza per presunte molestie nei confronti di un giudice, ma in quel caso non </w:t>
            </w:r>
            <w:r w:rsidRPr="00E15500">
              <w:rPr>
                <w:b/>
                <w:i/>
              </w:rPr>
              <w:t>sia</w:t>
            </w:r>
            <w:r w:rsidRPr="00E15500">
              <w:t xml:space="preserve"> stata accertata alcuna molestia; osserva che un gruppo di lavoro interdipartimentale, istituito nel marzo 2023, e pertanto antecedentemente alla ratifica della convenzione del Consiglio d'Europa sulla prevenzione e la lotta contro la violenza nei confronti delle donne e la violenza domestica, ha esaminato le norme e le procedure in vigore presso la CGUE per prevenire le molestie e ha formulato alcune raccomandazioni al fine di migliorarle; incoraggia la CGUE a dare seguito alla questione e a continuare a non mostrare alcuna tolleranza nei confronti delle molestie sul posto di lavoro </w:t>
            </w:r>
            <w:r w:rsidRPr="00E15500">
              <w:rPr>
                <w:b/>
                <w:i/>
              </w:rPr>
              <w:t>introducendo attività di formazione obbligatorie sui pregiudizi inconsci e sulle norme etiche, destinate a tutti i giudici e gli alti funzionari, al fine di evitare gli abusi di potere</w:t>
            </w:r>
            <w:r w:rsidRPr="00E15500">
              <w:t>;</w:t>
            </w:r>
          </w:p>
        </w:tc>
      </w:tr>
    </w:tbl>
    <w:p w14:paraId="2E8820D6" w14:textId="77777777" w:rsidR="000B6ECF" w:rsidRPr="00AC2424" w:rsidRDefault="000B6ECF" w:rsidP="000B6ECF">
      <w:pPr>
        <w:pStyle w:val="AmOrLang"/>
        <w:rPr>
          <w:lang w:val="es-ES"/>
        </w:rPr>
      </w:pPr>
      <w:r w:rsidRPr="00AC2424">
        <w:rPr>
          <w:lang w:val="es-ES"/>
        </w:rPr>
        <w:t xml:space="preserve">Or. </w:t>
      </w:r>
      <w:r w:rsidRPr="00AC2424">
        <w:rPr>
          <w:rStyle w:val="HideTWBExt"/>
          <w:rFonts w:eastAsiaTheme="majorEastAsia"/>
          <w:lang w:val="es-ES"/>
        </w:rPr>
        <w:t>&lt;Original&gt;</w:t>
      </w:r>
      <w:r w:rsidRPr="00AC2424">
        <w:rPr>
          <w:rStyle w:val="HideTWBInt"/>
          <w:lang w:val="es-ES"/>
        </w:rPr>
        <w:t>{EN}</w:t>
      </w:r>
      <w:r w:rsidRPr="00AC2424">
        <w:rPr>
          <w:lang w:val="es-ES"/>
        </w:rPr>
        <w:t>en</w:t>
      </w:r>
      <w:r w:rsidRPr="00AC2424">
        <w:rPr>
          <w:rStyle w:val="HideTWBExt"/>
          <w:rFonts w:eastAsiaTheme="majorEastAsia"/>
          <w:lang w:val="es-ES"/>
        </w:rPr>
        <w:t>&lt;/Original&gt;</w:t>
      </w:r>
    </w:p>
    <w:p w14:paraId="376076D4" w14:textId="77777777" w:rsidR="000B6ECF" w:rsidRPr="00AC2424" w:rsidRDefault="000B6ECF" w:rsidP="000B6ECF">
      <w:pPr>
        <w:rPr>
          <w:lang w:val="es-ES"/>
        </w:rPr>
      </w:pPr>
      <w:r w:rsidRPr="00AC2424">
        <w:rPr>
          <w:rStyle w:val="HideTWBExt"/>
          <w:lang w:val="es-ES"/>
        </w:rPr>
        <w:t>&lt;/Amend&gt;</w:t>
      </w:r>
    </w:p>
    <w:p w14:paraId="5540E06B" w14:textId="77777777" w:rsidR="000B6ECF" w:rsidRPr="00AC2424" w:rsidRDefault="000B6ECF" w:rsidP="000B6ECF">
      <w:pPr>
        <w:pStyle w:val="AmNumberTabs"/>
        <w:rPr>
          <w:lang w:val="es-ES"/>
        </w:rPr>
      </w:pPr>
      <w:r w:rsidRPr="00AC2424">
        <w:rPr>
          <w:rStyle w:val="HideTWBExt"/>
          <w:lang w:val="es-ES"/>
        </w:rPr>
        <w:t>&lt;Amend&gt;</w:t>
      </w:r>
      <w:r w:rsidRPr="00AC2424">
        <w:rPr>
          <w:lang w:val="es-ES"/>
        </w:rPr>
        <w:t>Emendamento</w:t>
      </w:r>
      <w:r w:rsidRPr="00AC2424">
        <w:rPr>
          <w:lang w:val="es-ES"/>
        </w:rPr>
        <w:tab/>
      </w:r>
      <w:r w:rsidRPr="00AC2424">
        <w:rPr>
          <w:lang w:val="es-ES"/>
        </w:rPr>
        <w:tab/>
      </w:r>
      <w:r w:rsidRPr="00AC2424">
        <w:rPr>
          <w:rStyle w:val="HideTWBExt"/>
          <w:lang w:val="es-ES"/>
        </w:rPr>
        <w:t>&lt;NumAm&gt;</w:t>
      </w:r>
      <w:r w:rsidRPr="00AC2424">
        <w:rPr>
          <w:lang w:val="es-ES"/>
        </w:rPr>
        <w:t>33</w:t>
      </w:r>
      <w:r w:rsidRPr="00AC2424">
        <w:rPr>
          <w:rStyle w:val="HideTWBExt"/>
          <w:lang w:val="es-ES"/>
        </w:rPr>
        <w:t>&lt;/NumAm&gt;</w:t>
      </w:r>
    </w:p>
    <w:p w14:paraId="34EE5642" w14:textId="77777777" w:rsidR="000B6ECF" w:rsidRPr="00AC2424" w:rsidRDefault="000B6ECF" w:rsidP="000B6ECF">
      <w:pPr>
        <w:pStyle w:val="NormalBold"/>
        <w:rPr>
          <w:lang w:val="es-ES"/>
        </w:rPr>
      </w:pPr>
      <w:r w:rsidRPr="00AC2424">
        <w:rPr>
          <w:rStyle w:val="HideTWBExt"/>
          <w:b w:val="0"/>
          <w:lang w:val="es-ES"/>
        </w:rPr>
        <w:t>&lt;RepeatBlock-By&gt;&lt;Members&gt;</w:t>
      </w:r>
      <w:r w:rsidRPr="00AC2424">
        <w:rPr>
          <w:lang w:val="es-ES"/>
        </w:rPr>
        <w:t>Tamás Deutsch, Ondřej Knotek</w:t>
      </w:r>
      <w:r w:rsidRPr="00AC2424">
        <w:rPr>
          <w:rStyle w:val="HideTWBExt"/>
          <w:b w:val="0"/>
          <w:lang w:val="es-ES"/>
        </w:rPr>
        <w:t>&lt;/Members&gt;</w:t>
      </w:r>
    </w:p>
    <w:p w14:paraId="366FF406" w14:textId="77777777" w:rsidR="000B6ECF" w:rsidRPr="00AC2424" w:rsidRDefault="000B6ECF" w:rsidP="000B6ECF">
      <w:pPr>
        <w:pStyle w:val="NormalBold"/>
        <w:rPr>
          <w:lang w:val="es-ES"/>
        </w:rPr>
      </w:pPr>
      <w:r w:rsidRPr="00AC2424">
        <w:rPr>
          <w:rStyle w:val="HideTWBExt"/>
          <w:b w:val="0"/>
          <w:lang w:val="es-ES"/>
        </w:rPr>
        <w:t>&lt;/RepeatBlock-By&gt;</w:t>
      </w:r>
    </w:p>
    <w:p w14:paraId="7FF1600B"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69FE8C57" w14:textId="77777777" w:rsidR="000B6ECF" w:rsidRPr="00E15500" w:rsidRDefault="000B6ECF" w:rsidP="000B6ECF">
      <w:pPr>
        <w:pStyle w:val="NormalBold"/>
      </w:pPr>
      <w:r w:rsidRPr="00E15500">
        <w:rPr>
          <w:rStyle w:val="HideTWBExt"/>
        </w:rPr>
        <w:t>&lt;Article&gt;</w:t>
      </w:r>
      <w:r w:rsidRPr="00E15500">
        <w:t>Paragrafo 26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695D5CD2" w14:textId="77777777" w:rsidTr="00AC2424">
        <w:trPr>
          <w:trHeight w:hRule="exact" w:val="240"/>
          <w:jc w:val="center"/>
        </w:trPr>
        <w:tc>
          <w:tcPr>
            <w:tcW w:w="9752" w:type="dxa"/>
            <w:gridSpan w:val="2"/>
            <w:tcBorders>
              <w:top w:val="nil"/>
              <w:left w:val="nil"/>
              <w:bottom w:val="nil"/>
              <w:right w:val="nil"/>
            </w:tcBorders>
          </w:tcPr>
          <w:p w14:paraId="655AD9AB" w14:textId="77777777" w:rsidR="000B6ECF" w:rsidRPr="00E15500" w:rsidRDefault="000B6ECF" w:rsidP="00AC2424"/>
        </w:tc>
      </w:tr>
      <w:tr w:rsidR="000B6ECF" w:rsidRPr="00E15500" w14:paraId="4997EBEB" w14:textId="77777777" w:rsidTr="00AC2424">
        <w:trPr>
          <w:trHeight w:val="240"/>
          <w:jc w:val="center"/>
        </w:trPr>
        <w:tc>
          <w:tcPr>
            <w:tcW w:w="4876" w:type="dxa"/>
            <w:tcBorders>
              <w:top w:val="nil"/>
              <w:left w:val="nil"/>
              <w:bottom w:val="nil"/>
              <w:right w:val="nil"/>
            </w:tcBorders>
          </w:tcPr>
          <w:p w14:paraId="3DBECD1D"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5BCFAFCB" w14:textId="77777777" w:rsidR="000B6ECF" w:rsidRPr="00E15500" w:rsidRDefault="000B6ECF" w:rsidP="00AC2424">
            <w:pPr>
              <w:pStyle w:val="AmColumnHeading"/>
            </w:pPr>
            <w:r w:rsidRPr="00E15500">
              <w:t>Emendamento</w:t>
            </w:r>
          </w:p>
        </w:tc>
      </w:tr>
      <w:tr w:rsidR="000B6ECF" w:rsidRPr="00E15500" w14:paraId="45E47AD8" w14:textId="77777777" w:rsidTr="00AC2424">
        <w:trPr>
          <w:jc w:val="center"/>
        </w:trPr>
        <w:tc>
          <w:tcPr>
            <w:tcW w:w="4876" w:type="dxa"/>
            <w:tcBorders>
              <w:top w:val="nil"/>
              <w:left w:val="nil"/>
              <w:bottom w:val="nil"/>
              <w:right w:val="nil"/>
            </w:tcBorders>
          </w:tcPr>
          <w:p w14:paraId="644262CC" w14:textId="77777777" w:rsidR="000B6ECF" w:rsidRPr="00E15500" w:rsidRDefault="000B6ECF" w:rsidP="00AC2424">
            <w:pPr>
              <w:pStyle w:val="Normal6a"/>
            </w:pPr>
          </w:p>
        </w:tc>
        <w:tc>
          <w:tcPr>
            <w:tcW w:w="4876" w:type="dxa"/>
            <w:tcBorders>
              <w:top w:val="nil"/>
              <w:left w:val="nil"/>
              <w:bottom w:val="nil"/>
              <w:right w:val="nil"/>
            </w:tcBorders>
          </w:tcPr>
          <w:p w14:paraId="61D51070" w14:textId="77777777" w:rsidR="000B6ECF" w:rsidRPr="00E15500" w:rsidRDefault="000B6ECF" w:rsidP="00AC2424">
            <w:pPr>
              <w:pStyle w:val="Normal6a"/>
            </w:pPr>
            <w:r w:rsidRPr="00E15500">
              <w:rPr>
                <w:b/>
                <w:i/>
              </w:rPr>
              <w:t>26 bis.</w:t>
            </w:r>
            <w:r w:rsidRPr="00E15500">
              <w:tab/>
            </w:r>
            <w:r w:rsidRPr="00E15500">
              <w:rPr>
                <w:b/>
                <w:i/>
              </w:rPr>
              <w:t>ricorda che, a norma del trattato sull'Unione europea, l'UE e le sue istituzioni si prefiggono di promuovere la pace, i suoi valori e il benessere dei suoi popoli, preservare la pace, prevenire i conflitti e rafforzare la sicurezza internazionale;</w:t>
            </w:r>
          </w:p>
        </w:tc>
      </w:tr>
    </w:tbl>
    <w:p w14:paraId="6949885C"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45010DBC" w14:textId="77777777" w:rsidR="000B6ECF" w:rsidRPr="00E15500" w:rsidRDefault="000B6ECF" w:rsidP="000B6ECF">
      <w:r w:rsidRPr="00E15500">
        <w:rPr>
          <w:rStyle w:val="HideTWBExt"/>
        </w:rPr>
        <w:t>&lt;/Amend&gt;</w:t>
      </w:r>
    </w:p>
    <w:p w14:paraId="640F5E2F"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34</w:t>
      </w:r>
      <w:r w:rsidRPr="00E15500">
        <w:rPr>
          <w:rStyle w:val="HideTWBExt"/>
        </w:rPr>
        <w:t>&lt;/NumAm&gt;</w:t>
      </w:r>
    </w:p>
    <w:p w14:paraId="3C9D2703" w14:textId="77777777" w:rsidR="000B6ECF" w:rsidRPr="00E15500" w:rsidRDefault="000B6ECF" w:rsidP="000B6ECF">
      <w:pPr>
        <w:pStyle w:val="NormalBold"/>
      </w:pPr>
      <w:r w:rsidRPr="00E15500">
        <w:rPr>
          <w:rStyle w:val="HideTWBExt"/>
          <w:b w:val="0"/>
        </w:rPr>
        <w:t>&lt;RepeatBlock-By&gt;&lt;Members&gt;</w:t>
      </w:r>
      <w:r w:rsidRPr="00E15500">
        <w:t>Tamás Deutsch, Ondřej Knotek, Julien Sanchez, Virginie Joron</w:t>
      </w:r>
      <w:r w:rsidRPr="00E15500">
        <w:rPr>
          <w:rStyle w:val="HideTWBExt"/>
          <w:b w:val="0"/>
        </w:rPr>
        <w:t>&lt;/Members&gt;</w:t>
      </w:r>
    </w:p>
    <w:p w14:paraId="73EE742E" w14:textId="77777777" w:rsidR="000B6ECF" w:rsidRPr="00E15500" w:rsidRDefault="000B6ECF" w:rsidP="000B6ECF">
      <w:pPr>
        <w:pStyle w:val="NormalBold"/>
      </w:pPr>
      <w:r w:rsidRPr="00E15500">
        <w:rPr>
          <w:rStyle w:val="HideTWBExt"/>
          <w:b w:val="0"/>
        </w:rPr>
        <w:t>&lt;/RepeatBlock-By&gt;</w:t>
      </w:r>
    </w:p>
    <w:p w14:paraId="1DEBFD9A"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016CBE36" w14:textId="77777777" w:rsidR="000B6ECF" w:rsidRPr="00E15500" w:rsidRDefault="000B6ECF" w:rsidP="000B6ECF">
      <w:pPr>
        <w:pStyle w:val="NormalBold"/>
      </w:pPr>
      <w:r w:rsidRPr="00E15500">
        <w:rPr>
          <w:rStyle w:val="HideTWBExt"/>
        </w:rPr>
        <w:t>&lt;Article&gt;</w:t>
      </w:r>
      <w:r w:rsidRPr="00E15500">
        <w:t>Paragrafo 26 ter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319AE98E" w14:textId="77777777" w:rsidTr="00AC2424">
        <w:trPr>
          <w:trHeight w:hRule="exact" w:val="240"/>
          <w:jc w:val="center"/>
        </w:trPr>
        <w:tc>
          <w:tcPr>
            <w:tcW w:w="9752" w:type="dxa"/>
            <w:gridSpan w:val="2"/>
            <w:tcBorders>
              <w:top w:val="nil"/>
              <w:left w:val="nil"/>
              <w:bottom w:val="nil"/>
              <w:right w:val="nil"/>
            </w:tcBorders>
          </w:tcPr>
          <w:p w14:paraId="43C9D91C" w14:textId="77777777" w:rsidR="000B6ECF" w:rsidRPr="00E15500" w:rsidRDefault="000B6ECF" w:rsidP="00AC2424"/>
        </w:tc>
      </w:tr>
      <w:tr w:rsidR="000B6ECF" w:rsidRPr="00E15500" w14:paraId="4787F90C" w14:textId="77777777" w:rsidTr="00AC2424">
        <w:trPr>
          <w:trHeight w:val="240"/>
          <w:jc w:val="center"/>
        </w:trPr>
        <w:tc>
          <w:tcPr>
            <w:tcW w:w="4876" w:type="dxa"/>
            <w:tcBorders>
              <w:top w:val="nil"/>
              <w:left w:val="nil"/>
              <w:bottom w:val="nil"/>
              <w:right w:val="nil"/>
            </w:tcBorders>
          </w:tcPr>
          <w:p w14:paraId="1EFEBE7C"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2DDE62FB" w14:textId="77777777" w:rsidR="000B6ECF" w:rsidRPr="00E15500" w:rsidRDefault="000B6ECF" w:rsidP="00AC2424">
            <w:pPr>
              <w:pStyle w:val="AmColumnHeading"/>
            </w:pPr>
            <w:r w:rsidRPr="00E15500">
              <w:t>Emendamento</w:t>
            </w:r>
          </w:p>
        </w:tc>
      </w:tr>
      <w:tr w:rsidR="000B6ECF" w:rsidRPr="00E15500" w14:paraId="39AFFFD5" w14:textId="77777777" w:rsidTr="00AC2424">
        <w:trPr>
          <w:jc w:val="center"/>
        </w:trPr>
        <w:tc>
          <w:tcPr>
            <w:tcW w:w="4876" w:type="dxa"/>
            <w:tcBorders>
              <w:top w:val="nil"/>
              <w:left w:val="nil"/>
              <w:bottom w:val="nil"/>
              <w:right w:val="nil"/>
            </w:tcBorders>
          </w:tcPr>
          <w:p w14:paraId="466A0E3C" w14:textId="77777777" w:rsidR="000B6ECF" w:rsidRPr="00E15500" w:rsidRDefault="000B6ECF" w:rsidP="00AC2424">
            <w:pPr>
              <w:pStyle w:val="Normal6a"/>
            </w:pPr>
          </w:p>
        </w:tc>
        <w:tc>
          <w:tcPr>
            <w:tcW w:w="4876" w:type="dxa"/>
            <w:tcBorders>
              <w:top w:val="nil"/>
              <w:left w:val="nil"/>
              <w:bottom w:val="nil"/>
              <w:right w:val="nil"/>
            </w:tcBorders>
          </w:tcPr>
          <w:p w14:paraId="6DB0FB92" w14:textId="77777777" w:rsidR="000B6ECF" w:rsidRPr="00E15500" w:rsidRDefault="000B6ECF" w:rsidP="00AC2424">
            <w:pPr>
              <w:pStyle w:val="Normal6a"/>
            </w:pPr>
            <w:r w:rsidRPr="00E15500">
              <w:rPr>
                <w:b/>
                <w:i/>
              </w:rPr>
              <w:t>26 ter.</w:t>
            </w:r>
            <w:r w:rsidRPr="00E15500">
              <w:tab/>
            </w:r>
            <w:r w:rsidRPr="00E15500">
              <w:rPr>
                <w:b/>
                <w:i/>
              </w:rPr>
              <w:t>invita la CGUE a manifestare la propria dedizione assoluta, massimizzando gli sforzi tramite tutte le misure e le risorse disponibili, nei confronti dell'obiettivo di promuovere la pace e porre fine quanto prima alla guerra in Ucraina, nonché di preservare la pace e rafforzare la sicurezza europea;</w:t>
            </w:r>
          </w:p>
        </w:tc>
      </w:tr>
    </w:tbl>
    <w:p w14:paraId="2FF66885" w14:textId="77777777" w:rsidR="000B6ECF" w:rsidRPr="00AC2424" w:rsidRDefault="000B6ECF" w:rsidP="000B6ECF">
      <w:pPr>
        <w:pStyle w:val="AmOrLang"/>
        <w:rPr>
          <w:lang w:val="es-ES"/>
        </w:rPr>
      </w:pPr>
      <w:r w:rsidRPr="00AC2424">
        <w:rPr>
          <w:lang w:val="es-ES"/>
        </w:rPr>
        <w:t xml:space="preserve">Or. </w:t>
      </w:r>
      <w:r w:rsidRPr="00AC2424">
        <w:rPr>
          <w:rStyle w:val="HideTWBExt"/>
          <w:rFonts w:eastAsiaTheme="majorEastAsia"/>
          <w:lang w:val="es-ES"/>
        </w:rPr>
        <w:t>&lt;Original&gt;</w:t>
      </w:r>
      <w:r w:rsidRPr="00AC2424">
        <w:rPr>
          <w:rStyle w:val="HideTWBInt"/>
          <w:lang w:val="es-ES"/>
        </w:rPr>
        <w:t>{EN}</w:t>
      </w:r>
      <w:r w:rsidRPr="00AC2424">
        <w:rPr>
          <w:lang w:val="es-ES"/>
        </w:rPr>
        <w:t>en</w:t>
      </w:r>
      <w:r w:rsidRPr="00AC2424">
        <w:rPr>
          <w:rStyle w:val="HideTWBExt"/>
          <w:rFonts w:eastAsiaTheme="majorEastAsia"/>
          <w:lang w:val="es-ES"/>
        </w:rPr>
        <w:t>&lt;/Original&gt;</w:t>
      </w:r>
    </w:p>
    <w:p w14:paraId="1B147D80" w14:textId="77777777" w:rsidR="000B6ECF" w:rsidRPr="00AC2424" w:rsidRDefault="000B6ECF" w:rsidP="000B6ECF">
      <w:pPr>
        <w:rPr>
          <w:lang w:val="es-ES"/>
        </w:rPr>
      </w:pPr>
      <w:r w:rsidRPr="00AC2424">
        <w:rPr>
          <w:rStyle w:val="HideTWBExt"/>
          <w:lang w:val="es-ES"/>
        </w:rPr>
        <w:t>&lt;/Amend&gt;</w:t>
      </w:r>
    </w:p>
    <w:p w14:paraId="1EB61D5F" w14:textId="77777777" w:rsidR="000B6ECF" w:rsidRPr="00AC2424" w:rsidRDefault="000B6ECF" w:rsidP="000B6ECF">
      <w:pPr>
        <w:pStyle w:val="AmNumberTabs"/>
        <w:rPr>
          <w:lang w:val="es-ES"/>
        </w:rPr>
      </w:pPr>
      <w:r w:rsidRPr="00AC2424">
        <w:rPr>
          <w:rStyle w:val="HideTWBExt"/>
          <w:lang w:val="es-ES"/>
        </w:rPr>
        <w:t>&lt;Amend&gt;</w:t>
      </w:r>
      <w:r w:rsidRPr="00AC2424">
        <w:rPr>
          <w:lang w:val="es-ES"/>
        </w:rPr>
        <w:t>Emendamento</w:t>
      </w:r>
      <w:r w:rsidRPr="00AC2424">
        <w:rPr>
          <w:lang w:val="es-ES"/>
        </w:rPr>
        <w:tab/>
      </w:r>
      <w:r w:rsidRPr="00AC2424">
        <w:rPr>
          <w:lang w:val="es-ES"/>
        </w:rPr>
        <w:tab/>
      </w:r>
      <w:r w:rsidRPr="00AC2424">
        <w:rPr>
          <w:rStyle w:val="HideTWBExt"/>
          <w:lang w:val="es-ES"/>
        </w:rPr>
        <w:t>&lt;NumAm&gt;</w:t>
      </w:r>
      <w:r w:rsidRPr="00AC2424">
        <w:rPr>
          <w:lang w:val="es-ES"/>
        </w:rPr>
        <w:t>35</w:t>
      </w:r>
      <w:r w:rsidRPr="00AC2424">
        <w:rPr>
          <w:rStyle w:val="HideTWBExt"/>
          <w:lang w:val="es-ES"/>
        </w:rPr>
        <w:t>&lt;/NumAm&gt;</w:t>
      </w:r>
    </w:p>
    <w:p w14:paraId="4B919217" w14:textId="77777777" w:rsidR="000B6ECF" w:rsidRPr="00AC2424" w:rsidRDefault="000B6ECF" w:rsidP="000B6ECF">
      <w:pPr>
        <w:pStyle w:val="NormalBold"/>
        <w:rPr>
          <w:lang w:val="es-ES"/>
        </w:rPr>
      </w:pPr>
      <w:r w:rsidRPr="00AC2424">
        <w:rPr>
          <w:rStyle w:val="HideTWBExt"/>
          <w:b w:val="0"/>
          <w:lang w:val="es-ES"/>
        </w:rPr>
        <w:t>&lt;RepeatBlock-By&gt;&lt;Members&gt;</w:t>
      </w:r>
      <w:r w:rsidRPr="00AC2424">
        <w:rPr>
          <w:lang w:val="es-ES"/>
        </w:rPr>
        <w:t>Tamás Deutsch, Ondřej Knotek</w:t>
      </w:r>
      <w:r w:rsidRPr="00AC2424">
        <w:rPr>
          <w:rStyle w:val="HideTWBExt"/>
          <w:b w:val="0"/>
          <w:lang w:val="es-ES"/>
        </w:rPr>
        <w:t>&lt;/Members&gt;</w:t>
      </w:r>
    </w:p>
    <w:p w14:paraId="2A9E4842" w14:textId="77777777" w:rsidR="000B6ECF" w:rsidRPr="00AC2424" w:rsidRDefault="000B6ECF" w:rsidP="000B6ECF">
      <w:pPr>
        <w:pStyle w:val="NormalBold"/>
        <w:rPr>
          <w:lang w:val="es-ES"/>
        </w:rPr>
      </w:pPr>
      <w:r w:rsidRPr="00AC2424">
        <w:rPr>
          <w:rStyle w:val="HideTWBExt"/>
          <w:b w:val="0"/>
          <w:lang w:val="es-ES"/>
        </w:rPr>
        <w:t>&lt;/RepeatBlock-By&gt;</w:t>
      </w:r>
    </w:p>
    <w:p w14:paraId="1546E5E5"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5BEE3478" w14:textId="77777777" w:rsidR="000B6ECF" w:rsidRPr="00E15500" w:rsidRDefault="000B6ECF" w:rsidP="000B6ECF">
      <w:pPr>
        <w:pStyle w:val="NormalBold"/>
      </w:pPr>
      <w:r w:rsidRPr="00E15500">
        <w:rPr>
          <w:rStyle w:val="HideTWBExt"/>
        </w:rPr>
        <w:t>&lt;Article&gt;</w:t>
      </w:r>
      <w:r w:rsidRPr="00E15500">
        <w:t>Paragrafo 26 quater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5EAA50E2" w14:textId="77777777" w:rsidTr="00AC2424">
        <w:trPr>
          <w:trHeight w:hRule="exact" w:val="240"/>
          <w:jc w:val="center"/>
        </w:trPr>
        <w:tc>
          <w:tcPr>
            <w:tcW w:w="9752" w:type="dxa"/>
            <w:gridSpan w:val="2"/>
            <w:tcBorders>
              <w:top w:val="nil"/>
              <w:left w:val="nil"/>
              <w:bottom w:val="nil"/>
              <w:right w:val="nil"/>
            </w:tcBorders>
          </w:tcPr>
          <w:p w14:paraId="5C5FB4DC" w14:textId="77777777" w:rsidR="000B6ECF" w:rsidRPr="00E15500" w:rsidRDefault="000B6ECF" w:rsidP="00AC2424"/>
        </w:tc>
      </w:tr>
      <w:tr w:rsidR="000B6ECF" w:rsidRPr="00E15500" w14:paraId="472309CF" w14:textId="77777777" w:rsidTr="00AC2424">
        <w:trPr>
          <w:trHeight w:val="240"/>
          <w:jc w:val="center"/>
        </w:trPr>
        <w:tc>
          <w:tcPr>
            <w:tcW w:w="4876" w:type="dxa"/>
            <w:tcBorders>
              <w:top w:val="nil"/>
              <w:left w:val="nil"/>
              <w:bottom w:val="nil"/>
              <w:right w:val="nil"/>
            </w:tcBorders>
          </w:tcPr>
          <w:p w14:paraId="46EDDCB2"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2E387667" w14:textId="77777777" w:rsidR="000B6ECF" w:rsidRPr="00E15500" w:rsidRDefault="000B6ECF" w:rsidP="00AC2424">
            <w:pPr>
              <w:pStyle w:val="AmColumnHeading"/>
            </w:pPr>
            <w:r w:rsidRPr="00E15500">
              <w:t>Emendamento</w:t>
            </w:r>
          </w:p>
        </w:tc>
      </w:tr>
      <w:tr w:rsidR="000B6ECF" w:rsidRPr="00E15500" w14:paraId="13C77034" w14:textId="77777777" w:rsidTr="00AC2424">
        <w:trPr>
          <w:jc w:val="center"/>
        </w:trPr>
        <w:tc>
          <w:tcPr>
            <w:tcW w:w="4876" w:type="dxa"/>
            <w:tcBorders>
              <w:top w:val="nil"/>
              <w:left w:val="nil"/>
              <w:bottom w:val="nil"/>
              <w:right w:val="nil"/>
            </w:tcBorders>
          </w:tcPr>
          <w:p w14:paraId="263C337A" w14:textId="77777777" w:rsidR="000B6ECF" w:rsidRPr="00E15500" w:rsidRDefault="000B6ECF" w:rsidP="00AC2424">
            <w:pPr>
              <w:pStyle w:val="Normal6a"/>
            </w:pPr>
          </w:p>
        </w:tc>
        <w:tc>
          <w:tcPr>
            <w:tcW w:w="4876" w:type="dxa"/>
            <w:tcBorders>
              <w:top w:val="nil"/>
              <w:left w:val="nil"/>
              <w:bottom w:val="nil"/>
              <w:right w:val="nil"/>
            </w:tcBorders>
          </w:tcPr>
          <w:p w14:paraId="6E8F8AA9" w14:textId="77777777" w:rsidR="000B6ECF" w:rsidRPr="00E15500" w:rsidRDefault="000B6ECF" w:rsidP="00AC2424">
            <w:pPr>
              <w:pStyle w:val="Normal6a"/>
            </w:pPr>
            <w:r w:rsidRPr="00E15500">
              <w:rPr>
                <w:b/>
                <w:i/>
              </w:rPr>
              <w:t>26 quater.</w:t>
            </w:r>
            <w:r w:rsidRPr="00E15500">
              <w:tab/>
            </w:r>
            <w:r w:rsidRPr="00E15500">
              <w:rPr>
                <w:b/>
                <w:i/>
              </w:rPr>
              <w:t>ricorda che, a norma del trattato sull'Unione europea, l'UE e le sue istituzioni rispettano l'uguaglianza degli Stati membri davanti ai trattati e la loro identità nazionale insita nella loro struttura fondamentale, politica e costituzionale, compreso il sistema delle autonomie locali e regionali;</w:t>
            </w:r>
          </w:p>
        </w:tc>
      </w:tr>
    </w:tbl>
    <w:p w14:paraId="652849A3"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559DEEBF" w14:textId="77777777" w:rsidR="000B6ECF" w:rsidRPr="00E15500" w:rsidRDefault="000B6ECF" w:rsidP="000B6ECF">
      <w:r w:rsidRPr="00E15500">
        <w:rPr>
          <w:rStyle w:val="HideTWBExt"/>
        </w:rPr>
        <w:t>&lt;/Amend&gt;</w:t>
      </w:r>
    </w:p>
    <w:p w14:paraId="0D96468D"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36</w:t>
      </w:r>
      <w:r w:rsidRPr="00E15500">
        <w:rPr>
          <w:rStyle w:val="HideTWBExt"/>
        </w:rPr>
        <w:t>&lt;/NumAm&gt;</w:t>
      </w:r>
    </w:p>
    <w:p w14:paraId="591D5641" w14:textId="77777777" w:rsidR="000B6ECF" w:rsidRPr="00E15500" w:rsidRDefault="000B6ECF" w:rsidP="000B6ECF">
      <w:pPr>
        <w:pStyle w:val="NormalBold"/>
      </w:pPr>
      <w:r w:rsidRPr="00E15500">
        <w:rPr>
          <w:rStyle w:val="HideTWBExt"/>
          <w:b w:val="0"/>
        </w:rPr>
        <w:t>&lt;RepeatBlock-By&gt;&lt;Members&gt;</w:t>
      </w:r>
      <w:r w:rsidRPr="00E15500">
        <w:t>Tamás Deutsch, Ondřej Knotek, Julien Sanchez, Virginie Joron</w:t>
      </w:r>
      <w:r w:rsidRPr="00E15500">
        <w:rPr>
          <w:rStyle w:val="HideTWBExt"/>
          <w:b w:val="0"/>
        </w:rPr>
        <w:t>&lt;/Members&gt;</w:t>
      </w:r>
    </w:p>
    <w:p w14:paraId="5582DCF2" w14:textId="77777777" w:rsidR="000B6ECF" w:rsidRPr="00E15500" w:rsidRDefault="000B6ECF" w:rsidP="000B6ECF">
      <w:pPr>
        <w:pStyle w:val="NormalBold"/>
      </w:pPr>
      <w:r w:rsidRPr="00E15500">
        <w:rPr>
          <w:rStyle w:val="HideTWBExt"/>
          <w:b w:val="0"/>
        </w:rPr>
        <w:t>&lt;/RepeatBlock-By&gt;</w:t>
      </w:r>
    </w:p>
    <w:p w14:paraId="186307E2"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2A322605" w14:textId="77777777" w:rsidR="000B6ECF" w:rsidRPr="00E15500" w:rsidRDefault="000B6ECF" w:rsidP="000B6ECF">
      <w:pPr>
        <w:pStyle w:val="NormalBold"/>
      </w:pPr>
      <w:r w:rsidRPr="00E15500">
        <w:rPr>
          <w:rStyle w:val="HideTWBExt"/>
        </w:rPr>
        <w:t>&lt;Article&gt;</w:t>
      </w:r>
      <w:r w:rsidRPr="00E15500">
        <w:t>Paragrafo 26 quinquies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735A5F4C" w14:textId="77777777" w:rsidTr="00AC2424">
        <w:trPr>
          <w:trHeight w:hRule="exact" w:val="240"/>
          <w:jc w:val="center"/>
        </w:trPr>
        <w:tc>
          <w:tcPr>
            <w:tcW w:w="9752" w:type="dxa"/>
            <w:gridSpan w:val="2"/>
            <w:tcBorders>
              <w:top w:val="nil"/>
              <w:left w:val="nil"/>
              <w:bottom w:val="nil"/>
              <w:right w:val="nil"/>
            </w:tcBorders>
          </w:tcPr>
          <w:p w14:paraId="60E95B24" w14:textId="77777777" w:rsidR="000B6ECF" w:rsidRPr="00E15500" w:rsidRDefault="000B6ECF" w:rsidP="00AC2424"/>
        </w:tc>
      </w:tr>
      <w:tr w:rsidR="000B6ECF" w:rsidRPr="00E15500" w14:paraId="5DAFC80C" w14:textId="77777777" w:rsidTr="00AC2424">
        <w:trPr>
          <w:trHeight w:val="240"/>
          <w:jc w:val="center"/>
        </w:trPr>
        <w:tc>
          <w:tcPr>
            <w:tcW w:w="4876" w:type="dxa"/>
            <w:tcBorders>
              <w:top w:val="nil"/>
              <w:left w:val="nil"/>
              <w:bottom w:val="nil"/>
              <w:right w:val="nil"/>
            </w:tcBorders>
          </w:tcPr>
          <w:p w14:paraId="6D06E409"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3C67302B" w14:textId="77777777" w:rsidR="000B6ECF" w:rsidRPr="00E15500" w:rsidRDefault="000B6ECF" w:rsidP="00AC2424">
            <w:pPr>
              <w:pStyle w:val="AmColumnHeading"/>
            </w:pPr>
            <w:r w:rsidRPr="00E15500">
              <w:t>Emendamento</w:t>
            </w:r>
          </w:p>
        </w:tc>
      </w:tr>
      <w:tr w:rsidR="000B6ECF" w:rsidRPr="00E15500" w14:paraId="2966B6F9" w14:textId="77777777" w:rsidTr="00AC2424">
        <w:trPr>
          <w:jc w:val="center"/>
        </w:trPr>
        <w:tc>
          <w:tcPr>
            <w:tcW w:w="4876" w:type="dxa"/>
            <w:tcBorders>
              <w:top w:val="nil"/>
              <w:left w:val="nil"/>
              <w:bottom w:val="nil"/>
              <w:right w:val="nil"/>
            </w:tcBorders>
          </w:tcPr>
          <w:p w14:paraId="3B9A59D0" w14:textId="77777777" w:rsidR="000B6ECF" w:rsidRPr="00E15500" w:rsidRDefault="000B6ECF" w:rsidP="00AC2424">
            <w:pPr>
              <w:pStyle w:val="Normal6a"/>
            </w:pPr>
          </w:p>
        </w:tc>
        <w:tc>
          <w:tcPr>
            <w:tcW w:w="4876" w:type="dxa"/>
            <w:tcBorders>
              <w:top w:val="nil"/>
              <w:left w:val="nil"/>
              <w:bottom w:val="nil"/>
              <w:right w:val="nil"/>
            </w:tcBorders>
          </w:tcPr>
          <w:p w14:paraId="2B745828" w14:textId="77777777" w:rsidR="000B6ECF" w:rsidRPr="00E15500" w:rsidRDefault="000B6ECF" w:rsidP="00AC2424">
            <w:pPr>
              <w:pStyle w:val="Normal6a"/>
            </w:pPr>
            <w:r w:rsidRPr="00E15500">
              <w:rPr>
                <w:b/>
                <w:i/>
              </w:rPr>
              <w:t>26 quinquies.</w:t>
            </w:r>
            <w:r w:rsidRPr="00E15500">
              <w:tab/>
            </w:r>
            <w:r w:rsidRPr="00E15500">
              <w:rPr>
                <w:b/>
                <w:i/>
              </w:rPr>
              <w:t>invita la CGUE a rispettare sempre l'uguaglianza degli Stati membri e a riservare a tutti loro lo stesso trattamento, nonché a rispettare la loro sovranità e identità nazionale insita nella loro struttura fondamentale, politica e costituzionale, compreso il sistema delle autonomie locali e regionali;</w:t>
            </w:r>
          </w:p>
        </w:tc>
      </w:tr>
    </w:tbl>
    <w:p w14:paraId="64862A06"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0A071188" w14:textId="77777777" w:rsidR="000B6ECF" w:rsidRPr="00E15500" w:rsidRDefault="000B6ECF" w:rsidP="000B6ECF">
      <w:r w:rsidRPr="00E15500">
        <w:rPr>
          <w:rStyle w:val="HideTWBExt"/>
        </w:rPr>
        <w:t>&lt;/Amend&gt;</w:t>
      </w:r>
    </w:p>
    <w:p w14:paraId="69631519"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37</w:t>
      </w:r>
      <w:r w:rsidRPr="00E15500">
        <w:rPr>
          <w:rStyle w:val="HideTWBExt"/>
        </w:rPr>
        <w:t>&lt;/NumAm&gt;</w:t>
      </w:r>
    </w:p>
    <w:p w14:paraId="192D5798" w14:textId="77777777" w:rsidR="000B6ECF" w:rsidRPr="00E15500" w:rsidRDefault="000B6ECF" w:rsidP="000B6ECF">
      <w:pPr>
        <w:pStyle w:val="NormalBold"/>
      </w:pPr>
      <w:r w:rsidRPr="00E15500">
        <w:rPr>
          <w:rStyle w:val="HideTWBExt"/>
          <w:b w:val="0"/>
        </w:rPr>
        <w:t>&lt;RepeatBlock-By&gt;&lt;Members&gt;</w:t>
      </w:r>
      <w:r w:rsidRPr="00E15500">
        <w:t>Gilles Boyer, Olivier Chastel, Michal Wiezik, Vlad Vasile-Voiculescu</w:t>
      </w:r>
      <w:r w:rsidRPr="00E15500">
        <w:rPr>
          <w:rStyle w:val="HideTWBExt"/>
          <w:b w:val="0"/>
        </w:rPr>
        <w:t>&lt;/Members&gt;</w:t>
      </w:r>
    </w:p>
    <w:p w14:paraId="7B863131" w14:textId="77777777" w:rsidR="000B6ECF" w:rsidRPr="00E15500" w:rsidRDefault="000B6ECF" w:rsidP="000B6ECF">
      <w:pPr>
        <w:pStyle w:val="NormalBold"/>
      </w:pPr>
      <w:r w:rsidRPr="00E15500">
        <w:rPr>
          <w:rStyle w:val="HideTWBExt"/>
          <w:b w:val="0"/>
        </w:rPr>
        <w:t>&lt;/RepeatBlock-By&gt;</w:t>
      </w:r>
    </w:p>
    <w:p w14:paraId="661A0FDF"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10DFCD95" w14:textId="77777777" w:rsidR="000B6ECF" w:rsidRPr="00E15500" w:rsidRDefault="000B6ECF" w:rsidP="000B6ECF">
      <w:pPr>
        <w:pStyle w:val="NormalBold"/>
      </w:pPr>
      <w:r w:rsidRPr="00E15500">
        <w:rPr>
          <w:rStyle w:val="HideTWBExt"/>
        </w:rPr>
        <w:t>&lt;Article&gt;</w:t>
      </w:r>
      <w:r w:rsidRPr="00E15500">
        <w:t>Paragrafo 27</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19A1CD55" w14:textId="77777777" w:rsidTr="00AC2424">
        <w:trPr>
          <w:trHeight w:hRule="exact" w:val="240"/>
          <w:jc w:val="center"/>
        </w:trPr>
        <w:tc>
          <w:tcPr>
            <w:tcW w:w="9752" w:type="dxa"/>
            <w:gridSpan w:val="2"/>
            <w:tcBorders>
              <w:top w:val="nil"/>
              <w:left w:val="nil"/>
              <w:bottom w:val="nil"/>
              <w:right w:val="nil"/>
            </w:tcBorders>
          </w:tcPr>
          <w:p w14:paraId="74DE925C" w14:textId="77777777" w:rsidR="000B6ECF" w:rsidRPr="00E15500" w:rsidRDefault="000B6ECF" w:rsidP="00AC2424"/>
        </w:tc>
      </w:tr>
      <w:tr w:rsidR="000B6ECF" w:rsidRPr="00E15500" w14:paraId="09C776BD" w14:textId="77777777" w:rsidTr="00AC2424">
        <w:trPr>
          <w:trHeight w:val="240"/>
          <w:jc w:val="center"/>
        </w:trPr>
        <w:tc>
          <w:tcPr>
            <w:tcW w:w="4876" w:type="dxa"/>
            <w:tcBorders>
              <w:top w:val="nil"/>
              <w:left w:val="nil"/>
              <w:bottom w:val="nil"/>
              <w:right w:val="nil"/>
            </w:tcBorders>
          </w:tcPr>
          <w:p w14:paraId="6F4EFDBC"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4468F68E" w14:textId="77777777" w:rsidR="000B6ECF" w:rsidRPr="00E15500" w:rsidRDefault="000B6ECF" w:rsidP="00AC2424">
            <w:pPr>
              <w:pStyle w:val="AmColumnHeading"/>
            </w:pPr>
            <w:r w:rsidRPr="00E15500">
              <w:t>Emendamento</w:t>
            </w:r>
          </w:p>
        </w:tc>
      </w:tr>
      <w:tr w:rsidR="000B6ECF" w:rsidRPr="00E15500" w14:paraId="06E28936" w14:textId="77777777" w:rsidTr="00AC2424">
        <w:trPr>
          <w:jc w:val="center"/>
        </w:trPr>
        <w:tc>
          <w:tcPr>
            <w:tcW w:w="4876" w:type="dxa"/>
            <w:tcBorders>
              <w:top w:val="nil"/>
              <w:left w:val="nil"/>
              <w:bottom w:val="nil"/>
              <w:right w:val="nil"/>
            </w:tcBorders>
          </w:tcPr>
          <w:p w14:paraId="4422D945" w14:textId="77777777" w:rsidR="000B6ECF" w:rsidRPr="00E15500" w:rsidRDefault="000B6ECF" w:rsidP="00AC2424">
            <w:pPr>
              <w:pStyle w:val="Normal6a"/>
            </w:pPr>
            <w:r w:rsidRPr="00E15500">
              <w:t>27.</w:t>
            </w:r>
            <w:r w:rsidRPr="00E15500">
              <w:tab/>
              <w:t>rileva che, come richiesto nelle precedenti raccomandazioni sul discarico, il nuovo codice di condotta sui diritti e gli obblighi dei funzionari e degli altri agenti della CGUE, che riflette i valori e l'impegno etico della CGUE, è stato elaborato nel 2023 e adottato nel marzo 2024; osserva che il codice di condotta comprende disposizioni sul conflitto di interessi, sull'obbligo di lealtà, sull'obbligo di riservatezza e discrezione, sulle attività esterne, sulle attività professionali dopo la cessazione del servizio e sulle pubblicazioni e si applica anche agli esperti nazionali distaccati e ai giudici in formazione ospitati nell'ambito della rete europea di formazione giudiziaria; osserva che nel 2023 sono state organizzate attività di sensibilizzazione e formazione rinnovata sul codice di condotta per il personale e i dirigenti, con particolare attenzione ai nuovi assunti; chiede che il Parlamento sia tenuto informato sull'attuazione del codice di condotta;</w:t>
            </w:r>
          </w:p>
        </w:tc>
        <w:tc>
          <w:tcPr>
            <w:tcW w:w="4876" w:type="dxa"/>
            <w:tcBorders>
              <w:top w:val="nil"/>
              <w:left w:val="nil"/>
              <w:bottom w:val="nil"/>
              <w:right w:val="nil"/>
            </w:tcBorders>
          </w:tcPr>
          <w:p w14:paraId="07F61725" w14:textId="77777777" w:rsidR="000B6ECF" w:rsidRPr="00E15500" w:rsidRDefault="000B6ECF" w:rsidP="00AC2424">
            <w:pPr>
              <w:pStyle w:val="Normal6a"/>
            </w:pPr>
            <w:r w:rsidRPr="00E15500">
              <w:t>27.</w:t>
            </w:r>
            <w:r w:rsidRPr="00E15500">
              <w:tab/>
              <w:t xml:space="preserve">rileva che, come richiesto nelle precedenti raccomandazioni sul discarico, il nuovo codice di condotta sui diritti e gli obblighi dei funzionari e degli altri agenti della CGUE, che riflette i valori e l'impegno etico della CGUE, è stato elaborato nel 2023 e adottato nel marzo 2024; osserva che il codice di condotta comprende disposizioni sul conflitto di interessi, sull'obbligo di lealtà, sull'obbligo di riservatezza e discrezione, sulle attività esterne, sulle attività professionali dopo la cessazione del servizio e sulle pubblicazioni e si applica anche agli esperti nazionali distaccati e ai giudici in formazione ospitati nell'ambito della rete europea di formazione giudiziaria; osserva che nel 2023 sono state organizzate attività di sensibilizzazione e formazione rinnovata sul codice di condotta per il personale e i dirigenti, con particolare attenzione ai nuovi assunti; </w:t>
            </w:r>
            <w:r w:rsidRPr="00E15500">
              <w:rPr>
                <w:b/>
                <w:i/>
              </w:rPr>
              <w:t>sollecita attività di formazione obbligatorie e periodiche destinate a tutto il personale e chiede</w:t>
            </w:r>
            <w:r w:rsidRPr="00E15500">
              <w:t xml:space="preserve"> che il Parlamento sia tenuto informato sull'attuazione del codice di condotta;</w:t>
            </w:r>
          </w:p>
        </w:tc>
      </w:tr>
    </w:tbl>
    <w:p w14:paraId="3BB69AE2"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6760A7C4" w14:textId="77777777" w:rsidR="000B6ECF" w:rsidRPr="00E15500" w:rsidRDefault="000B6ECF" w:rsidP="000B6ECF">
      <w:r w:rsidRPr="00E15500">
        <w:rPr>
          <w:rStyle w:val="HideTWBExt"/>
        </w:rPr>
        <w:t>&lt;/Amend&gt;</w:t>
      </w:r>
    </w:p>
    <w:p w14:paraId="391777D3"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38</w:t>
      </w:r>
      <w:r w:rsidRPr="00E15500">
        <w:rPr>
          <w:rStyle w:val="HideTWBExt"/>
        </w:rPr>
        <w:t>&lt;/NumAm&gt;</w:t>
      </w:r>
    </w:p>
    <w:p w14:paraId="545CAC5F" w14:textId="77777777" w:rsidR="000B6ECF" w:rsidRPr="00E15500" w:rsidRDefault="000B6ECF" w:rsidP="000B6ECF">
      <w:pPr>
        <w:pStyle w:val="NormalBold"/>
      </w:pPr>
      <w:r w:rsidRPr="00E15500">
        <w:rPr>
          <w:rStyle w:val="HideTWBExt"/>
          <w:b w:val="0"/>
        </w:rPr>
        <w:t>&lt;RepeatBlock-By&gt;&lt;Members&gt;</w:t>
      </w:r>
      <w:r w:rsidRPr="00E15500">
        <w:t>Csaba Molnár, Claudiu Manda</w:t>
      </w:r>
      <w:r w:rsidRPr="00E15500">
        <w:rPr>
          <w:rStyle w:val="HideTWBExt"/>
          <w:b w:val="0"/>
        </w:rPr>
        <w:t>&lt;/Members&gt;</w:t>
      </w:r>
    </w:p>
    <w:p w14:paraId="024DA6BC" w14:textId="77777777" w:rsidR="000B6ECF" w:rsidRPr="00E15500" w:rsidRDefault="000B6ECF" w:rsidP="000B6ECF">
      <w:pPr>
        <w:pStyle w:val="NormalBold"/>
      </w:pPr>
      <w:r w:rsidRPr="00E15500">
        <w:rPr>
          <w:rStyle w:val="HideTWBExt"/>
          <w:b w:val="0"/>
        </w:rPr>
        <w:t>&lt;/RepeatBlock-By&gt;</w:t>
      </w:r>
    </w:p>
    <w:p w14:paraId="78023530"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07BF69CE" w14:textId="77777777" w:rsidR="000B6ECF" w:rsidRPr="00E15500" w:rsidRDefault="000B6ECF" w:rsidP="000B6ECF">
      <w:pPr>
        <w:pStyle w:val="NormalBold"/>
      </w:pPr>
      <w:r w:rsidRPr="00E15500">
        <w:rPr>
          <w:rStyle w:val="HideTWBExt"/>
        </w:rPr>
        <w:t>&lt;Article&gt;</w:t>
      </w:r>
      <w:r w:rsidRPr="00E15500">
        <w:t>Paragrafo 27</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2E224CD7" w14:textId="77777777" w:rsidTr="00AC2424">
        <w:trPr>
          <w:trHeight w:hRule="exact" w:val="240"/>
          <w:jc w:val="center"/>
        </w:trPr>
        <w:tc>
          <w:tcPr>
            <w:tcW w:w="9752" w:type="dxa"/>
            <w:gridSpan w:val="2"/>
            <w:tcBorders>
              <w:top w:val="nil"/>
              <w:left w:val="nil"/>
              <w:bottom w:val="nil"/>
              <w:right w:val="nil"/>
            </w:tcBorders>
          </w:tcPr>
          <w:p w14:paraId="554AB583" w14:textId="77777777" w:rsidR="000B6ECF" w:rsidRPr="00E15500" w:rsidRDefault="000B6ECF" w:rsidP="00AC2424"/>
        </w:tc>
      </w:tr>
      <w:tr w:rsidR="000B6ECF" w:rsidRPr="00E15500" w14:paraId="4500F628" w14:textId="77777777" w:rsidTr="00AC2424">
        <w:trPr>
          <w:trHeight w:val="240"/>
          <w:jc w:val="center"/>
        </w:trPr>
        <w:tc>
          <w:tcPr>
            <w:tcW w:w="4876" w:type="dxa"/>
            <w:tcBorders>
              <w:top w:val="nil"/>
              <w:left w:val="nil"/>
              <w:bottom w:val="nil"/>
              <w:right w:val="nil"/>
            </w:tcBorders>
          </w:tcPr>
          <w:p w14:paraId="74EA9D4F"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67A1CB4B" w14:textId="77777777" w:rsidR="000B6ECF" w:rsidRPr="00E15500" w:rsidRDefault="000B6ECF" w:rsidP="00AC2424">
            <w:pPr>
              <w:pStyle w:val="AmColumnHeading"/>
            </w:pPr>
            <w:r w:rsidRPr="00E15500">
              <w:t>Emendamento</w:t>
            </w:r>
          </w:p>
        </w:tc>
      </w:tr>
      <w:tr w:rsidR="000B6ECF" w:rsidRPr="00E15500" w14:paraId="562AB0D0" w14:textId="77777777" w:rsidTr="00AC2424">
        <w:trPr>
          <w:jc w:val="center"/>
        </w:trPr>
        <w:tc>
          <w:tcPr>
            <w:tcW w:w="4876" w:type="dxa"/>
            <w:tcBorders>
              <w:top w:val="nil"/>
              <w:left w:val="nil"/>
              <w:bottom w:val="nil"/>
              <w:right w:val="nil"/>
            </w:tcBorders>
          </w:tcPr>
          <w:p w14:paraId="50F02450" w14:textId="77777777" w:rsidR="000B6ECF" w:rsidRPr="00E15500" w:rsidRDefault="000B6ECF" w:rsidP="00AC2424">
            <w:pPr>
              <w:pStyle w:val="Normal6a"/>
            </w:pPr>
            <w:r w:rsidRPr="00E15500">
              <w:t>27.</w:t>
            </w:r>
            <w:r w:rsidRPr="00E15500">
              <w:tab/>
            </w:r>
            <w:r w:rsidRPr="00E15500">
              <w:rPr>
                <w:b/>
                <w:i/>
              </w:rPr>
              <w:t>rileva</w:t>
            </w:r>
            <w:r w:rsidRPr="00E15500">
              <w:t xml:space="preserve"> che, come richiesto nelle precedenti raccomandazioni sul discarico, il nuovo codice di condotta sui diritti e gli obblighi dei funzionari e degli altri agenti della CGUE, che riflette i valori e l'impegno etico della CGUE, </w:t>
            </w:r>
            <w:r w:rsidRPr="00E15500">
              <w:rPr>
                <w:b/>
                <w:i/>
              </w:rPr>
              <w:t>è</w:t>
            </w:r>
            <w:r w:rsidRPr="00E15500">
              <w:t xml:space="preserve"> stato elaborato nel 2023 e adottato nel marzo 2024; osserva che il codice di condotta comprende disposizioni sul conflitto di interessi, sull'obbligo di lealtà, sull'obbligo di riservatezza e discrezione, sulle attività esterne, sulle attività professionali dopo la cessazione del servizio e sulle pubblicazioni e si applica anche agli esperti nazionali distaccati e ai giudici in formazione ospitati nell'ambito della rete europea di formazione giudiziaria; osserva che nel 2023 sono state organizzate attività di sensibilizzazione e formazione rinnovata sul codice di condotta per il personale e i dirigenti, con particolare attenzione ai nuovi assunti; chiede che il Parlamento sia tenuto informato sull'attuazione del codice di condotta;</w:t>
            </w:r>
          </w:p>
        </w:tc>
        <w:tc>
          <w:tcPr>
            <w:tcW w:w="4876" w:type="dxa"/>
            <w:tcBorders>
              <w:top w:val="nil"/>
              <w:left w:val="nil"/>
              <w:bottom w:val="nil"/>
              <w:right w:val="nil"/>
            </w:tcBorders>
          </w:tcPr>
          <w:p w14:paraId="27ADEB5A" w14:textId="77777777" w:rsidR="000B6ECF" w:rsidRPr="00E15500" w:rsidRDefault="000B6ECF" w:rsidP="00AC2424">
            <w:pPr>
              <w:pStyle w:val="Normal6a"/>
            </w:pPr>
            <w:r w:rsidRPr="00E15500">
              <w:t>27.</w:t>
            </w:r>
            <w:r w:rsidRPr="00E15500">
              <w:tab/>
            </w:r>
            <w:r w:rsidRPr="00E15500">
              <w:rPr>
                <w:b/>
                <w:i/>
              </w:rPr>
              <w:t>accoglie con favore il fatto</w:t>
            </w:r>
            <w:r w:rsidRPr="00E15500">
              <w:t xml:space="preserve"> che, come richiesto nelle precedenti raccomandazioni sul discarico, il nuovo codice di condotta sui diritti e gli obblighi dei funzionari e degli altri agenti della CGUE, che riflette i valori e l'impegno etico della CGUE, </w:t>
            </w:r>
            <w:r w:rsidRPr="00E15500">
              <w:rPr>
                <w:b/>
                <w:i/>
              </w:rPr>
              <w:t>sia</w:t>
            </w:r>
            <w:r w:rsidRPr="00E15500">
              <w:t xml:space="preserve"> stato elaborato nel 2023 e adottato nel marzo 2024; osserva che il codice di condotta comprende disposizioni sul conflitto di interessi, sull'obbligo di lealtà, sull'obbligo di riservatezza e discrezione, sulle attività esterne, sulle attività professionali dopo la cessazione del servizio e sulle pubblicazioni e si applica anche agli esperti nazionali distaccati e ai giudici in formazione ospitati nell'ambito della rete europea di formazione giudiziaria; osserva che nel 2023 sono state organizzate attività di sensibilizzazione e formazione rinnovata sul codice di condotta per il personale e i dirigenti, con particolare attenzione ai nuovi assunti; chiede che il Parlamento sia tenuto informato sull'attuazione del codice di condotta;</w:t>
            </w:r>
          </w:p>
        </w:tc>
      </w:tr>
    </w:tbl>
    <w:p w14:paraId="3ECE0297"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00462B55" w14:textId="77777777" w:rsidR="000B6ECF" w:rsidRPr="00E15500" w:rsidRDefault="000B6ECF" w:rsidP="000B6ECF">
      <w:r w:rsidRPr="00E15500">
        <w:rPr>
          <w:rStyle w:val="HideTWBExt"/>
        </w:rPr>
        <w:t>&lt;/Amend&gt;</w:t>
      </w:r>
    </w:p>
    <w:p w14:paraId="7983AE4E"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39</w:t>
      </w:r>
      <w:r w:rsidRPr="00E15500">
        <w:rPr>
          <w:rStyle w:val="HideTWBExt"/>
        </w:rPr>
        <w:t>&lt;/NumAm&gt;</w:t>
      </w:r>
    </w:p>
    <w:p w14:paraId="4BC2D71A" w14:textId="77777777" w:rsidR="000B6ECF" w:rsidRPr="00E15500" w:rsidRDefault="000B6ECF" w:rsidP="000B6ECF">
      <w:pPr>
        <w:pStyle w:val="NormalBold"/>
      </w:pPr>
      <w:r w:rsidRPr="00E15500">
        <w:rPr>
          <w:rStyle w:val="HideTWBExt"/>
          <w:b w:val="0"/>
        </w:rPr>
        <w:t>&lt;RepeatBlock-By&gt;&lt;Members&gt;</w:t>
      </w:r>
      <w:r w:rsidRPr="00E15500">
        <w:t>Damian Boeselager</w:t>
      </w:r>
      <w:r w:rsidRPr="00E15500">
        <w:rPr>
          <w:rStyle w:val="HideTWBExt"/>
          <w:b w:val="0"/>
        </w:rPr>
        <w:t>&lt;/Members&gt;</w:t>
      </w:r>
    </w:p>
    <w:p w14:paraId="0CC2E886" w14:textId="77777777" w:rsidR="000B6ECF" w:rsidRPr="00E15500" w:rsidRDefault="000B6ECF" w:rsidP="000B6ECF">
      <w:r w:rsidRPr="00E15500">
        <w:rPr>
          <w:rStyle w:val="HideTWBExt"/>
        </w:rPr>
        <w:t>&lt;AuNomDe&gt;</w:t>
      </w:r>
      <w:r w:rsidRPr="00E15500">
        <w:rPr>
          <w:rStyle w:val="HideTWBInt"/>
        </w:rPr>
        <w:t>{Greens/EFA}</w:t>
      </w:r>
      <w:r w:rsidRPr="00E15500">
        <w:t>a nome del gruppo Verts/ALE</w:t>
      </w:r>
      <w:r w:rsidRPr="00E15500">
        <w:rPr>
          <w:rStyle w:val="HideTWBExt"/>
        </w:rPr>
        <w:t>&lt;/AuNomDe&gt;</w:t>
      </w:r>
    </w:p>
    <w:p w14:paraId="2C5F1B9F" w14:textId="77777777" w:rsidR="000B6ECF" w:rsidRPr="00E15500" w:rsidRDefault="000B6ECF" w:rsidP="000B6ECF">
      <w:pPr>
        <w:pStyle w:val="NormalBold"/>
      </w:pPr>
      <w:r w:rsidRPr="00E15500">
        <w:rPr>
          <w:rStyle w:val="HideTWBExt"/>
          <w:b w:val="0"/>
        </w:rPr>
        <w:t>&lt;/RepeatBlock-By&gt;</w:t>
      </w:r>
    </w:p>
    <w:p w14:paraId="57B36C6A"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19530D8E" w14:textId="77777777" w:rsidR="000B6ECF" w:rsidRPr="00E15500" w:rsidRDefault="000B6ECF" w:rsidP="000B6ECF">
      <w:pPr>
        <w:pStyle w:val="NormalBold"/>
      </w:pPr>
      <w:r w:rsidRPr="00E15500">
        <w:rPr>
          <w:rStyle w:val="HideTWBExt"/>
        </w:rPr>
        <w:t>&lt;Article&gt;</w:t>
      </w:r>
      <w:r w:rsidRPr="00E15500">
        <w:t>Paragrafo 29</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68914ECF" w14:textId="77777777" w:rsidTr="00AC2424">
        <w:trPr>
          <w:trHeight w:hRule="exact" w:val="240"/>
          <w:jc w:val="center"/>
        </w:trPr>
        <w:tc>
          <w:tcPr>
            <w:tcW w:w="9752" w:type="dxa"/>
            <w:gridSpan w:val="2"/>
            <w:tcBorders>
              <w:top w:val="nil"/>
              <w:left w:val="nil"/>
              <w:bottom w:val="nil"/>
              <w:right w:val="nil"/>
            </w:tcBorders>
          </w:tcPr>
          <w:p w14:paraId="223BBB68" w14:textId="77777777" w:rsidR="000B6ECF" w:rsidRPr="00E15500" w:rsidRDefault="000B6ECF" w:rsidP="00AC2424"/>
        </w:tc>
      </w:tr>
      <w:tr w:rsidR="000B6ECF" w:rsidRPr="00E15500" w14:paraId="2C1731EC" w14:textId="77777777" w:rsidTr="00AC2424">
        <w:trPr>
          <w:trHeight w:val="240"/>
          <w:jc w:val="center"/>
        </w:trPr>
        <w:tc>
          <w:tcPr>
            <w:tcW w:w="4876" w:type="dxa"/>
            <w:tcBorders>
              <w:top w:val="nil"/>
              <w:left w:val="nil"/>
              <w:bottom w:val="nil"/>
              <w:right w:val="nil"/>
            </w:tcBorders>
          </w:tcPr>
          <w:p w14:paraId="298946B9"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126AF3C9" w14:textId="77777777" w:rsidR="000B6ECF" w:rsidRPr="00E15500" w:rsidRDefault="000B6ECF" w:rsidP="00AC2424">
            <w:pPr>
              <w:pStyle w:val="AmColumnHeading"/>
            </w:pPr>
            <w:r w:rsidRPr="00E15500">
              <w:t>Emendamento</w:t>
            </w:r>
          </w:p>
        </w:tc>
      </w:tr>
      <w:tr w:rsidR="000B6ECF" w:rsidRPr="00E15500" w14:paraId="6967152E" w14:textId="77777777" w:rsidTr="00AC2424">
        <w:trPr>
          <w:jc w:val="center"/>
        </w:trPr>
        <w:tc>
          <w:tcPr>
            <w:tcW w:w="4876" w:type="dxa"/>
            <w:tcBorders>
              <w:top w:val="nil"/>
              <w:left w:val="nil"/>
              <w:bottom w:val="nil"/>
              <w:right w:val="nil"/>
            </w:tcBorders>
          </w:tcPr>
          <w:p w14:paraId="10E304A7" w14:textId="77777777" w:rsidR="000B6ECF" w:rsidRPr="00E15500" w:rsidRDefault="000B6ECF" w:rsidP="00AC2424">
            <w:pPr>
              <w:pStyle w:val="Normal6a"/>
            </w:pPr>
            <w:r w:rsidRPr="00E15500">
              <w:t>29.</w:t>
            </w:r>
            <w:r w:rsidRPr="00E15500">
              <w:tab/>
              <w:t>rileva che, a seguito dell'adozione del codice di condotta per i membri e gli ex membri della CGUE, la dichiarazione sugli interessi dei membri è stata pubblicata online per evitare qualsiasi potenziale conflitto di interessi nella gestione dei casi; osserva che la CGUE valuta costantemente le proprie norme interne in materia, al fine di aggiornarle e di garantire i principi di comportamento più etici possibili; chiede alla CGUE di informare il Parlamento sui risultati di ogni ulteriore valutazione dell'efficacia di tale misura volta a prevenire i conflitti di interesse;</w:t>
            </w:r>
          </w:p>
        </w:tc>
        <w:tc>
          <w:tcPr>
            <w:tcW w:w="4876" w:type="dxa"/>
            <w:tcBorders>
              <w:top w:val="nil"/>
              <w:left w:val="nil"/>
              <w:bottom w:val="nil"/>
              <w:right w:val="nil"/>
            </w:tcBorders>
          </w:tcPr>
          <w:p w14:paraId="70362CF1" w14:textId="77777777" w:rsidR="000B6ECF" w:rsidRPr="00E15500" w:rsidRDefault="000B6ECF" w:rsidP="00AC2424">
            <w:pPr>
              <w:pStyle w:val="Normal6a"/>
            </w:pPr>
            <w:r w:rsidRPr="00E15500">
              <w:t>29.</w:t>
            </w:r>
            <w:r w:rsidRPr="00E15500">
              <w:tab/>
              <w:t xml:space="preserve">rileva che, a seguito dell'adozione del codice di condotta per i membri e gli ex membri della CGUE, la dichiarazione sugli interessi dei membri è stata pubblicata online per evitare qualsiasi potenziale conflitto di interessi nella gestione dei casi; osserva che la CGUE valuta costantemente le proprie norme interne in materia, al fine di aggiornarle e di garantire i principi di comportamento più etici possibili; </w:t>
            </w:r>
            <w:r w:rsidRPr="00E15500">
              <w:rPr>
                <w:b/>
                <w:i/>
              </w:rPr>
              <w:t>invita la CGUE a istituire un comitato etico indipendente incaricato di vigilare sul rispetto del codice di condotta e di indagare su potenziali violazioni dello stesso; chiede l'introduzione di attività di formazione obbligatorie con cadenza annuale in materia di etica per tutto il personale della CGUE, compresi i giudici e gli avvocati generali, al fine di preservare l'integrità della Corte;</w:t>
            </w:r>
            <w:r w:rsidRPr="00E15500">
              <w:t xml:space="preserve"> chiede alla CGUE di informare il Parlamento sui risultati di ogni ulteriore valutazione dell'efficacia di tale misura volta a prevenire i conflitti di interesse;</w:t>
            </w:r>
          </w:p>
        </w:tc>
      </w:tr>
    </w:tbl>
    <w:p w14:paraId="32A47AD3"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6B08C6D1" w14:textId="77777777" w:rsidR="000B6ECF" w:rsidRPr="00E15500" w:rsidRDefault="000B6ECF" w:rsidP="000B6ECF">
      <w:r w:rsidRPr="00E15500">
        <w:rPr>
          <w:rStyle w:val="HideTWBExt"/>
        </w:rPr>
        <w:t>&lt;/Amend&gt;</w:t>
      </w:r>
    </w:p>
    <w:p w14:paraId="44595EBD"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40</w:t>
      </w:r>
      <w:r w:rsidRPr="00E15500">
        <w:rPr>
          <w:rStyle w:val="HideTWBExt"/>
        </w:rPr>
        <w:t>&lt;/NumAm&gt;</w:t>
      </w:r>
    </w:p>
    <w:p w14:paraId="33944F0E" w14:textId="77777777" w:rsidR="000B6ECF" w:rsidRPr="00E15500" w:rsidRDefault="000B6ECF" w:rsidP="000B6ECF">
      <w:pPr>
        <w:pStyle w:val="NormalBold"/>
      </w:pPr>
      <w:r w:rsidRPr="00E15500">
        <w:rPr>
          <w:rStyle w:val="HideTWBExt"/>
          <w:b w:val="0"/>
        </w:rPr>
        <w:t>&lt;RepeatBlock-By&gt;&lt;Members&gt;</w:t>
      </w:r>
      <w:r w:rsidRPr="00E15500">
        <w:t>Damian Boeselager</w:t>
      </w:r>
      <w:r w:rsidRPr="00E15500">
        <w:rPr>
          <w:rStyle w:val="HideTWBExt"/>
          <w:b w:val="0"/>
        </w:rPr>
        <w:t>&lt;/Members&gt;</w:t>
      </w:r>
    </w:p>
    <w:p w14:paraId="5BA9901F" w14:textId="77777777" w:rsidR="000B6ECF" w:rsidRPr="00E15500" w:rsidRDefault="000B6ECF" w:rsidP="000B6ECF">
      <w:r w:rsidRPr="00E15500">
        <w:rPr>
          <w:rStyle w:val="HideTWBExt"/>
        </w:rPr>
        <w:t>&lt;AuNomDe&gt;</w:t>
      </w:r>
      <w:r w:rsidRPr="00E15500">
        <w:rPr>
          <w:rStyle w:val="HideTWBInt"/>
        </w:rPr>
        <w:t>{Greens/EFA}</w:t>
      </w:r>
      <w:r w:rsidRPr="00E15500">
        <w:t>a nome del gruppo Verts/ALE</w:t>
      </w:r>
      <w:r w:rsidRPr="00E15500">
        <w:rPr>
          <w:rStyle w:val="HideTWBExt"/>
        </w:rPr>
        <w:t>&lt;/AuNomDe&gt;</w:t>
      </w:r>
    </w:p>
    <w:p w14:paraId="130ACC68" w14:textId="77777777" w:rsidR="000B6ECF" w:rsidRPr="00E15500" w:rsidRDefault="000B6ECF" w:rsidP="000B6ECF">
      <w:pPr>
        <w:pStyle w:val="NormalBold"/>
      </w:pPr>
      <w:r w:rsidRPr="00E15500">
        <w:rPr>
          <w:rStyle w:val="HideTWBExt"/>
          <w:b w:val="0"/>
        </w:rPr>
        <w:t>&lt;/RepeatBlock-By&gt;</w:t>
      </w:r>
    </w:p>
    <w:p w14:paraId="20506EC6"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48B67639" w14:textId="77777777" w:rsidR="000B6ECF" w:rsidRPr="00E15500" w:rsidRDefault="000B6ECF" w:rsidP="000B6ECF">
      <w:pPr>
        <w:pStyle w:val="NormalBold"/>
      </w:pPr>
      <w:r w:rsidRPr="00E15500">
        <w:rPr>
          <w:rStyle w:val="HideTWBExt"/>
        </w:rPr>
        <w:t>&lt;Article&gt;</w:t>
      </w:r>
      <w:r w:rsidRPr="00E15500">
        <w:t>Paragrafo 29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771C8FA3" w14:textId="77777777" w:rsidTr="00AC2424">
        <w:trPr>
          <w:trHeight w:hRule="exact" w:val="240"/>
          <w:jc w:val="center"/>
        </w:trPr>
        <w:tc>
          <w:tcPr>
            <w:tcW w:w="9752" w:type="dxa"/>
            <w:gridSpan w:val="2"/>
            <w:tcBorders>
              <w:top w:val="nil"/>
              <w:left w:val="nil"/>
              <w:bottom w:val="nil"/>
              <w:right w:val="nil"/>
            </w:tcBorders>
          </w:tcPr>
          <w:p w14:paraId="1AE24FD0" w14:textId="77777777" w:rsidR="000B6ECF" w:rsidRPr="00E15500" w:rsidRDefault="000B6ECF" w:rsidP="00AC2424"/>
        </w:tc>
      </w:tr>
      <w:tr w:rsidR="000B6ECF" w:rsidRPr="00E15500" w14:paraId="688D9F0C" w14:textId="77777777" w:rsidTr="00AC2424">
        <w:trPr>
          <w:trHeight w:val="240"/>
          <w:jc w:val="center"/>
        </w:trPr>
        <w:tc>
          <w:tcPr>
            <w:tcW w:w="4876" w:type="dxa"/>
            <w:tcBorders>
              <w:top w:val="nil"/>
              <w:left w:val="nil"/>
              <w:bottom w:val="nil"/>
              <w:right w:val="nil"/>
            </w:tcBorders>
          </w:tcPr>
          <w:p w14:paraId="1DBF5F72"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51BD5C60" w14:textId="77777777" w:rsidR="000B6ECF" w:rsidRPr="00E15500" w:rsidRDefault="000B6ECF" w:rsidP="00AC2424">
            <w:pPr>
              <w:pStyle w:val="AmColumnHeading"/>
            </w:pPr>
            <w:r w:rsidRPr="00E15500">
              <w:t>Emendamento</w:t>
            </w:r>
          </w:p>
        </w:tc>
      </w:tr>
      <w:tr w:rsidR="000B6ECF" w:rsidRPr="00E15500" w14:paraId="06211505" w14:textId="77777777" w:rsidTr="00AC2424">
        <w:trPr>
          <w:jc w:val="center"/>
        </w:trPr>
        <w:tc>
          <w:tcPr>
            <w:tcW w:w="4876" w:type="dxa"/>
            <w:tcBorders>
              <w:top w:val="nil"/>
              <w:left w:val="nil"/>
              <w:bottom w:val="nil"/>
              <w:right w:val="nil"/>
            </w:tcBorders>
          </w:tcPr>
          <w:p w14:paraId="1C1B76D6" w14:textId="77777777" w:rsidR="000B6ECF" w:rsidRPr="00E15500" w:rsidRDefault="000B6ECF" w:rsidP="00AC2424">
            <w:pPr>
              <w:pStyle w:val="Normal6a"/>
            </w:pPr>
          </w:p>
        </w:tc>
        <w:tc>
          <w:tcPr>
            <w:tcW w:w="4876" w:type="dxa"/>
            <w:tcBorders>
              <w:top w:val="nil"/>
              <w:left w:val="nil"/>
              <w:bottom w:val="nil"/>
              <w:right w:val="nil"/>
            </w:tcBorders>
          </w:tcPr>
          <w:p w14:paraId="64AAC3A9" w14:textId="77777777" w:rsidR="000B6ECF" w:rsidRPr="00E15500" w:rsidRDefault="000B6ECF" w:rsidP="00AC2424">
            <w:pPr>
              <w:pStyle w:val="Normal6a"/>
            </w:pPr>
            <w:r w:rsidRPr="00E15500">
              <w:rPr>
                <w:b/>
                <w:i/>
              </w:rPr>
              <w:t>29 bis.</w:t>
            </w:r>
            <w:r w:rsidRPr="00E15500">
              <w:tab/>
            </w:r>
            <w:r w:rsidRPr="00E15500">
              <w:rPr>
                <w:b/>
                <w:i/>
              </w:rPr>
              <w:t>accoglie con favore la pubblicazione delle dichiarazioni di interessi dei membri della CGUE, ma chiede l'introduzione di una procedura standard di esame antecedente alla nomina, in modo da individuare e attenuare potenziali conflitti di interesse in fase iniziale; esorta il Consiglio a definire orientamenti trasparenti per gli Stati membri al momento della nomina dei candidati alle cariche giudiziarie presso la CGUE;</w:t>
            </w:r>
          </w:p>
        </w:tc>
      </w:tr>
    </w:tbl>
    <w:p w14:paraId="3E302680"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5841D37E" w14:textId="77777777" w:rsidR="000B6ECF" w:rsidRPr="00E15500" w:rsidRDefault="000B6ECF" w:rsidP="000B6ECF">
      <w:r w:rsidRPr="00E15500">
        <w:rPr>
          <w:rStyle w:val="HideTWBExt"/>
        </w:rPr>
        <w:t>&lt;/Amend&gt;</w:t>
      </w:r>
    </w:p>
    <w:p w14:paraId="0219B4E8"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41</w:t>
      </w:r>
      <w:r w:rsidRPr="00E15500">
        <w:rPr>
          <w:rStyle w:val="HideTWBExt"/>
        </w:rPr>
        <w:t>&lt;/NumAm&gt;</w:t>
      </w:r>
    </w:p>
    <w:p w14:paraId="2F3DD6D0" w14:textId="77777777" w:rsidR="000B6ECF" w:rsidRPr="00E15500" w:rsidRDefault="000B6ECF" w:rsidP="000B6ECF">
      <w:pPr>
        <w:pStyle w:val="NormalBold"/>
      </w:pPr>
      <w:r w:rsidRPr="00E15500">
        <w:rPr>
          <w:rStyle w:val="HideTWBExt"/>
          <w:b w:val="0"/>
        </w:rPr>
        <w:t>&lt;RepeatBlock-By&gt;&lt;Members&gt;</w:t>
      </w:r>
      <w:r w:rsidRPr="00E15500">
        <w:t>Damian Boeselager</w:t>
      </w:r>
      <w:r w:rsidRPr="00E15500">
        <w:rPr>
          <w:rStyle w:val="HideTWBExt"/>
          <w:b w:val="0"/>
        </w:rPr>
        <w:t>&lt;/Members&gt;</w:t>
      </w:r>
    </w:p>
    <w:p w14:paraId="7266BBAF" w14:textId="77777777" w:rsidR="000B6ECF" w:rsidRPr="00E15500" w:rsidRDefault="000B6ECF" w:rsidP="000B6ECF">
      <w:r w:rsidRPr="00E15500">
        <w:rPr>
          <w:rStyle w:val="HideTWBExt"/>
        </w:rPr>
        <w:t>&lt;AuNomDe&gt;</w:t>
      </w:r>
      <w:r w:rsidRPr="00E15500">
        <w:rPr>
          <w:rStyle w:val="HideTWBInt"/>
        </w:rPr>
        <w:t>{Greens/EFA}</w:t>
      </w:r>
      <w:r w:rsidRPr="00E15500">
        <w:t>a nome del gruppo Verts/ALE</w:t>
      </w:r>
      <w:r w:rsidRPr="00E15500">
        <w:rPr>
          <w:rStyle w:val="HideTWBExt"/>
        </w:rPr>
        <w:t>&lt;/AuNomDe&gt;</w:t>
      </w:r>
    </w:p>
    <w:p w14:paraId="6A3B1C69" w14:textId="77777777" w:rsidR="000B6ECF" w:rsidRPr="00E15500" w:rsidRDefault="000B6ECF" w:rsidP="000B6ECF">
      <w:pPr>
        <w:pStyle w:val="NormalBold"/>
      </w:pPr>
      <w:r w:rsidRPr="00E15500">
        <w:rPr>
          <w:rStyle w:val="HideTWBExt"/>
          <w:b w:val="0"/>
        </w:rPr>
        <w:t>&lt;/RepeatBlock-By&gt;</w:t>
      </w:r>
    </w:p>
    <w:p w14:paraId="78BDE173"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277EFBE7" w14:textId="77777777" w:rsidR="000B6ECF" w:rsidRPr="00E15500" w:rsidRDefault="000B6ECF" w:rsidP="000B6ECF">
      <w:pPr>
        <w:pStyle w:val="NormalBold"/>
      </w:pPr>
      <w:r w:rsidRPr="00E15500">
        <w:rPr>
          <w:rStyle w:val="HideTWBExt"/>
        </w:rPr>
        <w:t>&lt;Article&gt;</w:t>
      </w:r>
      <w:r w:rsidRPr="00E15500">
        <w:t>Paragrafo 29 ter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0D5C3A6E" w14:textId="77777777" w:rsidTr="00AC2424">
        <w:trPr>
          <w:trHeight w:hRule="exact" w:val="240"/>
          <w:jc w:val="center"/>
        </w:trPr>
        <w:tc>
          <w:tcPr>
            <w:tcW w:w="9752" w:type="dxa"/>
            <w:gridSpan w:val="2"/>
            <w:tcBorders>
              <w:top w:val="nil"/>
              <w:left w:val="nil"/>
              <w:bottom w:val="nil"/>
              <w:right w:val="nil"/>
            </w:tcBorders>
          </w:tcPr>
          <w:p w14:paraId="4D92A1F6" w14:textId="77777777" w:rsidR="000B6ECF" w:rsidRPr="00E15500" w:rsidRDefault="000B6ECF" w:rsidP="00AC2424"/>
        </w:tc>
      </w:tr>
      <w:tr w:rsidR="000B6ECF" w:rsidRPr="00E15500" w14:paraId="3730A977" w14:textId="77777777" w:rsidTr="00AC2424">
        <w:trPr>
          <w:trHeight w:val="240"/>
          <w:jc w:val="center"/>
        </w:trPr>
        <w:tc>
          <w:tcPr>
            <w:tcW w:w="4876" w:type="dxa"/>
            <w:tcBorders>
              <w:top w:val="nil"/>
              <w:left w:val="nil"/>
              <w:bottom w:val="nil"/>
              <w:right w:val="nil"/>
            </w:tcBorders>
          </w:tcPr>
          <w:p w14:paraId="263A3C32"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2324006A" w14:textId="77777777" w:rsidR="000B6ECF" w:rsidRPr="00E15500" w:rsidRDefault="000B6ECF" w:rsidP="00AC2424">
            <w:pPr>
              <w:pStyle w:val="AmColumnHeading"/>
            </w:pPr>
            <w:r w:rsidRPr="00E15500">
              <w:t>Emendamento</w:t>
            </w:r>
          </w:p>
        </w:tc>
      </w:tr>
      <w:tr w:rsidR="000B6ECF" w:rsidRPr="00E15500" w14:paraId="27827E3E" w14:textId="77777777" w:rsidTr="00AC2424">
        <w:trPr>
          <w:jc w:val="center"/>
        </w:trPr>
        <w:tc>
          <w:tcPr>
            <w:tcW w:w="4876" w:type="dxa"/>
            <w:tcBorders>
              <w:top w:val="nil"/>
              <w:left w:val="nil"/>
              <w:bottom w:val="nil"/>
              <w:right w:val="nil"/>
            </w:tcBorders>
          </w:tcPr>
          <w:p w14:paraId="60E21498" w14:textId="77777777" w:rsidR="000B6ECF" w:rsidRPr="00E15500" w:rsidRDefault="000B6ECF" w:rsidP="00AC2424">
            <w:pPr>
              <w:pStyle w:val="Normal6a"/>
            </w:pPr>
          </w:p>
        </w:tc>
        <w:tc>
          <w:tcPr>
            <w:tcW w:w="4876" w:type="dxa"/>
            <w:tcBorders>
              <w:top w:val="nil"/>
              <w:left w:val="nil"/>
              <w:bottom w:val="nil"/>
              <w:right w:val="nil"/>
            </w:tcBorders>
          </w:tcPr>
          <w:p w14:paraId="5C3CE74E" w14:textId="77777777" w:rsidR="000B6ECF" w:rsidRPr="00E15500" w:rsidRDefault="000B6ECF" w:rsidP="00AC2424">
            <w:pPr>
              <w:pStyle w:val="Normal6a"/>
            </w:pPr>
            <w:r w:rsidRPr="00E15500">
              <w:rPr>
                <w:b/>
                <w:i/>
              </w:rPr>
              <w:t>29 ter.</w:t>
            </w:r>
            <w:r w:rsidRPr="00E15500">
              <w:tab/>
            </w:r>
            <w:r w:rsidRPr="00E15500">
              <w:rPr>
                <w:b/>
                <w:i/>
              </w:rPr>
              <w:t>esorta la CGUE a introdurre una politica di ricusazione obbligatoria per i giudici qualora abbiano precedenti affiliazioni professionali con le parti che compaiono dinanzi alla Corte; chiede un esame più rigoroso in materia di conflitti di interesse per i giudici e il personale di alto livello, che comprenda aggiornamenti periodici degli obblighi di informazione finanziaria; chiede la pubblicazione delle decisioni di ricusazione in tempo reale nei casi in cui i giudici dichiarino un conflitto di interessi, garantendo una maggiore trasparenza nel processo giudiziario e rafforzando la fiducia dei cittadini nell'imparzialità e nell'integrità della CGUE;</w:t>
            </w:r>
          </w:p>
        </w:tc>
      </w:tr>
    </w:tbl>
    <w:p w14:paraId="5431E15F"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189FD2FB" w14:textId="77777777" w:rsidR="000B6ECF" w:rsidRPr="00E15500" w:rsidRDefault="000B6ECF" w:rsidP="000B6ECF">
      <w:r w:rsidRPr="00E15500">
        <w:rPr>
          <w:rStyle w:val="HideTWBExt"/>
        </w:rPr>
        <w:t>&lt;/Amend&gt;</w:t>
      </w:r>
    </w:p>
    <w:p w14:paraId="09F1D719"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42</w:t>
      </w:r>
      <w:r w:rsidRPr="00E15500">
        <w:rPr>
          <w:rStyle w:val="HideTWBExt"/>
        </w:rPr>
        <w:t>&lt;/NumAm&gt;</w:t>
      </w:r>
    </w:p>
    <w:p w14:paraId="1DD58698" w14:textId="77777777" w:rsidR="000B6ECF" w:rsidRPr="00E15500" w:rsidRDefault="000B6ECF" w:rsidP="000B6ECF">
      <w:pPr>
        <w:pStyle w:val="NormalBold"/>
      </w:pPr>
      <w:r w:rsidRPr="00E15500">
        <w:rPr>
          <w:rStyle w:val="HideTWBExt"/>
          <w:b w:val="0"/>
        </w:rPr>
        <w:t>&lt;RepeatBlock-By&gt;&lt;Members&gt;</w:t>
      </w:r>
      <w:r w:rsidRPr="00E15500">
        <w:t>Damian Boeselager</w:t>
      </w:r>
      <w:r w:rsidRPr="00E15500">
        <w:rPr>
          <w:rStyle w:val="HideTWBExt"/>
          <w:b w:val="0"/>
        </w:rPr>
        <w:t>&lt;/Members&gt;</w:t>
      </w:r>
    </w:p>
    <w:p w14:paraId="239924A7" w14:textId="77777777" w:rsidR="000B6ECF" w:rsidRPr="00E15500" w:rsidRDefault="000B6ECF" w:rsidP="000B6ECF">
      <w:r w:rsidRPr="00E15500">
        <w:rPr>
          <w:rStyle w:val="HideTWBExt"/>
        </w:rPr>
        <w:t>&lt;AuNomDe&gt;</w:t>
      </w:r>
      <w:r w:rsidRPr="00E15500">
        <w:rPr>
          <w:rStyle w:val="HideTWBInt"/>
        </w:rPr>
        <w:t>{Greens/EFA}</w:t>
      </w:r>
      <w:r w:rsidRPr="00E15500">
        <w:t>a nome del gruppo Verts/ALE</w:t>
      </w:r>
      <w:r w:rsidRPr="00E15500">
        <w:rPr>
          <w:rStyle w:val="HideTWBExt"/>
        </w:rPr>
        <w:t>&lt;/AuNomDe&gt;</w:t>
      </w:r>
    </w:p>
    <w:p w14:paraId="451FCD52" w14:textId="77777777" w:rsidR="000B6ECF" w:rsidRPr="00E15500" w:rsidRDefault="000B6ECF" w:rsidP="000B6ECF">
      <w:pPr>
        <w:pStyle w:val="NormalBold"/>
      </w:pPr>
      <w:r w:rsidRPr="00E15500">
        <w:rPr>
          <w:rStyle w:val="HideTWBExt"/>
          <w:b w:val="0"/>
        </w:rPr>
        <w:t>&lt;/RepeatBlock-By&gt;</w:t>
      </w:r>
    </w:p>
    <w:p w14:paraId="70149489"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60932C20" w14:textId="77777777" w:rsidR="000B6ECF" w:rsidRPr="00E15500" w:rsidRDefault="000B6ECF" w:rsidP="000B6ECF">
      <w:pPr>
        <w:pStyle w:val="NormalBold"/>
      </w:pPr>
      <w:r w:rsidRPr="00E15500">
        <w:rPr>
          <w:rStyle w:val="HideTWBExt"/>
        </w:rPr>
        <w:t>&lt;Article&gt;</w:t>
      </w:r>
      <w:r w:rsidRPr="00E15500">
        <w:t>Paragrafo 31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6178FC96" w14:textId="77777777" w:rsidTr="00AC2424">
        <w:trPr>
          <w:trHeight w:hRule="exact" w:val="240"/>
          <w:jc w:val="center"/>
        </w:trPr>
        <w:tc>
          <w:tcPr>
            <w:tcW w:w="9752" w:type="dxa"/>
            <w:gridSpan w:val="2"/>
            <w:tcBorders>
              <w:top w:val="nil"/>
              <w:left w:val="nil"/>
              <w:bottom w:val="nil"/>
              <w:right w:val="nil"/>
            </w:tcBorders>
          </w:tcPr>
          <w:p w14:paraId="0910B83F" w14:textId="77777777" w:rsidR="000B6ECF" w:rsidRPr="00E15500" w:rsidRDefault="000B6ECF" w:rsidP="00AC2424"/>
        </w:tc>
      </w:tr>
      <w:tr w:rsidR="000B6ECF" w:rsidRPr="00E15500" w14:paraId="293EC207" w14:textId="77777777" w:rsidTr="00AC2424">
        <w:trPr>
          <w:trHeight w:val="240"/>
          <w:jc w:val="center"/>
        </w:trPr>
        <w:tc>
          <w:tcPr>
            <w:tcW w:w="4876" w:type="dxa"/>
            <w:tcBorders>
              <w:top w:val="nil"/>
              <w:left w:val="nil"/>
              <w:bottom w:val="nil"/>
              <w:right w:val="nil"/>
            </w:tcBorders>
          </w:tcPr>
          <w:p w14:paraId="797EED11"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15599891" w14:textId="77777777" w:rsidR="000B6ECF" w:rsidRPr="00E15500" w:rsidRDefault="000B6ECF" w:rsidP="00AC2424">
            <w:pPr>
              <w:pStyle w:val="AmColumnHeading"/>
            </w:pPr>
            <w:r w:rsidRPr="00E15500">
              <w:t>Emendamento</w:t>
            </w:r>
          </w:p>
        </w:tc>
      </w:tr>
      <w:tr w:rsidR="000B6ECF" w:rsidRPr="00E15500" w14:paraId="273E7DCB" w14:textId="77777777" w:rsidTr="00AC2424">
        <w:trPr>
          <w:jc w:val="center"/>
        </w:trPr>
        <w:tc>
          <w:tcPr>
            <w:tcW w:w="4876" w:type="dxa"/>
            <w:tcBorders>
              <w:top w:val="nil"/>
              <w:left w:val="nil"/>
              <w:bottom w:val="nil"/>
              <w:right w:val="nil"/>
            </w:tcBorders>
          </w:tcPr>
          <w:p w14:paraId="67A647BA" w14:textId="77777777" w:rsidR="000B6ECF" w:rsidRPr="00E15500" w:rsidRDefault="000B6ECF" w:rsidP="00AC2424">
            <w:pPr>
              <w:pStyle w:val="Normal6a"/>
            </w:pPr>
          </w:p>
        </w:tc>
        <w:tc>
          <w:tcPr>
            <w:tcW w:w="4876" w:type="dxa"/>
            <w:tcBorders>
              <w:top w:val="nil"/>
              <w:left w:val="nil"/>
              <w:bottom w:val="nil"/>
              <w:right w:val="nil"/>
            </w:tcBorders>
          </w:tcPr>
          <w:p w14:paraId="711AABD2" w14:textId="77777777" w:rsidR="000B6ECF" w:rsidRPr="00E15500" w:rsidRDefault="000B6ECF" w:rsidP="00AC2424">
            <w:pPr>
              <w:pStyle w:val="Normal6a"/>
            </w:pPr>
            <w:r w:rsidRPr="00E15500">
              <w:rPr>
                <w:b/>
                <w:i/>
              </w:rPr>
              <w:t>31 bis.</w:t>
            </w:r>
            <w:r w:rsidRPr="00E15500">
              <w:tab/>
            </w:r>
            <w:r w:rsidRPr="00E15500">
              <w:rPr>
                <w:b/>
                <w:i/>
              </w:rPr>
              <w:t>invita la CGUE a introdurre una politica proattiva per prevenire i rischi del tipo "porta girevole", compreso un periodo minimo di incompatibilità di due anni per gli ex giudici e alti funzionari prima che possano assumere incarichi presso imprese del settore privato che avviano un contenzioso dinanzi alla CGUE o che possano rappresentare clienti nelle cause di diritto dell'UE;</w:t>
            </w:r>
          </w:p>
        </w:tc>
      </w:tr>
    </w:tbl>
    <w:p w14:paraId="236C9ACE"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187BA44F" w14:textId="77777777" w:rsidR="000B6ECF" w:rsidRPr="00E15500" w:rsidRDefault="000B6ECF" w:rsidP="000B6ECF">
      <w:r w:rsidRPr="00E15500">
        <w:rPr>
          <w:rStyle w:val="HideTWBExt"/>
        </w:rPr>
        <w:t>&lt;/Amend&gt;</w:t>
      </w:r>
    </w:p>
    <w:p w14:paraId="3CC0EEE4"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43</w:t>
      </w:r>
      <w:r w:rsidRPr="00E15500">
        <w:rPr>
          <w:rStyle w:val="HideTWBExt"/>
        </w:rPr>
        <w:t>&lt;/NumAm&gt;</w:t>
      </w:r>
    </w:p>
    <w:p w14:paraId="50997B44" w14:textId="77777777" w:rsidR="000B6ECF" w:rsidRPr="00E15500" w:rsidRDefault="000B6ECF" w:rsidP="000B6ECF">
      <w:pPr>
        <w:pStyle w:val="NormalBold"/>
      </w:pPr>
      <w:r w:rsidRPr="00E15500">
        <w:rPr>
          <w:rStyle w:val="HideTWBExt"/>
          <w:b w:val="0"/>
        </w:rPr>
        <w:t>&lt;RepeatBlock-By&gt;&lt;Members&gt;</w:t>
      </w:r>
      <w:r w:rsidRPr="00E15500">
        <w:t>Csaba Molnár, Claudiu Manda</w:t>
      </w:r>
      <w:r w:rsidRPr="00E15500">
        <w:rPr>
          <w:rStyle w:val="HideTWBExt"/>
          <w:b w:val="0"/>
        </w:rPr>
        <w:t>&lt;/Members&gt;</w:t>
      </w:r>
    </w:p>
    <w:p w14:paraId="2B1AC2C3" w14:textId="77777777" w:rsidR="000B6ECF" w:rsidRPr="00E15500" w:rsidRDefault="000B6ECF" w:rsidP="000B6ECF">
      <w:pPr>
        <w:pStyle w:val="NormalBold"/>
      </w:pPr>
      <w:r w:rsidRPr="00E15500">
        <w:rPr>
          <w:rStyle w:val="HideTWBExt"/>
          <w:b w:val="0"/>
        </w:rPr>
        <w:t>&lt;/RepeatBlock-By&gt;</w:t>
      </w:r>
    </w:p>
    <w:p w14:paraId="3CAE6B43"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0A55BA91" w14:textId="77777777" w:rsidR="000B6ECF" w:rsidRPr="00E15500" w:rsidRDefault="000B6ECF" w:rsidP="000B6ECF">
      <w:pPr>
        <w:pStyle w:val="NormalBold"/>
      </w:pPr>
      <w:r w:rsidRPr="00E15500">
        <w:rPr>
          <w:rStyle w:val="HideTWBExt"/>
        </w:rPr>
        <w:t>&lt;Article&gt;</w:t>
      </w:r>
      <w:r w:rsidRPr="00E15500">
        <w:t>Paragrafo 31</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3FF43091" w14:textId="77777777" w:rsidTr="00AC2424">
        <w:trPr>
          <w:trHeight w:hRule="exact" w:val="240"/>
          <w:jc w:val="center"/>
        </w:trPr>
        <w:tc>
          <w:tcPr>
            <w:tcW w:w="9752" w:type="dxa"/>
            <w:gridSpan w:val="2"/>
            <w:tcBorders>
              <w:top w:val="nil"/>
              <w:left w:val="nil"/>
              <w:bottom w:val="nil"/>
              <w:right w:val="nil"/>
            </w:tcBorders>
          </w:tcPr>
          <w:p w14:paraId="15E2FC42" w14:textId="77777777" w:rsidR="000B6ECF" w:rsidRPr="00E15500" w:rsidRDefault="000B6ECF" w:rsidP="00AC2424"/>
        </w:tc>
      </w:tr>
      <w:tr w:rsidR="000B6ECF" w:rsidRPr="00E15500" w14:paraId="3B6B605A" w14:textId="77777777" w:rsidTr="00AC2424">
        <w:trPr>
          <w:trHeight w:val="240"/>
          <w:jc w:val="center"/>
        </w:trPr>
        <w:tc>
          <w:tcPr>
            <w:tcW w:w="4876" w:type="dxa"/>
            <w:tcBorders>
              <w:top w:val="nil"/>
              <w:left w:val="nil"/>
              <w:bottom w:val="nil"/>
              <w:right w:val="nil"/>
            </w:tcBorders>
          </w:tcPr>
          <w:p w14:paraId="15F7F42F"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645F69D1" w14:textId="77777777" w:rsidR="000B6ECF" w:rsidRPr="00E15500" w:rsidRDefault="000B6ECF" w:rsidP="00AC2424">
            <w:pPr>
              <w:pStyle w:val="AmColumnHeading"/>
            </w:pPr>
            <w:r w:rsidRPr="00E15500">
              <w:t>Emendamento</w:t>
            </w:r>
          </w:p>
        </w:tc>
      </w:tr>
      <w:tr w:rsidR="000B6ECF" w:rsidRPr="00E15500" w14:paraId="45EC199B" w14:textId="77777777" w:rsidTr="00AC2424">
        <w:trPr>
          <w:jc w:val="center"/>
        </w:trPr>
        <w:tc>
          <w:tcPr>
            <w:tcW w:w="4876" w:type="dxa"/>
            <w:tcBorders>
              <w:top w:val="nil"/>
              <w:left w:val="nil"/>
              <w:bottom w:val="nil"/>
              <w:right w:val="nil"/>
            </w:tcBorders>
          </w:tcPr>
          <w:p w14:paraId="215C25FA" w14:textId="77777777" w:rsidR="000B6ECF" w:rsidRPr="00E15500" w:rsidRDefault="000B6ECF" w:rsidP="00AC2424">
            <w:pPr>
              <w:pStyle w:val="Normal6a"/>
            </w:pPr>
            <w:r w:rsidRPr="00E15500">
              <w:t>31.</w:t>
            </w:r>
            <w:r w:rsidRPr="00E15500">
              <w:tab/>
              <w:t>rileva che l'elenco delle attività esterne svolte dai membri della Corte di giustizia e del Tribunale è pubblicato sul sito web della CGUE dal 2018; osserva che l'autorizzazione preventiva da parte della riunione generale della Corte di giustizia o della conferenza plenaria del Tribunale è concessa solo quando l'attività esterna è compatibile con i requisiti del codice di condotta e con gli obblighi dei membri di disponibilità per le attività giudiziarie; chiede alla CGUE di informare l'autorità di discarico su eventuali iniziative volte a migliorare la leggibilità delle informazioni relative alle attività esterne, in linea con le precedenti raccomandazioni sul discarico;</w:t>
            </w:r>
          </w:p>
        </w:tc>
        <w:tc>
          <w:tcPr>
            <w:tcW w:w="4876" w:type="dxa"/>
            <w:tcBorders>
              <w:top w:val="nil"/>
              <w:left w:val="nil"/>
              <w:bottom w:val="nil"/>
              <w:right w:val="nil"/>
            </w:tcBorders>
          </w:tcPr>
          <w:p w14:paraId="6729B405" w14:textId="77777777" w:rsidR="000B6ECF" w:rsidRPr="00E15500" w:rsidRDefault="000B6ECF" w:rsidP="00AC2424">
            <w:pPr>
              <w:pStyle w:val="Normal6a"/>
            </w:pPr>
            <w:r w:rsidRPr="00E15500">
              <w:t>31.</w:t>
            </w:r>
            <w:r w:rsidRPr="00E15500">
              <w:tab/>
              <w:t>rileva che l'elenco delle attività esterne svolte dai membri della Corte di giustizia e del Tribunale è pubblicato sul sito web della CGUE dal 2018</w:t>
            </w:r>
            <w:r w:rsidRPr="00E15500">
              <w:rPr>
                <w:b/>
                <w:i/>
              </w:rPr>
              <w:t>; rileva inoltre che tale elenco è di difficile lettura per il grande pubblico e ne raccomanda una revisione volta a renderlo più chiaro e informativo</w:t>
            </w:r>
            <w:r w:rsidRPr="00E15500">
              <w:t>; osserva che l'autorizzazione preventiva da parte della riunione generale della Corte di giustizia o della conferenza plenaria del Tribunale è concessa solo quando l'attività esterna è compatibile con i requisiti del codice di condotta e con gli obblighi dei membri di disponibilità per le attività giudiziarie; chiede alla CGUE di informare l'autorità di discarico su eventuali iniziative volte a migliorare la leggibilità delle informazioni relative alle attività esterne, in linea con le precedenti raccomandazioni sul discarico;</w:t>
            </w:r>
          </w:p>
        </w:tc>
      </w:tr>
    </w:tbl>
    <w:p w14:paraId="0D9F1778"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2B540700" w14:textId="77777777" w:rsidR="000B6ECF" w:rsidRPr="00E15500" w:rsidRDefault="000B6ECF" w:rsidP="000B6ECF">
      <w:r w:rsidRPr="00E15500">
        <w:rPr>
          <w:rStyle w:val="HideTWBExt"/>
        </w:rPr>
        <w:t>&lt;/Amend&gt;</w:t>
      </w:r>
    </w:p>
    <w:p w14:paraId="47A821B7"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44</w:t>
      </w:r>
      <w:r w:rsidRPr="00E15500">
        <w:rPr>
          <w:rStyle w:val="HideTWBExt"/>
        </w:rPr>
        <w:t>&lt;/NumAm&gt;</w:t>
      </w:r>
    </w:p>
    <w:p w14:paraId="18223AA1" w14:textId="77777777" w:rsidR="000B6ECF" w:rsidRPr="00E15500" w:rsidRDefault="000B6ECF" w:rsidP="000B6ECF">
      <w:pPr>
        <w:pStyle w:val="NormalBold"/>
      </w:pPr>
      <w:r w:rsidRPr="00E15500">
        <w:rPr>
          <w:rStyle w:val="HideTWBExt"/>
          <w:b w:val="0"/>
        </w:rPr>
        <w:t>&lt;RepeatBlock-By&gt;&lt;Members&gt;</w:t>
      </w:r>
      <w:r w:rsidRPr="00E15500">
        <w:t>Csaba Molnár, Claudiu Manda</w:t>
      </w:r>
      <w:r w:rsidRPr="00E15500">
        <w:rPr>
          <w:rStyle w:val="HideTWBExt"/>
          <w:b w:val="0"/>
        </w:rPr>
        <w:t>&lt;/Members&gt;</w:t>
      </w:r>
    </w:p>
    <w:p w14:paraId="74300176" w14:textId="77777777" w:rsidR="000B6ECF" w:rsidRPr="00E15500" w:rsidRDefault="000B6ECF" w:rsidP="000B6ECF">
      <w:pPr>
        <w:pStyle w:val="NormalBold"/>
      </w:pPr>
      <w:r w:rsidRPr="00E15500">
        <w:rPr>
          <w:rStyle w:val="HideTWBExt"/>
          <w:b w:val="0"/>
        </w:rPr>
        <w:t>&lt;/RepeatBlock-By&gt;</w:t>
      </w:r>
    </w:p>
    <w:p w14:paraId="70B4F6F0"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697244C1" w14:textId="77777777" w:rsidR="000B6ECF" w:rsidRPr="00E15500" w:rsidRDefault="000B6ECF" w:rsidP="000B6ECF">
      <w:pPr>
        <w:pStyle w:val="NormalBold"/>
      </w:pPr>
      <w:r w:rsidRPr="00E15500">
        <w:rPr>
          <w:rStyle w:val="HideTWBExt"/>
        </w:rPr>
        <w:t>&lt;Article&gt;</w:t>
      </w:r>
      <w:r w:rsidRPr="00E15500">
        <w:t>Paragrafo 32</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12337889" w14:textId="77777777" w:rsidTr="00AC2424">
        <w:trPr>
          <w:trHeight w:hRule="exact" w:val="240"/>
          <w:jc w:val="center"/>
        </w:trPr>
        <w:tc>
          <w:tcPr>
            <w:tcW w:w="9752" w:type="dxa"/>
            <w:gridSpan w:val="2"/>
            <w:tcBorders>
              <w:top w:val="nil"/>
              <w:left w:val="nil"/>
              <w:bottom w:val="nil"/>
              <w:right w:val="nil"/>
            </w:tcBorders>
          </w:tcPr>
          <w:p w14:paraId="5FC48BC9" w14:textId="77777777" w:rsidR="000B6ECF" w:rsidRPr="00E15500" w:rsidRDefault="000B6ECF" w:rsidP="00AC2424"/>
        </w:tc>
      </w:tr>
      <w:tr w:rsidR="000B6ECF" w:rsidRPr="00E15500" w14:paraId="1ED544B9" w14:textId="77777777" w:rsidTr="00AC2424">
        <w:trPr>
          <w:trHeight w:val="240"/>
          <w:jc w:val="center"/>
        </w:trPr>
        <w:tc>
          <w:tcPr>
            <w:tcW w:w="4876" w:type="dxa"/>
            <w:tcBorders>
              <w:top w:val="nil"/>
              <w:left w:val="nil"/>
              <w:bottom w:val="nil"/>
              <w:right w:val="nil"/>
            </w:tcBorders>
          </w:tcPr>
          <w:p w14:paraId="5BA3E36E"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3958CDA0" w14:textId="77777777" w:rsidR="000B6ECF" w:rsidRPr="00E15500" w:rsidRDefault="000B6ECF" w:rsidP="00AC2424">
            <w:pPr>
              <w:pStyle w:val="AmColumnHeading"/>
            </w:pPr>
            <w:r w:rsidRPr="00E15500">
              <w:t>Emendamento</w:t>
            </w:r>
          </w:p>
        </w:tc>
      </w:tr>
      <w:tr w:rsidR="000B6ECF" w:rsidRPr="00E15500" w14:paraId="2D433E32" w14:textId="77777777" w:rsidTr="00AC2424">
        <w:trPr>
          <w:jc w:val="center"/>
        </w:trPr>
        <w:tc>
          <w:tcPr>
            <w:tcW w:w="4876" w:type="dxa"/>
            <w:tcBorders>
              <w:top w:val="nil"/>
              <w:left w:val="nil"/>
              <w:bottom w:val="nil"/>
              <w:right w:val="nil"/>
            </w:tcBorders>
          </w:tcPr>
          <w:p w14:paraId="76BA3FA0" w14:textId="77777777" w:rsidR="000B6ECF" w:rsidRPr="00E15500" w:rsidRDefault="000B6ECF" w:rsidP="00AC2424">
            <w:pPr>
              <w:pStyle w:val="Normal6a"/>
            </w:pPr>
            <w:r w:rsidRPr="00E15500">
              <w:t>32.</w:t>
            </w:r>
            <w:r w:rsidRPr="00E15500">
              <w:tab/>
              <w:t>rileva che le norme che disciplinano i viaggi, le missioni e l'uso di autisti e autovetture dei membri, aggiornate nel 2021, prevedono che solo le spese di gestione derivanti dall'uso dell'autovettura per scopi connessi all'esecuzione di un ordine di missione o all'esercizio del proprio mandato entro un limite di 10 000 km siano a carico della CGUE; ribadisce la propria opinione secondo cui l'utilizzo del parco automobili al di fuori del rigoroso svolgimento delle funzioni dei membri della CGUE non dovrebbe avvenire in nessun caso; osserva che la CGUE ha riferito di essere in dialogo con altre istituzioni al fine di raggiungere un insieme di norme armonizzate per l'uso dei veicoli ufficiali, nel rispetto dell'autonomia di ciascuna istituzione; chiede alla CGUE di tenere informato il Parlamento su qualsiasi sviluppo in materia;</w:t>
            </w:r>
          </w:p>
        </w:tc>
        <w:tc>
          <w:tcPr>
            <w:tcW w:w="4876" w:type="dxa"/>
            <w:tcBorders>
              <w:top w:val="nil"/>
              <w:left w:val="nil"/>
              <w:bottom w:val="nil"/>
              <w:right w:val="nil"/>
            </w:tcBorders>
          </w:tcPr>
          <w:p w14:paraId="6227D5D5" w14:textId="77777777" w:rsidR="000B6ECF" w:rsidRPr="00E15500" w:rsidRDefault="000B6ECF" w:rsidP="00AC2424">
            <w:pPr>
              <w:pStyle w:val="Normal6a"/>
            </w:pPr>
            <w:r w:rsidRPr="00E15500">
              <w:t>32.</w:t>
            </w:r>
            <w:r w:rsidRPr="00E15500">
              <w:tab/>
              <w:t xml:space="preserve">rileva che le norme che disciplinano i viaggi, le missioni e l'uso di autisti e autovetture dei membri, aggiornate nel 2021, prevedono che solo le spese di gestione derivanti dall'uso dell'autovettura per scopi connessi all'esecuzione di un ordine di missione o all'esercizio del proprio mandato entro un limite di 10 000 km siano a carico della CGUE; ribadisce la propria opinione secondo cui l'utilizzo del parco automobili al di fuori del rigoroso svolgimento delle funzioni dei membri della CGUE non dovrebbe avvenire in nessun caso; osserva che la CGUE ha riferito di essere in dialogo con altre istituzioni al fine di raggiungere un insieme di norme armonizzate per l'uso dei veicoli ufficiali, nel rispetto dell'autonomia di ciascuna istituzione; </w:t>
            </w:r>
            <w:r w:rsidRPr="00E15500">
              <w:rPr>
                <w:b/>
                <w:i/>
              </w:rPr>
              <w:t>invita tutte le istituzioni dell'Unione a concordare un sistema unico da applicare orizzontalmente che riduca la confusione e aumenti la trasparenza e l'efficienza nell'uso del denaro pubblico;</w:t>
            </w:r>
            <w:r w:rsidRPr="00E15500">
              <w:t xml:space="preserve"> chiede alla CGUE di tenere informato il Parlamento su qualsiasi sviluppo in materia;</w:t>
            </w:r>
          </w:p>
        </w:tc>
      </w:tr>
    </w:tbl>
    <w:p w14:paraId="07B5DAA3"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669143DA" w14:textId="77777777" w:rsidR="000B6ECF" w:rsidRPr="00E15500" w:rsidRDefault="000B6ECF" w:rsidP="000B6ECF">
      <w:r w:rsidRPr="00E15500">
        <w:rPr>
          <w:rStyle w:val="HideTWBExt"/>
        </w:rPr>
        <w:t>&lt;/Amend&gt;</w:t>
      </w:r>
    </w:p>
    <w:p w14:paraId="2EAB59E7"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45</w:t>
      </w:r>
      <w:r w:rsidRPr="00E15500">
        <w:rPr>
          <w:rStyle w:val="HideTWBExt"/>
        </w:rPr>
        <w:t>&lt;/NumAm&gt;</w:t>
      </w:r>
    </w:p>
    <w:p w14:paraId="7EA4BC0B" w14:textId="77777777" w:rsidR="000B6ECF" w:rsidRPr="00E15500" w:rsidRDefault="000B6ECF" w:rsidP="000B6ECF">
      <w:pPr>
        <w:pStyle w:val="NormalBold"/>
      </w:pPr>
      <w:r w:rsidRPr="00E15500">
        <w:rPr>
          <w:rStyle w:val="HideTWBExt"/>
          <w:b w:val="0"/>
        </w:rPr>
        <w:t>&lt;RepeatBlock-By&gt;&lt;Members&gt;</w:t>
      </w:r>
      <w:r w:rsidRPr="00E15500">
        <w:t>Virginie Joron, Tamás Deutsch, Julien Sanchez</w:t>
      </w:r>
      <w:r w:rsidRPr="00E15500">
        <w:rPr>
          <w:rStyle w:val="HideTWBExt"/>
          <w:b w:val="0"/>
        </w:rPr>
        <w:t>&lt;/Members&gt;</w:t>
      </w:r>
    </w:p>
    <w:p w14:paraId="10CEFCFE" w14:textId="77777777" w:rsidR="000B6ECF" w:rsidRPr="00E15500" w:rsidRDefault="000B6ECF" w:rsidP="000B6ECF">
      <w:pPr>
        <w:pStyle w:val="NormalBold"/>
      </w:pPr>
      <w:r w:rsidRPr="00E15500">
        <w:rPr>
          <w:rStyle w:val="HideTWBExt"/>
          <w:b w:val="0"/>
        </w:rPr>
        <w:t>&lt;/RepeatBlock-By&gt;</w:t>
      </w:r>
    </w:p>
    <w:p w14:paraId="6FCC4DA6"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0BCBCE0C" w14:textId="77777777" w:rsidR="000B6ECF" w:rsidRPr="00E15500" w:rsidRDefault="000B6ECF" w:rsidP="000B6ECF">
      <w:pPr>
        <w:pStyle w:val="NormalBold"/>
      </w:pPr>
      <w:r w:rsidRPr="00E15500">
        <w:rPr>
          <w:rStyle w:val="HideTWBExt"/>
        </w:rPr>
        <w:t>&lt;Article&gt;</w:t>
      </w:r>
      <w:r w:rsidRPr="00E15500">
        <w:t>Paragrafo 32</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0265C46B" w14:textId="77777777" w:rsidTr="00AC2424">
        <w:trPr>
          <w:trHeight w:hRule="exact" w:val="240"/>
          <w:jc w:val="center"/>
        </w:trPr>
        <w:tc>
          <w:tcPr>
            <w:tcW w:w="9752" w:type="dxa"/>
            <w:gridSpan w:val="2"/>
            <w:tcBorders>
              <w:top w:val="nil"/>
              <w:left w:val="nil"/>
              <w:bottom w:val="nil"/>
              <w:right w:val="nil"/>
            </w:tcBorders>
          </w:tcPr>
          <w:p w14:paraId="24AC55D6" w14:textId="77777777" w:rsidR="000B6ECF" w:rsidRPr="00E15500" w:rsidRDefault="000B6ECF" w:rsidP="00AC2424"/>
        </w:tc>
      </w:tr>
      <w:tr w:rsidR="000B6ECF" w:rsidRPr="00E15500" w14:paraId="1D4F936A" w14:textId="77777777" w:rsidTr="00AC2424">
        <w:trPr>
          <w:trHeight w:val="240"/>
          <w:jc w:val="center"/>
        </w:trPr>
        <w:tc>
          <w:tcPr>
            <w:tcW w:w="4876" w:type="dxa"/>
            <w:tcBorders>
              <w:top w:val="nil"/>
              <w:left w:val="nil"/>
              <w:bottom w:val="nil"/>
              <w:right w:val="nil"/>
            </w:tcBorders>
          </w:tcPr>
          <w:p w14:paraId="152CEFE6"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77FC18C7" w14:textId="77777777" w:rsidR="000B6ECF" w:rsidRPr="00E15500" w:rsidRDefault="000B6ECF" w:rsidP="00AC2424">
            <w:pPr>
              <w:pStyle w:val="AmColumnHeading"/>
            </w:pPr>
            <w:r w:rsidRPr="00E15500">
              <w:t>Emendamento</w:t>
            </w:r>
          </w:p>
        </w:tc>
      </w:tr>
      <w:tr w:rsidR="000B6ECF" w:rsidRPr="00E15500" w14:paraId="0CA143FF" w14:textId="77777777" w:rsidTr="00AC2424">
        <w:trPr>
          <w:jc w:val="center"/>
        </w:trPr>
        <w:tc>
          <w:tcPr>
            <w:tcW w:w="4876" w:type="dxa"/>
            <w:tcBorders>
              <w:top w:val="nil"/>
              <w:left w:val="nil"/>
              <w:bottom w:val="nil"/>
              <w:right w:val="nil"/>
            </w:tcBorders>
          </w:tcPr>
          <w:p w14:paraId="10D70C92" w14:textId="77777777" w:rsidR="000B6ECF" w:rsidRPr="00E15500" w:rsidRDefault="000B6ECF" w:rsidP="00AC2424">
            <w:pPr>
              <w:pStyle w:val="Normal6a"/>
            </w:pPr>
            <w:r w:rsidRPr="00E15500">
              <w:t>32.</w:t>
            </w:r>
            <w:r w:rsidRPr="00E15500">
              <w:tab/>
              <w:t>rileva che le norme che disciplinano i viaggi, le missioni e l'uso di autisti e autovetture dei membri, aggiornate nel 2021, prevedono che solo le spese di gestione derivanti dall'uso dell'autovettura per scopi connessi all'esecuzione di un ordine di missione o all'esercizio del proprio mandato entro un limite di 10 000 km siano a carico della CGUE; ribadisce la propria opinione secondo cui l'utilizzo del parco automobili al di fuori del rigoroso svolgimento delle funzioni dei membri della CGUE non dovrebbe avvenire in nessun caso; osserva che la CGUE ha riferito di essere in dialogo con altre istituzioni al fine di raggiungere un insieme di norme armonizzate per l'uso dei veicoli ufficiali, nel rispetto dell'autonomia di ciascuna istituzione; chiede alla CGUE di tenere informato il Parlamento su qualsiasi sviluppo in materia;</w:t>
            </w:r>
          </w:p>
        </w:tc>
        <w:tc>
          <w:tcPr>
            <w:tcW w:w="4876" w:type="dxa"/>
            <w:tcBorders>
              <w:top w:val="nil"/>
              <w:left w:val="nil"/>
              <w:bottom w:val="nil"/>
              <w:right w:val="nil"/>
            </w:tcBorders>
          </w:tcPr>
          <w:p w14:paraId="250A0652" w14:textId="77777777" w:rsidR="000B6ECF" w:rsidRPr="00E15500" w:rsidRDefault="000B6ECF" w:rsidP="00AC2424">
            <w:pPr>
              <w:pStyle w:val="Normal6a"/>
            </w:pPr>
            <w:r w:rsidRPr="00E15500">
              <w:t>32.</w:t>
            </w:r>
            <w:r w:rsidRPr="00E15500">
              <w:tab/>
              <w:t xml:space="preserve">rileva che le norme che disciplinano i viaggi, le missioni e l'uso di autisti e autovetture dei membri, aggiornate nel 2021, prevedono che solo le spese di gestione derivanti dall'uso dell'autovettura per scopi connessi all'esecuzione di un ordine di missione o all'esercizio del proprio mandato entro un limite di 10 000 km siano a carico della CGUE; ribadisce la propria opinione secondo cui l'utilizzo del parco automobili al di fuori del rigoroso svolgimento delle funzioni dei membri della CGUE non dovrebbe avvenire in nessun caso </w:t>
            </w:r>
            <w:r w:rsidRPr="00E15500">
              <w:rPr>
                <w:b/>
                <w:i/>
              </w:rPr>
              <w:t>e che l'elusione di tale principio dovrebbe essere monitorata e sanzionata per appropriazione indebita dei fondi dei contribuenti europei</w:t>
            </w:r>
            <w:r w:rsidRPr="00E15500">
              <w:t>; osserva che la CGUE ha riferito di essere in dialogo con altre istituzioni al fine di raggiungere un insieme di norme armonizzate per l'uso dei veicoli ufficiali, nel rispetto dell'autonomia di ciascuna istituzione; chiede alla CGUE di tenere informato il Parlamento su qualsiasi sviluppo in materia;</w:t>
            </w:r>
          </w:p>
        </w:tc>
      </w:tr>
    </w:tbl>
    <w:p w14:paraId="21BA36B3" w14:textId="77777777" w:rsidR="000B6ECF" w:rsidRPr="00E15500" w:rsidRDefault="000B6ECF" w:rsidP="000B6ECF">
      <w:pPr>
        <w:pStyle w:val="AmOrLang"/>
      </w:pPr>
      <w:r w:rsidRPr="00E15500">
        <w:t xml:space="preserve">Or. </w:t>
      </w:r>
      <w:r w:rsidRPr="00E15500">
        <w:rPr>
          <w:rStyle w:val="HideTWBExt"/>
        </w:rPr>
        <w:t>&lt;Original&gt;</w:t>
      </w:r>
      <w:r w:rsidRPr="00E15500">
        <w:rPr>
          <w:rStyle w:val="HideTWBInt"/>
        </w:rPr>
        <w:t>{FR}</w:t>
      </w:r>
      <w:r w:rsidRPr="00E15500">
        <w:t>fr</w:t>
      </w:r>
      <w:r w:rsidRPr="00E15500">
        <w:rPr>
          <w:rStyle w:val="HideTWBExt"/>
        </w:rPr>
        <w:t>&lt;/Original&gt;</w:t>
      </w:r>
    </w:p>
    <w:p w14:paraId="7FD1392E" w14:textId="77777777" w:rsidR="000B6ECF" w:rsidRPr="00E15500" w:rsidRDefault="000B6ECF" w:rsidP="000B6ECF">
      <w:r w:rsidRPr="00E15500">
        <w:rPr>
          <w:rStyle w:val="HideTWBExt"/>
        </w:rPr>
        <w:t>&lt;/Amend&gt;</w:t>
      </w:r>
    </w:p>
    <w:p w14:paraId="29B70408"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46</w:t>
      </w:r>
      <w:r w:rsidRPr="00E15500">
        <w:rPr>
          <w:rStyle w:val="HideTWBExt"/>
        </w:rPr>
        <w:t>&lt;/NumAm&gt;</w:t>
      </w:r>
    </w:p>
    <w:p w14:paraId="6D225F7A" w14:textId="77777777" w:rsidR="000B6ECF" w:rsidRPr="00E15500" w:rsidRDefault="000B6ECF" w:rsidP="000B6ECF">
      <w:pPr>
        <w:pStyle w:val="NormalBold"/>
      </w:pPr>
      <w:r w:rsidRPr="00E15500">
        <w:rPr>
          <w:rStyle w:val="HideTWBExt"/>
          <w:b w:val="0"/>
        </w:rPr>
        <w:t>&lt;RepeatBlock-By&gt;&lt;Members&gt;</w:t>
      </w:r>
      <w:r w:rsidRPr="00E15500">
        <w:t>Virginie Joron, Tamás Deutsch, Julien Sanchez</w:t>
      </w:r>
      <w:r w:rsidRPr="00E15500">
        <w:rPr>
          <w:rStyle w:val="HideTWBExt"/>
          <w:b w:val="0"/>
        </w:rPr>
        <w:t>&lt;/Members&gt;</w:t>
      </w:r>
    </w:p>
    <w:p w14:paraId="5AB5AA7A" w14:textId="77777777" w:rsidR="000B6ECF" w:rsidRPr="00E15500" w:rsidRDefault="000B6ECF" w:rsidP="000B6ECF">
      <w:pPr>
        <w:pStyle w:val="NormalBold"/>
      </w:pPr>
      <w:r w:rsidRPr="00E15500">
        <w:rPr>
          <w:rStyle w:val="HideTWBExt"/>
          <w:b w:val="0"/>
        </w:rPr>
        <w:t>&lt;/RepeatBlock-By&gt;</w:t>
      </w:r>
    </w:p>
    <w:p w14:paraId="0659FE8A"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45869D0B" w14:textId="77777777" w:rsidR="000B6ECF" w:rsidRPr="00E15500" w:rsidRDefault="000B6ECF" w:rsidP="000B6ECF">
      <w:pPr>
        <w:pStyle w:val="NormalBold"/>
      </w:pPr>
      <w:r w:rsidRPr="00E15500">
        <w:rPr>
          <w:rStyle w:val="HideTWBExt"/>
        </w:rPr>
        <w:t>&lt;Article&gt;</w:t>
      </w:r>
      <w:r w:rsidRPr="00E15500">
        <w:t>Paragrafo 35</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32E7FFC7" w14:textId="77777777" w:rsidTr="00AC2424">
        <w:trPr>
          <w:trHeight w:hRule="exact" w:val="240"/>
          <w:jc w:val="center"/>
        </w:trPr>
        <w:tc>
          <w:tcPr>
            <w:tcW w:w="9752" w:type="dxa"/>
            <w:gridSpan w:val="2"/>
            <w:tcBorders>
              <w:top w:val="nil"/>
              <w:left w:val="nil"/>
              <w:bottom w:val="nil"/>
              <w:right w:val="nil"/>
            </w:tcBorders>
          </w:tcPr>
          <w:p w14:paraId="58438F94" w14:textId="77777777" w:rsidR="000B6ECF" w:rsidRPr="00E15500" w:rsidRDefault="000B6ECF" w:rsidP="00AC2424"/>
        </w:tc>
      </w:tr>
      <w:tr w:rsidR="000B6ECF" w:rsidRPr="00E15500" w14:paraId="45D0D69E" w14:textId="77777777" w:rsidTr="00AC2424">
        <w:trPr>
          <w:trHeight w:val="240"/>
          <w:jc w:val="center"/>
        </w:trPr>
        <w:tc>
          <w:tcPr>
            <w:tcW w:w="4876" w:type="dxa"/>
            <w:tcBorders>
              <w:top w:val="nil"/>
              <w:left w:val="nil"/>
              <w:bottom w:val="nil"/>
              <w:right w:val="nil"/>
            </w:tcBorders>
          </w:tcPr>
          <w:p w14:paraId="094C3510"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4B9C4A07" w14:textId="77777777" w:rsidR="000B6ECF" w:rsidRPr="00E15500" w:rsidRDefault="000B6ECF" w:rsidP="00AC2424">
            <w:pPr>
              <w:pStyle w:val="AmColumnHeading"/>
            </w:pPr>
            <w:r w:rsidRPr="00E15500">
              <w:t>Emendamento</w:t>
            </w:r>
          </w:p>
        </w:tc>
      </w:tr>
      <w:tr w:rsidR="000B6ECF" w:rsidRPr="00E15500" w14:paraId="03373C1E" w14:textId="77777777" w:rsidTr="00AC2424">
        <w:trPr>
          <w:jc w:val="center"/>
        </w:trPr>
        <w:tc>
          <w:tcPr>
            <w:tcW w:w="4876" w:type="dxa"/>
            <w:tcBorders>
              <w:top w:val="nil"/>
              <w:left w:val="nil"/>
              <w:bottom w:val="nil"/>
              <w:right w:val="nil"/>
            </w:tcBorders>
          </w:tcPr>
          <w:p w14:paraId="77C650B3" w14:textId="77777777" w:rsidR="000B6ECF" w:rsidRPr="00E15500" w:rsidRDefault="000B6ECF" w:rsidP="00AC2424">
            <w:pPr>
              <w:pStyle w:val="Normal6a"/>
            </w:pPr>
            <w:r w:rsidRPr="00E15500">
              <w:t>35.</w:t>
            </w:r>
            <w:r w:rsidRPr="00E15500">
              <w:tab/>
              <w:t>accoglie con favore l'impegno della CGUE per migliorare la trasparenza, l'accesso alla giustizia e l'apertura al pubblico, contribuendo in tal modo a promuovere la fiducia dei cittadini nelle istituzioni dell'Unione;</w:t>
            </w:r>
          </w:p>
        </w:tc>
        <w:tc>
          <w:tcPr>
            <w:tcW w:w="4876" w:type="dxa"/>
            <w:tcBorders>
              <w:top w:val="nil"/>
              <w:left w:val="nil"/>
              <w:bottom w:val="nil"/>
              <w:right w:val="nil"/>
            </w:tcBorders>
          </w:tcPr>
          <w:p w14:paraId="0E12D30C" w14:textId="77777777" w:rsidR="000B6ECF" w:rsidRPr="00E15500" w:rsidRDefault="000B6ECF" w:rsidP="00AC2424">
            <w:pPr>
              <w:pStyle w:val="Normal6a"/>
            </w:pPr>
            <w:r w:rsidRPr="00E15500">
              <w:t>35.</w:t>
            </w:r>
            <w:r w:rsidRPr="00E15500">
              <w:tab/>
              <w:t xml:space="preserve">accoglie con favore l'impegno della CGUE per migliorare la trasparenza, l'accesso alla giustizia e l'apertura al pubblico, contribuendo in tal modo a promuovere la fiducia dei cittadini nelle istituzioni dell'Unione; </w:t>
            </w:r>
            <w:r w:rsidRPr="00E15500">
              <w:rPr>
                <w:b/>
                <w:i/>
              </w:rPr>
              <w:t>prende atto, a tale proposito, della recente modifica del protocollo n.</w:t>
            </w:r>
            <w:r w:rsidRPr="00E15500">
              <w:t xml:space="preserve"> </w:t>
            </w:r>
            <w:r w:rsidRPr="00E15500">
              <w:rPr>
                <w:b/>
                <w:i/>
              </w:rPr>
              <w:t>3 sullo statuto della Corte di giustizia dell'Unione europea, adottata con il regolamento (UE, Euratom) 2024/2019 del Parlamento europeo e del Consiglio, che trasferisce parte della competenza pregiudiziale della Corte di giustizia al Tribunale; deplora tuttavia che tale modifica del protocollo n. 3 sullo statuto della Corte di giustizia dell'Unione europea non abbia fornito garanzie supplementari ai cittadini dell'Unione e alle persone fisiche o giuridiche che risiedono o hanno la sede in uno Stato membro per quanto riguarda la trasparenza e il diritto di accesso ai documenti relativi ai procedimenti giudiziari, rendendo in tal modo la Corte una delle istituzioni europee meno trasparenti, nonostante l'evoluzione delle tematiche su cui si pronuncia sempre più spesso, come le questioni legate ai diritti umani, quali l'immigrazione, la vita privata, la salute o l'ambiente;</w:t>
            </w:r>
          </w:p>
        </w:tc>
      </w:tr>
    </w:tbl>
    <w:p w14:paraId="790A0CAF" w14:textId="77777777" w:rsidR="000B6ECF" w:rsidRPr="00E15500" w:rsidRDefault="000B6ECF" w:rsidP="000B6ECF">
      <w:pPr>
        <w:pStyle w:val="AmOrLang"/>
      </w:pPr>
      <w:r w:rsidRPr="00E15500">
        <w:t xml:space="preserve">Or. </w:t>
      </w:r>
      <w:r w:rsidRPr="00E15500">
        <w:rPr>
          <w:rStyle w:val="HideTWBExt"/>
        </w:rPr>
        <w:t>&lt;Original&gt;</w:t>
      </w:r>
      <w:r w:rsidRPr="00E15500">
        <w:rPr>
          <w:rStyle w:val="HideTWBInt"/>
        </w:rPr>
        <w:t>{FR}</w:t>
      </w:r>
      <w:r w:rsidRPr="00E15500">
        <w:t>fr</w:t>
      </w:r>
      <w:r w:rsidRPr="00E15500">
        <w:rPr>
          <w:rStyle w:val="HideTWBExt"/>
        </w:rPr>
        <w:t>&lt;/Original&gt;</w:t>
      </w:r>
    </w:p>
    <w:p w14:paraId="119581DA" w14:textId="77777777" w:rsidR="000B6ECF" w:rsidRPr="00E15500" w:rsidRDefault="000B6ECF" w:rsidP="000B6ECF">
      <w:r w:rsidRPr="00E15500">
        <w:rPr>
          <w:rStyle w:val="HideTWBExt"/>
        </w:rPr>
        <w:t>&lt;/Amend&gt;</w:t>
      </w:r>
    </w:p>
    <w:p w14:paraId="774CD520"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47</w:t>
      </w:r>
      <w:r w:rsidRPr="00E15500">
        <w:rPr>
          <w:rStyle w:val="HideTWBExt"/>
        </w:rPr>
        <w:t>&lt;/NumAm&gt;</w:t>
      </w:r>
    </w:p>
    <w:p w14:paraId="5999124D" w14:textId="77777777" w:rsidR="000B6ECF" w:rsidRPr="00E15500" w:rsidRDefault="000B6ECF" w:rsidP="000B6ECF">
      <w:pPr>
        <w:pStyle w:val="NormalBold"/>
      </w:pPr>
      <w:r w:rsidRPr="00E15500">
        <w:rPr>
          <w:rStyle w:val="HideTWBExt"/>
          <w:b w:val="0"/>
        </w:rPr>
        <w:t>&lt;RepeatBlock-By&gt;&lt;Members&gt;</w:t>
      </w:r>
      <w:r w:rsidRPr="00E15500">
        <w:t>Caterina Chinnici</w:t>
      </w:r>
      <w:r w:rsidRPr="00E15500">
        <w:rPr>
          <w:rStyle w:val="HideTWBExt"/>
          <w:b w:val="0"/>
        </w:rPr>
        <w:t>&lt;/Members&gt;</w:t>
      </w:r>
    </w:p>
    <w:p w14:paraId="6060008B" w14:textId="77777777" w:rsidR="000B6ECF" w:rsidRPr="00E15500" w:rsidRDefault="000B6ECF" w:rsidP="000B6ECF">
      <w:pPr>
        <w:pStyle w:val="NormalBold"/>
      </w:pPr>
      <w:r w:rsidRPr="00E15500">
        <w:rPr>
          <w:rStyle w:val="HideTWBExt"/>
          <w:b w:val="0"/>
        </w:rPr>
        <w:t>&lt;/RepeatBlock-By&gt;</w:t>
      </w:r>
    </w:p>
    <w:p w14:paraId="5E01B5E7"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02AC3DDB" w14:textId="77777777" w:rsidR="000B6ECF" w:rsidRPr="00E15500" w:rsidRDefault="000B6ECF" w:rsidP="000B6ECF">
      <w:pPr>
        <w:pStyle w:val="NormalBold"/>
      </w:pPr>
      <w:r w:rsidRPr="00E15500">
        <w:rPr>
          <w:rStyle w:val="HideTWBExt"/>
        </w:rPr>
        <w:t>&lt;Article&gt;</w:t>
      </w:r>
      <w:r w:rsidRPr="00E15500">
        <w:t>Paragrafo 36</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026677C4" w14:textId="77777777" w:rsidTr="00AC2424">
        <w:trPr>
          <w:trHeight w:hRule="exact" w:val="240"/>
          <w:jc w:val="center"/>
        </w:trPr>
        <w:tc>
          <w:tcPr>
            <w:tcW w:w="9752" w:type="dxa"/>
            <w:gridSpan w:val="2"/>
            <w:tcBorders>
              <w:top w:val="nil"/>
              <w:left w:val="nil"/>
              <w:bottom w:val="nil"/>
              <w:right w:val="nil"/>
            </w:tcBorders>
          </w:tcPr>
          <w:p w14:paraId="24CDB35B" w14:textId="77777777" w:rsidR="000B6ECF" w:rsidRPr="00E15500" w:rsidRDefault="000B6ECF" w:rsidP="00AC2424"/>
        </w:tc>
      </w:tr>
      <w:tr w:rsidR="000B6ECF" w:rsidRPr="00E15500" w14:paraId="1FF1D1AF" w14:textId="77777777" w:rsidTr="00AC2424">
        <w:trPr>
          <w:trHeight w:val="240"/>
          <w:jc w:val="center"/>
        </w:trPr>
        <w:tc>
          <w:tcPr>
            <w:tcW w:w="4876" w:type="dxa"/>
            <w:tcBorders>
              <w:top w:val="nil"/>
              <w:left w:val="nil"/>
              <w:bottom w:val="nil"/>
              <w:right w:val="nil"/>
            </w:tcBorders>
          </w:tcPr>
          <w:p w14:paraId="300D4C2E"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0930607A" w14:textId="77777777" w:rsidR="000B6ECF" w:rsidRPr="00E15500" w:rsidRDefault="000B6ECF" w:rsidP="00AC2424">
            <w:pPr>
              <w:pStyle w:val="AmColumnHeading"/>
            </w:pPr>
            <w:r w:rsidRPr="00E15500">
              <w:t>Emendamento</w:t>
            </w:r>
          </w:p>
        </w:tc>
      </w:tr>
      <w:tr w:rsidR="000B6ECF" w:rsidRPr="00E15500" w14:paraId="65839B36" w14:textId="77777777" w:rsidTr="00AC2424">
        <w:trPr>
          <w:jc w:val="center"/>
        </w:trPr>
        <w:tc>
          <w:tcPr>
            <w:tcW w:w="4876" w:type="dxa"/>
            <w:tcBorders>
              <w:top w:val="nil"/>
              <w:left w:val="nil"/>
              <w:bottom w:val="nil"/>
              <w:right w:val="nil"/>
            </w:tcBorders>
          </w:tcPr>
          <w:p w14:paraId="1B05E43E" w14:textId="77777777" w:rsidR="000B6ECF" w:rsidRPr="00E15500" w:rsidRDefault="000B6ECF" w:rsidP="00AC2424">
            <w:pPr>
              <w:pStyle w:val="Normal6a"/>
            </w:pPr>
            <w:r w:rsidRPr="00E15500">
              <w:t>36.</w:t>
            </w:r>
            <w:r w:rsidRPr="00E15500">
              <w:tab/>
              <w:t xml:space="preserve">rileva che, nel 2023, la CGUE ha consolidato il servizio di streaming delle udienze della Corte di giustizia e del Tribunale sul sito web Curia, facilitando così l'accesso dei cittadini alle attività giudiziarie della CGUE; accoglie con favore il fatto che la pronuncia delle sentenze della Corte di giustizia, la lettura delle conclusioni degli avvocati generali, le udienze della Grande Sezione e alcune udienze delle sezioni riunite con cinque giudici siano trasmesse in diretta sul sito web Curia dal 2023; invita la CGUE a migliorare ulteriormente la trasparenza trasmettendo tutte le udienze </w:t>
            </w:r>
            <w:r w:rsidRPr="00E15500">
              <w:rPr>
                <w:b/>
                <w:i/>
              </w:rPr>
              <w:t>delle</w:t>
            </w:r>
            <w:r w:rsidRPr="00E15500">
              <w:t xml:space="preserve"> due organi giurisdizionali sul proprio sito web e archiviandole in modo permanente online;</w:t>
            </w:r>
          </w:p>
        </w:tc>
        <w:tc>
          <w:tcPr>
            <w:tcW w:w="4876" w:type="dxa"/>
            <w:tcBorders>
              <w:top w:val="nil"/>
              <w:left w:val="nil"/>
              <w:bottom w:val="nil"/>
              <w:right w:val="nil"/>
            </w:tcBorders>
          </w:tcPr>
          <w:p w14:paraId="4C11E4CE" w14:textId="77777777" w:rsidR="000B6ECF" w:rsidRPr="00E15500" w:rsidRDefault="000B6ECF" w:rsidP="00AC2424">
            <w:pPr>
              <w:pStyle w:val="Normal6a"/>
            </w:pPr>
            <w:r w:rsidRPr="00E15500">
              <w:t>36.</w:t>
            </w:r>
            <w:r w:rsidRPr="00E15500">
              <w:tab/>
              <w:t>rileva che, nel 2023, la CGUE ha consolidato il servizio di streaming delle udienze della Corte di giustizia e del Tribunale sul sito web Curia, facilitando così l'accesso dei cittadini alle attività giudiziarie della CGUE</w:t>
            </w:r>
            <w:r w:rsidRPr="00E15500">
              <w:rPr>
                <w:b/>
                <w:i/>
              </w:rPr>
              <w:t>; accoglie con favore il miglioramento del sito web Curia in termini di struttura, funzionalità e contenuti</w:t>
            </w:r>
            <w:r w:rsidRPr="00E15500">
              <w:t xml:space="preserve">; accoglie con favore il fatto che la pronuncia delle sentenze della Corte di giustizia, la lettura delle conclusioni degli avvocati generali, le udienze della Grande Sezione e alcune udienze delle sezioni riunite con cinque giudici siano trasmesse in diretta sul sito web Curia dal 2023; invita la CGUE a migliorare ulteriormente la trasparenza trasmettendo tutte le udienze </w:t>
            </w:r>
            <w:r w:rsidRPr="00E15500">
              <w:rPr>
                <w:b/>
                <w:i/>
              </w:rPr>
              <w:t>dei</w:t>
            </w:r>
            <w:r w:rsidRPr="00E15500">
              <w:t xml:space="preserve"> due organi giurisdizionali sul proprio sito web e archiviandole in modo permanente online;</w:t>
            </w:r>
          </w:p>
        </w:tc>
      </w:tr>
    </w:tbl>
    <w:p w14:paraId="04E6416F"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1068F87F" w14:textId="77777777" w:rsidR="000B6ECF" w:rsidRPr="00E15500" w:rsidRDefault="000B6ECF" w:rsidP="000B6ECF">
      <w:r w:rsidRPr="00E15500">
        <w:rPr>
          <w:rStyle w:val="HideTWBExt"/>
        </w:rPr>
        <w:t>&lt;/Amend&gt;</w:t>
      </w:r>
    </w:p>
    <w:p w14:paraId="3BBA42A8"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48</w:t>
      </w:r>
      <w:r w:rsidRPr="00E15500">
        <w:rPr>
          <w:rStyle w:val="HideTWBExt"/>
        </w:rPr>
        <w:t>&lt;/NumAm&gt;</w:t>
      </w:r>
    </w:p>
    <w:p w14:paraId="739BEB37" w14:textId="77777777" w:rsidR="000B6ECF" w:rsidRPr="00E15500" w:rsidRDefault="000B6ECF" w:rsidP="000B6ECF">
      <w:pPr>
        <w:pStyle w:val="NormalBold"/>
      </w:pPr>
      <w:r w:rsidRPr="00E15500">
        <w:rPr>
          <w:rStyle w:val="HideTWBExt"/>
          <w:b w:val="0"/>
        </w:rPr>
        <w:t>&lt;RepeatBlock-By&gt;&lt;Members&gt;</w:t>
      </w:r>
      <w:r w:rsidRPr="00E15500">
        <w:t>Dick Erixon, Charlie Weimers, Beatrice Timgren</w:t>
      </w:r>
      <w:r w:rsidRPr="00E15500">
        <w:rPr>
          <w:rStyle w:val="HideTWBExt"/>
          <w:b w:val="0"/>
        </w:rPr>
        <w:t>&lt;/Members&gt;</w:t>
      </w:r>
    </w:p>
    <w:p w14:paraId="3F9B820F" w14:textId="77777777" w:rsidR="000B6ECF" w:rsidRPr="00E15500" w:rsidRDefault="000B6ECF" w:rsidP="000B6ECF">
      <w:pPr>
        <w:pStyle w:val="NormalBold"/>
      </w:pPr>
      <w:r w:rsidRPr="00E15500">
        <w:rPr>
          <w:rStyle w:val="HideTWBExt"/>
          <w:b w:val="0"/>
        </w:rPr>
        <w:t>&lt;/RepeatBlock-By&gt;</w:t>
      </w:r>
    </w:p>
    <w:p w14:paraId="4BD954A3"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6B90CD39" w14:textId="77777777" w:rsidR="000B6ECF" w:rsidRPr="00E15500" w:rsidRDefault="000B6ECF" w:rsidP="000B6ECF">
      <w:pPr>
        <w:pStyle w:val="NormalBold"/>
      </w:pPr>
      <w:r w:rsidRPr="00E15500">
        <w:rPr>
          <w:rStyle w:val="HideTWBExt"/>
        </w:rPr>
        <w:t>&lt;Article&gt;</w:t>
      </w:r>
      <w:r w:rsidRPr="00E15500">
        <w:t>Paragrafo 39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73D94FC4" w14:textId="77777777" w:rsidTr="00AC2424">
        <w:trPr>
          <w:trHeight w:hRule="exact" w:val="240"/>
          <w:jc w:val="center"/>
        </w:trPr>
        <w:tc>
          <w:tcPr>
            <w:tcW w:w="9752" w:type="dxa"/>
            <w:gridSpan w:val="2"/>
            <w:tcBorders>
              <w:top w:val="nil"/>
              <w:left w:val="nil"/>
              <w:bottom w:val="nil"/>
              <w:right w:val="nil"/>
            </w:tcBorders>
          </w:tcPr>
          <w:p w14:paraId="2D1E0602" w14:textId="77777777" w:rsidR="000B6ECF" w:rsidRPr="00E15500" w:rsidRDefault="000B6ECF" w:rsidP="00AC2424"/>
        </w:tc>
      </w:tr>
      <w:tr w:rsidR="000B6ECF" w:rsidRPr="00E15500" w14:paraId="0FF1DD46" w14:textId="77777777" w:rsidTr="00AC2424">
        <w:trPr>
          <w:trHeight w:val="240"/>
          <w:jc w:val="center"/>
        </w:trPr>
        <w:tc>
          <w:tcPr>
            <w:tcW w:w="4876" w:type="dxa"/>
            <w:tcBorders>
              <w:top w:val="nil"/>
              <w:left w:val="nil"/>
              <w:bottom w:val="nil"/>
              <w:right w:val="nil"/>
            </w:tcBorders>
          </w:tcPr>
          <w:p w14:paraId="72D6189F"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1A7B86DF" w14:textId="77777777" w:rsidR="000B6ECF" w:rsidRPr="00E15500" w:rsidRDefault="000B6ECF" w:rsidP="00AC2424">
            <w:pPr>
              <w:pStyle w:val="AmColumnHeading"/>
            </w:pPr>
            <w:r w:rsidRPr="00E15500">
              <w:t>Emendamento</w:t>
            </w:r>
          </w:p>
        </w:tc>
      </w:tr>
      <w:tr w:rsidR="000B6ECF" w:rsidRPr="00E15500" w14:paraId="57750F76" w14:textId="77777777" w:rsidTr="00AC2424">
        <w:trPr>
          <w:jc w:val="center"/>
        </w:trPr>
        <w:tc>
          <w:tcPr>
            <w:tcW w:w="4876" w:type="dxa"/>
            <w:tcBorders>
              <w:top w:val="nil"/>
              <w:left w:val="nil"/>
              <w:bottom w:val="nil"/>
              <w:right w:val="nil"/>
            </w:tcBorders>
          </w:tcPr>
          <w:p w14:paraId="4CC28C1D" w14:textId="77777777" w:rsidR="000B6ECF" w:rsidRPr="00E15500" w:rsidRDefault="000B6ECF" w:rsidP="00AC2424">
            <w:pPr>
              <w:pStyle w:val="Normal6a"/>
            </w:pPr>
          </w:p>
        </w:tc>
        <w:tc>
          <w:tcPr>
            <w:tcW w:w="4876" w:type="dxa"/>
            <w:tcBorders>
              <w:top w:val="nil"/>
              <w:left w:val="nil"/>
              <w:bottom w:val="nil"/>
              <w:right w:val="nil"/>
            </w:tcBorders>
          </w:tcPr>
          <w:p w14:paraId="5E860B86" w14:textId="77777777" w:rsidR="000B6ECF" w:rsidRPr="00E15500" w:rsidRDefault="000B6ECF" w:rsidP="00AC2424">
            <w:pPr>
              <w:pStyle w:val="Normal6a"/>
            </w:pPr>
            <w:r w:rsidRPr="00E15500">
              <w:rPr>
                <w:b/>
                <w:i/>
              </w:rPr>
              <w:t>39 bis.</w:t>
            </w:r>
            <w:r w:rsidRPr="00E15500">
              <w:tab/>
            </w:r>
            <w:r w:rsidRPr="00E15500">
              <w:rPr>
                <w:b/>
                <w:i/>
              </w:rPr>
              <w:t>ritiene che l'uso di un gergo giuridico opaco ostacoli la partecipazione pubblica e generi un senso di distacco nel grande pubblico, riducendo in tal modo la trasparenza dei procedimenti giudiziari; invita la Corte a comunicare le proprie decisioni utilizzando un linguaggio comprensibile e accessibile a un pubblico di non addetti ai lavori;</w:t>
            </w:r>
          </w:p>
        </w:tc>
      </w:tr>
    </w:tbl>
    <w:p w14:paraId="40DEFE67"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45D29BC5" w14:textId="77777777" w:rsidR="000B6ECF" w:rsidRPr="00E15500" w:rsidRDefault="000B6ECF" w:rsidP="000B6ECF">
      <w:r w:rsidRPr="00E15500">
        <w:rPr>
          <w:rStyle w:val="HideTWBExt"/>
        </w:rPr>
        <w:t>&lt;/Amend&gt;</w:t>
      </w:r>
    </w:p>
    <w:p w14:paraId="2DDB606D"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49</w:t>
      </w:r>
      <w:r w:rsidRPr="00E15500">
        <w:rPr>
          <w:rStyle w:val="HideTWBExt"/>
        </w:rPr>
        <w:t>&lt;/NumAm&gt;</w:t>
      </w:r>
    </w:p>
    <w:p w14:paraId="540F0073" w14:textId="77777777" w:rsidR="000B6ECF" w:rsidRPr="00E15500" w:rsidRDefault="000B6ECF" w:rsidP="000B6ECF">
      <w:pPr>
        <w:pStyle w:val="NormalBold"/>
      </w:pPr>
      <w:r w:rsidRPr="00E15500">
        <w:rPr>
          <w:rStyle w:val="HideTWBExt"/>
          <w:b w:val="0"/>
        </w:rPr>
        <w:t>&lt;RepeatBlock-By&gt;&lt;Members&gt;</w:t>
      </w:r>
      <w:r w:rsidRPr="00E15500">
        <w:t>Dick Erixon, Charlie Weimers, Beatrice Timgren</w:t>
      </w:r>
      <w:r w:rsidRPr="00E15500">
        <w:rPr>
          <w:rStyle w:val="HideTWBExt"/>
          <w:b w:val="0"/>
        </w:rPr>
        <w:t>&lt;/Members&gt;</w:t>
      </w:r>
    </w:p>
    <w:p w14:paraId="5E912739" w14:textId="77777777" w:rsidR="000B6ECF" w:rsidRPr="00E15500" w:rsidRDefault="000B6ECF" w:rsidP="000B6ECF">
      <w:pPr>
        <w:pStyle w:val="NormalBold"/>
      </w:pPr>
      <w:r w:rsidRPr="00E15500">
        <w:rPr>
          <w:rStyle w:val="HideTWBExt"/>
          <w:b w:val="0"/>
        </w:rPr>
        <w:t>&lt;/RepeatBlock-By&gt;</w:t>
      </w:r>
    </w:p>
    <w:p w14:paraId="019AA1AF"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2439603D" w14:textId="77777777" w:rsidR="000B6ECF" w:rsidRPr="00E15500" w:rsidRDefault="000B6ECF" w:rsidP="000B6ECF">
      <w:pPr>
        <w:pStyle w:val="NormalBold"/>
      </w:pPr>
      <w:r w:rsidRPr="00E15500">
        <w:rPr>
          <w:rStyle w:val="HideTWBExt"/>
        </w:rPr>
        <w:t>&lt;Article&gt;</w:t>
      </w:r>
      <w:r w:rsidRPr="00E15500">
        <w:t>Paragrafo 39 ter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1CDF45E8" w14:textId="77777777" w:rsidTr="00AC2424">
        <w:trPr>
          <w:trHeight w:hRule="exact" w:val="240"/>
          <w:jc w:val="center"/>
        </w:trPr>
        <w:tc>
          <w:tcPr>
            <w:tcW w:w="9752" w:type="dxa"/>
            <w:gridSpan w:val="2"/>
            <w:tcBorders>
              <w:top w:val="nil"/>
              <w:left w:val="nil"/>
              <w:bottom w:val="nil"/>
              <w:right w:val="nil"/>
            </w:tcBorders>
          </w:tcPr>
          <w:p w14:paraId="482DB756" w14:textId="77777777" w:rsidR="000B6ECF" w:rsidRPr="00E15500" w:rsidRDefault="000B6ECF" w:rsidP="00AC2424"/>
        </w:tc>
      </w:tr>
      <w:tr w:rsidR="000B6ECF" w:rsidRPr="00E15500" w14:paraId="69055479" w14:textId="77777777" w:rsidTr="00AC2424">
        <w:trPr>
          <w:trHeight w:val="240"/>
          <w:jc w:val="center"/>
        </w:trPr>
        <w:tc>
          <w:tcPr>
            <w:tcW w:w="4876" w:type="dxa"/>
            <w:tcBorders>
              <w:top w:val="nil"/>
              <w:left w:val="nil"/>
              <w:bottom w:val="nil"/>
              <w:right w:val="nil"/>
            </w:tcBorders>
          </w:tcPr>
          <w:p w14:paraId="3C89A767"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07E7F742" w14:textId="77777777" w:rsidR="000B6ECF" w:rsidRPr="00E15500" w:rsidRDefault="000B6ECF" w:rsidP="00AC2424">
            <w:pPr>
              <w:pStyle w:val="AmColumnHeading"/>
            </w:pPr>
            <w:r w:rsidRPr="00E15500">
              <w:t>Emendamento</w:t>
            </w:r>
          </w:p>
        </w:tc>
      </w:tr>
      <w:tr w:rsidR="000B6ECF" w:rsidRPr="00E15500" w14:paraId="4A5AED57" w14:textId="77777777" w:rsidTr="00AC2424">
        <w:trPr>
          <w:jc w:val="center"/>
        </w:trPr>
        <w:tc>
          <w:tcPr>
            <w:tcW w:w="4876" w:type="dxa"/>
            <w:tcBorders>
              <w:top w:val="nil"/>
              <w:left w:val="nil"/>
              <w:bottom w:val="nil"/>
              <w:right w:val="nil"/>
            </w:tcBorders>
          </w:tcPr>
          <w:p w14:paraId="0C869A53" w14:textId="77777777" w:rsidR="000B6ECF" w:rsidRPr="00E15500" w:rsidRDefault="000B6ECF" w:rsidP="00AC2424">
            <w:pPr>
              <w:pStyle w:val="Normal6a"/>
            </w:pPr>
          </w:p>
        </w:tc>
        <w:tc>
          <w:tcPr>
            <w:tcW w:w="4876" w:type="dxa"/>
            <w:tcBorders>
              <w:top w:val="nil"/>
              <w:left w:val="nil"/>
              <w:bottom w:val="nil"/>
              <w:right w:val="nil"/>
            </w:tcBorders>
          </w:tcPr>
          <w:p w14:paraId="22DB1901" w14:textId="77777777" w:rsidR="000B6ECF" w:rsidRPr="00E15500" w:rsidRDefault="000B6ECF" w:rsidP="00AC2424">
            <w:pPr>
              <w:pStyle w:val="Normal6a"/>
            </w:pPr>
            <w:r w:rsidRPr="00E15500">
              <w:rPr>
                <w:b/>
                <w:i/>
              </w:rPr>
              <w:t>39 ter.</w:t>
            </w:r>
            <w:r w:rsidRPr="00E15500">
              <w:tab/>
            </w:r>
            <w:r w:rsidRPr="00E15500">
              <w:rPr>
                <w:b/>
                <w:i/>
              </w:rPr>
              <w:t>invita la Corte a semplificare il processo di ricerca di sentenze specifiche su e-Curia; accoglie con favore gli sforzi volti a rendere l'interfaccia più intuitiva e di facile utilizzo;</w:t>
            </w:r>
          </w:p>
        </w:tc>
      </w:tr>
    </w:tbl>
    <w:p w14:paraId="1D50025E"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217788DF" w14:textId="77777777" w:rsidR="000B6ECF" w:rsidRPr="00E15500" w:rsidRDefault="000B6ECF" w:rsidP="000B6ECF">
      <w:r w:rsidRPr="00E15500">
        <w:rPr>
          <w:rStyle w:val="HideTWBExt"/>
        </w:rPr>
        <w:t>&lt;/Amend&gt;</w:t>
      </w:r>
    </w:p>
    <w:p w14:paraId="78A9F249"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50</w:t>
      </w:r>
      <w:r w:rsidRPr="00E15500">
        <w:rPr>
          <w:rStyle w:val="HideTWBExt"/>
        </w:rPr>
        <w:t>&lt;/NumAm&gt;</w:t>
      </w:r>
    </w:p>
    <w:p w14:paraId="2AC0DFD2" w14:textId="77777777" w:rsidR="000B6ECF" w:rsidRPr="00E15500" w:rsidRDefault="000B6ECF" w:rsidP="000B6ECF">
      <w:pPr>
        <w:pStyle w:val="NormalBold"/>
      </w:pPr>
      <w:r w:rsidRPr="00E15500">
        <w:rPr>
          <w:rStyle w:val="HideTWBExt"/>
          <w:b w:val="0"/>
        </w:rPr>
        <w:t>&lt;RepeatBlock-By&gt;&lt;Members&gt;</w:t>
      </w:r>
      <w:r w:rsidRPr="00E15500">
        <w:t>Pasquale Tridico</w:t>
      </w:r>
      <w:r w:rsidRPr="00E15500">
        <w:rPr>
          <w:rStyle w:val="HideTWBExt"/>
          <w:b w:val="0"/>
        </w:rPr>
        <w:t>&lt;/Members&gt;</w:t>
      </w:r>
    </w:p>
    <w:p w14:paraId="44573429" w14:textId="77777777" w:rsidR="000B6ECF" w:rsidRPr="00E15500" w:rsidRDefault="000B6ECF" w:rsidP="000B6ECF">
      <w:pPr>
        <w:pStyle w:val="NormalBold"/>
      </w:pPr>
      <w:r w:rsidRPr="00E15500">
        <w:rPr>
          <w:rStyle w:val="HideTWBExt"/>
          <w:b w:val="0"/>
        </w:rPr>
        <w:t>&lt;/RepeatBlock-By&gt;</w:t>
      </w:r>
    </w:p>
    <w:p w14:paraId="6078DD90"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17D8C0E5" w14:textId="77777777" w:rsidR="000B6ECF" w:rsidRPr="00E15500" w:rsidRDefault="000B6ECF" w:rsidP="000B6ECF">
      <w:pPr>
        <w:pStyle w:val="NormalBold"/>
      </w:pPr>
      <w:r w:rsidRPr="00E15500">
        <w:rPr>
          <w:rStyle w:val="HideTWBExt"/>
        </w:rPr>
        <w:t>&lt;Article&gt;</w:t>
      </w:r>
      <w:r w:rsidRPr="00E15500">
        <w:t>Paragrafo 43</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770EEB47" w14:textId="77777777" w:rsidTr="00AC2424">
        <w:trPr>
          <w:trHeight w:hRule="exact" w:val="240"/>
          <w:jc w:val="center"/>
        </w:trPr>
        <w:tc>
          <w:tcPr>
            <w:tcW w:w="9752" w:type="dxa"/>
            <w:gridSpan w:val="2"/>
            <w:tcBorders>
              <w:top w:val="nil"/>
              <w:left w:val="nil"/>
              <w:bottom w:val="nil"/>
              <w:right w:val="nil"/>
            </w:tcBorders>
          </w:tcPr>
          <w:p w14:paraId="716CD406" w14:textId="77777777" w:rsidR="000B6ECF" w:rsidRPr="00E15500" w:rsidRDefault="000B6ECF" w:rsidP="00AC2424"/>
        </w:tc>
      </w:tr>
      <w:tr w:rsidR="000B6ECF" w:rsidRPr="00E15500" w14:paraId="2D376BB6" w14:textId="77777777" w:rsidTr="00AC2424">
        <w:trPr>
          <w:trHeight w:val="240"/>
          <w:jc w:val="center"/>
        </w:trPr>
        <w:tc>
          <w:tcPr>
            <w:tcW w:w="4876" w:type="dxa"/>
            <w:tcBorders>
              <w:top w:val="nil"/>
              <w:left w:val="nil"/>
              <w:bottom w:val="nil"/>
              <w:right w:val="nil"/>
            </w:tcBorders>
          </w:tcPr>
          <w:p w14:paraId="126501CD"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4802C474" w14:textId="77777777" w:rsidR="000B6ECF" w:rsidRPr="00E15500" w:rsidRDefault="000B6ECF" w:rsidP="00AC2424">
            <w:pPr>
              <w:pStyle w:val="AmColumnHeading"/>
            </w:pPr>
            <w:r w:rsidRPr="00E15500">
              <w:t>Emendamento</w:t>
            </w:r>
          </w:p>
        </w:tc>
      </w:tr>
      <w:tr w:rsidR="000B6ECF" w:rsidRPr="00E15500" w14:paraId="5BA1A7F2" w14:textId="77777777" w:rsidTr="00AC2424">
        <w:trPr>
          <w:jc w:val="center"/>
        </w:trPr>
        <w:tc>
          <w:tcPr>
            <w:tcW w:w="4876" w:type="dxa"/>
            <w:tcBorders>
              <w:top w:val="nil"/>
              <w:left w:val="nil"/>
              <w:bottom w:val="nil"/>
              <w:right w:val="nil"/>
            </w:tcBorders>
          </w:tcPr>
          <w:p w14:paraId="422BE93A" w14:textId="77777777" w:rsidR="000B6ECF" w:rsidRPr="00E15500" w:rsidRDefault="000B6ECF" w:rsidP="00AC2424">
            <w:pPr>
              <w:pStyle w:val="Normal6a"/>
            </w:pPr>
            <w:r w:rsidRPr="00E15500">
              <w:t>43.</w:t>
            </w:r>
            <w:r w:rsidRPr="00E15500">
              <w:tab/>
              <w:t>rileva che la CGUE ha attuato diversi progetti basati sull'intelligenza artificiale (IA), come l'automazione dell'analisi dei documenti per i riferimenti alla legislazione applicabile e l'assistenza alla verifica delle fatture attraverso processi robotizzati, in linea con la sua nuova strategia di integrazione dell'IA adottata nel giugno 2023; osserva che, nell'ambito di tale strategia, la CGUE ha istituito un comitato di gestione dell'IA composto da membri della Corte di giustizia e del Tribunale per la supervisione degli aspetti etici dell'uso dell'IA all'interno della CGUE e per delimitarne chiaramente l'applicazione; accoglie con favore le linee guida del personale sull'uso dell'IA emanate dal comitato; accoglie con favore le iniziative in atto per l'aggiornamento dei dipendenti sulle competenze digitali attraverso il percorso formativo sviluppato in collaborazione con la commissione interistituzionale per la trasformazione digitale;</w:t>
            </w:r>
          </w:p>
        </w:tc>
        <w:tc>
          <w:tcPr>
            <w:tcW w:w="4876" w:type="dxa"/>
            <w:tcBorders>
              <w:top w:val="nil"/>
              <w:left w:val="nil"/>
              <w:bottom w:val="nil"/>
              <w:right w:val="nil"/>
            </w:tcBorders>
          </w:tcPr>
          <w:p w14:paraId="299F342F" w14:textId="77777777" w:rsidR="000B6ECF" w:rsidRPr="00E15500" w:rsidRDefault="000B6ECF" w:rsidP="00AC2424">
            <w:pPr>
              <w:pStyle w:val="Normal6a"/>
            </w:pPr>
            <w:r w:rsidRPr="00E15500">
              <w:t>43.</w:t>
            </w:r>
            <w:r w:rsidRPr="00E15500">
              <w:tab/>
              <w:t>rileva che la CGUE ha attuato diversi progetti basati sull'intelligenza artificiale (IA), come l'automazione dell'analisi dei documenti per i riferimenti alla legislazione applicabile e l'assistenza alla verifica delle fatture attraverso processi robotizzati, in linea con la sua nuova strategia di integrazione dell'IA adottata nel giugno 2023</w:t>
            </w:r>
            <w:r w:rsidRPr="00E15500">
              <w:rPr>
                <w:b/>
                <w:i/>
              </w:rPr>
              <w:t>; sottolinea che è di vitale importanza che l'IA sia utilizzata in maniera tale da preservare completamente l'indipendenza, la qualità e la serenità dei processi legali, tenendo pienamente conto delle questioni etiche, e che sia utilizzata sotto la supervisione umana e consenta l'intervento umano al fine di evitare rischi o conseguenze negative o di fermare il sistema se non funziona come previsto</w:t>
            </w:r>
            <w:r w:rsidRPr="00E15500">
              <w:t>; osserva che, nell'ambito di tale strategia, la CGUE ha istituito un comitato di gestione dell'IA composto da membri della Corte di giustizia e del Tribunale per la supervisione degli aspetti etici dell'uso dell'IA all'interno della CGUE e per delimitarne chiaramente l'applicazione; accoglie con favore le linee guida del personale sull'uso dell'IA emanate dal comitato; accoglie con favore le iniziative in atto per l'aggiornamento dei dipendenti sulle competenze digitali attraverso il percorso formativo sviluppato in collaborazione con la commissione interistituzionale per la trasformazione digitale;</w:t>
            </w:r>
          </w:p>
        </w:tc>
      </w:tr>
    </w:tbl>
    <w:p w14:paraId="63B4C395"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28C00EB6" w14:textId="77777777" w:rsidR="000B6ECF" w:rsidRPr="00E15500" w:rsidRDefault="000B6ECF" w:rsidP="000B6ECF">
      <w:r w:rsidRPr="00E15500">
        <w:rPr>
          <w:rStyle w:val="HideTWBExt"/>
        </w:rPr>
        <w:t>&lt;/Amend&gt;</w:t>
      </w:r>
    </w:p>
    <w:p w14:paraId="2120265C"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51</w:t>
      </w:r>
      <w:r w:rsidRPr="00E15500">
        <w:rPr>
          <w:rStyle w:val="HideTWBExt"/>
        </w:rPr>
        <w:t>&lt;/NumAm&gt;</w:t>
      </w:r>
    </w:p>
    <w:p w14:paraId="696C62DF" w14:textId="77777777" w:rsidR="000B6ECF" w:rsidRPr="00E15500" w:rsidRDefault="000B6ECF" w:rsidP="000B6ECF">
      <w:pPr>
        <w:pStyle w:val="NormalBold"/>
      </w:pPr>
      <w:r w:rsidRPr="00E15500">
        <w:rPr>
          <w:rStyle w:val="HideTWBExt"/>
          <w:b w:val="0"/>
        </w:rPr>
        <w:t>&lt;RepeatBlock-By&gt;&lt;Members&gt;</w:t>
      </w:r>
      <w:r w:rsidRPr="00E15500">
        <w:t>Csaba Molnár, Claudiu Manda, Marit Maij</w:t>
      </w:r>
      <w:r w:rsidRPr="00E15500">
        <w:rPr>
          <w:rStyle w:val="HideTWBExt"/>
          <w:b w:val="0"/>
        </w:rPr>
        <w:t>&lt;/Members&gt;</w:t>
      </w:r>
    </w:p>
    <w:p w14:paraId="7E1A01D7" w14:textId="77777777" w:rsidR="000B6ECF" w:rsidRPr="00E15500" w:rsidRDefault="000B6ECF" w:rsidP="000B6ECF">
      <w:pPr>
        <w:pStyle w:val="NormalBold"/>
      </w:pPr>
      <w:r w:rsidRPr="00E15500">
        <w:rPr>
          <w:rStyle w:val="HideTWBExt"/>
          <w:b w:val="0"/>
        </w:rPr>
        <w:t>&lt;/RepeatBlock-By&gt;</w:t>
      </w:r>
    </w:p>
    <w:p w14:paraId="46C58679"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22C4A30E" w14:textId="77777777" w:rsidR="000B6ECF" w:rsidRPr="00E15500" w:rsidRDefault="000B6ECF" w:rsidP="000B6ECF">
      <w:pPr>
        <w:pStyle w:val="NormalBold"/>
      </w:pPr>
      <w:r w:rsidRPr="00E15500">
        <w:rPr>
          <w:rStyle w:val="HideTWBExt"/>
        </w:rPr>
        <w:t>&lt;Article&gt;</w:t>
      </w:r>
      <w:r w:rsidRPr="00E15500">
        <w:t>Paragrafo 43</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3A0C3FE3" w14:textId="77777777" w:rsidTr="00AC2424">
        <w:trPr>
          <w:trHeight w:hRule="exact" w:val="240"/>
          <w:jc w:val="center"/>
        </w:trPr>
        <w:tc>
          <w:tcPr>
            <w:tcW w:w="9752" w:type="dxa"/>
            <w:gridSpan w:val="2"/>
            <w:tcBorders>
              <w:top w:val="nil"/>
              <w:left w:val="nil"/>
              <w:bottom w:val="nil"/>
              <w:right w:val="nil"/>
            </w:tcBorders>
          </w:tcPr>
          <w:p w14:paraId="6CB0146B" w14:textId="77777777" w:rsidR="000B6ECF" w:rsidRPr="00E15500" w:rsidRDefault="000B6ECF" w:rsidP="00AC2424"/>
        </w:tc>
      </w:tr>
      <w:tr w:rsidR="000B6ECF" w:rsidRPr="00E15500" w14:paraId="2919DB2E" w14:textId="77777777" w:rsidTr="00AC2424">
        <w:trPr>
          <w:trHeight w:val="240"/>
          <w:jc w:val="center"/>
        </w:trPr>
        <w:tc>
          <w:tcPr>
            <w:tcW w:w="4876" w:type="dxa"/>
            <w:tcBorders>
              <w:top w:val="nil"/>
              <w:left w:val="nil"/>
              <w:bottom w:val="nil"/>
              <w:right w:val="nil"/>
            </w:tcBorders>
          </w:tcPr>
          <w:p w14:paraId="02FBBA6A"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0E2B2AE9" w14:textId="77777777" w:rsidR="000B6ECF" w:rsidRPr="00E15500" w:rsidRDefault="000B6ECF" w:rsidP="00AC2424">
            <w:pPr>
              <w:pStyle w:val="AmColumnHeading"/>
            </w:pPr>
            <w:r w:rsidRPr="00E15500">
              <w:t>Emendamento</w:t>
            </w:r>
          </w:p>
        </w:tc>
      </w:tr>
      <w:tr w:rsidR="000B6ECF" w:rsidRPr="00E15500" w14:paraId="6D182341" w14:textId="77777777" w:rsidTr="00AC2424">
        <w:trPr>
          <w:jc w:val="center"/>
        </w:trPr>
        <w:tc>
          <w:tcPr>
            <w:tcW w:w="4876" w:type="dxa"/>
            <w:tcBorders>
              <w:top w:val="nil"/>
              <w:left w:val="nil"/>
              <w:bottom w:val="nil"/>
              <w:right w:val="nil"/>
            </w:tcBorders>
          </w:tcPr>
          <w:p w14:paraId="5FFA3678" w14:textId="77777777" w:rsidR="000B6ECF" w:rsidRPr="00E15500" w:rsidRDefault="000B6ECF" w:rsidP="00AC2424">
            <w:pPr>
              <w:pStyle w:val="Normal6a"/>
            </w:pPr>
            <w:r w:rsidRPr="00E15500">
              <w:t>43.</w:t>
            </w:r>
            <w:r w:rsidRPr="00E15500">
              <w:tab/>
              <w:t>rileva che la CGUE ha attuato diversi progetti basati sull'intelligenza artificiale (IA), come l'automazione dell'analisi dei documenti per i riferimenti alla legislazione applicabile e l'assistenza alla verifica delle fatture attraverso processi robotizzati, in linea con la sua nuova strategia di integrazione dell'IA adottata nel giugno 2023; osserva che, nell'ambito di tale strategia, la CGUE ha istituito un comitato di gestione dell'IA composto da membri della Corte di giustizia e del Tribunale per la supervisione degli aspetti etici dell'uso dell'IA all'interno della CGUE e per delimitarne chiaramente l'applicazione; accoglie con favore le linee guida del personale sull'uso dell'IA emanate dal comitato; accoglie con favore le iniziative in atto per l'aggiornamento dei dipendenti sulle competenze digitali attraverso il percorso formativo sviluppato in collaborazione con la commissione interistituzionale per la trasformazione digitale;</w:t>
            </w:r>
          </w:p>
        </w:tc>
        <w:tc>
          <w:tcPr>
            <w:tcW w:w="4876" w:type="dxa"/>
            <w:tcBorders>
              <w:top w:val="nil"/>
              <w:left w:val="nil"/>
              <w:bottom w:val="nil"/>
              <w:right w:val="nil"/>
            </w:tcBorders>
          </w:tcPr>
          <w:p w14:paraId="1D0893BB" w14:textId="77777777" w:rsidR="000B6ECF" w:rsidRPr="00E15500" w:rsidRDefault="000B6ECF" w:rsidP="00AC2424">
            <w:pPr>
              <w:pStyle w:val="Normal6a"/>
            </w:pPr>
            <w:r w:rsidRPr="00E15500">
              <w:t>43.</w:t>
            </w:r>
            <w:r w:rsidRPr="00E15500">
              <w:tab/>
              <w:t xml:space="preserve">rileva che la CGUE ha attuato diversi progetti basati sull'intelligenza artificiale (IA), come l'automazione dell'analisi dei documenti per i riferimenti alla legislazione applicabile e l'assistenza alla verifica delle fatture attraverso processi robotizzati, in linea con la sua nuova strategia di integrazione dell'IA adottata nel giugno 2023; osserva che, nell'ambito di tale strategia, la CGUE ha istituito un comitato di gestione dell'IA composto da membri della Corte di giustizia e del Tribunale per la supervisione degli aspetti etici dell'uso dell'IA all'interno della CGUE e per delimitarne chiaramente l'applicazione; </w:t>
            </w:r>
            <w:r w:rsidRPr="00E15500">
              <w:rPr>
                <w:b/>
                <w:i/>
              </w:rPr>
              <w:t>sottolinea che è di vitale importanza che l'IA sia utilizzata in maniera tale da preservare completamente l'indipendenza, la qualità e l'integrità dei procedimenti legali e da garantire il pieno rispetto delle norme etiche e che sia soggetta a rigorosi controlli e sorveglianza umani;</w:t>
            </w:r>
            <w:r w:rsidRPr="00E15500">
              <w:t xml:space="preserve"> accoglie con favore le linee guida del personale sull'uso dell'IA emanate dal comitato; accoglie con favore le iniziative in atto per l'aggiornamento dei dipendenti sulle competenze digitali attraverso il percorso formativo sviluppato in collaborazione con la commissione interistituzionale per la trasformazione digitale;</w:t>
            </w:r>
          </w:p>
        </w:tc>
      </w:tr>
    </w:tbl>
    <w:p w14:paraId="520D68E7"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677E3C29" w14:textId="77777777" w:rsidR="000B6ECF" w:rsidRPr="00E15500" w:rsidRDefault="000B6ECF" w:rsidP="000B6ECF">
      <w:r w:rsidRPr="00E15500">
        <w:rPr>
          <w:rStyle w:val="HideTWBExt"/>
        </w:rPr>
        <w:t>&lt;/Amend&gt;</w:t>
      </w:r>
    </w:p>
    <w:p w14:paraId="68E483EB"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52</w:t>
      </w:r>
      <w:r w:rsidRPr="00E15500">
        <w:rPr>
          <w:rStyle w:val="HideTWBExt"/>
        </w:rPr>
        <w:t>&lt;/NumAm&gt;</w:t>
      </w:r>
    </w:p>
    <w:p w14:paraId="21A5B088" w14:textId="77777777" w:rsidR="000B6ECF" w:rsidRPr="00E15500" w:rsidRDefault="000B6ECF" w:rsidP="000B6ECF">
      <w:pPr>
        <w:pStyle w:val="NormalBold"/>
      </w:pPr>
      <w:r w:rsidRPr="00E15500">
        <w:rPr>
          <w:rStyle w:val="HideTWBExt"/>
          <w:b w:val="0"/>
        </w:rPr>
        <w:t>&lt;RepeatBlock-By&gt;&lt;Members&gt;</w:t>
      </w:r>
      <w:r w:rsidRPr="00E15500">
        <w:t>Gilles Boyer, Olivier Chastel, Michal Wiezik, Gerben-Jan Gerbrandy, Vlad Vasile-Voiculescu</w:t>
      </w:r>
      <w:r w:rsidRPr="00E15500">
        <w:rPr>
          <w:rStyle w:val="HideTWBExt"/>
          <w:b w:val="0"/>
        </w:rPr>
        <w:t>&lt;/Members&gt;</w:t>
      </w:r>
    </w:p>
    <w:p w14:paraId="6C7202EE" w14:textId="77777777" w:rsidR="000B6ECF" w:rsidRPr="00E15500" w:rsidRDefault="000B6ECF" w:rsidP="000B6ECF">
      <w:pPr>
        <w:pStyle w:val="NormalBold"/>
      </w:pPr>
      <w:r w:rsidRPr="00E15500">
        <w:rPr>
          <w:rStyle w:val="HideTWBExt"/>
          <w:b w:val="0"/>
        </w:rPr>
        <w:t>&lt;/RepeatBlock-By&gt;</w:t>
      </w:r>
    </w:p>
    <w:p w14:paraId="6CE76722"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046C7B2A" w14:textId="77777777" w:rsidR="000B6ECF" w:rsidRPr="00E15500" w:rsidRDefault="000B6ECF" w:rsidP="000B6ECF">
      <w:pPr>
        <w:pStyle w:val="NormalBold"/>
      </w:pPr>
      <w:r w:rsidRPr="00E15500">
        <w:rPr>
          <w:rStyle w:val="HideTWBExt"/>
        </w:rPr>
        <w:t>&lt;Article&gt;</w:t>
      </w:r>
      <w:r w:rsidRPr="00E15500">
        <w:t>Paragrafo 43</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1A4E397C" w14:textId="77777777" w:rsidTr="00AC2424">
        <w:trPr>
          <w:trHeight w:hRule="exact" w:val="240"/>
          <w:jc w:val="center"/>
        </w:trPr>
        <w:tc>
          <w:tcPr>
            <w:tcW w:w="9752" w:type="dxa"/>
            <w:gridSpan w:val="2"/>
            <w:tcBorders>
              <w:top w:val="nil"/>
              <w:left w:val="nil"/>
              <w:bottom w:val="nil"/>
              <w:right w:val="nil"/>
            </w:tcBorders>
          </w:tcPr>
          <w:p w14:paraId="50BDBED1" w14:textId="77777777" w:rsidR="000B6ECF" w:rsidRPr="00E15500" w:rsidRDefault="000B6ECF" w:rsidP="00AC2424"/>
        </w:tc>
      </w:tr>
      <w:tr w:rsidR="000B6ECF" w:rsidRPr="00E15500" w14:paraId="78D5994F" w14:textId="77777777" w:rsidTr="00AC2424">
        <w:trPr>
          <w:trHeight w:val="240"/>
          <w:jc w:val="center"/>
        </w:trPr>
        <w:tc>
          <w:tcPr>
            <w:tcW w:w="4876" w:type="dxa"/>
            <w:tcBorders>
              <w:top w:val="nil"/>
              <w:left w:val="nil"/>
              <w:bottom w:val="nil"/>
              <w:right w:val="nil"/>
            </w:tcBorders>
          </w:tcPr>
          <w:p w14:paraId="4600108E"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0B87EE82" w14:textId="77777777" w:rsidR="000B6ECF" w:rsidRPr="00E15500" w:rsidRDefault="000B6ECF" w:rsidP="00AC2424">
            <w:pPr>
              <w:pStyle w:val="AmColumnHeading"/>
            </w:pPr>
            <w:r w:rsidRPr="00E15500">
              <w:t>Emendamento</w:t>
            </w:r>
          </w:p>
        </w:tc>
      </w:tr>
      <w:tr w:rsidR="000B6ECF" w:rsidRPr="00E15500" w14:paraId="56183409" w14:textId="77777777" w:rsidTr="00AC2424">
        <w:trPr>
          <w:jc w:val="center"/>
        </w:trPr>
        <w:tc>
          <w:tcPr>
            <w:tcW w:w="4876" w:type="dxa"/>
            <w:tcBorders>
              <w:top w:val="nil"/>
              <w:left w:val="nil"/>
              <w:bottom w:val="nil"/>
              <w:right w:val="nil"/>
            </w:tcBorders>
          </w:tcPr>
          <w:p w14:paraId="356772B9" w14:textId="77777777" w:rsidR="000B6ECF" w:rsidRPr="00E15500" w:rsidRDefault="000B6ECF" w:rsidP="00AC2424">
            <w:pPr>
              <w:pStyle w:val="Normal6a"/>
            </w:pPr>
            <w:r w:rsidRPr="00E15500">
              <w:t>43.</w:t>
            </w:r>
            <w:r w:rsidRPr="00E15500">
              <w:tab/>
              <w:t>rileva che la CGUE ha attuato diversi progetti basati sull'intelligenza artificiale (IA), come l'automazione dell'analisi dei documenti per i riferimenti alla legislazione applicabile e l'assistenza alla verifica delle fatture attraverso processi robotizzati, in linea con la sua nuova strategia di integrazione dell'IA adottata nel giugno 2023; osserva che, nell'ambito di tale strategia, la CGUE ha istituito un comitato di gestione dell'IA composto da membri della Corte di giustizia e del Tribunale per la supervisione degli aspetti etici dell'uso dell'IA all'interno della CGUE e per delimitarne chiaramente l'applicazione; accoglie con favore le linee guida del personale sull'uso dell'IA emanate dal comitato; accoglie con favore le iniziative in atto per l'aggiornamento dei dipendenti sulle competenze digitali attraverso il percorso formativo sviluppato in collaborazione con la commissione interistituzionale per la trasformazione digitale;</w:t>
            </w:r>
          </w:p>
        </w:tc>
        <w:tc>
          <w:tcPr>
            <w:tcW w:w="4876" w:type="dxa"/>
            <w:tcBorders>
              <w:top w:val="nil"/>
              <w:left w:val="nil"/>
              <w:bottom w:val="nil"/>
              <w:right w:val="nil"/>
            </w:tcBorders>
          </w:tcPr>
          <w:p w14:paraId="5CA8E2F8" w14:textId="77777777" w:rsidR="000B6ECF" w:rsidRPr="00E15500" w:rsidRDefault="000B6ECF" w:rsidP="00AC2424">
            <w:pPr>
              <w:pStyle w:val="Normal6a"/>
            </w:pPr>
            <w:r w:rsidRPr="00E15500">
              <w:t>43.</w:t>
            </w:r>
            <w:r w:rsidRPr="00E15500">
              <w:tab/>
              <w:t xml:space="preserve">rileva che la CGUE ha attuato diversi progetti basati sull'intelligenza artificiale (IA), come l'automazione dell'analisi dei documenti per i riferimenti alla legislazione applicabile e l'assistenza alla verifica delle fatture attraverso processi robotizzati, in linea con la sua nuova strategia di integrazione dell'IA adottata nel giugno 2023; osserva che, nell'ambito di tale strategia, la CGUE ha istituito un comitato di gestione dell'IA composto da membri della Corte di giustizia e del Tribunale per la supervisione degli aspetti etici dell'uso dell'IA all'interno della CGUE e per delimitarne chiaramente l'applicazione; accoglie con favore le linee guida del personale sull'uso dell'IA emanate dal comitato; accoglie con favore le iniziative in atto per l'aggiornamento dei dipendenti sulle competenze digitali attraverso il percorso formativo sviluppato in collaborazione con la commissione interistituzionale per la trasformazione digitale; </w:t>
            </w:r>
            <w:r w:rsidRPr="00E15500">
              <w:rPr>
                <w:b/>
                <w:i/>
              </w:rPr>
              <w:t>sottolinea che la digitalizzazione della giustizia e l'adozione di tecnologie emergenti come l'IA offriranno vantaggi significativi per il funzionamento efficiente della Corte; raccomanda tuttavia alla Corte di giustizia di prevenire i rischi connessi alla cibersicurezza e di rafforzare ulteriormente la collaborazione con l'Agenzia dell'UE per la cibersicurezza e il CERT-UE;</w:t>
            </w:r>
          </w:p>
        </w:tc>
      </w:tr>
    </w:tbl>
    <w:p w14:paraId="79912557"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50528645" w14:textId="77777777" w:rsidR="000B6ECF" w:rsidRPr="00E15500" w:rsidRDefault="000B6ECF" w:rsidP="000B6ECF">
      <w:r w:rsidRPr="00E15500">
        <w:rPr>
          <w:rStyle w:val="HideTWBExt"/>
        </w:rPr>
        <w:t>&lt;/Amend&gt;</w:t>
      </w:r>
    </w:p>
    <w:p w14:paraId="2E685A1B"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53</w:t>
      </w:r>
      <w:r w:rsidRPr="00E15500">
        <w:rPr>
          <w:rStyle w:val="HideTWBExt"/>
        </w:rPr>
        <w:t>&lt;/NumAm&gt;</w:t>
      </w:r>
    </w:p>
    <w:p w14:paraId="7455940C" w14:textId="77777777" w:rsidR="000B6ECF" w:rsidRPr="00E15500" w:rsidRDefault="000B6ECF" w:rsidP="000B6ECF">
      <w:pPr>
        <w:pStyle w:val="NormalBold"/>
      </w:pPr>
      <w:r w:rsidRPr="00E15500">
        <w:rPr>
          <w:rStyle w:val="HideTWBExt"/>
          <w:b w:val="0"/>
        </w:rPr>
        <w:t>&lt;RepeatBlock-By&gt;&lt;Members&gt;</w:t>
      </w:r>
      <w:r w:rsidRPr="00E15500">
        <w:t>Virginie Joron, Tamás Deutsch, Julien Sanchez</w:t>
      </w:r>
      <w:r w:rsidRPr="00E15500">
        <w:rPr>
          <w:rStyle w:val="HideTWBExt"/>
          <w:b w:val="0"/>
        </w:rPr>
        <w:t>&lt;/Members&gt;</w:t>
      </w:r>
    </w:p>
    <w:p w14:paraId="121D9330" w14:textId="77777777" w:rsidR="000B6ECF" w:rsidRPr="00E15500" w:rsidRDefault="000B6ECF" w:rsidP="000B6ECF">
      <w:pPr>
        <w:pStyle w:val="NormalBold"/>
      </w:pPr>
      <w:r w:rsidRPr="00E15500">
        <w:rPr>
          <w:rStyle w:val="HideTWBExt"/>
          <w:b w:val="0"/>
        </w:rPr>
        <w:t>&lt;/RepeatBlock-By&gt;</w:t>
      </w:r>
    </w:p>
    <w:p w14:paraId="13A4519C"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21DB97DA" w14:textId="77777777" w:rsidR="000B6ECF" w:rsidRPr="00E15500" w:rsidRDefault="000B6ECF" w:rsidP="000B6ECF">
      <w:pPr>
        <w:pStyle w:val="NormalBold"/>
      </w:pPr>
      <w:r w:rsidRPr="00E15500">
        <w:rPr>
          <w:rStyle w:val="HideTWBExt"/>
        </w:rPr>
        <w:t>&lt;Article&gt;</w:t>
      </w:r>
      <w:r w:rsidRPr="00E15500">
        <w:t>Paragrafo 43</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18375695" w14:textId="77777777" w:rsidTr="00AC2424">
        <w:trPr>
          <w:trHeight w:hRule="exact" w:val="240"/>
          <w:jc w:val="center"/>
        </w:trPr>
        <w:tc>
          <w:tcPr>
            <w:tcW w:w="9752" w:type="dxa"/>
            <w:gridSpan w:val="2"/>
            <w:tcBorders>
              <w:top w:val="nil"/>
              <w:left w:val="nil"/>
              <w:bottom w:val="nil"/>
              <w:right w:val="nil"/>
            </w:tcBorders>
          </w:tcPr>
          <w:p w14:paraId="005D594C" w14:textId="77777777" w:rsidR="000B6ECF" w:rsidRPr="00E15500" w:rsidRDefault="000B6ECF" w:rsidP="00AC2424"/>
        </w:tc>
      </w:tr>
      <w:tr w:rsidR="000B6ECF" w:rsidRPr="00E15500" w14:paraId="096ECD0F" w14:textId="77777777" w:rsidTr="00AC2424">
        <w:trPr>
          <w:trHeight w:val="240"/>
          <w:jc w:val="center"/>
        </w:trPr>
        <w:tc>
          <w:tcPr>
            <w:tcW w:w="4876" w:type="dxa"/>
            <w:tcBorders>
              <w:top w:val="nil"/>
              <w:left w:val="nil"/>
              <w:bottom w:val="nil"/>
              <w:right w:val="nil"/>
            </w:tcBorders>
          </w:tcPr>
          <w:p w14:paraId="1E015EC9"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359DFFE5" w14:textId="77777777" w:rsidR="000B6ECF" w:rsidRPr="00E15500" w:rsidRDefault="000B6ECF" w:rsidP="00AC2424">
            <w:pPr>
              <w:pStyle w:val="AmColumnHeading"/>
            </w:pPr>
            <w:r w:rsidRPr="00E15500">
              <w:t>Emendamento</w:t>
            </w:r>
          </w:p>
        </w:tc>
      </w:tr>
      <w:tr w:rsidR="000B6ECF" w:rsidRPr="00E15500" w14:paraId="1C056F1F" w14:textId="77777777" w:rsidTr="00AC2424">
        <w:trPr>
          <w:jc w:val="center"/>
        </w:trPr>
        <w:tc>
          <w:tcPr>
            <w:tcW w:w="4876" w:type="dxa"/>
            <w:tcBorders>
              <w:top w:val="nil"/>
              <w:left w:val="nil"/>
              <w:bottom w:val="nil"/>
              <w:right w:val="nil"/>
            </w:tcBorders>
          </w:tcPr>
          <w:p w14:paraId="7ABD7C42" w14:textId="77777777" w:rsidR="000B6ECF" w:rsidRPr="00E15500" w:rsidRDefault="000B6ECF" w:rsidP="00AC2424">
            <w:pPr>
              <w:pStyle w:val="Normal6a"/>
            </w:pPr>
            <w:r w:rsidRPr="00E15500">
              <w:t>43.</w:t>
            </w:r>
            <w:r w:rsidRPr="00E15500">
              <w:tab/>
              <w:t>rileva che la CGUE ha attuato diversi progetti basati sull'intelligenza artificiale (IA), come l'automazione dell'analisi dei documenti per i riferimenti alla legislazione applicabile e l'assistenza alla verifica delle fatture attraverso processi robotizzati, in linea con la sua nuova strategia di integrazione dell'IA adottata nel giugno 2023; osserva che, nell'ambito di tale strategia, la CGUE ha istituito un comitato di gestione dell'IA composto da membri della Corte di giustizia e del Tribunale per la supervisione degli aspetti etici dell'uso dell'IA all'interno della CGUE e per delimitarne chiaramente l'applicazione; accoglie con favore le linee guida del personale sull'uso dell'IA emanate dal comitato; accoglie con favore le iniziative in atto per l'aggiornamento dei dipendenti sulle competenze digitali attraverso il percorso formativo sviluppato in collaborazione con la commissione interistituzionale per la trasformazione digitale;</w:t>
            </w:r>
          </w:p>
        </w:tc>
        <w:tc>
          <w:tcPr>
            <w:tcW w:w="4876" w:type="dxa"/>
            <w:tcBorders>
              <w:top w:val="nil"/>
              <w:left w:val="nil"/>
              <w:bottom w:val="nil"/>
              <w:right w:val="nil"/>
            </w:tcBorders>
          </w:tcPr>
          <w:p w14:paraId="5254D893" w14:textId="77777777" w:rsidR="000B6ECF" w:rsidRPr="00E15500" w:rsidRDefault="000B6ECF" w:rsidP="00AC2424">
            <w:pPr>
              <w:pStyle w:val="Normal6a"/>
            </w:pPr>
            <w:r w:rsidRPr="00E15500">
              <w:t>43.</w:t>
            </w:r>
            <w:r w:rsidRPr="00E15500">
              <w:tab/>
              <w:t xml:space="preserve">rileva che la CGUE ha attuato diversi progetti basati sull'intelligenza artificiale (IA), come l'automazione dell'analisi dei documenti per i riferimenti alla legislazione applicabile e l'assistenza alla verifica delle fatture attraverso processi robotizzati, in linea con la sua nuova strategia di integrazione dell'IA adottata nel giugno 2023; osserva che, nell'ambito di tale strategia, la CGUE ha istituito un comitato di gestione dell'IA composto da membri della Corte di giustizia e del Tribunale per la supervisione degli aspetti etici dell'uso dell'IA all'interno della CGUE e per delimitarne chiaramente l'applicazione; accoglie con favore le linee guida del personale sull'uso dell'IA emanate dal comitato; accoglie con favore le iniziative in atto per l'aggiornamento dei dipendenti sulle competenze digitali attraverso il percorso formativo sviluppato in collaborazione con la commissione interistituzionale per la trasformazione digitale; </w:t>
            </w:r>
            <w:r w:rsidRPr="00E15500">
              <w:rPr>
                <w:b/>
                <w:i/>
              </w:rPr>
              <w:t>chiede l'elaborazione di una relazione annuale che permetta di verificare, in particolare, la pertinenza delle spese legate a tale strategia in materia di IA;</w:t>
            </w:r>
          </w:p>
        </w:tc>
      </w:tr>
    </w:tbl>
    <w:p w14:paraId="1784CB6F" w14:textId="77777777" w:rsidR="000B6ECF" w:rsidRPr="00AC2424" w:rsidRDefault="000B6ECF" w:rsidP="000B6ECF">
      <w:pPr>
        <w:pStyle w:val="AmOrLang"/>
        <w:rPr>
          <w:lang w:val="en-GB"/>
        </w:rPr>
      </w:pPr>
      <w:r w:rsidRPr="00AC2424">
        <w:rPr>
          <w:lang w:val="en-GB"/>
        </w:rPr>
        <w:t xml:space="preserve">Or. </w:t>
      </w:r>
      <w:r w:rsidRPr="00AC2424">
        <w:rPr>
          <w:rStyle w:val="HideTWBExt"/>
          <w:lang w:val="en-GB"/>
        </w:rPr>
        <w:t>&lt;Original&gt;</w:t>
      </w:r>
      <w:r w:rsidRPr="00AC2424">
        <w:rPr>
          <w:rStyle w:val="HideTWBInt"/>
          <w:lang w:val="en-GB"/>
        </w:rPr>
        <w:t>{FR}</w:t>
      </w:r>
      <w:r w:rsidRPr="00AC2424">
        <w:rPr>
          <w:lang w:val="en-GB"/>
        </w:rPr>
        <w:t>fr</w:t>
      </w:r>
      <w:r w:rsidRPr="00AC2424">
        <w:rPr>
          <w:rStyle w:val="HideTWBExt"/>
          <w:lang w:val="en-GB"/>
        </w:rPr>
        <w:t>&lt;/Original&gt;</w:t>
      </w:r>
    </w:p>
    <w:p w14:paraId="5C7D2CA0" w14:textId="77777777" w:rsidR="000B6ECF" w:rsidRPr="00AC2424" w:rsidRDefault="000B6ECF" w:rsidP="000B6ECF">
      <w:pPr>
        <w:rPr>
          <w:lang w:val="en-GB"/>
        </w:rPr>
      </w:pPr>
      <w:r w:rsidRPr="00AC2424">
        <w:rPr>
          <w:rStyle w:val="HideTWBExt"/>
          <w:lang w:val="en-GB"/>
        </w:rPr>
        <w:t>&lt;/Amend&gt;</w:t>
      </w:r>
    </w:p>
    <w:p w14:paraId="3AF43C9D" w14:textId="77777777" w:rsidR="000B6ECF" w:rsidRPr="00AC2424" w:rsidRDefault="000B6ECF" w:rsidP="000B6ECF">
      <w:pPr>
        <w:pStyle w:val="AmNumberTabs"/>
        <w:rPr>
          <w:lang w:val="en-GB"/>
        </w:rPr>
      </w:pPr>
      <w:r w:rsidRPr="00AC2424">
        <w:rPr>
          <w:rStyle w:val="HideTWBExt"/>
          <w:lang w:val="en-GB"/>
        </w:rPr>
        <w:t>&lt;Amend&gt;</w:t>
      </w:r>
      <w:r w:rsidRPr="00AC2424">
        <w:rPr>
          <w:lang w:val="en-GB"/>
        </w:rPr>
        <w:t>Emendamento</w:t>
      </w:r>
      <w:r w:rsidRPr="00AC2424">
        <w:rPr>
          <w:lang w:val="en-GB"/>
        </w:rPr>
        <w:tab/>
      </w:r>
      <w:r w:rsidRPr="00AC2424">
        <w:rPr>
          <w:lang w:val="en-GB"/>
        </w:rPr>
        <w:tab/>
      </w:r>
      <w:r w:rsidRPr="00AC2424">
        <w:rPr>
          <w:rStyle w:val="HideTWBExt"/>
          <w:lang w:val="en-GB"/>
        </w:rPr>
        <w:t>&lt;NumAm&gt;</w:t>
      </w:r>
      <w:r w:rsidRPr="00AC2424">
        <w:rPr>
          <w:lang w:val="en-GB"/>
        </w:rPr>
        <w:t>54</w:t>
      </w:r>
      <w:r w:rsidRPr="00AC2424">
        <w:rPr>
          <w:rStyle w:val="HideTWBExt"/>
          <w:lang w:val="en-GB"/>
        </w:rPr>
        <w:t>&lt;/NumAm&gt;</w:t>
      </w:r>
    </w:p>
    <w:p w14:paraId="46C61559" w14:textId="77777777" w:rsidR="000B6ECF" w:rsidRPr="00AC2424" w:rsidRDefault="000B6ECF" w:rsidP="000B6ECF">
      <w:pPr>
        <w:pStyle w:val="NormalBold"/>
        <w:rPr>
          <w:lang w:val="en-GB"/>
        </w:rPr>
      </w:pPr>
      <w:r w:rsidRPr="00AC2424">
        <w:rPr>
          <w:rStyle w:val="HideTWBExt"/>
          <w:b w:val="0"/>
          <w:lang w:val="en-GB"/>
        </w:rPr>
        <w:t>&lt;RepeatBlock-By&gt;&lt;Members&gt;</w:t>
      </w:r>
      <w:r w:rsidRPr="00AC2424">
        <w:rPr>
          <w:lang w:val="en-GB"/>
        </w:rPr>
        <w:t>Dick Erixon, Charlie Weimers, Beatrice Timgren</w:t>
      </w:r>
      <w:r w:rsidRPr="00AC2424">
        <w:rPr>
          <w:rStyle w:val="HideTWBExt"/>
          <w:b w:val="0"/>
          <w:lang w:val="en-GB"/>
        </w:rPr>
        <w:t>&lt;/Members&gt;</w:t>
      </w:r>
    </w:p>
    <w:p w14:paraId="382DC7A8" w14:textId="77777777" w:rsidR="000B6ECF" w:rsidRPr="00AC2424" w:rsidRDefault="000B6ECF" w:rsidP="000B6ECF">
      <w:pPr>
        <w:pStyle w:val="NormalBold"/>
        <w:rPr>
          <w:lang w:val="en-GB"/>
        </w:rPr>
      </w:pPr>
      <w:r w:rsidRPr="00AC2424">
        <w:rPr>
          <w:rStyle w:val="HideTWBExt"/>
          <w:b w:val="0"/>
          <w:lang w:val="en-GB"/>
        </w:rPr>
        <w:t>&lt;/RepeatBlock-By&gt;</w:t>
      </w:r>
    </w:p>
    <w:p w14:paraId="4F514714"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7C20BC4E" w14:textId="77777777" w:rsidR="000B6ECF" w:rsidRPr="00E15500" w:rsidRDefault="000B6ECF" w:rsidP="000B6ECF">
      <w:pPr>
        <w:pStyle w:val="NormalBold"/>
      </w:pPr>
      <w:r w:rsidRPr="00E15500">
        <w:rPr>
          <w:rStyle w:val="HideTWBExt"/>
        </w:rPr>
        <w:t>&lt;Article&gt;</w:t>
      </w:r>
      <w:r w:rsidRPr="00E15500">
        <w:t>Paragrafo 43</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7E99EFD4" w14:textId="77777777" w:rsidTr="00AC2424">
        <w:trPr>
          <w:trHeight w:hRule="exact" w:val="240"/>
          <w:jc w:val="center"/>
        </w:trPr>
        <w:tc>
          <w:tcPr>
            <w:tcW w:w="9752" w:type="dxa"/>
            <w:gridSpan w:val="2"/>
            <w:tcBorders>
              <w:top w:val="nil"/>
              <w:left w:val="nil"/>
              <w:bottom w:val="nil"/>
              <w:right w:val="nil"/>
            </w:tcBorders>
          </w:tcPr>
          <w:p w14:paraId="0EE4E7B6" w14:textId="77777777" w:rsidR="000B6ECF" w:rsidRPr="00E15500" w:rsidRDefault="000B6ECF" w:rsidP="00AC2424"/>
        </w:tc>
      </w:tr>
      <w:tr w:rsidR="000B6ECF" w:rsidRPr="00E15500" w14:paraId="01C47110" w14:textId="77777777" w:rsidTr="00AC2424">
        <w:trPr>
          <w:trHeight w:val="240"/>
          <w:jc w:val="center"/>
        </w:trPr>
        <w:tc>
          <w:tcPr>
            <w:tcW w:w="4876" w:type="dxa"/>
            <w:tcBorders>
              <w:top w:val="nil"/>
              <w:left w:val="nil"/>
              <w:bottom w:val="nil"/>
              <w:right w:val="nil"/>
            </w:tcBorders>
          </w:tcPr>
          <w:p w14:paraId="7292997D"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7D174BD0" w14:textId="77777777" w:rsidR="000B6ECF" w:rsidRPr="00E15500" w:rsidRDefault="000B6ECF" w:rsidP="00AC2424">
            <w:pPr>
              <w:pStyle w:val="AmColumnHeading"/>
            </w:pPr>
            <w:r w:rsidRPr="00E15500">
              <w:t>Emendamento</w:t>
            </w:r>
          </w:p>
        </w:tc>
      </w:tr>
      <w:tr w:rsidR="000B6ECF" w:rsidRPr="00E15500" w14:paraId="0549435C" w14:textId="77777777" w:rsidTr="00AC2424">
        <w:trPr>
          <w:jc w:val="center"/>
        </w:trPr>
        <w:tc>
          <w:tcPr>
            <w:tcW w:w="4876" w:type="dxa"/>
            <w:tcBorders>
              <w:top w:val="nil"/>
              <w:left w:val="nil"/>
              <w:bottom w:val="nil"/>
              <w:right w:val="nil"/>
            </w:tcBorders>
          </w:tcPr>
          <w:p w14:paraId="68322816" w14:textId="77777777" w:rsidR="000B6ECF" w:rsidRPr="00E15500" w:rsidRDefault="000B6ECF" w:rsidP="00AC2424">
            <w:pPr>
              <w:pStyle w:val="Normal6a"/>
            </w:pPr>
            <w:r w:rsidRPr="00E15500">
              <w:t>43.</w:t>
            </w:r>
            <w:r w:rsidRPr="00E15500">
              <w:tab/>
              <w:t xml:space="preserve">rileva che la CGUE ha attuato diversi progetti basati sull'intelligenza artificiale (IA), come l'automazione dell'analisi dei documenti per i riferimenti alla legislazione applicabile </w:t>
            </w:r>
            <w:r w:rsidRPr="00E15500">
              <w:rPr>
                <w:b/>
                <w:i/>
              </w:rPr>
              <w:t>e</w:t>
            </w:r>
            <w:r w:rsidRPr="00E15500">
              <w:t xml:space="preserve"> l'assistenza alla verifica delle fatture attraverso processi robotizzati, in linea con la sua nuova strategia di integrazione dell'IA adottata nel giugno 2023; osserva che, nell'ambito di tale strategia, la CGUE ha istituito un comitato di gestione dell'IA composto da membri della Corte di giustizia e del Tribunale per la supervisione degli aspetti etici dell'uso dell'IA all'interno della CGUE e per delimitarne chiaramente l'applicazione; accoglie con favore le linee guida del personale sull'uso dell'IA emanate dal comitato; accoglie con favore le iniziative in atto per l'aggiornamento dei dipendenti sulle competenze digitali attraverso il percorso formativo sviluppato in collaborazione con la commissione interistituzionale per la trasformazione digitale;</w:t>
            </w:r>
          </w:p>
        </w:tc>
        <w:tc>
          <w:tcPr>
            <w:tcW w:w="4876" w:type="dxa"/>
            <w:tcBorders>
              <w:top w:val="nil"/>
              <w:left w:val="nil"/>
              <w:bottom w:val="nil"/>
              <w:right w:val="nil"/>
            </w:tcBorders>
          </w:tcPr>
          <w:p w14:paraId="6738B373" w14:textId="77777777" w:rsidR="000B6ECF" w:rsidRPr="00E15500" w:rsidRDefault="000B6ECF" w:rsidP="00AC2424">
            <w:pPr>
              <w:pStyle w:val="Normal6a"/>
            </w:pPr>
            <w:r w:rsidRPr="00E15500">
              <w:t>43.</w:t>
            </w:r>
            <w:r w:rsidRPr="00E15500">
              <w:tab/>
              <w:t>rileva che la CGUE ha attuato diversi progetti basati sull'intelligenza artificiale (IA), come l'automazione dell'analisi dei documenti per i riferimenti alla legislazione applicabile</w:t>
            </w:r>
            <w:r w:rsidRPr="00E15500">
              <w:rPr>
                <w:b/>
                <w:i/>
              </w:rPr>
              <w:t>,</w:t>
            </w:r>
            <w:r w:rsidRPr="00E15500">
              <w:t xml:space="preserve"> l'assistenza alla verifica delle fatture attraverso processi robotizzati </w:t>
            </w:r>
            <w:r w:rsidRPr="00E15500">
              <w:rPr>
                <w:b/>
                <w:i/>
              </w:rPr>
              <w:t>e la trascrizione delle udienze</w:t>
            </w:r>
            <w:r w:rsidRPr="00E15500">
              <w:t>, in linea con la sua nuova strategia di integrazione dell'IA adottata nel giugno 2023; osserva che, nell'ambito di tale strategia, la CGUE ha istituito un comitato di gestione dell'IA composto da membri della Corte di giustizia e del Tribunale per la supervisione degli aspetti etici dell'uso dell'IA all'interno della CGUE e per delimitarne chiaramente l'applicazione; accoglie con favore le linee guida del personale sull'uso dell'IA emanate dal comitato; accoglie con favore le iniziative in atto per l'aggiornamento dei dipendenti sulle competenze digitali attraverso il percorso formativo sviluppato in collaborazione con la commissione interistituzionale per la trasformazione digitale;</w:t>
            </w:r>
          </w:p>
        </w:tc>
      </w:tr>
    </w:tbl>
    <w:p w14:paraId="66A9C835"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1A728467" w14:textId="77777777" w:rsidR="000B6ECF" w:rsidRPr="00E15500" w:rsidRDefault="000B6ECF" w:rsidP="000B6ECF">
      <w:r w:rsidRPr="00E15500">
        <w:rPr>
          <w:rStyle w:val="HideTWBExt"/>
        </w:rPr>
        <w:t>&lt;/Amend&gt;</w:t>
      </w:r>
    </w:p>
    <w:p w14:paraId="6C864675"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55</w:t>
      </w:r>
      <w:r w:rsidRPr="00E15500">
        <w:rPr>
          <w:rStyle w:val="HideTWBExt"/>
        </w:rPr>
        <w:t>&lt;/NumAm&gt;</w:t>
      </w:r>
    </w:p>
    <w:p w14:paraId="7649D6EF" w14:textId="77777777" w:rsidR="000B6ECF" w:rsidRPr="00E15500" w:rsidRDefault="000B6ECF" w:rsidP="000B6ECF">
      <w:pPr>
        <w:pStyle w:val="NormalBold"/>
      </w:pPr>
      <w:r w:rsidRPr="00E15500">
        <w:rPr>
          <w:rStyle w:val="HideTWBExt"/>
          <w:b w:val="0"/>
        </w:rPr>
        <w:t>&lt;RepeatBlock-By&gt;&lt;Members&gt;</w:t>
      </w:r>
      <w:r w:rsidRPr="00E15500">
        <w:t>Gilles Boyer, Olivier Chastel, Michal Wiezik, Gerben-Jan Gerbrandy, Vlad Vasile-Voiculescu</w:t>
      </w:r>
      <w:r w:rsidRPr="00E15500">
        <w:rPr>
          <w:rStyle w:val="HideTWBExt"/>
          <w:b w:val="0"/>
        </w:rPr>
        <w:t>&lt;/Members&gt;</w:t>
      </w:r>
    </w:p>
    <w:p w14:paraId="09C78657" w14:textId="77777777" w:rsidR="000B6ECF" w:rsidRPr="00E15500" w:rsidRDefault="000B6ECF" w:rsidP="000B6ECF">
      <w:pPr>
        <w:pStyle w:val="NormalBold"/>
      </w:pPr>
      <w:r w:rsidRPr="00E15500">
        <w:rPr>
          <w:rStyle w:val="HideTWBExt"/>
          <w:b w:val="0"/>
        </w:rPr>
        <w:t>&lt;/RepeatBlock-By&gt;</w:t>
      </w:r>
    </w:p>
    <w:p w14:paraId="4679604B"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396FE8ED" w14:textId="77777777" w:rsidR="000B6ECF" w:rsidRPr="00E15500" w:rsidRDefault="000B6ECF" w:rsidP="000B6ECF">
      <w:pPr>
        <w:pStyle w:val="NormalBold"/>
      </w:pPr>
      <w:r w:rsidRPr="00E15500">
        <w:rPr>
          <w:rStyle w:val="HideTWBExt"/>
        </w:rPr>
        <w:t>&lt;Article&gt;</w:t>
      </w:r>
      <w:r w:rsidRPr="00E15500">
        <w:t>Paragrafo 44</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75969DCF" w14:textId="77777777" w:rsidTr="00AC2424">
        <w:trPr>
          <w:trHeight w:hRule="exact" w:val="240"/>
          <w:jc w:val="center"/>
        </w:trPr>
        <w:tc>
          <w:tcPr>
            <w:tcW w:w="9752" w:type="dxa"/>
            <w:gridSpan w:val="2"/>
            <w:tcBorders>
              <w:top w:val="nil"/>
              <w:left w:val="nil"/>
              <w:bottom w:val="nil"/>
              <w:right w:val="nil"/>
            </w:tcBorders>
          </w:tcPr>
          <w:p w14:paraId="1547911C" w14:textId="77777777" w:rsidR="000B6ECF" w:rsidRPr="00E15500" w:rsidRDefault="000B6ECF" w:rsidP="00AC2424"/>
        </w:tc>
      </w:tr>
      <w:tr w:rsidR="000B6ECF" w:rsidRPr="00E15500" w14:paraId="56EF56ED" w14:textId="77777777" w:rsidTr="00AC2424">
        <w:trPr>
          <w:trHeight w:val="240"/>
          <w:jc w:val="center"/>
        </w:trPr>
        <w:tc>
          <w:tcPr>
            <w:tcW w:w="4876" w:type="dxa"/>
            <w:tcBorders>
              <w:top w:val="nil"/>
              <w:left w:val="nil"/>
              <w:bottom w:val="nil"/>
              <w:right w:val="nil"/>
            </w:tcBorders>
          </w:tcPr>
          <w:p w14:paraId="2E3108B5"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2A27E0FF" w14:textId="77777777" w:rsidR="000B6ECF" w:rsidRPr="00E15500" w:rsidRDefault="000B6ECF" w:rsidP="00AC2424">
            <w:pPr>
              <w:pStyle w:val="AmColumnHeading"/>
            </w:pPr>
            <w:r w:rsidRPr="00E15500">
              <w:t>Emendamento</w:t>
            </w:r>
          </w:p>
        </w:tc>
      </w:tr>
      <w:tr w:rsidR="000B6ECF" w:rsidRPr="00E15500" w14:paraId="20A0E8D8" w14:textId="77777777" w:rsidTr="00AC2424">
        <w:trPr>
          <w:jc w:val="center"/>
        </w:trPr>
        <w:tc>
          <w:tcPr>
            <w:tcW w:w="4876" w:type="dxa"/>
            <w:tcBorders>
              <w:top w:val="nil"/>
              <w:left w:val="nil"/>
              <w:bottom w:val="nil"/>
              <w:right w:val="nil"/>
            </w:tcBorders>
          </w:tcPr>
          <w:p w14:paraId="36E69618" w14:textId="77777777" w:rsidR="000B6ECF" w:rsidRPr="00E15500" w:rsidRDefault="000B6ECF" w:rsidP="00AC2424">
            <w:pPr>
              <w:pStyle w:val="Normal6a"/>
            </w:pPr>
            <w:r w:rsidRPr="00E15500">
              <w:t>44.</w:t>
            </w:r>
            <w:r w:rsidRPr="00E15500">
              <w:tab/>
              <w:t>rileva che nel 2023 alla CGUE non sono state comunicate indagini da parte del GEPD; rileva che, nel 2023, il GEPD non aveva rivolto alcuna raccomandazione specifica alla CGUE a seguito della sua indagine sull'uso dei servizi cloud forniti da Amazon Web Services; rileva che il GEPD ha pubblicato una decisione nel 2023 che conferma la conformità dell'uso dei servizi cloud di videoconferenza alla normativa sulla protezione dei dati;</w:t>
            </w:r>
          </w:p>
        </w:tc>
        <w:tc>
          <w:tcPr>
            <w:tcW w:w="4876" w:type="dxa"/>
            <w:tcBorders>
              <w:top w:val="nil"/>
              <w:left w:val="nil"/>
              <w:bottom w:val="nil"/>
              <w:right w:val="nil"/>
            </w:tcBorders>
          </w:tcPr>
          <w:p w14:paraId="4718E1F2" w14:textId="77777777" w:rsidR="000B6ECF" w:rsidRPr="00E15500" w:rsidRDefault="000B6ECF" w:rsidP="00AC2424">
            <w:pPr>
              <w:pStyle w:val="Normal6a"/>
            </w:pPr>
            <w:r w:rsidRPr="00E15500">
              <w:t>44.</w:t>
            </w:r>
            <w:r w:rsidRPr="00E15500">
              <w:tab/>
              <w:t xml:space="preserve">rileva che nel 2023 alla CGUE non sono state comunicate indagini da parte del GEPD; rileva che, nel 2023, il GEPD non aveva rivolto alcuna raccomandazione specifica alla CGUE a seguito della sua indagine sull'uso dei servizi cloud forniti da Amazon Web Services; rileva che il GEPD ha pubblicato una decisione nel 2023 che conferma la conformità dell'uso dei servizi cloud di videoconferenza alla normativa sulla protezione dei dati; </w:t>
            </w:r>
            <w:r w:rsidRPr="00E15500">
              <w:rPr>
                <w:b/>
                <w:i/>
              </w:rPr>
              <w:t>ribadisce tuttavia le sue preoccupazioni per quanto riguarda l'uso di servizi cloud esterni alla luce delle crescenti minacce alla cibersicurezza e alla sovranità digitale;</w:t>
            </w:r>
          </w:p>
        </w:tc>
      </w:tr>
    </w:tbl>
    <w:p w14:paraId="58115779"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2C558EDB" w14:textId="77777777" w:rsidR="000B6ECF" w:rsidRPr="00E15500" w:rsidRDefault="000B6ECF" w:rsidP="000B6ECF">
      <w:r w:rsidRPr="00E15500">
        <w:rPr>
          <w:rStyle w:val="HideTWBExt"/>
        </w:rPr>
        <w:t>&lt;/Amend&gt;</w:t>
      </w:r>
    </w:p>
    <w:p w14:paraId="5C64187C"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56</w:t>
      </w:r>
      <w:r w:rsidRPr="00E15500">
        <w:rPr>
          <w:rStyle w:val="HideTWBExt"/>
        </w:rPr>
        <w:t>&lt;/NumAm&gt;</w:t>
      </w:r>
    </w:p>
    <w:p w14:paraId="070C42C3" w14:textId="77777777" w:rsidR="000B6ECF" w:rsidRPr="00E15500" w:rsidRDefault="000B6ECF" w:rsidP="000B6ECF">
      <w:pPr>
        <w:pStyle w:val="NormalBold"/>
      </w:pPr>
      <w:r w:rsidRPr="00E15500">
        <w:rPr>
          <w:rStyle w:val="HideTWBExt"/>
          <w:b w:val="0"/>
        </w:rPr>
        <w:t>&lt;RepeatBlock-By&gt;&lt;Members&gt;</w:t>
      </w:r>
      <w:r w:rsidRPr="00E15500">
        <w:t>Gilles Boyer, Olivier Chastel, Michal Wiezik, Gerben-Jan Gerbrandy, Vlad Vasile-Voiculescu</w:t>
      </w:r>
      <w:r w:rsidRPr="00E15500">
        <w:rPr>
          <w:rStyle w:val="HideTWBExt"/>
          <w:b w:val="0"/>
        </w:rPr>
        <w:t>&lt;/Members&gt;</w:t>
      </w:r>
    </w:p>
    <w:p w14:paraId="7C69F406" w14:textId="77777777" w:rsidR="000B6ECF" w:rsidRPr="00E15500" w:rsidRDefault="000B6ECF" w:rsidP="000B6ECF">
      <w:pPr>
        <w:pStyle w:val="NormalBold"/>
      </w:pPr>
      <w:r w:rsidRPr="00E15500">
        <w:rPr>
          <w:rStyle w:val="HideTWBExt"/>
          <w:b w:val="0"/>
        </w:rPr>
        <w:t>&lt;/RepeatBlock-By&gt;</w:t>
      </w:r>
    </w:p>
    <w:p w14:paraId="07C38B6F"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73C8E189" w14:textId="77777777" w:rsidR="000B6ECF" w:rsidRPr="00E15500" w:rsidRDefault="000B6ECF" w:rsidP="000B6ECF">
      <w:pPr>
        <w:pStyle w:val="NormalBold"/>
      </w:pPr>
      <w:r w:rsidRPr="00E15500">
        <w:rPr>
          <w:rStyle w:val="HideTWBExt"/>
        </w:rPr>
        <w:t>&lt;Article&gt;</w:t>
      </w:r>
      <w:r w:rsidRPr="00E15500">
        <w:t>Paragrafo 45</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04544C3F" w14:textId="77777777" w:rsidTr="00AC2424">
        <w:trPr>
          <w:trHeight w:hRule="exact" w:val="240"/>
          <w:jc w:val="center"/>
        </w:trPr>
        <w:tc>
          <w:tcPr>
            <w:tcW w:w="9752" w:type="dxa"/>
            <w:gridSpan w:val="2"/>
            <w:tcBorders>
              <w:top w:val="nil"/>
              <w:left w:val="nil"/>
              <w:bottom w:val="nil"/>
              <w:right w:val="nil"/>
            </w:tcBorders>
          </w:tcPr>
          <w:p w14:paraId="7C813828" w14:textId="77777777" w:rsidR="000B6ECF" w:rsidRPr="00E15500" w:rsidRDefault="000B6ECF" w:rsidP="00AC2424"/>
        </w:tc>
      </w:tr>
      <w:tr w:rsidR="000B6ECF" w:rsidRPr="00E15500" w14:paraId="3D145AC7" w14:textId="77777777" w:rsidTr="00AC2424">
        <w:trPr>
          <w:trHeight w:val="240"/>
          <w:jc w:val="center"/>
        </w:trPr>
        <w:tc>
          <w:tcPr>
            <w:tcW w:w="4876" w:type="dxa"/>
            <w:tcBorders>
              <w:top w:val="nil"/>
              <w:left w:val="nil"/>
              <w:bottom w:val="nil"/>
              <w:right w:val="nil"/>
            </w:tcBorders>
          </w:tcPr>
          <w:p w14:paraId="30FDCE27"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13DA69AA" w14:textId="77777777" w:rsidR="000B6ECF" w:rsidRPr="00E15500" w:rsidRDefault="000B6ECF" w:rsidP="00AC2424">
            <w:pPr>
              <w:pStyle w:val="AmColumnHeading"/>
            </w:pPr>
            <w:r w:rsidRPr="00E15500">
              <w:t>Emendamento</w:t>
            </w:r>
          </w:p>
        </w:tc>
      </w:tr>
      <w:tr w:rsidR="000B6ECF" w:rsidRPr="00E15500" w14:paraId="77416DE2" w14:textId="77777777" w:rsidTr="00AC2424">
        <w:trPr>
          <w:jc w:val="center"/>
        </w:trPr>
        <w:tc>
          <w:tcPr>
            <w:tcW w:w="4876" w:type="dxa"/>
            <w:tcBorders>
              <w:top w:val="nil"/>
              <w:left w:val="nil"/>
              <w:bottom w:val="nil"/>
              <w:right w:val="nil"/>
            </w:tcBorders>
          </w:tcPr>
          <w:p w14:paraId="50EB4ABA" w14:textId="77777777" w:rsidR="000B6ECF" w:rsidRPr="00E15500" w:rsidRDefault="000B6ECF" w:rsidP="00AC2424">
            <w:pPr>
              <w:pStyle w:val="Normal6a"/>
            </w:pPr>
            <w:r w:rsidRPr="00E15500">
              <w:t>45.</w:t>
            </w:r>
            <w:r w:rsidRPr="00E15500">
              <w:tab/>
            </w:r>
            <w:r w:rsidRPr="00E15500">
              <w:rPr>
                <w:b/>
                <w:i/>
              </w:rPr>
              <w:t>osserva che la</w:t>
            </w:r>
            <w:r w:rsidRPr="00E15500">
              <w:t xml:space="preserve"> CGUE </w:t>
            </w:r>
            <w:r w:rsidRPr="00E15500">
              <w:rPr>
                <w:b/>
                <w:i/>
              </w:rPr>
              <w:t>ha adottato</w:t>
            </w:r>
            <w:r w:rsidRPr="00E15500">
              <w:t xml:space="preserve"> una tabella di marcia informatica nel 2023 e </w:t>
            </w:r>
            <w:r w:rsidRPr="00E15500">
              <w:rPr>
                <w:b/>
                <w:i/>
              </w:rPr>
              <w:t>ha rafforzato le</w:t>
            </w:r>
            <w:r w:rsidRPr="00E15500">
              <w:t xml:space="preserve"> sue capacità operative di cibersicurezza per proteggere più efficacemente i propri sistemi dal numero crescente di attacchi informatici</w:t>
            </w:r>
            <w:r w:rsidRPr="00E15500">
              <w:rPr>
                <w:b/>
                <w:i/>
              </w:rPr>
              <w:t>, di cui i tentativi di phishing sono rimasti la minaccia più significativa</w:t>
            </w:r>
            <w:r w:rsidRPr="00E15500">
              <w:t>; osserva che la CGUE ha adottato varie misure per rafforzare la propria preparazione in materia di cibersicurezza e la capacità di superare incidenti di sicurezza, anche attraverso la partecipazione alla governance del comitato interistituzionale per la cibersicurezza e una combinazione di controlli e strumenti di cibersicurezza in linea con le raccomandazioni del CERT-UE; osserva che l'autorità di bilancio ha approvato per l'esercizio finanziario 2025 gli stanziamenti necessari per due posti supplementari al fine di rafforzare le capacità del personale della CGUE in materia di cibersicurezza;</w:t>
            </w:r>
          </w:p>
        </w:tc>
        <w:tc>
          <w:tcPr>
            <w:tcW w:w="4876" w:type="dxa"/>
            <w:tcBorders>
              <w:top w:val="nil"/>
              <w:left w:val="nil"/>
              <w:bottom w:val="nil"/>
              <w:right w:val="nil"/>
            </w:tcBorders>
          </w:tcPr>
          <w:p w14:paraId="6D9E9184" w14:textId="29708C7F" w:rsidR="000B6ECF" w:rsidRPr="00E15500" w:rsidRDefault="000B6ECF" w:rsidP="00AC2424">
            <w:pPr>
              <w:pStyle w:val="Normal6a"/>
            </w:pPr>
            <w:r w:rsidRPr="00E15500">
              <w:t>45.</w:t>
            </w:r>
            <w:r w:rsidRPr="00E15500">
              <w:tab/>
            </w:r>
            <w:r w:rsidRPr="00E15500">
              <w:rPr>
                <w:b/>
                <w:i/>
              </w:rPr>
              <w:t>accoglie con favore l'adozione da parte della</w:t>
            </w:r>
            <w:r w:rsidRPr="00E15500">
              <w:t xml:space="preserve"> CGUE </w:t>
            </w:r>
            <w:r w:rsidRPr="00E15500">
              <w:rPr>
                <w:b/>
                <w:i/>
              </w:rPr>
              <w:t>di</w:t>
            </w:r>
            <w:r w:rsidRPr="00E15500">
              <w:t xml:space="preserve"> una tabella di marcia informatica nel 2023 e </w:t>
            </w:r>
            <w:r w:rsidRPr="00E15500">
              <w:rPr>
                <w:b/>
                <w:i/>
              </w:rPr>
              <w:t>il rafforzamento delle</w:t>
            </w:r>
            <w:r w:rsidRPr="00E15500">
              <w:t xml:space="preserve"> sue capacità operative di cibersicurezza per proteggere più efficacemente i propri sistemi dal numero crescente di attacchi informatici</w:t>
            </w:r>
            <w:r w:rsidRPr="00E15500">
              <w:rPr>
                <w:b/>
                <w:i/>
              </w:rPr>
              <w:t>; sottolinea inoltre che una strategia solida in materia di cibersicurezza rappresenta uno strumento fondamentale per contrastare le ingerenze stranie</w:t>
            </w:r>
            <w:r w:rsidR="00AC2424">
              <w:rPr>
                <w:b/>
                <w:i/>
              </w:rPr>
              <w:t>re che mirano a compromettere l'</w:t>
            </w:r>
            <w:r w:rsidRPr="00E15500">
              <w:rPr>
                <w:b/>
                <w:i/>
              </w:rPr>
              <w:t>integrità delle istituzioni europee</w:t>
            </w:r>
            <w:r w:rsidRPr="00E15500">
              <w:t>; osserva che la CGUE ha adottato varie misure per rafforzare la propria preparazione in materia di cibersicurezza e la capacità di superare incidenti di sicurezza, anche attraverso la partecipazione alla governance del comitato interistituzionale per la cibersicurezza e una combinazione di controlli e strumenti di cibersicurezza in linea con le raccomandazioni del CERT-UE; osserva che l'autorità di bilancio ha approvato per l'esercizio finanziario 2025 gli stanziamenti necessari per due posti supplementari al fine di rafforzare le capacità del personale della CGUE in materia di cibersicurezza;</w:t>
            </w:r>
          </w:p>
        </w:tc>
      </w:tr>
    </w:tbl>
    <w:p w14:paraId="24217DE6"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33E7B1B4" w14:textId="77777777" w:rsidR="000B6ECF" w:rsidRPr="00E15500" w:rsidRDefault="000B6ECF" w:rsidP="000B6ECF">
      <w:r w:rsidRPr="00E15500">
        <w:rPr>
          <w:rStyle w:val="HideTWBExt"/>
        </w:rPr>
        <w:t>&lt;/Amend&gt;</w:t>
      </w:r>
    </w:p>
    <w:p w14:paraId="78C9B86B"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57</w:t>
      </w:r>
      <w:r w:rsidRPr="00E15500">
        <w:rPr>
          <w:rStyle w:val="HideTWBExt"/>
        </w:rPr>
        <w:t>&lt;/NumAm&gt;</w:t>
      </w:r>
    </w:p>
    <w:p w14:paraId="6DB4E21F" w14:textId="77777777" w:rsidR="000B6ECF" w:rsidRPr="00E15500" w:rsidRDefault="000B6ECF" w:rsidP="000B6ECF">
      <w:pPr>
        <w:pStyle w:val="NormalBold"/>
      </w:pPr>
      <w:r w:rsidRPr="00E15500">
        <w:rPr>
          <w:rStyle w:val="HideTWBExt"/>
          <w:b w:val="0"/>
        </w:rPr>
        <w:t>&lt;RepeatBlock-By&gt;&lt;Members&gt;</w:t>
      </w:r>
      <w:r w:rsidRPr="00E15500">
        <w:t>Damian Boeselager</w:t>
      </w:r>
      <w:r w:rsidRPr="00E15500">
        <w:rPr>
          <w:rStyle w:val="HideTWBExt"/>
          <w:b w:val="0"/>
        </w:rPr>
        <w:t>&lt;/Members&gt;</w:t>
      </w:r>
    </w:p>
    <w:p w14:paraId="4F53A5D7" w14:textId="77777777" w:rsidR="000B6ECF" w:rsidRPr="00E15500" w:rsidRDefault="000B6ECF" w:rsidP="000B6ECF">
      <w:r w:rsidRPr="00E15500">
        <w:rPr>
          <w:rStyle w:val="HideTWBExt"/>
        </w:rPr>
        <w:t>&lt;AuNomDe&gt;</w:t>
      </w:r>
      <w:r w:rsidRPr="00E15500">
        <w:rPr>
          <w:rStyle w:val="HideTWBInt"/>
        </w:rPr>
        <w:t>{Greens/EFA}</w:t>
      </w:r>
      <w:r w:rsidRPr="00E15500">
        <w:t>a nome del gruppo Verts/ALE</w:t>
      </w:r>
      <w:r w:rsidRPr="00E15500">
        <w:rPr>
          <w:rStyle w:val="HideTWBExt"/>
        </w:rPr>
        <w:t>&lt;/AuNomDe&gt;</w:t>
      </w:r>
    </w:p>
    <w:p w14:paraId="570DF635" w14:textId="77777777" w:rsidR="000B6ECF" w:rsidRPr="00E15500" w:rsidRDefault="000B6ECF" w:rsidP="000B6ECF">
      <w:pPr>
        <w:pStyle w:val="NormalBold"/>
      </w:pPr>
      <w:r w:rsidRPr="00E15500">
        <w:rPr>
          <w:rStyle w:val="HideTWBExt"/>
          <w:b w:val="0"/>
        </w:rPr>
        <w:t>&lt;/RepeatBlock-By&gt;</w:t>
      </w:r>
    </w:p>
    <w:p w14:paraId="4DAB2592"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39CD3578" w14:textId="77777777" w:rsidR="000B6ECF" w:rsidRPr="00E15500" w:rsidRDefault="000B6ECF" w:rsidP="000B6ECF">
      <w:pPr>
        <w:pStyle w:val="NormalBold"/>
      </w:pPr>
      <w:r w:rsidRPr="00E15500">
        <w:rPr>
          <w:rStyle w:val="HideTWBExt"/>
        </w:rPr>
        <w:t>&lt;Article&gt;</w:t>
      </w:r>
      <w:r w:rsidRPr="00E15500">
        <w:t>Paragrafo 48</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76650F89" w14:textId="77777777" w:rsidTr="00AC2424">
        <w:trPr>
          <w:trHeight w:hRule="exact" w:val="240"/>
          <w:jc w:val="center"/>
        </w:trPr>
        <w:tc>
          <w:tcPr>
            <w:tcW w:w="9752" w:type="dxa"/>
            <w:gridSpan w:val="2"/>
            <w:tcBorders>
              <w:top w:val="nil"/>
              <w:left w:val="nil"/>
              <w:bottom w:val="nil"/>
              <w:right w:val="nil"/>
            </w:tcBorders>
          </w:tcPr>
          <w:p w14:paraId="108917DC" w14:textId="77777777" w:rsidR="000B6ECF" w:rsidRPr="00E15500" w:rsidRDefault="000B6ECF" w:rsidP="00AC2424"/>
        </w:tc>
      </w:tr>
      <w:tr w:rsidR="000B6ECF" w:rsidRPr="00E15500" w14:paraId="33964455" w14:textId="77777777" w:rsidTr="00AC2424">
        <w:trPr>
          <w:trHeight w:val="240"/>
          <w:jc w:val="center"/>
        </w:trPr>
        <w:tc>
          <w:tcPr>
            <w:tcW w:w="4876" w:type="dxa"/>
            <w:tcBorders>
              <w:top w:val="nil"/>
              <w:left w:val="nil"/>
              <w:bottom w:val="nil"/>
              <w:right w:val="nil"/>
            </w:tcBorders>
          </w:tcPr>
          <w:p w14:paraId="1E11F8F3"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3288579F" w14:textId="77777777" w:rsidR="000B6ECF" w:rsidRPr="00E15500" w:rsidRDefault="000B6ECF" w:rsidP="00AC2424">
            <w:pPr>
              <w:pStyle w:val="AmColumnHeading"/>
            </w:pPr>
            <w:r w:rsidRPr="00E15500">
              <w:t>Emendamento</w:t>
            </w:r>
          </w:p>
        </w:tc>
      </w:tr>
      <w:tr w:rsidR="000B6ECF" w:rsidRPr="00E15500" w14:paraId="13C51B0E" w14:textId="77777777" w:rsidTr="00AC2424">
        <w:trPr>
          <w:jc w:val="center"/>
        </w:trPr>
        <w:tc>
          <w:tcPr>
            <w:tcW w:w="4876" w:type="dxa"/>
            <w:tcBorders>
              <w:top w:val="nil"/>
              <w:left w:val="nil"/>
              <w:bottom w:val="nil"/>
              <w:right w:val="nil"/>
            </w:tcBorders>
          </w:tcPr>
          <w:p w14:paraId="26C834FE" w14:textId="77777777" w:rsidR="000B6ECF" w:rsidRPr="00E15500" w:rsidRDefault="000B6ECF" w:rsidP="00AC2424">
            <w:pPr>
              <w:pStyle w:val="Normal6a"/>
            </w:pPr>
            <w:r w:rsidRPr="00E15500">
              <w:t>48.</w:t>
            </w:r>
            <w:r w:rsidRPr="00E15500">
              <w:tab/>
              <w:t xml:space="preserve">rileva che, nel 2023, la CGUE ha continuato a ridurre significativamente il proprio consumo energetico e l'impronta di carbonio rispetto al 2015, che rappresenta la base di riferimento per l'attuazione della strategia di ecogestione e del sistema di audit della CGUE, grazie a misure di risparmio energetico e all'ottimizzazione delle infrastrutture di riscaldamento, raffreddamento e illuminazione; osserva che nel 2023, rispetto al 2015, i consumi per il riscaldamento sono stati ridotti del 33,5 %, per l'energia elettrica del 28,7 %, per l'acqua del 20,1 %, per la carta da ufficio del 63 %, i rifiuti degli uffici e delle mense del 43 % e le emissioni di gas a effetto serra del 30,2 %; </w:t>
            </w:r>
            <w:r w:rsidRPr="00E15500">
              <w:rPr>
                <w:b/>
                <w:i/>
              </w:rPr>
              <w:t>osserva</w:t>
            </w:r>
            <w:r w:rsidRPr="00E15500">
              <w:t xml:space="preserve"> che la CGUE </w:t>
            </w:r>
            <w:r w:rsidRPr="00E15500">
              <w:rPr>
                <w:b/>
                <w:i/>
              </w:rPr>
              <w:t>ha</w:t>
            </w:r>
            <w:r w:rsidRPr="00E15500">
              <w:t xml:space="preserve"> applicato i criteri degli appalti verdi in 10 gare d'appalto superiori a 60 000 EUR;</w:t>
            </w:r>
          </w:p>
        </w:tc>
        <w:tc>
          <w:tcPr>
            <w:tcW w:w="4876" w:type="dxa"/>
            <w:tcBorders>
              <w:top w:val="nil"/>
              <w:left w:val="nil"/>
              <w:bottom w:val="nil"/>
              <w:right w:val="nil"/>
            </w:tcBorders>
          </w:tcPr>
          <w:p w14:paraId="69A5AC05" w14:textId="0AAB980C" w:rsidR="000B6ECF" w:rsidRPr="00E15500" w:rsidRDefault="000B6ECF" w:rsidP="00AC2424">
            <w:pPr>
              <w:pStyle w:val="Normal6a"/>
            </w:pPr>
            <w:r w:rsidRPr="00E15500">
              <w:t>48.</w:t>
            </w:r>
            <w:r w:rsidRPr="00E15500">
              <w:tab/>
              <w:t xml:space="preserve">rileva che, nel 2023, la CGUE ha continuato a ridurre significativamente il proprio consumo energetico e l'impronta di carbonio rispetto al 2015, che rappresenta la base di riferimento per l'attuazione della strategia di ecogestione e del sistema di audit della CGUE, grazie a misure di risparmio energetico e all'ottimizzazione delle infrastrutture di riscaldamento, raffreddamento e illuminazione; osserva che nel 2023, rispetto al 2015, i consumi per il riscaldamento sono stati ridotti del 33,5 %, per l'energia elettrica del 28,7 %, per l'acqua del 20,1 %, per la carta da ufficio del 63 %, i rifiuti degli uffici e delle mense del 43 % e le emissioni di gas a effetto serra del 30,2 %; </w:t>
            </w:r>
            <w:r w:rsidRPr="00E15500">
              <w:rPr>
                <w:b/>
                <w:i/>
              </w:rPr>
              <w:t>si compiace</w:t>
            </w:r>
            <w:r w:rsidRPr="00E15500">
              <w:t xml:space="preserve"> che la CGUE </w:t>
            </w:r>
            <w:r w:rsidRPr="00E15500">
              <w:rPr>
                <w:b/>
                <w:i/>
              </w:rPr>
              <w:t>abbia</w:t>
            </w:r>
            <w:r w:rsidRPr="00E15500">
              <w:t xml:space="preserve"> applicato i criteri degli appalti verdi in 10 gare d'appalto superiori a 60 000 EUR; </w:t>
            </w:r>
            <w:r w:rsidR="00AC2424">
              <w:rPr>
                <w:b/>
                <w:i/>
              </w:rPr>
              <w:t>plaude al</w:t>
            </w:r>
            <w:r w:rsidRPr="00E15500">
              <w:rPr>
                <w:b/>
                <w:i/>
              </w:rPr>
              <w:t>l'impegno della CGUE a favore del sistema di ecogestione e audit (EMAS); incoraggia la CGUE a proseguire gli sforzi verso la riduzione dell'impatto ambientale tramite una strategia volta a raggiungere la neutralità in termini di emissioni di carbonio entro il 2035;</w:t>
            </w:r>
          </w:p>
        </w:tc>
      </w:tr>
    </w:tbl>
    <w:p w14:paraId="0BAB9665"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50B55DE8" w14:textId="77777777" w:rsidR="000B6ECF" w:rsidRPr="00E15500" w:rsidRDefault="000B6ECF" w:rsidP="000B6ECF">
      <w:r w:rsidRPr="00E15500">
        <w:rPr>
          <w:rStyle w:val="HideTWBExt"/>
        </w:rPr>
        <w:t>&lt;/Amend&gt;</w:t>
      </w:r>
    </w:p>
    <w:p w14:paraId="422B91FC"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58</w:t>
      </w:r>
      <w:r w:rsidRPr="00E15500">
        <w:rPr>
          <w:rStyle w:val="HideTWBExt"/>
        </w:rPr>
        <w:t>&lt;/NumAm&gt;</w:t>
      </w:r>
    </w:p>
    <w:p w14:paraId="1C8C3BED" w14:textId="77777777" w:rsidR="000B6ECF" w:rsidRPr="00E15500" w:rsidRDefault="000B6ECF" w:rsidP="000B6ECF">
      <w:pPr>
        <w:pStyle w:val="NormalBold"/>
      </w:pPr>
      <w:r w:rsidRPr="00E15500">
        <w:rPr>
          <w:rStyle w:val="HideTWBExt"/>
          <w:b w:val="0"/>
        </w:rPr>
        <w:t>&lt;RepeatBlock-By&gt;&lt;Members&gt;</w:t>
      </w:r>
      <w:r w:rsidRPr="00E15500">
        <w:t>Csaba Molnár, Claudiu Manda</w:t>
      </w:r>
      <w:r w:rsidRPr="00E15500">
        <w:rPr>
          <w:rStyle w:val="HideTWBExt"/>
          <w:b w:val="0"/>
        </w:rPr>
        <w:t>&lt;/Members&gt;</w:t>
      </w:r>
    </w:p>
    <w:p w14:paraId="4AE3C299" w14:textId="77777777" w:rsidR="000B6ECF" w:rsidRPr="00E15500" w:rsidRDefault="000B6ECF" w:rsidP="000B6ECF">
      <w:pPr>
        <w:pStyle w:val="NormalBold"/>
      </w:pPr>
      <w:r w:rsidRPr="00E15500">
        <w:rPr>
          <w:rStyle w:val="HideTWBExt"/>
          <w:b w:val="0"/>
        </w:rPr>
        <w:t>&lt;/RepeatBlock-By&gt;</w:t>
      </w:r>
    </w:p>
    <w:p w14:paraId="1EAD36B5"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76189066" w14:textId="77777777" w:rsidR="000B6ECF" w:rsidRPr="00E15500" w:rsidRDefault="000B6ECF" w:rsidP="000B6ECF">
      <w:pPr>
        <w:pStyle w:val="NormalBold"/>
      </w:pPr>
      <w:r w:rsidRPr="00E15500">
        <w:rPr>
          <w:rStyle w:val="HideTWBExt"/>
        </w:rPr>
        <w:t>&lt;Article&gt;</w:t>
      </w:r>
      <w:r w:rsidRPr="00E15500">
        <w:t>Paragrafo 48</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6F0F15DC" w14:textId="77777777" w:rsidTr="00AC2424">
        <w:trPr>
          <w:trHeight w:hRule="exact" w:val="240"/>
          <w:jc w:val="center"/>
        </w:trPr>
        <w:tc>
          <w:tcPr>
            <w:tcW w:w="9752" w:type="dxa"/>
            <w:gridSpan w:val="2"/>
            <w:tcBorders>
              <w:top w:val="nil"/>
              <w:left w:val="nil"/>
              <w:bottom w:val="nil"/>
              <w:right w:val="nil"/>
            </w:tcBorders>
          </w:tcPr>
          <w:p w14:paraId="2768804F" w14:textId="77777777" w:rsidR="000B6ECF" w:rsidRPr="00E15500" w:rsidRDefault="000B6ECF" w:rsidP="00AC2424"/>
        </w:tc>
      </w:tr>
      <w:tr w:rsidR="000B6ECF" w:rsidRPr="00E15500" w14:paraId="430935DA" w14:textId="77777777" w:rsidTr="00AC2424">
        <w:trPr>
          <w:trHeight w:val="240"/>
          <w:jc w:val="center"/>
        </w:trPr>
        <w:tc>
          <w:tcPr>
            <w:tcW w:w="4876" w:type="dxa"/>
            <w:tcBorders>
              <w:top w:val="nil"/>
              <w:left w:val="nil"/>
              <w:bottom w:val="nil"/>
              <w:right w:val="nil"/>
            </w:tcBorders>
          </w:tcPr>
          <w:p w14:paraId="30C69DD9"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4EA24A4C" w14:textId="77777777" w:rsidR="000B6ECF" w:rsidRPr="00E15500" w:rsidRDefault="000B6ECF" w:rsidP="00AC2424">
            <w:pPr>
              <w:pStyle w:val="AmColumnHeading"/>
            </w:pPr>
            <w:r w:rsidRPr="00E15500">
              <w:t>Emendamento</w:t>
            </w:r>
          </w:p>
        </w:tc>
      </w:tr>
      <w:tr w:rsidR="000B6ECF" w:rsidRPr="00E15500" w14:paraId="6FD75D79" w14:textId="77777777" w:rsidTr="00AC2424">
        <w:trPr>
          <w:jc w:val="center"/>
        </w:trPr>
        <w:tc>
          <w:tcPr>
            <w:tcW w:w="4876" w:type="dxa"/>
            <w:tcBorders>
              <w:top w:val="nil"/>
              <w:left w:val="nil"/>
              <w:bottom w:val="nil"/>
              <w:right w:val="nil"/>
            </w:tcBorders>
          </w:tcPr>
          <w:p w14:paraId="5363C9C8" w14:textId="77777777" w:rsidR="000B6ECF" w:rsidRPr="00E15500" w:rsidRDefault="000B6ECF" w:rsidP="00AC2424">
            <w:pPr>
              <w:pStyle w:val="Normal6a"/>
            </w:pPr>
            <w:r w:rsidRPr="00E15500">
              <w:t>48.</w:t>
            </w:r>
            <w:r w:rsidRPr="00E15500">
              <w:tab/>
            </w:r>
            <w:r w:rsidRPr="00E15500">
              <w:rPr>
                <w:b/>
                <w:i/>
              </w:rPr>
              <w:t>rileva</w:t>
            </w:r>
            <w:r w:rsidRPr="00E15500">
              <w:t xml:space="preserve"> che, nel 2023, la CGUE </w:t>
            </w:r>
            <w:r w:rsidRPr="00E15500">
              <w:rPr>
                <w:b/>
                <w:i/>
              </w:rPr>
              <w:t>ha</w:t>
            </w:r>
            <w:r w:rsidRPr="00E15500">
              <w:t xml:space="preserve"> continuato a ridurre significativamente il proprio consumo energetico e l'impronta di carbonio rispetto al 2015, che rappresenta la base di riferimento per l'attuazione della strategia di ecogestione e del sistema di audit della CGUE, grazie a misure di risparmio energetico e all'ottimizzazione delle infrastrutture di riscaldamento, raffreddamento e illuminazione; osserva che nel 2023, rispetto al 2015, i consumi per il riscaldamento sono stati ridotti del 33,5 %, per l'energia elettrica del 28,7 %, per l'acqua del 20,1 %, per la carta da ufficio del 63 %, i rifiuti degli uffici e delle mense del 43 % e le emissioni di gas a effetto serra del 30,2 %; osserva che la CGUE ha applicato i criteri degli appalti verdi in 10 gare d'appalto superiori a 60 000 EUR;</w:t>
            </w:r>
          </w:p>
        </w:tc>
        <w:tc>
          <w:tcPr>
            <w:tcW w:w="4876" w:type="dxa"/>
            <w:tcBorders>
              <w:top w:val="nil"/>
              <w:left w:val="nil"/>
              <w:bottom w:val="nil"/>
              <w:right w:val="nil"/>
            </w:tcBorders>
          </w:tcPr>
          <w:p w14:paraId="3640D27A" w14:textId="77777777" w:rsidR="000B6ECF" w:rsidRPr="00E15500" w:rsidRDefault="000B6ECF" w:rsidP="00AC2424">
            <w:pPr>
              <w:pStyle w:val="Normal6a"/>
            </w:pPr>
            <w:r w:rsidRPr="00E15500">
              <w:t>48.</w:t>
            </w:r>
            <w:r w:rsidRPr="00E15500">
              <w:tab/>
            </w:r>
            <w:r w:rsidRPr="00E15500">
              <w:rPr>
                <w:b/>
                <w:i/>
              </w:rPr>
              <w:t>accoglie con favore il fatto</w:t>
            </w:r>
            <w:r w:rsidRPr="00E15500">
              <w:t xml:space="preserve"> che, nel 2023, la CGUE </w:t>
            </w:r>
            <w:r w:rsidRPr="00E15500">
              <w:rPr>
                <w:b/>
                <w:i/>
              </w:rPr>
              <w:t>abbia</w:t>
            </w:r>
            <w:r w:rsidRPr="00E15500">
              <w:t xml:space="preserve"> continuato a ridurre significativamente il proprio consumo energetico e l'impronta di carbonio rispetto al 2015, che rappresenta la base di riferimento per l'attuazione della strategia di ecogestione e del sistema di audit della CGUE, grazie a misure di risparmio energetico e all'ottimizzazione delle infrastrutture di riscaldamento, raffreddamento e illuminazione; osserva che nel 2023, rispetto al 2015, i consumi per il riscaldamento sono stati ridotti del 33,5 %, per l'energia elettrica del 28,7 %, per l'acqua del 20,1 %, per la carta da ufficio del 63 %, i rifiuti degli uffici e delle mense del 43 % e le emissioni di gas a effetto serra del 30,2 %; osserva che la CGUE ha applicato i criteri degli appalti verdi in 10 gare d'appalto superiori a 60 000 EUR;</w:t>
            </w:r>
          </w:p>
        </w:tc>
      </w:tr>
    </w:tbl>
    <w:p w14:paraId="3429CBEA" w14:textId="77777777" w:rsidR="000B6ECF" w:rsidRPr="00AC2424" w:rsidRDefault="000B6ECF" w:rsidP="000B6ECF">
      <w:pPr>
        <w:pStyle w:val="AmOrLang"/>
        <w:rPr>
          <w:lang w:val="es-ES"/>
        </w:rPr>
      </w:pPr>
      <w:r w:rsidRPr="00AC2424">
        <w:rPr>
          <w:lang w:val="es-ES"/>
        </w:rPr>
        <w:t xml:space="preserve">Or. </w:t>
      </w:r>
      <w:r w:rsidRPr="00AC2424">
        <w:rPr>
          <w:rStyle w:val="HideTWBExt"/>
          <w:rFonts w:eastAsiaTheme="majorEastAsia"/>
          <w:lang w:val="es-ES"/>
        </w:rPr>
        <w:t>&lt;Original&gt;</w:t>
      </w:r>
      <w:r w:rsidRPr="00AC2424">
        <w:rPr>
          <w:rStyle w:val="HideTWBInt"/>
          <w:lang w:val="es-ES"/>
        </w:rPr>
        <w:t>{EN}</w:t>
      </w:r>
      <w:r w:rsidRPr="00AC2424">
        <w:rPr>
          <w:lang w:val="es-ES"/>
        </w:rPr>
        <w:t>en</w:t>
      </w:r>
      <w:r w:rsidRPr="00AC2424">
        <w:rPr>
          <w:rStyle w:val="HideTWBExt"/>
          <w:rFonts w:eastAsiaTheme="majorEastAsia"/>
          <w:lang w:val="es-ES"/>
        </w:rPr>
        <w:t>&lt;/Original&gt;</w:t>
      </w:r>
    </w:p>
    <w:p w14:paraId="4280ABA5" w14:textId="77777777" w:rsidR="000B6ECF" w:rsidRPr="00AC2424" w:rsidRDefault="000B6ECF" w:rsidP="000B6ECF">
      <w:pPr>
        <w:rPr>
          <w:lang w:val="es-ES"/>
        </w:rPr>
      </w:pPr>
      <w:r w:rsidRPr="00AC2424">
        <w:rPr>
          <w:rStyle w:val="HideTWBExt"/>
          <w:lang w:val="es-ES"/>
        </w:rPr>
        <w:t>&lt;/Amend&gt;</w:t>
      </w:r>
    </w:p>
    <w:p w14:paraId="5640F43C" w14:textId="77777777" w:rsidR="000B6ECF" w:rsidRPr="00AC2424" w:rsidRDefault="000B6ECF" w:rsidP="000B6ECF">
      <w:pPr>
        <w:pStyle w:val="AmNumberTabs"/>
        <w:rPr>
          <w:lang w:val="es-ES"/>
        </w:rPr>
      </w:pPr>
      <w:r w:rsidRPr="00AC2424">
        <w:rPr>
          <w:rStyle w:val="HideTWBExt"/>
          <w:lang w:val="es-ES"/>
        </w:rPr>
        <w:t>&lt;Amend&gt;</w:t>
      </w:r>
      <w:r w:rsidRPr="00AC2424">
        <w:rPr>
          <w:lang w:val="es-ES"/>
        </w:rPr>
        <w:t>Emendamento</w:t>
      </w:r>
      <w:r w:rsidRPr="00AC2424">
        <w:rPr>
          <w:lang w:val="es-ES"/>
        </w:rPr>
        <w:tab/>
      </w:r>
      <w:r w:rsidRPr="00AC2424">
        <w:rPr>
          <w:lang w:val="es-ES"/>
        </w:rPr>
        <w:tab/>
      </w:r>
      <w:r w:rsidRPr="00AC2424">
        <w:rPr>
          <w:rStyle w:val="HideTWBExt"/>
          <w:lang w:val="es-ES"/>
        </w:rPr>
        <w:t>&lt;NumAm&gt;</w:t>
      </w:r>
      <w:r w:rsidRPr="00AC2424">
        <w:rPr>
          <w:lang w:val="es-ES"/>
        </w:rPr>
        <w:t>59</w:t>
      </w:r>
      <w:r w:rsidRPr="00AC2424">
        <w:rPr>
          <w:rStyle w:val="HideTWBExt"/>
          <w:lang w:val="es-ES"/>
        </w:rPr>
        <w:t>&lt;/NumAm&gt;</w:t>
      </w:r>
    </w:p>
    <w:p w14:paraId="14E677D1" w14:textId="77777777" w:rsidR="000B6ECF" w:rsidRPr="00AC2424" w:rsidRDefault="000B6ECF" w:rsidP="000B6ECF">
      <w:pPr>
        <w:pStyle w:val="NormalBold"/>
        <w:rPr>
          <w:lang w:val="es-ES"/>
        </w:rPr>
      </w:pPr>
      <w:r w:rsidRPr="00AC2424">
        <w:rPr>
          <w:rStyle w:val="HideTWBExt"/>
          <w:b w:val="0"/>
          <w:lang w:val="es-ES"/>
        </w:rPr>
        <w:t>&lt;RepeatBlock-By&gt;&lt;Members&gt;</w:t>
      </w:r>
      <w:r w:rsidRPr="00AC2424">
        <w:rPr>
          <w:lang w:val="es-ES"/>
        </w:rPr>
        <w:t>Tamás Deutsch</w:t>
      </w:r>
      <w:r w:rsidRPr="00AC2424">
        <w:rPr>
          <w:rStyle w:val="HideTWBExt"/>
          <w:b w:val="0"/>
          <w:lang w:val="es-ES"/>
        </w:rPr>
        <w:t>&lt;/Members&gt;</w:t>
      </w:r>
    </w:p>
    <w:p w14:paraId="688F547B" w14:textId="77777777" w:rsidR="000B6ECF" w:rsidRPr="00AC2424" w:rsidRDefault="000B6ECF" w:rsidP="000B6ECF">
      <w:pPr>
        <w:pStyle w:val="NormalBold"/>
        <w:rPr>
          <w:lang w:val="es-ES"/>
        </w:rPr>
      </w:pPr>
      <w:r w:rsidRPr="00AC2424">
        <w:rPr>
          <w:rStyle w:val="HideTWBExt"/>
          <w:b w:val="0"/>
          <w:lang w:val="es-ES"/>
        </w:rPr>
        <w:t>&lt;/RepeatBlock-By&gt;</w:t>
      </w:r>
    </w:p>
    <w:p w14:paraId="5DA8DE6E"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326A0372" w14:textId="77777777" w:rsidR="000B6ECF" w:rsidRPr="00E15500" w:rsidRDefault="000B6ECF" w:rsidP="000B6ECF">
      <w:pPr>
        <w:pStyle w:val="NormalBold"/>
      </w:pPr>
      <w:r w:rsidRPr="00E15500">
        <w:rPr>
          <w:rStyle w:val="HideTWBExt"/>
        </w:rPr>
        <w:t>&lt;Article&gt;</w:t>
      </w:r>
      <w:r w:rsidRPr="00E15500">
        <w:t>Paragrafo 49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78F2CAAD" w14:textId="77777777" w:rsidTr="00AC2424">
        <w:trPr>
          <w:trHeight w:hRule="exact" w:val="240"/>
          <w:jc w:val="center"/>
        </w:trPr>
        <w:tc>
          <w:tcPr>
            <w:tcW w:w="9752" w:type="dxa"/>
            <w:gridSpan w:val="2"/>
            <w:tcBorders>
              <w:top w:val="nil"/>
              <w:left w:val="nil"/>
              <w:bottom w:val="nil"/>
              <w:right w:val="nil"/>
            </w:tcBorders>
          </w:tcPr>
          <w:p w14:paraId="2812EBF4" w14:textId="77777777" w:rsidR="000B6ECF" w:rsidRPr="00E15500" w:rsidRDefault="000B6ECF" w:rsidP="00AC2424"/>
        </w:tc>
      </w:tr>
      <w:tr w:rsidR="000B6ECF" w:rsidRPr="00E15500" w14:paraId="697F05FC" w14:textId="77777777" w:rsidTr="00AC2424">
        <w:trPr>
          <w:trHeight w:val="240"/>
          <w:jc w:val="center"/>
        </w:trPr>
        <w:tc>
          <w:tcPr>
            <w:tcW w:w="4876" w:type="dxa"/>
            <w:tcBorders>
              <w:top w:val="nil"/>
              <w:left w:val="nil"/>
              <w:bottom w:val="nil"/>
              <w:right w:val="nil"/>
            </w:tcBorders>
          </w:tcPr>
          <w:p w14:paraId="1556434A"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29602BDA" w14:textId="77777777" w:rsidR="000B6ECF" w:rsidRPr="00E15500" w:rsidRDefault="000B6ECF" w:rsidP="00AC2424">
            <w:pPr>
              <w:pStyle w:val="AmColumnHeading"/>
            </w:pPr>
            <w:r w:rsidRPr="00E15500">
              <w:t>Emendamento</w:t>
            </w:r>
          </w:p>
        </w:tc>
      </w:tr>
      <w:tr w:rsidR="000B6ECF" w:rsidRPr="00E15500" w14:paraId="2EB15678" w14:textId="77777777" w:rsidTr="00AC2424">
        <w:trPr>
          <w:jc w:val="center"/>
        </w:trPr>
        <w:tc>
          <w:tcPr>
            <w:tcW w:w="4876" w:type="dxa"/>
            <w:tcBorders>
              <w:top w:val="nil"/>
              <w:left w:val="nil"/>
              <w:bottom w:val="nil"/>
              <w:right w:val="nil"/>
            </w:tcBorders>
          </w:tcPr>
          <w:p w14:paraId="491592CD" w14:textId="77777777" w:rsidR="000B6ECF" w:rsidRPr="00E15500" w:rsidRDefault="000B6ECF" w:rsidP="00AC2424">
            <w:pPr>
              <w:pStyle w:val="Normal6a"/>
            </w:pPr>
          </w:p>
        </w:tc>
        <w:tc>
          <w:tcPr>
            <w:tcW w:w="4876" w:type="dxa"/>
            <w:tcBorders>
              <w:top w:val="nil"/>
              <w:left w:val="nil"/>
              <w:bottom w:val="nil"/>
              <w:right w:val="nil"/>
            </w:tcBorders>
          </w:tcPr>
          <w:p w14:paraId="5BAD9EC8" w14:textId="77777777" w:rsidR="000B6ECF" w:rsidRPr="00E15500" w:rsidRDefault="000B6ECF" w:rsidP="00AC2424">
            <w:pPr>
              <w:pStyle w:val="Normal6a"/>
            </w:pPr>
            <w:r w:rsidRPr="00E15500">
              <w:rPr>
                <w:b/>
                <w:i/>
              </w:rPr>
              <w:t>49 bis.</w:t>
            </w:r>
            <w:r w:rsidRPr="00E15500">
              <w:tab/>
            </w:r>
            <w:r w:rsidRPr="00E15500">
              <w:rPr>
                <w:b/>
                <w:i/>
              </w:rPr>
              <w:t>chiede alla CGUE di formulare raccomandazioni al Parlamento europeo e alla sua commissione per il controllo dei bilanci riguardo a nuovi modi per combattere la cattiva condotta e l'uso improprio dei fondi dell'UE sulla base della propria esperienza istituzionale e degli insegnamenti tratti dai casi del passato e di condividere le migliori pratiche, in quanto è stato dimostrato che gli interessi finanziari dell'Unione europea non erano ben tutelati in seno al Parlamento europeo; ritiene, come emerso nel corso del procedimento penale e delle indagini, che il Parlamento europeo potrebbe trarre vantaggio da una nuova prospettiva in materia e dal contributo dell'istituzione;</w:t>
            </w:r>
          </w:p>
        </w:tc>
      </w:tr>
    </w:tbl>
    <w:p w14:paraId="644EFE14"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45761FDB" w14:textId="77777777" w:rsidR="000B6ECF" w:rsidRPr="00E15500" w:rsidRDefault="000B6ECF" w:rsidP="000B6ECF">
      <w:r w:rsidRPr="00E15500">
        <w:rPr>
          <w:rStyle w:val="HideTWBExt"/>
        </w:rPr>
        <w:t>&lt;/Amend&gt;</w:t>
      </w:r>
    </w:p>
    <w:p w14:paraId="7487D2B0"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60</w:t>
      </w:r>
      <w:r w:rsidRPr="00E15500">
        <w:rPr>
          <w:rStyle w:val="HideTWBExt"/>
        </w:rPr>
        <w:t>&lt;/NumAm&gt;</w:t>
      </w:r>
    </w:p>
    <w:p w14:paraId="19AAA067" w14:textId="77777777" w:rsidR="000B6ECF" w:rsidRPr="00E15500" w:rsidRDefault="000B6ECF" w:rsidP="000B6ECF">
      <w:pPr>
        <w:pStyle w:val="NormalBold"/>
      </w:pPr>
      <w:r w:rsidRPr="00E15500">
        <w:rPr>
          <w:rStyle w:val="HideTWBExt"/>
          <w:b w:val="0"/>
        </w:rPr>
        <w:t>&lt;RepeatBlock-By&gt;&lt;Members&gt;</w:t>
      </w:r>
      <w:r w:rsidRPr="00E15500">
        <w:t>Csaba Molnár, Claudiu Manda, Marit Maij</w:t>
      </w:r>
      <w:r w:rsidRPr="00E15500">
        <w:rPr>
          <w:rStyle w:val="HideTWBExt"/>
          <w:b w:val="0"/>
        </w:rPr>
        <w:t>&lt;/Members&gt;</w:t>
      </w:r>
    </w:p>
    <w:p w14:paraId="41D849A3" w14:textId="77777777" w:rsidR="000B6ECF" w:rsidRPr="00E15500" w:rsidRDefault="000B6ECF" w:rsidP="000B6ECF">
      <w:pPr>
        <w:pStyle w:val="NormalBold"/>
      </w:pPr>
      <w:r w:rsidRPr="00E15500">
        <w:rPr>
          <w:rStyle w:val="HideTWBExt"/>
          <w:b w:val="0"/>
        </w:rPr>
        <w:t>&lt;/RepeatBlock-By&gt;</w:t>
      </w:r>
    </w:p>
    <w:p w14:paraId="218DD13A"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58A05DD5" w14:textId="77777777" w:rsidR="000B6ECF" w:rsidRPr="00E15500" w:rsidRDefault="000B6ECF" w:rsidP="000B6ECF">
      <w:pPr>
        <w:pStyle w:val="NormalBold"/>
      </w:pPr>
      <w:r w:rsidRPr="00E15500">
        <w:rPr>
          <w:rStyle w:val="HideTWBExt"/>
        </w:rPr>
        <w:t>&lt;Article&gt;</w:t>
      </w:r>
      <w:r w:rsidRPr="00E15500">
        <w:t>Paragrafo 51</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0078C5DE" w14:textId="77777777" w:rsidTr="00AC2424">
        <w:trPr>
          <w:trHeight w:hRule="exact" w:val="240"/>
          <w:jc w:val="center"/>
        </w:trPr>
        <w:tc>
          <w:tcPr>
            <w:tcW w:w="9752" w:type="dxa"/>
            <w:gridSpan w:val="2"/>
            <w:tcBorders>
              <w:top w:val="nil"/>
              <w:left w:val="nil"/>
              <w:bottom w:val="nil"/>
              <w:right w:val="nil"/>
            </w:tcBorders>
          </w:tcPr>
          <w:p w14:paraId="1B3CA453" w14:textId="77777777" w:rsidR="000B6ECF" w:rsidRPr="00E15500" w:rsidRDefault="000B6ECF" w:rsidP="00AC2424"/>
        </w:tc>
      </w:tr>
      <w:tr w:rsidR="000B6ECF" w:rsidRPr="00E15500" w14:paraId="00552BC7" w14:textId="77777777" w:rsidTr="00AC2424">
        <w:trPr>
          <w:trHeight w:val="240"/>
          <w:jc w:val="center"/>
        </w:trPr>
        <w:tc>
          <w:tcPr>
            <w:tcW w:w="4876" w:type="dxa"/>
            <w:tcBorders>
              <w:top w:val="nil"/>
              <w:left w:val="nil"/>
              <w:bottom w:val="nil"/>
              <w:right w:val="nil"/>
            </w:tcBorders>
          </w:tcPr>
          <w:p w14:paraId="344B9497"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52902E83" w14:textId="77777777" w:rsidR="000B6ECF" w:rsidRPr="00E15500" w:rsidRDefault="000B6ECF" w:rsidP="00AC2424">
            <w:pPr>
              <w:pStyle w:val="AmColumnHeading"/>
            </w:pPr>
            <w:r w:rsidRPr="00E15500">
              <w:t>Emendamento</w:t>
            </w:r>
          </w:p>
        </w:tc>
      </w:tr>
      <w:tr w:rsidR="000B6ECF" w:rsidRPr="00E15500" w14:paraId="5BFA54E1" w14:textId="77777777" w:rsidTr="00AC2424">
        <w:trPr>
          <w:jc w:val="center"/>
        </w:trPr>
        <w:tc>
          <w:tcPr>
            <w:tcW w:w="4876" w:type="dxa"/>
            <w:tcBorders>
              <w:top w:val="nil"/>
              <w:left w:val="nil"/>
              <w:bottom w:val="nil"/>
              <w:right w:val="nil"/>
            </w:tcBorders>
          </w:tcPr>
          <w:p w14:paraId="5E7D145C" w14:textId="77777777" w:rsidR="000B6ECF" w:rsidRPr="00E15500" w:rsidRDefault="000B6ECF" w:rsidP="00AC2424">
            <w:pPr>
              <w:pStyle w:val="Normal6a"/>
            </w:pPr>
            <w:r w:rsidRPr="00E15500">
              <w:t>51.</w:t>
            </w:r>
            <w:r w:rsidRPr="00E15500">
              <w:tab/>
              <w:t>rileva che, in linea con la dichiarazione della CGUE intitolata "Supporting the European Judicial Training Network (EJTN) to shape a sustainable European judicial culture" ("Sostenere la rete europea di formazione giudiziaria (REFG) per creare una cultura giudiziaria europea sostenibile"), la CGUE e la REFG hanno tentato di aumentare la diversità dei tirocinanti a lungo termine nel 2023, con l'obiettivo di portarne il numero a uno per Stato membro; rileva che per l'anno 2023-24 sono stati offerti 15 tirocini;</w:t>
            </w:r>
          </w:p>
        </w:tc>
        <w:tc>
          <w:tcPr>
            <w:tcW w:w="4876" w:type="dxa"/>
            <w:tcBorders>
              <w:top w:val="nil"/>
              <w:left w:val="nil"/>
              <w:bottom w:val="nil"/>
              <w:right w:val="nil"/>
            </w:tcBorders>
          </w:tcPr>
          <w:p w14:paraId="7F82E78F" w14:textId="77777777" w:rsidR="000B6ECF" w:rsidRPr="00E15500" w:rsidRDefault="000B6ECF" w:rsidP="00AC2424">
            <w:pPr>
              <w:pStyle w:val="Normal6a"/>
            </w:pPr>
            <w:r w:rsidRPr="00E15500">
              <w:t>51.</w:t>
            </w:r>
            <w:r w:rsidRPr="00E15500">
              <w:tab/>
              <w:t xml:space="preserve">rileva </w:t>
            </w:r>
            <w:r w:rsidRPr="00E15500">
              <w:rPr>
                <w:b/>
                <w:i/>
              </w:rPr>
              <w:t>con soddisfazione</w:t>
            </w:r>
            <w:r w:rsidRPr="00E15500">
              <w:t xml:space="preserve"> che, in linea con la dichiarazione della CGUE intitolata "Supporting the European Judicial Training Network (EJTN) to shape a sustainable European judicial culture" ("Sostenere la rete europea di formazione giudiziaria (REFG) per creare una cultura giudiziaria europea sostenibile"), la CGUE e la REFG hanno tentato di aumentare la diversità dei tirocinanti a lungo termine nel 2023, con l'obiettivo di portarne il numero a uno per Stato membro; rileva che per l'anno 2023-24 sono stati offerti 15 tirocini </w:t>
            </w:r>
            <w:r w:rsidRPr="00E15500">
              <w:rPr>
                <w:b/>
                <w:i/>
              </w:rPr>
              <w:t>retribuiti</w:t>
            </w:r>
            <w:r w:rsidRPr="00E15500">
              <w:t xml:space="preserve">; </w:t>
            </w:r>
            <w:r w:rsidRPr="00E15500">
              <w:rPr>
                <w:b/>
                <w:i/>
              </w:rPr>
              <w:t>sottolinea che i tirocini dovrebbero essere retribuiti, conformemente alla risoluzione del Parlamento europeo del 14 giugno 2023 sui tirocini di qualità nell'Unione (2020/2005 (INL)), che chiede che tutti i tirocini in Europa siano retribuiti;</w:t>
            </w:r>
          </w:p>
        </w:tc>
      </w:tr>
    </w:tbl>
    <w:p w14:paraId="2D97265D"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1AA78379" w14:textId="77777777" w:rsidR="000B6ECF" w:rsidRPr="00E15500" w:rsidRDefault="000B6ECF" w:rsidP="000B6ECF">
      <w:r w:rsidRPr="00E15500">
        <w:rPr>
          <w:rStyle w:val="HideTWBExt"/>
        </w:rPr>
        <w:t>&lt;/Amend&gt;</w:t>
      </w:r>
    </w:p>
    <w:p w14:paraId="1CB7D6EC"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61</w:t>
      </w:r>
      <w:r w:rsidRPr="00E15500">
        <w:rPr>
          <w:rStyle w:val="HideTWBExt"/>
        </w:rPr>
        <w:t>&lt;/NumAm&gt;</w:t>
      </w:r>
    </w:p>
    <w:p w14:paraId="53BCEFE1" w14:textId="77777777" w:rsidR="000B6ECF" w:rsidRPr="00E15500" w:rsidRDefault="000B6ECF" w:rsidP="000B6ECF">
      <w:pPr>
        <w:pStyle w:val="NormalBold"/>
      </w:pPr>
      <w:r w:rsidRPr="00E15500">
        <w:rPr>
          <w:rStyle w:val="HideTWBExt"/>
          <w:b w:val="0"/>
        </w:rPr>
        <w:t>&lt;RepeatBlock-By&gt;&lt;Members&gt;</w:t>
      </w:r>
      <w:r w:rsidRPr="00E15500">
        <w:t>Caterina Chinnici</w:t>
      </w:r>
      <w:r w:rsidRPr="00E15500">
        <w:rPr>
          <w:rStyle w:val="HideTWBExt"/>
          <w:b w:val="0"/>
        </w:rPr>
        <w:t>&lt;/Members&gt;</w:t>
      </w:r>
    </w:p>
    <w:p w14:paraId="124B63E8" w14:textId="77777777" w:rsidR="000B6ECF" w:rsidRPr="00E15500" w:rsidRDefault="000B6ECF" w:rsidP="000B6ECF">
      <w:pPr>
        <w:pStyle w:val="NormalBold"/>
      </w:pPr>
      <w:r w:rsidRPr="00E15500">
        <w:rPr>
          <w:rStyle w:val="HideTWBExt"/>
          <w:b w:val="0"/>
        </w:rPr>
        <w:t>&lt;/RepeatBlock-By&gt;</w:t>
      </w:r>
    </w:p>
    <w:p w14:paraId="71447499"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6A3A100F" w14:textId="77777777" w:rsidR="000B6ECF" w:rsidRPr="00E15500" w:rsidRDefault="000B6ECF" w:rsidP="000B6ECF">
      <w:pPr>
        <w:pStyle w:val="NormalBold"/>
      </w:pPr>
      <w:r w:rsidRPr="00E15500">
        <w:rPr>
          <w:rStyle w:val="HideTWBExt"/>
        </w:rPr>
        <w:t>&lt;Article&gt;</w:t>
      </w:r>
      <w:r w:rsidRPr="00E15500">
        <w:t>Paragrafo 51</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66316534" w14:textId="77777777" w:rsidTr="00AC2424">
        <w:trPr>
          <w:trHeight w:hRule="exact" w:val="240"/>
          <w:jc w:val="center"/>
        </w:trPr>
        <w:tc>
          <w:tcPr>
            <w:tcW w:w="9752" w:type="dxa"/>
            <w:gridSpan w:val="2"/>
            <w:tcBorders>
              <w:top w:val="nil"/>
              <w:left w:val="nil"/>
              <w:bottom w:val="nil"/>
              <w:right w:val="nil"/>
            </w:tcBorders>
          </w:tcPr>
          <w:p w14:paraId="508700AA" w14:textId="77777777" w:rsidR="000B6ECF" w:rsidRPr="00E15500" w:rsidRDefault="000B6ECF" w:rsidP="00AC2424"/>
        </w:tc>
      </w:tr>
      <w:tr w:rsidR="000B6ECF" w:rsidRPr="00E15500" w14:paraId="789C053C" w14:textId="77777777" w:rsidTr="00AC2424">
        <w:trPr>
          <w:trHeight w:val="240"/>
          <w:jc w:val="center"/>
        </w:trPr>
        <w:tc>
          <w:tcPr>
            <w:tcW w:w="4876" w:type="dxa"/>
            <w:tcBorders>
              <w:top w:val="nil"/>
              <w:left w:val="nil"/>
              <w:bottom w:val="nil"/>
              <w:right w:val="nil"/>
            </w:tcBorders>
          </w:tcPr>
          <w:p w14:paraId="100467DE"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14115950" w14:textId="77777777" w:rsidR="000B6ECF" w:rsidRPr="00E15500" w:rsidRDefault="000B6ECF" w:rsidP="00AC2424">
            <w:pPr>
              <w:pStyle w:val="AmColumnHeading"/>
            </w:pPr>
            <w:r w:rsidRPr="00E15500">
              <w:t>Emendamento</w:t>
            </w:r>
          </w:p>
        </w:tc>
      </w:tr>
      <w:tr w:rsidR="000B6ECF" w:rsidRPr="00E15500" w14:paraId="111FA63B" w14:textId="77777777" w:rsidTr="00AC2424">
        <w:trPr>
          <w:jc w:val="center"/>
        </w:trPr>
        <w:tc>
          <w:tcPr>
            <w:tcW w:w="4876" w:type="dxa"/>
            <w:tcBorders>
              <w:top w:val="nil"/>
              <w:left w:val="nil"/>
              <w:bottom w:val="nil"/>
              <w:right w:val="nil"/>
            </w:tcBorders>
          </w:tcPr>
          <w:p w14:paraId="1481D153" w14:textId="77777777" w:rsidR="000B6ECF" w:rsidRPr="00E15500" w:rsidRDefault="000B6ECF" w:rsidP="00AC2424">
            <w:pPr>
              <w:pStyle w:val="Normal6a"/>
            </w:pPr>
            <w:r w:rsidRPr="00E15500">
              <w:t>51.</w:t>
            </w:r>
            <w:r w:rsidRPr="00E15500">
              <w:tab/>
              <w:t>rileva che, in linea con la dichiarazione della CGUE intitolata "Supporting the European Judicial Training Network (EJTN) to shape a sustainable European judicial culture" ("Sostenere la rete europea di formazione giudiziaria (REFG) per creare una cultura giudiziaria europea sostenibile"), la CGUE e la REFG hanno tentato di aumentare la diversità dei tirocinanti a lungo termine nel 2023, con l'obiettivo di portarne il numero a uno per Stato membro; rileva che per l'anno 2023-24 sono stati offerti 15 tirocini;</w:t>
            </w:r>
          </w:p>
        </w:tc>
        <w:tc>
          <w:tcPr>
            <w:tcW w:w="4876" w:type="dxa"/>
            <w:tcBorders>
              <w:top w:val="nil"/>
              <w:left w:val="nil"/>
              <w:bottom w:val="nil"/>
              <w:right w:val="nil"/>
            </w:tcBorders>
          </w:tcPr>
          <w:p w14:paraId="534820D0" w14:textId="77777777" w:rsidR="000B6ECF" w:rsidRPr="00E15500" w:rsidRDefault="000B6ECF" w:rsidP="00AC2424">
            <w:pPr>
              <w:pStyle w:val="Normal6a"/>
            </w:pPr>
            <w:r w:rsidRPr="00E15500">
              <w:t>51.</w:t>
            </w:r>
            <w:r w:rsidRPr="00E15500">
              <w:tab/>
              <w:t>rileva che, in linea con la dichiarazione della CGUE intitolata "Supporting the European Judicial Training Network (EJTN) to shape a sustainable European judicial culture" ("Sostenere la rete europea di formazione giudiziaria (REFG) per creare una cultura giudiziaria europea sostenibile"), la CGUE e la REFG hanno tentato di aumentare la diversità dei tirocinanti a lungo termine nel 2023, con l'obiettivo di portarne il numero a uno per Stato membro; </w:t>
            </w:r>
            <w:r w:rsidRPr="00E15500">
              <w:rPr>
                <w:b/>
                <w:i/>
              </w:rPr>
              <w:t xml:space="preserve">prende atto che le misure intraprese hanno già avuto un esito positivo, visto che alla CGUE vi sono tirocinanti provenienti da alcuni Stati membri che in precedenza non partecipavano attivamente al programma; </w:t>
            </w:r>
            <w:r w:rsidRPr="00E15500">
              <w:t>rileva che per l'anno 2023-24 sono stati offerti 15 tirocini;</w:t>
            </w:r>
          </w:p>
        </w:tc>
      </w:tr>
    </w:tbl>
    <w:p w14:paraId="0638D0AC"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4CAA028B" w14:textId="77777777" w:rsidR="000B6ECF" w:rsidRPr="00E15500" w:rsidRDefault="000B6ECF" w:rsidP="000B6ECF">
      <w:r w:rsidRPr="00E15500">
        <w:rPr>
          <w:rStyle w:val="HideTWBExt"/>
        </w:rPr>
        <w:t>&lt;/Amend&gt;</w:t>
      </w:r>
    </w:p>
    <w:p w14:paraId="6FD1E122"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62</w:t>
      </w:r>
      <w:r w:rsidRPr="00E15500">
        <w:rPr>
          <w:rStyle w:val="HideTWBExt"/>
        </w:rPr>
        <w:t>&lt;/NumAm&gt;</w:t>
      </w:r>
    </w:p>
    <w:p w14:paraId="61B6DAA6" w14:textId="77777777" w:rsidR="000B6ECF" w:rsidRPr="00E15500" w:rsidRDefault="000B6ECF" w:rsidP="000B6ECF">
      <w:pPr>
        <w:pStyle w:val="NormalBold"/>
      </w:pPr>
      <w:r w:rsidRPr="00E15500">
        <w:rPr>
          <w:rStyle w:val="HideTWBExt"/>
          <w:b w:val="0"/>
        </w:rPr>
        <w:t>&lt;RepeatBlock-By&gt;&lt;Members&gt;</w:t>
      </w:r>
      <w:r w:rsidRPr="00E15500">
        <w:t>Damian Boeselager</w:t>
      </w:r>
      <w:r w:rsidRPr="00E15500">
        <w:rPr>
          <w:rStyle w:val="HideTWBExt"/>
          <w:b w:val="0"/>
        </w:rPr>
        <w:t>&lt;/Members&gt;</w:t>
      </w:r>
    </w:p>
    <w:p w14:paraId="3EEEF18A" w14:textId="77777777" w:rsidR="000B6ECF" w:rsidRPr="00E15500" w:rsidRDefault="000B6ECF" w:rsidP="000B6ECF">
      <w:r w:rsidRPr="00E15500">
        <w:rPr>
          <w:rStyle w:val="HideTWBExt"/>
        </w:rPr>
        <w:t>&lt;AuNomDe&gt;</w:t>
      </w:r>
      <w:r w:rsidRPr="00E15500">
        <w:rPr>
          <w:rStyle w:val="HideTWBInt"/>
        </w:rPr>
        <w:t>{Greens/EFA}</w:t>
      </w:r>
      <w:r w:rsidRPr="00E15500">
        <w:t>a nome del gruppo Verts/ALE</w:t>
      </w:r>
      <w:r w:rsidRPr="00E15500">
        <w:rPr>
          <w:rStyle w:val="HideTWBExt"/>
        </w:rPr>
        <w:t>&lt;/AuNomDe&gt;</w:t>
      </w:r>
    </w:p>
    <w:p w14:paraId="6FB50FCD" w14:textId="77777777" w:rsidR="000B6ECF" w:rsidRPr="00E15500" w:rsidRDefault="000B6ECF" w:rsidP="000B6ECF">
      <w:pPr>
        <w:pStyle w:val="NormalBold"/>
      </w:pPr>
      <w:r w:rsidRPr="00E15500">
        <w:rPr>
          <w:rStyle w:val="HideTWBExt"/>
          <w:b w:val="0"/>
        </w:rPr>
        <w:t>&lt;/RepeatBlock-By&gt;</w:t>
      </w:r>
    </w:p>
    <w:p w14:paraId="102C0F0E"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054A4F00" w14:textId="77777777" w:rsidR="000B6ECF" w:rsidRPr="00E15500" w:rsidRDefault="000B6ECF" w:rsidP="000B6ECF">
      <w:pPr>
        <w:pStyle w:val="NormalBold"/>
      </w:pPr>
      <w:r w:rsidRPr="00E15500">
        <w:rPr>
          <w:rStyle w:val="HideTWBExt"/>
        </w:rPr>
        <w:t>&lt;Article&gt;</w:t>
      </w:r>
      <w:r w:rsidRPr="00E15500">
        <w:t>Paragrafo 51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4726FA6A" w14:textId="77777777" w:rsidTr="00AC2424">
        <w:trPr>
          <w:trHeight w:hRule="exact" w:val="240"/>
          <w:jc w:val="center"/>
        </w:trPr>
        <w:tc>
          <w:tcPr>
            <w:tcW w:w="9752" w:type="dxa"/>
            <w:gridSpan w:val="2"/>
            <w:tcBorders>
              <w:top w:val="nil"/>
              <w:left w:val="nil"/>
              <w:bottom w:val="nil"/>
              <w:right w:val="nil"/>
            </w:tcBorders>
          </w:tcPr>
          <w:p w14:paraId="0EC56E59" w14:textId="77777777" w:rsidR="000B6ECF" w:rsidRPr="00E15500" w:rsidRDefault="000B6ECF" w:rsidP="00AC2424"/>
        </w:tc>
      </w:tr>
      <w:tr w:rsidR="000B6ECF" w:rsidRPr="00E15500" w14:paraId="4FF0640B" w14:textId="77777777" w:rsidTr="00AC2424">
        <w:trPr>
          <w:trHeight w:val="240"/>
          <w:jc w:val="center"/>
        </w:trPr>
        <w:tc>
          <w:tcPr>
            <w:tcW w:w="4876" w:type="dxa"/>
            <w:tcBorders>
              <w:top w:val="nil"/>
              <w:left w:val="nil"/>
              <w:bottom w:val="nil"/>
              <w:right w:val="nil"/>
            </w:tcBorders>
          </w:tcPr>
          <w:p w14:paraId="3D61832F"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60F27146" w14:textId="77777777" w:rsidR="000B6ECF" w:rsidRPr="00E15500" w:rsidRDefault="000B6ECF" w:rsidP="00AC2424">
            <w:pPr>
              <w:pStyle w:val="AmColumnHeading"/>
            </w:pPr>
            <w:r w:rsidRPr="00E15500">
              <w:t>Emendamento</w:t>
            </w:r>
          </w:p>
        </w:tc>
      </w:tr>
      <w:tr w:rsidR="000B6ECF" w:rsidRPr="00E15500" w14:paraId="0B2F2858" w14:textId="77777777" w:rsidTr="00AC2424">
        <w:trPr>
          <w:jc w:val="center"/>
        </w:trPr>
        <w:tc>
          <w:tcPr>
            <w:tcW w:w="4876" w:type="dxa"/>
            <w:tcBorders>
              <w:top w:val="nil"/>
              <w:left w:val="nil"/>
              <w:bottom w:val="nil"/>
              <w:right w:val="nil"/>
            </w:tcBorders>
          </w:tcPr>
          <w:p w14:paraId="543ADD20" w14:textId="77777777" w:rsidR="000B6ECF" w:rsidRPr="00E15500" w:rsidRDefault="000B6ECF" w:rsidP="00AC2424">
            <w:pPr>
              <w:pStyle w:val="Normal6a"/>
            </w:pPr>
          </w:p>
        </w:tc>
        <w:tc>
          <w:tcPr>
            <w:tcW w:w="4876" w:type="dxa"/>
            <w:tcBorders>
              <w:top w:val="nil"/>
              <w:left w:val="nil"/>
              <w:bottom w:val="nil"/>
              <w:right w:val="nil"/>
            </w:tcBorders>
          </w:tcPr>
          <w:p w14:paraId="7141FA60" w14:textId="77777777" w:rsidR="000B6ECF" w:rsidRPr="00E15500" w:rsidRDefault="000B6ECF" w:rsidP="00AC2424">
            <w:pPr>
              <w:pStyle w:val="Normal6a"/>
            </w:pPr>
            <w:r w:rsidRPr="00E15500">
              <w:rPr>
                <w:b/>
                <w:i/>
              </w:rPr>
              <w:t>51 bis.</w:t>
            </w:r>
            <w:r w:rsidRPr="00E15500">
              <w:tab/>
            </w:r>
            <w:r w:rsidRPr="00E15500">
              <w:rPr>
                <w:b/>
                <w:i/>
              </w:rPr>
              <w:t>accoglie con favore gli sforzi della rete europea di formazione giudiziaria (REFG) nella formazione dei giudici nazionali sul diritto dell'UE; invita la CGUE a sviluppare ulteriormente le sue iniziative di condivisione delle conoscenze, tra cui le banche dati giurisprudenziali congiunte e le piattaforme di collaborazione virtuale, al fine di sostenere gli organi giurisdizionali nazionali nelle complesse interpretazioni giuridiche;</w:t>
            </w:r>
          </w:p>
        </w:tc>
      </w:tr>
    </w:tbl>
    <w:p w14:paraId="2B2B6800"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3B418C09" w14:textId="77777777" w:rsidR="000B6ECF" w:rsidRPr="00E15500" w:rsidRDefault="000B6ECF" w:rsidP="000B6ECF">
      <w:r w:rsidRPr="00E15500">
        <w:rPr>
          <w:rStyle w:val="HideTWBExt"/>
        </w:rPr>
        <w:t>&lt;/Amend&gt;</w:t>
      </w:r>
    </w:p>
    <w:p w14:paraId="1226DED9"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63</w:t>
      </w:r>
      <w:r w:rsidRPr="00E15500">
        <w:rPr>
          <w:rStyle w:val="HideTWBExt"/>
        </w:rPr>
        <w:t>&lt;/NumAm&gt;</w:t>
      </w:r>
    </w:p>
    <w:p w14:paraId="783FEC77" w14:textId="77777777" w:rsidR="000B6ECF" w:rsidRPr="00E15500" w:rsidRDefault="000B6ECF" w:rsidP="000B6ECF">
      <w:pPr>
        <w:pStyle w:val="NormalBold"/>
      </w:pPr>
      <w:r w:rsidRPr="00E15500">
        <w:rPr>
          <w:rStyle w:val="HideTWBExt"/>
          <w:b w:val="0"/>
        </w:rPr>
        <w:t>&lt;RepeatBlock-By&gt;&lt;Members&gt;</w:t>
      </w:r>
      <w:r w:rsidRPr="00E15500">
        <w:t>Pasquale Tridico</w:t>
      </w:r>
      <w:r w:rsidRPr="00E15500">
        <w:rPr>
          <w:rStyle w:val="HideTWBExt"/>
          <w:b w:val="0"/>
        </w:rPr>
        <w:t>&lt;/Members&gt;</w:t>
      </w:r>
    </w:p>
    <w:p w14:paraId="475F95EE" w14:textId="77777777" w:rsidR="000B6ECF" w:rsidRPr="00E15500" w:rsidRDefault="000B6ECF" w:rsidP="000B6ECF">
      <w:pPr>
        <w:pStyle w:val="NormalBold"/>
      </w:pPr>
      <w:r w:rsidRPr="00E15500">
        <w:rPr>
          <w:rStyle w:val="HideTWBExt"/>
          <w:b w:val="0"/>
        </w:rPr>
        <w:t>&lt;/RepeatBlock-By&gt;</w:t>
      </w:r>
    </w:p>
    <w:p w14:paraId="39079950"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73916155" w14:textId="77777777" w:rsidR="000B6ECF" w:rsidRPr="00E15500" w:rsidRDefault="000B6ECF" w:rsidP="000B6ECF">
      <w:pPr>
        <w:pStyle w:val="NormalBold"/>
      </w:pPr>
      <w:r w:rsidRPr="00E15500">
        <w:rPr>
          <w:rStyle w:val="HideTWBExt"/>
        </w:rPr>
        <w:t>&lt;Article&gt;</w:t>
      </w:r>
      <w:r w:rsidRPr="00E15500">
        <w:t>Paragrafo 51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373C7DBD" w14:textId="77777777" w:rsidTr="00AC2424">
        <w:trPr>
          <w:trHeight w:hRule="exact" w:val="240"/>
          <w:jc w:val="center"/>
        </w:trPr>
        <w:tc>
          <w:tcPr>
            <w:tcW w:w="9752" w:type="dxa"/>
            <w:gridSpan w:val="2"/>
            <w:tcBorders>
              <w:top w:val="nil"/>
              <w:left w:val="nil"/>
              <w:bottom w:val="nil"/>
              <w:right w:val="nil"/>
            </w:tcBorders>
          </w:tcPr>
          <w:p w14:paraId="2B5000D4" w14:textId="77777777" w:rsidR="000B6ECF" w:rsidRPr="00E15500" w:rsidRDefault="000B6ECF" w:rsidP="00AC2424"/>
        </w:tc>
      </w:tr>
      <w:tr w:rsidR="000B6ECF" w:rsidRPr="00E15500" w14:paraId="4735F441" w14:textId="77777777" w:rsidTr="00AC2424">
        <w:trPr>
          <w:trHeight w:val="240"/>
          <w:jc w:val="center"/>
        </w:trPr>
        <w:tc>
          <w:tcPr>
            <w:tcW w:w="4876" w:type="dxa"/>
            <w:tcBorders>
              <w:top w:val="nil"/>
              <w:left w:val="nil"/>
              <w:bottom w:val="nil"/>
              <w:right w:val="nil"/>
            </w:tcBorders>
          </w:tcPr>
          <w:p w14:paraId="26B08265"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5C872226" w14:textId="77777777" w:rsidR="000B6ECF" w:rsidRPr="00E15500" w:rsidRDefault="000B6ECF" w:rsidP="00AC2424">
            <w:pPr>
              <w:pStyle w:val="AmColumnHeading"/>
            </w:pPr>
            <w:r w:rsidRPr="00E15500">
              <w:t>Emendamento</w:t>
            </w:r>
          </w:p>
        </w:tc>
      </w:tr>
      <w:tr w:rsidR="000B6ECF" w:rsidRPr="00E15500" w14:paraId="5BC3B75C" w14:textId="77777777" w:rsidTr="00AC2424">
        <w:trPr>
          <w:jc w:val="center"/>
        </w:trPr>
        <w:tc>
          <w:tcPr>
            <w:tcW w:w="4876" w:type="dxa"/>
            <w:tcBorders>
              <w:top w:val="nil"/>
              <w:left w:val="nil"/>
              <w:bottom w:val="nil"/>
              <w:right w:val="nil"/>
            </w:tcBorders>
          </w:tcPr>
          <w:p w14:paraId="7BE84364" w14:textId="77777777" w:rsidR="000B6ECF" w:rsidRPr="00E15500" w:rsidRDefault="000B6ECF" w:rsidP="00AC2424">
            <w:pPr>
              <w:pStyle w:val="Normal6a"/>
            </w:pPr>
          </w:p>
        </w:tc>
        <w:tc>
          <w:tcPr>
            <w:tcW w:w="4876" w:type="dxa"/>
            <w:tcBorders>
              <w:top w:val="nil"/>
              <w:left w:val="nil"/>
              <w:bottom w:val="nil"/>
              <w:right w:val="nil"/>
            </w:tcBorders>
          </w:tcPr>
          <w:p w14:paraId="186E551B" w14:textId="77777777" w:rsidR="000B6ECF" w:rsidRPr="00E15500" w:rsidRDefault="000B6ECF" w:rsidP="00AC2424">
            <w:pPr>
              <w:pStyle w:val="Normal6a"/>
            </w:pPr>
            <w:r w:rsidRPr="00E15500">
              <w:rPr>
                <w:b/>
                <w:i/>
              </w:rPr>
              <w:t>51 bis.</w:t>
            </w:r>
            <w:r w:rsidRPr="00E15500">
              <w:tab/>
            </w:r>
            <w:r w:rsidRPr="00E15500">
              <w:rPr>
                <w:b/>
                <w:i/>
              </w:rPr>
              <w:t>accoglie con favore il fatto che attualmente non vi siano tirocinanti non retribuiti e che durante il periodo di permanenza tutti ricevano una sovvenzione, principalmente dalla CGUE e in alcuni casi specifici da altre fonti; rileva che la CGUE accetta solo pochi tirocinanti (meno di 10 all'anno) retribuiti da altre fonti e per periodi brevi (in media 2 mesi); accoglie con favore il fatto che, in tali casi, l'amministrazione della CGUE verifichi attentamente che tali tirocinanti ricevano effettivamente una sovvenzione, un'indennità o una retribuzione per tale tirocinio, pagata direttamente dal datore di lavoro o dall'istituzione accademica;</w:t>
            </w:r>
          </w:p>
        </w:tc>
      </w:tr>
    </w:tbl>
    <w:p w14:paraId="7E5E3A5B"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7FF1B183" w14:textId="77777777" w:rsidR="000B6ECF" w:rsidRPr="00E15500" w:rsidRDefault="000B6ECF" w:rsidP="000B6ECF">
      <w:r w:rsidRPr="00E15500">
        <w:rPr>
          <w:rStyle w:val="HideTWBExt"/>
        </w:rPr>
        <w:t>&lt;/Amend&gt;</w:t>
      </w:r>
    </w:p>
    <w:p w14:paraId="28D958CB"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64</w:t>
      </w:r>
      <w:r w:rsidRPr="00E15500">
        <w:rPr>
          <w:rStyle w:val="HideTWBExt"/>
        </w:rPr>
        <w:t>&lt;/NumAm&gt;</w:t>
      </w:r>
    </w:p>
    <w:p w14:paraId="35301E6A" w14:textId="77777777" w:rsidR="000B6ECF" w:rsidRPr="00E15500" w:rsidRDefault="000B6ECF" w:rsidP="000B6ECF">
      <w:pPr>
        <w:pStyle w:val="NormalBold"/>
      </w:pPr>
      <w:r w:rsidRPr="00E15500">
        <w:rPr>
          <w:rStyle w:val="HideTWBExt"/>
          <w:b w:val="0"/>
        </w:rPr>
        <w:t>&lt;RepeatBlock-By&gt;&lt;Members&gt;</w:t>
      </w:r>
      <w:r w:rsidRPr="00E15500">
        <w:t>Csaba Molnár, Claudiu Manda</w:t>
      </w:r>
      <w:r w:rsidRPr="00E15500">
        <w:rPr>
          <w:rStyle w:val="HideTWBExt"/>
          <w:b w:val="0"/>
        </w:rPr>
        <w:t>&lt;/Members&gt;</w:t>
      </w:r>
    </w:p>
    <w:p w14:paraId="120BAAF7" w14:textId="77777777" w:rsidR="000B6ECF" w:rsidRPr="00E15500" w:rsidRDefault="000B6ECF" w:rsidP="000B6ECF">
      <w:pPr>
        <w:pStyle w:val="NormalBold"/>
      </w:pPr>
      <w:r w:rsidRPr="00E15500">
        <w:rPr>
          <w:rStyle w:val="HideTWBExt"/>
          <w:b w:val="0"/>
        </w:rPr>
        <w:t>&lt;/RepeatBlock-By&gt;</w:t>
      </w:r>
    </w:p>
    <w:p w14:paraId="64AA9321"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7EDB4B2D" w14:textId="77777777" w:rsidR="000B6ECF" w:rsidRPr="00E15500" w:rsidRDefault="000B6ECF" w:rsidP="000B6ECF">
      <w:pPr>
        <w:pStyle w:val="NormalBold"/>
      </w:pPr>
      <w:r w:rsidRPr="00E15500">
        <w:rPr>
          <w:rStyle w:val="HideTWBExt"/>
        </w:rPr>
        <w:t>&lt;Article&gt;</w:t>
      </w:r>
      <w:r w:rsidRPr="00E15500">
        <w:t>Paragrafo 52</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540667DE" w14:textId="77777777" w:rsidTr="00AC2424">
        <w:trPr>
          <w:trHeight w:hRule="exact" w:val="240"/>
          <w:jc w:val="center"/>
        </w:trPr>
        <w:tc>
          <w:tcPr>
            <w:tcW w:w="9752" w:type="dxa"/>
            <w:gridSpan w:val="2"/>
            <w:tcBorders>
              <w:top w:val="nil"/>
              <w:left w:val="nil"/>
              <w:bottom w:val="nil"/>
              <w:right w:val="nil"/>
            </w:tcBorders>
          </w:tcPr>
          <w:p w14:paraId="3DDFF6A8" w14:textId="77777777" w:rsidR="000B6ECF" w:rsidRPr="00E15500" w:rsidRDefault="000B6ECF" w:rsidP="00AC2424"/>
        </w:tc>
      </w:tr>
      <w:tr w:rsidR="000B6ECF" w:rsidRPr="00E15500" w14:paraId="14D4F412" w14:textId="77777777" w:rsidTr="00AC2424">
        <w:trPr>
          <w:trHeight w:val="240"/>
          <w:jc w:val="center"/>
        </w:trPr>
        <w:tc>
          <w:tcPr>
            <w:tcW w:w="4876" w:type="dxa"/>
            <w:tcBorders>
              <w:top w:val="nil"/>
              <w:left w:val="nil"/>
              <w:bottom w:val="nil"/>
              <w:right w:val="nil"/>
            </w:tcBorders>
          </w:tcPr>
          <w:p w14:paraId="14CB8B83"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5FB3EE97" w14:textId="77777777" w:rsidR="000B6ECF" w:rsidRPr="00E15500" w:rsidRDefault="000B6ECF" w:rsidP="00AC2424">
            <w:pPr>
              <w:pStyle w:val="AmColumnHeading"/>
            </w:pPr>
            <w:r w:rsidRPr="00E15500">
              <w:t>Emendamento</w:t>
            </w:r>
          </w:p>
        </w:tc>
      </w:tr>
      <w:tr w:rsidR="000B6ECF" w:rsidRPr="00E15500" w14:paraId="69811833" w14:textId="77777777" w:rsidTr="00AC2424">
        <w:trPr>
          <w:jc w:val="center"/>
        </w:trPr>
        <w:tc>
          <w:tcPr>
            <w:tcW w:w="4876" w:type="dxa"/>
            <w:tcBorders>
              <w:top w:val="nil"/>
              <w:left w:val="nil"/>
              <w:bottom w:val="nil"/>
              <w:right w:val="nil"/>
            </w:tcBorders>
          </w:tcPr>
          <w:p w14:paraId="48A40884" w14:textId="77777777" w:rsidR="000B6ECF" w:rsidRPr="00E15500" w:rsidRDefault="000B6ECF" w:rsidP="00AC2424">
            <w:pPr>
              <w:pStyle w:val="Normal6a"/>
            </w:pPr>
            <w:r w:rsidRPr="00E15500">
              <w:t>52.</w:t>
            </w:r>
            <w:r w:rsidRPr="00E15500">
              <w:tab/>
              <w:t>osserva che, nel 2023, la CGUE ha continuato a lavorare per mantenere il dialogo stabilito con i tribunali nazionali, in particolare con le corti costituzionali e supreme, e che la CGUE ha ospitato una serie di incontri, tra cui la riunione annuale dei giudici nazionali;</w:t>
            </w:r>
          </w:p>
        </w:tc>
        <w:tc>
          <w:tcPr>
            <w:tcW w:w="4876" w:type="dxa"/>
            <w:tcBorders>
              <w:top w:val="nil"/>
              <w:left w:val="nil"/>
              <w:bottom w:val="nil"/>
              <w:right w:val="nil"/>
            </w:tcBorders>
          </w:tcPr>
          <w:p w14:paraId="57E78FB6" w14:textId="77777777" w:rsidR="000B6ECF" w:rsidRPr="00E15500" w:rsidRDefault="000B6ECF" w:rsidP="00AC2424">
            <w:pPr>
              <w:pStyle w:val="Normal6a"/>
            </w:pPr>
            <w:r w:rsidRPr="00E15500">
              <w:t>52.</w:t>
            </w:r>
            <w:r w:rsidRPr="00E15500">
              <w:tab/>
            </w:r>
            <w:r w:rsidRPr="00E15500">
              <w:rPr>
                <w:b/>
                <w:i/>
              </w:rPr>
              <w:t>apprezza il fatto che la CGUE collabori pienamente con l'OLAF, la Corte dei conti, il GEPD e il Mediatore europeo;</w:t>
            </w:r>
            <w:r w:rsidRPr="00E15500">
              <w:t xml:space="preserve"> osserva che, nel 2023, la CGUE ha continuato a lavorare per mantenere il dialogo stabilito con i tribunali nazionali, in particolare con le corti costituzionali e supreme, e che la CGUE ha ospitato una serie di incontri, tra cui la riunione annuale dei giudici nazionali;</w:t>
            </w:r>
          </w:p>
        </w:tc>
      </w:tr>
    </w:tbl>
    <w:p w14:paraId="188A49A0"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0C374496" w14:textId="77777777" w:rsidR="000B6ECF" w:rsidRPr="00E15500" w:rsidRDefault="000B6ECF" w:rsidP="000B6ECF">
      <w:r w:rsidRPr="00E15500">
        <w:rPr>
          <w:rStyle w:val="HideTWBExt"/>
        </w:rPr>
        <w:t>&lt;/Amend&gt;</w:t>
      </w:r>
    </w:p>
    <w:p w14:paraId="3C950F93" w14:textId="77777777" w:rsidR="000B6ECF" w:rsidRPr="00E15500" w:rsidRDefault="000B6ECF" w:rsidP="000B6ECF">
      <w:pPr>
        <w:pStyle w:val="AmNumberTabs"/>
      </w:pPr>
      <w:r w:rsidRPr="00E15500">
        <w:rPr>
          <w:rStyle w:val="HideTWBExt"/>
        </w:rPr>
        <w:t>&lt;Amend&gt;</w:t>
      </w:r>
      <w:r w:rsidRPr="00E15500">
        <w:t>Emendamento</w:t>
      </w:r>
      <w:r w:rsidRPr="00E15500">
        <w:tab/>
      </w:r>
      <w:r w:rsidRPr="00E15500">
        <w:tab/>
      </w:r>
      <w:r w:rsidRPr="00E15500">
        <w:rPr>
          <w:rStyle w:val="HideTWBExt"/>
        </w:rPr>
        <w:t>&lt;NumAm&gt;</w:t>
      </w:r>
      <w:r w:rsidRPr="00E15500">
        <w:t>65</w:t>
      </w:r>
      <w:r w:rsidRPr="00E15500">
        <w:rPr>
          <w:rStyle w:val="HideTWBExt"/>
        </w:rPr>
        <w:t>&lt;/NumAm&gt;</w:t>
      </w:r>
    </w:p>
    <w:p w14:paraId="3D834269" w14:textId="77777777" w:rsidR="000B6ECF" w:rsidRPr="00E15500" w:rsidRDefault="000B6ECF" w:rsidP="000B6ECF">
      <w:pPr>
        <w:pStyle w:val="NormalBold"/>
      </w:pPr>
      <w:r w:rsidRPr="00E15500">
        <w:rPr>
          <w:rStyle w:val="HideTWBExt"/>
          <w:b w:val="0"/>
        </w:rPr>
        <w:t>&lt;RepeatBlock-By&gt;&lt;Members&gt;</w:t>
      </w:r>
      <w:r w:rsidRPr="00E15500">
        <w:t>Damian Boeselager</w:t>
      </w:r>
      <w:r w:rsidRPr="00E15500">
        <w:rPr>
          <w:rStyle w:val="HideTWBExt"/>
          <w:b w:val="0"/>
        </w:rPr>
        <w:t>&lt;/Members&gt;</w:t>
      </w:r>
    </w:p>
    <w:p w14:paraId="6F977EF9" w14:textId="77777777" w:rsidR="000B6ECF" w:rsidRPr="00E15500" w:rsidRDefault="000B6ECF" w:rsidP="000B6ECF">
      <w:r w:rsidRPr="00E15500">
        <w:rPr>
          <w:rStyle w:val="HideTWBExt"/>
        </w:rPr>
        <w:t>&lt;AuNomDe&gt;</w:t>
      </w:r>
      <w:r w:rsidRPr="00E15500">
        <w:rPr>
          <w:rStyle w:val="HideTWBInt"/>
        </w:rPr>
        <w:t>{Greens/EFA}</w:t>
      </w:r>
      <w:r w:rsidRPr="00E15500">
        <w:t>a nome del gruppo Verts/ALE</w:t>
      </w:r>
      <w:r w:rsidRPr="00E15500">
        <w:rPr>
          <w:rStyle w:val="HideTWBExt"/>
        </w:rPr>
        <w:t>&lt;/AuNomDe&gt;</w:t>
      </w:r>
    </w:p>
    <w:p w14:paraId="21EF0594" w14:textId="77777777" w:rsidR="000B6ECF" w:rsidRPr="00E15500" w:rsidRDefault="000B6ECF" w:rsidP="000B6ECF">
      <w:pPr>
        <w:pStyle w:val="NormalBold"/>
      </w:pPr>
      <w:r w:rsidRPr="00E15500">
        <w:rPr>
          <w:rStyle w:val="HideTWBExt"/>
          <w:b w:val="0"/>
        </w:rPr>
        <w:t>&lt;/RepeatBlock-By&gt;</w:t>
      </w:r>
    </w:p>
    <w:p w14:paraId="69B5C0A0"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7CABAD5D" w14:textId="77777777" w:rsidR="000B6ECF" w:rsidRPr="00E15500" w:rsidRDefault="000B6ECF" w:rsidP="000B6ECF">
      <w:pPr>
        <w:pStyle w:val="NormalBold"/>
      </w:pPr>
      <w:r w:rsidRPr="00E15500">
        <w:rPr>
          <w:rStyle w:val="HideTWBExt"/>
        </w:rPr>
        <w:t>&lt;Article&gt;</w:t>
      </w:r>
      <w:r w:rsidRPr="00E15500">
        <w:t>Paragrafo 52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24504DD2" w14:textId="77777777" w:rsidTr="00AC2424">
        <w:trPr>
          <w:trHeight w:hRule="exact" w:val="240"/>
          <w:jc w:val="center"/>
        </w:trPr>
        <w:tc>
          <w:tcPr>
            <w:tcW w:w="9752" w:type="dxa"/>
            <w:gridSpan w:val="2"/>
            <w:tcBorders>
              <w:top w:val="nil"/>
              <w:left w:val="nil"/>
              <w:bottom w:val="nil"/>
              <w:right w:val="nil"/>
            </w:tcBorders>
          </w:tcPr>
          <w:p w14:paraId="6126B08F" w14:textId="77777777" w:rsidR="000B6ECF" w:rsidRPr="00E15500" w:rsidRDefault="000B6ECF" w:rsidP="00AC2424"/>
        </w:tc>
      </w:tr>
      <w:tr w:rsidR="000B6ECF" w:rsidRPr="00E15500" w14:paraId="74763E28" w14:textId="77777777" w:rsidTr="00AC2424">
        <w:trPr>
          <w:trHeight w:val="240"/>
          <w:jc w:val="center"/>
        </w:trPr>
        <w:tc>
          <w:tcPr>
            <w:tcW w:w="4876" w:type="dxa"/>
            <w:tcBorders>
              <w:top w:val="nil"/>
              <w:left w:val="nil"/>
              <w:bottom w:val="nil"/>
              <w:right w:val="nil"/>
            </w:tcBorders>
          </w:tcPr>
          <w:p w14:paraId="37C62C09"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48941855" w14:textId="77777777" w:rsidR="000B6ECF" w:rsidRPr="00E15500" w:rsidRDefault="000B6ECF" w:rsidP="00AC2424">
            <w:pPr>
              <w:pStyle w:val="AmColumnHeading"/>
            </w:pPr>
            <w:r w:rsidRPr="00E15500">
              <w:t>Emendamento</w:t>
            </w:r>
          </w:p>
        </w:tc>
      </w:tr>
      <w:tr w:rsidR="000B6ECF" w:rsidRPr="00E15500" w14:paraId="32C62854" w14:textId="77777777" w:rsidTr="00AC2424">
        <w:trPr>
          <w:jc w:val="center"/>
        </w:trPr>
        <w:tc>
          <w:tcPr>
            <w:tcW w:w="4876" w:type="dxa"/>
            <w:tcBorders>
              <w:top w:val="nil"/>
              <w:left w:val="nil"/>
              <w:bottom w:val="nil"/>
              <w:right w:val="nil"/>
            </w:tcBorders>
          </w:tcPr>
          <w:p w14:paraId="773B7718" w14:textId="77777777" w:rsidR="000B6ECF" w:rsidRPr="00E15500" w:rsidRDefault="000B6ECF" w:rsidP="00AC2424">
            <w:pPr>
              <w:pStyle w:val="Normal6a"/>
            </w:pPr>
          </w:p>
        </w:tc>
        <w:tc>
          <w:tcPr>
            <w:tcW w:w="4876" w:type="dxa"/>
            <w:tcBorders>
              <w:top w:val="nil"/>
              <w:left w:val="nil"/>
              <w:bottom w:val="nil"/>
              <w:right w:val="nil"/>
            </w:tcBorders>
          </w:tcPr>
          <w:p w14:paraId="3F54C995" w14:textId="77777777" w:rsidR="000B6ECF" w:rsidRPr="00E15500" w:rsidRDefault="000B6ECF" w:rsidP="00AC2424">
            <w:pPr>
              <w:pStyle w:val="Normal6a"/>
            </w:pPr>
            <w:r w:rsidRPr="00E15500">
              <w:rPr>
                <w:b/>
                <w:i/>
              </w:rPr>
              <w:t>52 bis.</w:t>
            </w:r>
            <w:r w:rsidRPr="00E15500">
              <w:tab/>
            </w:r>
            <w:r w:rsidRPr="00E15500">
              <w:rPr>
                <w:b/>
                <w:i/>
              </w:rPr>
              <w:t>incoraggia una più stretta cooperazione tra la CGUE e gli organi giurisdizionali nazionali, al fine di rafforzare l'applicazione uniforme del diritto dell'Unione; raccomanda l'istituzione di un programma permanente di scambio per le autorità giudiziarie rivolto ai giudici degli Stati membri affinché collaborino con i loro omologhi della CGUE, promuovendo le migliori pratiche nell'interpretazione del diritto dell'UE;</w:t>
            </w:r>
          </w:p>
        </w:tc>
      </w:tr>
    </w:tbl>
    <w:p w14:paraId="7705F820" w14:textId="77777777" w:rsidR="000B6ECF" w:rsidRPr="00AC2424" w:rsidRDefault="000B6ECF" w:rsidP="000B6ECF">
      <w:pPr>
        <w:pStyle w:val="AmOrLang"/>
        <w:rPr>
          <w:lang w:val="es-ES"/>
        </w:rPr>
      </w:pPr>
      <w:r w:rsidRPr="00AC2424">
        <w:rPr>
          <w:lang w:val="es-ES"/>
        </w:rPr>
        <w:t xml:space="preserve">Or. </w:t>
      </w:r>
      <w:r w:rsidRPr="00AC2424">
        <w:rPr>
          <w:rStyle w:val="HideTWBExt"/>
          <w:rFonts w:eastAsiaTheme="majorEastAsia"/>
          <w:lang w:val="es-ES"/>
        </w:rPr>
        <w:t>&lt;Original&gt;</w:t>
      </w:r>
      <w:r w:rsidRPr="00AC2424">
        <w:rPr>
          <w:rStyle w:val="HideTWBInt"/>
          <w:lang w:val="es-ES"/>
        </w:rPr>
        <w:t>{EN}</w:t>
      </w:r>
      <w:r w:rsidRPr="00AC2424">
        <w:rPr>
          <w:lang w:val="es-ES"/>
        </w:rPr>
        <w:t>en</w:t>
      </w:r>
      <w:r w:rsidRPr="00AC2424">
        <w:rPr>
          <w:rStyle w:val="HideTWBExt"/>
          <w:rFonts w:eastAsiaTheme="majorEastAsia"/>
          <w:lang w:val="es-ES"/>
        </w:rPr>
        <w:t>&lt;/Original&gt;</w:t>
      </w:r>
    </w:p>
    <w:p w14:paraId="3B0CED1E" w14:textId="77777777" w:rsidR="000B6ECF" w:rsidRPr="00AC2424" w:rsidRDefault="000B6ECF" w:rsidP="000B6ECF">
      <w:pPr>
        <w:rPr>
          <w:lang w:val="es-ES"/>
        </w:rPr>
      </w:pPr>
      <w:r w:rsidRPr="00AC2424">
        <w:rPr>
          <w:rStyle w:val="HideTWBExt"/>
          <w:lang w:val="es-ES"/>
        </w:rPr>
        <w:t>&lt;/Amend&gt;</w:t>
      </w:r>
    </w:p>
    <w:p w14:paraId="0C96DC2C" w14:textId="77777777" w:rsidR="000B6ECF" w:rsidRPr="00AC2424" w:rsidRDefault="000B6ECF" w:rsidP="000B6ECF">
      <w:pPr>
        <w:pStyle w:val="AmNumberTabs"/>
        <w:rPr>
          <w:lang w:val="es-ES"/>
        </w:rPr>
      </w:pPr>
      <w:r w:rsidRPr="00AC2424">
        <w:rPr>
          <w:rStyle w:val="HideTWBExt"/>
          <w:lang w:val="es-ES"/>
        </w:rPr>
        <w:t>&lt;Amend&gt;</w:t>
      </w:r>
      <w:r w:rsidRPr="00AC2424">
        <w:rPr>
          <w:lang w:val="es-ES"/>
        </w:rPr>
        <w:t>Emendamento</w:t>
      </w:r>
      <w:r w:rsidRPr="00AC2424">
        <w:rPr>
          <w:lang w:val="es-ES"/>
        </w:rPr>
        <w:tab/>
      </w:r>
      <w:r w:rsidRPr="00AC2424">
        <w:rPr>
          <w:lang w:val="es-ES"/>
        </w:rPr>
        <w:tab/>
      </w:r>
      <w:r w:rsidRPr="00AC2424">
        <w:rPr>
          <w:rStyle w:val="HideTWBExt"/>
          <w:lang w:val="es-ES"/>
        </w:rPr>
        <w:t>&lt;NumAm&gt;</w:t>
      </w:r>
      <w:r w:rsidRPr="00AC2424">
        <w:rPr>
          <w:lang w:val="es-ES"/>
        </w:rPr>
        <w:t>66</w:t>
      </w:r>
      <w:r w:rsidRPr="00AC2424">
        <w:rPr>
          <w:rStyle w:val="HideTWBExt"/>
          <w:lang w:val="es-ES"/>
        </w:rPr>
        <w:t>&lt;/NumAm&gt;</w:t>
      </w:r>
    </w:p>
    <w:p w14:paraId="12893FC8" w14:textId="77777777" w:rsidR="000B6ECF" w:rsidRPr="00AC2424" w:rsidRDefault="000B6ECF" w:rsidP="000B6ECF">
      <w:pPr>
        <w:pStyle w:val="NormalBold"/>
        <w:rPr>
          <w:lang w:val="es-ES"/>
        </w:rPr>
      </w:pPr>
      <w:r w:rsidRPr="00AC2424">
        <w:rPr>
          <w:rStyle w:val="HideTWBExt"/>
          <w:b w:val="0"/>
          <w:lang w:val="es-ES"/>
        </w:rPr>
        <w:t>&lt;RepeatBlock-By&gt;&lt;Members&gt;</w:t>
      </w:r>
      <w:r w:rsidRPr="00AC2424">
        <w:rPr>
          <w:lang w:val="es-ES"/>
        </w:rPr>
        <w:t>Tamás Deutsch</w:t>
      </w:r>
      <w:r w:rsidRPr="00AC2424">
        <w:rPr>
          <w:rStyle w:val="HideTWBExt"/>
          <w:b w:val="0"/>
          <w:lang w:val="es-ES"/>
        </w:rPr>
        <w:t>&lt;/Members&gt;</w:t>
      </w:r>
    </w:p>
    <w:p w14:paraId="36608D2F" w14:textId="77777777" w:rsidR="000B6ECF" w:rsidRPr="00AC2424" w:rsidRDefault="000B6ECF" w:rsidP="000B6ECF">
      <w:pPr>
        <w:pStyle w:val="NormalBold"/>
        <w:rPr>
          <w:lang w:val="es-ES"/>
        </w:rPr>
      </w:pPr>
      <w:r w:rsidRPr="00AC2424">
        <w:rPr>
          <w:rStyle w:val="HideTWBExt"/>
          <w:b w:val="0"/>
          <w:lang w:val="es-ES"/>
        </w:rPr>
        <w:t>&lt;/RepeatBlock-By&gt;</w:t>
      </w:r>
    </w:p>
    <w:p w14:paraId="31152063" w14:textId="77777777" w:rsidR="000B6ECF" w:rsidRPr="00E15500" w:rsidRDefault="000B6ECF" w:rsidP="000B6ECF">
      <w:pPr>
        <w:pStyle w:val="NormalBold"/>
      </w:pPr>
      <w:r w:rsidRPr="00E15500">
        <w:rPr>
          <w:rStyle w:val="HideTWBExt"/>
        </w:rPr>
        <w:t>&lt;DocAmend&gt;</w:t>
      </w:r>
      <w:r w:rsidRPr="00E15500">
        <w:t>Proposta di risoluzione</w:t>
      </w:r>
      <w:r w:rsidRPr="00E15500">
        <w:rPr>
          <w:rStyle w:val="HideTWBExt"/>
        </w:rPr>
        <w:t>&lt;/DocAmend&gt;</w:t>
      </w:r>
    </w:p>
    <w:p w14:paraId="1288476A" w14:textId="77777777" w:rsidR="000B6ECF" w:rsidRPr="00E15500" w:rsidRDefault="000B6ECF" w:rsidP="000B6ECF">
      <w:pPr>
        <w:pStyle w:val="NormalBold"/>
      </w:pPr>
      <w:r w:rsidRPr="00E15500">
        <w:rPr>
          <w:rStyle w:val="HideTWBExt"/>
        </w:rPr>
        <w:t>&lt;Article&gt;</w:t>
      </w:r>
      <w:r w:rsidRPr="00E15500">
        <w:t>Paragrafo 52 bis (nuovo)</w:t>
      </w:r>
      <w:r w:rsidRPr="00E155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B6ECF" w:rsidRPr="00E15500" w14:paraId="57A9F7DC" w14:textId="77777777" w:rsidTr="00AC2424">
        <w:trPr>
          <w:trHeight w:hRule="exact" w:val="240"/>
          <w:jc w:val="center"/>
        </w:trPr>
        <w:tc>
          <w:tcPr>
            <w:tcW w:w="9752" w:type="dxa"/>
            <w:gridSpan w:val="2"/>
            <w:tcBorders>
              <w:top w:val="nil"/>
              <w:left w:val="nil"/>
              <w:bottom w:val="nil"/>
              <w:right w:val="nil"/>
            </w:tcBorders>
          </w:tcPr>
          <w:p w14:paraId="112871FF" w14:textId="77777777" w:rsidR="000B6ECF" w:rsidRPr="00E15500" w:rsidRDefault="000B6ECF" w:rsidP="00AC2424"/>
        </w:tc>
      </w:tr>
      <w:tr w:rsidR="000B6ECF" w:rsidRPr="00E15500" w14:paraId="7F6FD931" w14:textId="77777777" w:rsidTr="00AC2424">
        <w:trPr>
          <w:trHeight w:val="240"/>
          <w:jc w:val="center"/>
        </w:trPr>
        <w:tc>
          <w:tcPr>
            <w:tcW w:w="4876" w:type="dxa"/>
            <w:tcBorders>
              <w:top w:val="nil"/>
              <w:left w:val="nil"/>
              <w:bottom w:val="nil"/>
              <w:right w:val="nil"/>
            </w:tcBorders>
          </w:tcPr>
          <w:p w14:paraId="2E96A3EA" w14:textId="77777777" w:rsidR="000B6ECF" w:rsidRPr="00E15500" w:rsidRDefault="000B6ECF" w:rsidP="00AC2424">
            <w:pPr>
              <w:pStyle w:val="AmColumnHeading"/>
            </w:pPr>
            <w:r w:rsidRPr="00E15500">
              <w:t>Proposta di risoluzione</w:t>
            </w:r>
          </w:p>
        </w:tc>
        <w:tc>
          <w:tcPr>
            <w:tcW w:w="4876" w:type="dxa"/>
            <w:tcBorders>
              <w:top w:val="nil"/>
              <w:left w:val="nil"/>
              <w:bottom w:val="nil"/>
              <w:right w:val="nil"/>
            </w:tcBorders>
          </w:tcPr>
          <w:p w14:paraId="641B1E8C" w14:textId="77777777" w:rsidR="000B6ECF" w:rsidRPr="00E15500" w:rsidRDefault="000B6ECF" w:rsidP="00AC2424">
            <w:pPr>
              <w:pStyle w:val="AmColumnHeading"/>
            </w:pPr>
            <w:r w:rsidRPr="00E15500">
              <w:t>Emendamento</w:t>
            </w:r>
          </w:p>
        </w:tc>
      </w:tr>
      <w:tr w:rsidR="000B6ECF" w:rsidRPr="00E15500" w14:paraId="21171B7F" w14:textId="77777777" w:rsidTr="00AC2424">
        <w:trPr>
          <w:jc w:val="center"/>
        </w:trPr>
        <w:tc>
          <w:tcPr>
            <w:tcW w:w="4876" w:type="dxa"/>
            <w:tcBorders>
              <w:top w:val="nil"/>
              <w:left w:val="nil"/>
              <w:bottom w:val="nil"/>
              <w:right w:val="nil"/>
            </w:tcBorders>
          </w:tcPr>
          <w:p w14:paraId="00EC2211" w14:textId="77777777" w:rsidR="000B6ECF" w:rsidRPr="00E15500" w:rsidRDefault="000B6ECF" w:rsidP="00AC2424">
            <w:pPr>
              <w:pStyle w:val="Normal6a"/>
            </w:pPr>
          </w:p>
        </w:tc>
        <w:tc>
          <w:tcPr>
            <w:tcW w:w="4876" w:type="dxa"/>
            <w:tcBorders>
              <w:top w:val="nil"/>
              <w:left w:val="nil"/>
              <w:bottom w:val="nil"/>
              <w:right w:val="nil"/>
            </w:tcBorders>
          </w:tcPr>
          <w:p w14:paraId="7DE3A3FD" w14:textId="77777777" w:rsidR="000B6ECF" w:rsidRPr="00E15500" w:rsidRDefault="000B6ECF" w:rsidP="00AC2424">
            <w:pPr>
              <w:pStyle w:val="Normal6a"/>
            </w:pPr>
            <w:r w:rsidRPr="00E15500">
              <w:rPr>
                <w:b/>
                <w:i/>
              </w:rPr>
              <w:t>52 bis.</w:t>
            </w:r>
            <w:r w:rsidRPr="00E15500">
              <w:tab/>
            </w:r>
            <w:r w:rsidRPr="00E15500">
              <w:rPr>
                <w:b/>
                <w:i/>
              </w:rPr>
              <w:t>invita la CGUE ad astenersi dal promuovere, diffondere e sostenere l'ideologia di genere e "woke" e a rispettare il trattato e le relative disposizioni, nonché a rispettare l'identità nazionale degli Stati membri, insita nella loro struttura fondamentale, storia, religione e tradizioni;</w:t>
            </w:r>
          </w:p>
        </w:tc>
      </w:tr>
    </w:tbl>
    <w:p w14:paraId="0E869C73" w14:textId="77777777" w:rsidR="000B6ECF" w:rsidRPr="00E15500" w:rsidRDefault="000B6ECF" w:rsidP="000B6ECF">
      <w:pPr>
        <w:pStyle w:val="AmOrLang"/>
      </w:pPr>
      <w:r w:rsidRPr="00E15500">
        <w:t xml:space="preserve">Or. </w:t>
      </w:r>
      <w:r w:rsidRPr="00E15500">
        <w:rPr>
          <w:rStyle w:val="HideTWBExt"/>
          <w:rFonts w:eastAsiaTheme="majorEastAsia"/>
        </w:rPr>
        <w:t>&lt;Original&gt;</w:t>
      </w:r>
      <w:r w:rsidRPr="00E15500">
        <w:rPr>
          <w:rStyle w:val="HideTWBInt"/>
        </w:rPr>
        <w:t>{EN}</w:t>
      </w:r>
      <w:r w:rsidRPr="00E15500">
        <w:t>en</w:t>
      </w:r>
      <w:r w:rsidRPr="00E15500">
        <w:rPr>
          <w:rStyle w:val="HideTWBExt"/>
          <w:rFonts w:eastAsiaTheme="majorEastAsia"/>
        </w:rPr>
        <w:t>&lt;/Original&gt;</w:t>
      </w:r>
    </w:p>
    <w:p w14:paraId="5D2C9BED" w14:textId="69BC4C66" w:rsidR="000B6ECF" w:rsidRPr="00E15500" w:rsidRDefault="000B6ECF" w:rsidP="000B6ECF">
      <w:r w:rsidRPr="00E15500">
        <w:rPr>
          <w:rStyle w:val="HideTWBExt"/>
        </w:rPr>
        <w:t>&lt;/Amend&gt;&lt;/RepeatBlock-Amend&gt;</w:t>
      </w:r>
    </w:p>
    <w:p w14:paraId="6D54C2C9" w14:textId="424D87A4" w:rsidR="007A11F7" w:rsidRPr="00E15500" w:rsidRDefault="007A11F7" w:rsidP="000B6ECF"/>
    <w:sectPr w:rsidR="007A11F7" w:rsidRPr="00E15500" w:rsidSect="00B724AE">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B45B5A" w14:textId="77777777" w:rsidR="00AC2424" w:rsidRPr="00E15500" w:rsidRDefault="00AC2424">
      <w:r w:rsidRPr="00E15500">
        <w:separator/>
      </w:r>
    </w:p>
  </w:endnote>
  <w:endnote w:type="continuationSeparator" w:id="0">
    <w:p w14:paraId="7F38ED5B" w14:textId="77777777" w:rsidR="00AC2424" w:rsidRPr="00E15500" w:rsidRDefault="00AC2424">
      <w:r w:rsidRPr="00E1550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79593" w14:textId="66D3E0A5" w:rsidR="00AC2424" w:rsidRPr="00AC2424" w:rsidRDefault="00AC2424" w:rsidP="00B724AE">
    <w:pPr>
      <w:pStyle w:val="EPFooter"/>
      <w:rPr>
        <w:lang w:val="de-DE"/>
      </w:rPr>
    </w:pPr>
    <w:r w:rsidRPr="00AC2424">
      <w:rPr>
        <w:lang w:val="de-DE"/>
      </w:rPr>
      <w:t>PE</w:t>
    </w:r>
    <w:r w:rsidRPr="00AC2424">
      <w:rPr>
        <w:rStyle w:val="HideTWBExt"/>
        <w:lang w:val="de-DE"/>
      </w:rPr>
      <w:t>&lt;NoPE&gt;</w:t>
    </w:r>
    <w:r w:rsidRPr="00AC2424">
      <w:rPr>
        <w:lang w:val="de-DE"/>
      </w:rPr>
      <w:t>768.136</w:t>
    </w:r>
    <w:r w:rsidRPr="00AC2424">
      <w:rPr>
        <w:rStyle w:val="HideTWBExt"/>
        <w:lang w:val="de-DE"/>
      </w:rPr>
      <w:t>&lt;/NoPE&gt;&lt;Version&gt;</w:t>
    </w:r>
    <w:r w:rsidRPr="00AC2424">
      <w:rPr>
        <w:lang w:val="de-DE"/>
      </w:rPr>
      <w:t>v01-00</w:t>
    </w:r>
    <w:r w:rsidRPr="00AC2424">
      <w:rPr>
        <w:rStyle w:val="HideTWBExt"/>
        <w:lang w:val="de-DE"/>
      </w:rPr>
      <w:t>&lt;/Version&gt;</w:t>
    </w:r>
    <w:r w:rsidRPr="00AC2424">
      <w:rPr>
        <w:lang w:val="de-DE"/>
      </w:rPr>
      <w:tab/>
    </w:r>
    <w:r w:rsidRPr="00E15500">
      <w:fldChar w:fldCharType="begin"/>
    </w:r>
    <w:r w:rsidRPr="00AC2424">
      <w:rPr>
        <w:lang w:val="de-DE"/>
      </w:rPr>
      <w:instrText xml:space="preserve"> PAGE  \* MERGEFORMAT </w:instrText>
    </w:r>
    <w:r w:rsidRPr="00E15500">
      <w:fldChar w:fldCharType="separate"/>
    </w:r>
    <w:r w:rsidR="00ED0A75">
      <w:rPr>
        <w:noProof/>
        <w:lang w:val="de-DE"/>
      </w:rPr>
      <w:t>2</w:t>
    </w:r>
    <w:r w:rsidRPr="00E15500">
      <w:fldChar w:fldCharType="end"/>
    </w:r>
    <w:r w:rsidRPr="00AC2424">
      <w:rPr>
        <w:lang w:val="de-DE"/>
      </w:rPr>
      <w:t>/</w:t>
    </w:r>
    <w:r>
      <w:fldChar w:fldCharType="begin"/>
    </w:r>
    <w:r w:rsidRPr="00AC2424">
      <w:rPr>
        <w:lang w:val="de-DE"/>
      </w:rPr>
      <w:instrText xml:space="preserve"> NUMPAGES  \* MERGEFORMAT </w:instrText>
    </w:r>
    <w:r>
      <w:fldChar w:fldCharType="separate"/>
    </w:r>
    <w:r w:rsidR="00ED0A75">
      <w:rPr>
        <w:noProof/>
        <w:lang w:val="de-DE"/>
      </w:rPr>
      <w:t>44</w:t>
    </w:r>
    <w:r>
      <w:rPr>
        <w:noProof/>
      </w:rPr>
      <w:fldChar w:fldCharType="end"/>
    </w:r>
    <w:r w:rsidRPr="00AC2424">
      <w:rPr>
        <w:lang w:val="de-DE"/>
      </w:rPr>
      <w:tab/>
    </w:r>
    <w:r w:rsidRPr="00AC2424">
      <w:rPr>
        <w:rStyle w:val="HideTWBExt"/>
        <w:lang w:val="de-DE"/>
      </w:rPr>
      <w:t>&lt;PathFdR&gt;</w:t>
    </w:r>
    <w:r w:rsidRPr="00AC2424">
      <w:rPr>
        <w:lang w:val="de-DE"/>
      </w:rPr>
      <w:t>AM\1314487IT.docx</w:t>
    </w:r>
    <w:r w:rsidRPr="00AC2424">
      <w:rPr>
        <w:rStyle w:val="HideTWBExt"/>
        <w:lang w:val="de-DE"/>
      </w:rPr>
      <w:t>&lt;/PathFdR&gt;</w:t>
    </w:r>
  </w:p>
  <w:p w14:paraId="79720CC9" w14:textId="7AB1F96B" w:rsidR="00AC2424" w:rsidRPr="00E15500" w:rsidRDefault="00AC2424" w:rsidP="00B724AE">
    <w:pPr>
      <w:pStyle w:val="EPFooter2"/>
    </w:pPr>
    <w:r w:rsidRPr="00E15500">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02377" w14:textId="69646028" w:rsidR="00AC2424" w:rsidRPr="00AC2424" w:rsidRDefault="00AC2424" w:rsidP="00B724AE">
    <w:pPr>
      <w:pStyle w:val="EPFooter"/>
      <w:rPr>
        <w:lang w:val="en-GB"/>
      </w:rPr>
    </w:pPr>
    <w:r w:rsidRPr="00AC2424">
      <w:rPr>
        <w:rStyle w:val="HideTWBExt"/>
        <w:lang w:val="en-GB"/>
      </w:rPr>
      <w:t>&lt;PathFdR&gt;</w:t>
    </w:r>
    <w:r w:rsidRPr="00AC2424">
      <w:rPr>
        <w:lang w:val="en-GB"/>
      </w:rPr>
      <w:t>AM\1314487IT.docx</w:t>
    </w:r>
    <w:r w:rsidRPr="00AC2424">
      <w:rPr>
        <w:rStyle w:val="HideTWBExt"/>
        <w:lang w:val="en-GB"/>
      </w:rPr>
      <w:t>&lt;/PathFdR&gt;</w:t>
    </w:r>
    <w:r w:rsidRPr="00AC2424">
      <w:rPr>
        <w:lang w:val="en-GB"/>
      </w:rPr>
      <w:tab/>
    </w:r>
    <w:r w:rsidRPr="00E15500">
      <w:fldChar w:fldCharType="begin"/>
    </w:r>
    <w:r w:rsidRPr="00AC2424">
      <w:rPr>
        <w:lang w:val="en-GB"/>
      </w:rPr>
      <w:instrText xml:space="preserve"> PAGE  \* MERGEFORMAT </w:instrText>
    </w:r>
    <w:r w:rsidRPr="00E15500">
      <w:fldChar w:fldCharType="separate"/>
    </w:r>
    <w:r w:rsidR="00ED0A75">
      <w:rPr>
        <w:noProof/>
        <w:lang w:val="en-GB"/>
      </w:rPr>
      <w:t>43</w:t>
    </w:r>
    <w:r w:rsidRPr="00E15500">
      <w:fldChar w:fldCharType="end"/>
    </w:r>
    <w:r w:rsidRPr="00AC2424">
      <w:rPr>
        <w:lang w:val="en-GB"/>
      </w:rPr>
      <w:t>/</w:t>
    </w:r>
    <w:r>
      <w:fldChar w:fldCharType="begin"/>
    </w:r>
    <w:r w:rsidRPr="00AC2424">
      <w:rPr>
        <w:lang w:val="en-GB"/>
      </w:rPr>
      <w:instrText xml:space="preserve"> NUMPAGES  \* MERGEFORMAT </w:instrText>
    </w:r>
    <w:r>
      <w:fldChar w:fldCharType="separate"/>
    </w:r>
    <w:r w:rsidR="00ED0A75">
      <w:rPr>
        <w:noProof/>
        <w:lang w:val="en-GB"/>
      </w:rPr>
      <w:t>44</w:t>
    </w:r>
    <w:r>
      <w:rPr>
        <w:noProof/>
      </w:rPr>
      <w:fldChar w:fldCharType="end"/>
    </w:r>
    <w:r w:rsidRPr="00AC2424">
      <w:rPr>
        <w:lang w:val="en-GB"/>
      </w:rPr>
      <w:tab/>
      <w:t>PE</w:t>
    </w:r>
    <w:r w:rsidRPr="00AC2424">
      <w:rPr>
        <w:rStyle w:val="HideTWBExt"/>
        <w:lang w:val="en-GB"/>
      </w:rPr>
      <w:t>&lt;NoPE&gt;</w:t>
    </w:r>
    <w:r w:rsidRPr="00AC2424">
      <w:rPr>
        <w:lang w:val="en-GB"/>
      </w:rPr>
      <w:t>768.136</w:t>
    </w:r>
    <w:r w:rsidRPr="00AC2424">
      <w:rPr>
        <w:rStyle w:val="HideTWBExt"/>
        <w:lang w:val="en-GB"/>
      </w:rPr>
      <w:t>&lt;/NoPE&gt;&lt;Version&gt;</w:t>
    </w:r>
    <w:r w:rsidRPr="00AC2424">
      <w:rPr>
        <w:lang w:val="en-GB"/>
      </w:rPr>
      <w:t>v01-00</w:t>
    </w:r>
    <w:r w:rsidRPr="00AC2424">
      <w:rPr>
        <w:rStyle w:val="HideTWBExt"/>
        <w:lang w:val="en-GB"/>
      </w:rPr>
      <w:t>&lt;/Version&gt;</w:t>
    </w:r>
  </w:p>
  <w:p w14:paraId="329E1EA6" w14:textId="718045E5" w:rsidR="00AC2424" w:rsidRPr="00AC2424" w:rsidRDefault="00AC2424" w:rsidP="00B724AE">
    <w:pPr>
      <w:pStyle w:val="EPFooter2"/>
      <w:rPr>
        <w:lang w:val="en-GB"/>
      </w:rPr>
    </w:pPr>
    <w:r w:rsidRPr="00AC2424">
      <w:rPr>
        <w:lang w:val="en-GB"/>
      </w:rPr>
      <w:tab/>
    </w:r>
    <w:r w:rsidRPr="00AC2424">
      <w:rPr>
        <w:lang w:val="en-GB"/>
      </w:rPr>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C30D6" w14:textId="7E025336" w:rsidR="00AC2424" w:rsidRPr="00E15500" w:rsidRDefault="00AC2424" w:rsidP="00B724AE">
    <w:pPr>
      <w:pStyle w:val="EPFooter"/>
    </w:pPr>
    <w:r w:rsidRPr="00E15500">
      <w:rPr>
        <w:rStyle w:val="HideTWBExt"/>
      </w:rPr>
      <w:t>&lt;PathFdR&gt;</w:t>
    </w:r>
    <w:r w:rsidRPr="00E15500">
      <w:t>AM\1314487IT.docx</w:t>
    </w:r>
    <w:r w:rsidRPr="00E15500">
      <w:rPr>
        <w:rStyle w:val="HideTWBExt"/>
      </w:rPr>
      <w:t>&lt;/PathFdR&gt;</w:t>
    </w:r>
    <w:r w:rsidRPr="00E15500">
      <w:tab/>
    </w:r>
    <w:r w:rsidRPr="00E15500">
      <w:tab/>
      <w:t>PE</w:t>
    </w:r>
    <w:r w:rsidRPr="00E15500">
      <w:rPr>
        <w:rStyle w:val="HideTWBExt"/>
      </w:rPr>
      <w:t>&lt;NoPE&gt;</w:t>
    </w:r>
    <w:r w:rsidRPr="00E15500">
      <w:t>768.136</w:t>
    </w:r>
    <w:r w:rsidRPr="00E15500">
      <w:rPr>
        <w:rStyle w:val="HideTWBExt"/>
      </w:rPr>
      <w:t>&lt;/NoPE&gt;&lt;Version&gt;</w:t>
    </w:r>
    <w:r w:rsidRPr="00E15500">
      <w:t>v01-00</w:t>
    </w:r>
    <w:r w:rsidRPr="00E15500">
      <w:rPr>
        <w:rStyle w:val="HideTWBExt"/>
      </w:rPr>
      <w:t>&lt;/Version&gt;</w:t>
    </w:r>
  </w:p>
  <w:p w14:paraId="1D979FD0" w14:textId="210DF0DE" w:rsidR="00AC2424" w:rsidRPr="00E15500" w:rsidRDefault="00AC2424" w:rsidP="00B724AE">
    <w:pPr>
      <w:pStyle w:val="EPFooter2"/>
    </w:pPr>
    <w:r w:rsidRPr="00E15500">
      <w:t>IT</w:t>
    </w:r>
    <w:r w:rsidRPr="00E15500">
      <w:tab/>
    </w:r>
    <w:r w:rsidRPr="00E15500">
      <w:rPr>
        <w:b w:val="0"/>
        <w:i/>
        <w:color w:val="C0C0C0"/>
        <w:sz w:val="22"/>
      </w:rPr>
      <w:t>Unita nella diversità</w:t>
    </w:r>
    <w:r w:rsidRPr="00E15500">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AD35FD" w14:textId="77777777" w:rsidR="00AC2424" w:rsidRPr="00E15500" w:rsidRDefault="00AC2424">
      <w:r w:rsidRPr="00E15500">
        <w:separator/>
      </w:r>
    </w:p>
  </w:footnote>
  <w:footnote w:type="continuationSeparator" w:id="0">
    <w:p w14:paraId="3BCC838D" w14:textId="77777777" w:rsidR="00AC2424" w:rsidRPr="00E15500" w:rsidRDefault="00AC2424">
      <w:r w:rsidRPr="00E1550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17E22" w14:textId="77777777" w:rsidR="00AC2424" w:rsidRDefault="00AC24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B3745" w14:textId="77777777" w:rsidR="00AC2424" w:rsidRDefault="00AC24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D8806" w14:textId="77777777" w:rsidR="00AC2424" w:rsidRDefault="00AC24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4"/>
    <w:docVar w:name="TXTLANGUE" w:val="IT"/>
    <w:docVar w:name="TXTLANGUEMIN" w:val="it"/>
    <w:docVar w:name="TXTNRPE" w:val="768.136"/>
    <w:docVar w:name="TXTPEorAP" w:val="PE"/>
    <w:docVar w:name="TXTROUTE" w:val="AM\1314487IT.docx"/>
    <w:docVar w:name="TXTVERSION" w:val="01-00"/>
  </w:docVars>
  <w:rsids>
    <w:rsidRoot w:val="00A77B3E"/>
    <w:rsid w:val="00043EC3"/>
    <w:rsid w:val="00083217"/>
    <w:rsid w:val="000B6ECF"/>
    <w:rsid w:val="002F7FAB"/>
    <w:rsid w:val="0041324D"/>
    <w:rsid w:val="007A11F7"/>
    <w:rsid w:val="00A77B3E"/>
    <w:rsid w:val="00AC2424"/>
    <w:rsid w:val="00B724AE"/>
    <w:rsid w:val="00CA2A55"/>
    <w:rsid w:val="00D22B32"/>
    <w:rsid w:val="00E15500"/>
    <w:rsid w:val="00ED0A7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3936B4"/>
  <w15:docId w15:val="{5F44824B-F305-4A7C-A88D-D60B2865B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0B6ECF"/>
    <w:pPr>
      <w:tabs>
        <w:tab w:val="center" w:pos="4153"/>
        <w:tab w:val="right" w:pos="8306"/>
      </w:tabs>
    </w:pPr>
  </w:style>
  <w:style w:type="character" w:customStyle="1" w:styleId="HeaderChar">
    <w:name w:val="Header Char"/>
    <w:basedOn w:val="DefaultParagraphFont"/>
    <w:link w:val="Header"/>
    <w:rsid w:val="000B6ECF"/>
    <w:rPr>
      <w:sz w:val="24"/>
      <w:szCs w:val="24"/>
    </w:rPr>
  </w:style>
  <w:style w:type="paragraph" w:styleId="Footer">
    <w:name w:val="footer"/>
    <w:basedOn w:val="Normal"/>
    <w:link w:val="FooterChar"/>
    <w:rsid w:val="00D22B32"/>
    <w:pPr>
      <w:tabs>
        <w:tab w:val="center" w:pos="4513"/>
        <w:tab w:val="right" w:pos="9026"/>
      </w:tabs>
    </w:pPr>
  </w:style>
  <w:style w:type="character" w:customStyle="1" w:styleId="FooterChar">
    <w:name w:val="Footer Char"/>
    <w:basedOn w:val="DefaultParagraphFont"/>
    <w:link w:val="Footer"/>
    <w:rsid w:val="00D22B32"/>
    <w:rPr>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44</Pages>
  <Words>12165</Words>
  <Characters>69749</Characters>
  <Application>Microsoft Office Word</Application>
  <DocSecurity>0</DocSecurity>
  <Lines>2565</Lines>
  <Paragraphs>597</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81386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2025-02-21T10:44:00Z</dcterms:created>
  <dcterms:modified xsi:type="dcterms:W3CDTF">2025-02-21T10:44:00Z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1314487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125245</vt:lpwstr>
  </property>
  <property fmtid="{D5CDD505-2E9C-101B-9397-08002B2CF9AE}" pid="7" name="dmxml.render.traceId">
    <vt:lpwstr>67ab1427e3036a96f51d39568e613b28</vt:lpwstr>
  </property>
  <property fmtid="{D5CDD505-2E9C-101B-9397-08002B2CF9AE}" pid="8" name="FooterPath">
    <vt:lpwstr>AM\1314487IT.docx</vt:lpwstr>
  </property>
  <property fmtid="{D5CDD505-2E9C-101B-9397-08002B2CF9AE}" pid="9" name="PE Number">
    <vt:lpwstr>768.136</vt:lpwstr>
  </property>
  <property fmtid="{D5CDD505-2E9C-101B-9397-08002B2CF9AE}" pid="10" name="UID">
    <vt:lpwstr>eu.europa.europarl-DIN1-2025-0000019342_01.00-xm-01.00_text-xml</vt:lpwstr>
  </property>
  <property fmtid="{D5CDD505-2E9C-101B-9397-08002B2CF9AE}" pid="11" name="LastEdited with">
    <vt:lpwstr>10.0.1 Build [20250114]</vt:lpwstr>
  </property>
  <property fmtid="{D5CDD505-2E9C-101B-9397-08002B2CF9AE}" pid="12" name="Bookout">
    <vt:lpwstr>OK - 2025/02/21 11:43</vt:lpwstr>
  </property>
</Properties>
</file>