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E53544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3544" w:rsidRDefault="0036450D">
            <w:pPr>
              <w:pStyle w:val="EPName"/>
            </w:pPr>
            <w:bookmarkStart w:id="0" w:name="_GoBack"/>
            <w:bookmarkEnd w:id="0"/>
            <w:r>
              <w:t>Parlament Europejski</w:t>
            </w:r>
          </w:p>
          <w:p w:rsidR="00E53544" w:rsidRDefault="0036450D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EPLogo"/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162050" cy="638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3544" w:rsidRDefault="0036450D">
      <w:pPr>
        <w:pStyle w:val="LineTop"/>
      </w:pPr>
      <w:r>
        <w:t xml:space="preserve"> </w:t>
      </w:r>
    </w:p>
    <w:p w:rsidR="00E53544" w:rsidRDefault="0036450D"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Komisja Kontroli Budżetowej</w:t>
      </w:r>
      <w:r>
        <w:rPr>
          <w:rStyle w:val="HideTWBExt"/>
        </w:rPr>
        <w:t>&lt;/Commission&gt;</w:t>
      </w:r>
    </w:p>
    <w:p w:rsidR="00E53544" w:rsidRDefault="0036450D">
      <w:pPr>
        <w:pStyle w:val="LineBottom"/>
      </w:pPr>
      <w:r>
        <w:t xml:space="preserve"> </w:t>
      </w:r>
    </w:p>
    <w:p w:rsidR="00E53544" w:rsidRDefault="0036450D">
      <w:pPr>
        <w:pStyle w:val="CoverReference"/>
      </w:pPr>
      <w:r>
        <w:rPr>
          <w:rStyle w:val="HideTWBExt"/>
        </w:rPr>
        <w:t>&lt;RefProc&gt;</w:t>
      </w:r>
      <w:r>
        <w:t>2024/2022</w:t>
      </w:r>
      <w:r>
        <w:rPr>
          <w:rStyle w:val="HideTWBExt"/>
        </w:rPr>
        <w:t>&lt;/RefProc&gt;&lt;RefTypeProc&gt;</w:t>
      </w:r>
      <w:r>
        <w:t>(DEC)</w:t>
      </w:r>
      <w:r>
        <w:rPr>
          <w:rStyle w:val="HideTWBExt"/>
        </w:rPr>
        <w:t>&lt;/RefTypeProc&gt;</w:t>
      </w:r>
    </w:p>
    <w:p w:rsidR="00E53544" w:rsidRDefault="0036450D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{11/02/2025}</w:t>
      </w:r>
      <w:r>
        <w:t>11.2.2025</w:t>
      </w:r>
      <w:r>
        <w:rPr>
          <w:rStyle w:val="HideTWBExt"/>
        </w:rPr>
        <w:t>&lt;/Date&gt;</w:t>
      </w:r>
    </w:p>
    <w:p w:rsidR="00E53544" w:rsidRDefault="0036450D">
      <w:pPr>
        <w:pStyle w:val="CoverDocType"/>
      </w:pPr>
      <w:r>
        <w:rPr>
          <w:rStyle w:val="HideTWBExt"/>
        </w:rPr>
        <w:t>&lt;TypeAM&gt;</w:t>
      </w:r>
      <w:r>
        <w:t>POPRAWKI</w:t>
      </w:r>
      <w:r>
        <w:rPr>
          <w:rStyle w:val="HideTWBExt"/>
        </w:rPr>
        <w:t>&lt;/TypeAM&gt;</w:t>
      </w:r>
    </w:p>
    <w:p w:rsidR="00E53544" w:rsidRDefault="0036450D">
      <w:pPr>
        <w:pStyle w:val="CoverDocType24a"/>
      </w:pPr>
      <w:r>
        <w:rPr>
          <w:rStyle w:val="HideTWBExt"/>
        </w:rPr>
        <w:t>&lt;RangeAM&gt;</w:t>
      </w:r>
      <w:r>
        <w:t>1 - 66</w:t>
      </w:r>
      <w:r>
        <w:rPr>
          <w:rStyle w:val="HideTWBExt"/>
        </w:rPr>
        <w:t>&lt;/RangeAM&gt;</w:t>
      </w:r>
    </w:p>
    <w:p w:rsidR="00E53544" w:rsidRDefault="0036450D">
      <w:pPr>
        <w:pStyle w:val="CoverBold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 w:rsidR="00E53544" w:rsidRDefault="0036450D">
      <w:pPr>
        <w:pStyle w:val="CoverBold"/>
      </w:pPr>
      <w:r>
        <w:rPr>
          <w:rStyle w:val="HideTWBExt"/>
        </w:rPr>
        <w:t>&lt;Rapporteur&gt;</w:t>
      </w:r>
      <w:r>
        <w:t>Cristian Terheş</w:t>
      </w:r>
      <w:r>
        <w:rPr>
          <w:rStyle w:val="HideTWBExt"/>
        </w:rPr>
        <w:t>&lt;/Rapporteur&gt;</w:t>
      </w:r>
    </w:p>
    <w:p w:rsidR="00E53544" w:rsidRDefault="0036450D">
      <w:pPr>
        <w:pStyle w:val="CoverNormal24a"/>
      </w:pPr>
      <w:r>
        <w:rPr>
          <w:rStyle w:val="HideTWBExt"/>
        </w:rPr>
        <w:t>&lt;DocRefPE&gt;</w:t>
      </w:r>
      <w:r>
        <w:t>(PE764.996v02-00)</w:t>
      </w:r>
      <w:r>
        <w:rPr>
          <w:rStyle w:val="HideTWBExt"/>
        </w:rPr>
        <w:t>&lt;/DocRefPE&gt;</w:t>
      </w:r>
    </w:p>
    <w:p w:rsidR="00E53544" w:rsidRDefault="0036450D">
      <w:pPr>
        <w:pStyle w:val="CoverNormal"/>
      </w:pPr>
      <w:r>
        <w:rPr>
          <w:rStyle w:val="HideTWBExt"/>
        </w:rPr>
        <w:t>&lt;Titre&gt;</w:t>
      </w:r>
      <w:r>
        <w:t>Absolutorium za rok 2023: budżet ogólny UE – Trybunał Sprawiedliwości Unii Europejskiej</w:t>
      </w:r>
      <w:r>
        <w:rPr>
          <w:rStyle w:val="HideTWBExt"/>
        </w:rPr>
        <w:t>&lt;/Titre&gt;</w:t>
      </w:r>
    </w:p>
    <w:p w:rsidR="00E53544" w:rsidRDefault="0036450D">
      <w:pPr>
        <w:pStyle w:val="CoverNormal24a"/>
      </w:pPr>
      <w:r>
        <w:rPr>
          <w:rStyle w:val="HideTWBExt"/>
        </w:rPr>
        <w:t>&lt;DocRef&gt;</w:t>
      </w:r>
      <w:r>
        <w:t>(2024/2022(DEC))</w:t>
      </w:r>
      <w:r>
        <w:rPr>
          <w:rStyle w:val="HideTWBExt"/>
        </w:rPr>
        <w:t>&lt;/DocRef&gt;</w:t>
      </w:r>
    </w:p>
    <w:p w:rsidR="00E53544" w:rsidRDefault="0036450D">
      <w:r>
        <w:br w:type="page"/>
      </w:r>
      <w:r>
        <w:lastRenderedPageBreak/>
        <w:t>AM_Com_NonLegReport</w:t>
      </w:r>
    </w:p>
    <w:p w:rsidR="00E53544" w:rsidRDefault="0036450D">
      <w:pPr>
        <w:pStyle w:val="AmNumberTabs"/>
      </w:pPr>
      <w:r>
        <w:br w:type="page"/>
      </w:r>
      <w:r>
        <w:rPr>
          <w:rStyle w:val="HideTWBExt"/>
        </w:rPr>
        <w:lastRenderedPageBreak/>
        <w:t>&lt;RepeatBlock-Amend&gt;&lt;Amend&gt;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Molnár, Claudiu Manda, Marit Maij, Eero Heinäluoma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Motyw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C.</w:t>
            </w:r>
            <w:r>
              <w:tab/>
            </w:r>
            <w:r>
              <w:rPr>
                <w:b/>
                <w:i/>
              </w:rPr>
              <w:t>mając na uwadze, że art. 4 ust. 2 Traktatu o Unii Europejskiej stanowi, że „Unia szanuje równość Państw Członkowskich wobec Traktatów, jak również ich tożsamość narodową, nierozerwalnie związaną z ich podstawowymi strukturami politycznymi i konstytucyjnymi, w tym w odniesieniu do samorządu regionalnego i lokalnego. Szanuje podstawowe funkcje państwa […]”;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 w:rsidR="00E53544" w:rsidRPr="00AE6CD7" w:rsidRDefault="0036450D">
      <w:pPr>
        <w:pStyle w:val="NormalBold"/>
        <w:rPr>
          <w:lang w:val="de-DE"/>
        </w:rPr>
      </w:pPr>
      <w:r w:rsidRPr="00AE6CD7">
        <w:rPr>
          <w:rStyle w:val="HideTWBExt"/>
          <w:b w:val="0"/>
          <w:lang w:val="de-DE"/>
        </w:rPr>
        <w:t>&lt;RepeatBlock-By&gt;&lt;Members&gt;</w:t>
      </w:r>
      <w:r w:rsidRPr="00AE6CD7">
        <w:rPr>
          <w:lang w:val="de-DE"/>
        </w:rPr>
        <w:t>Virginie Joron, Tamás Deutsch, Julien Sanchez</w:t>
      </w:r>
      <w:r w:rsidRPr="00AE6CD7">
        <w:rPr>
          <w:rStyle w:val="HideTWBExt"/>
          <w:b w:val="0"/>
          <w:lang w:val="de-DE"/>
        </w:rPr>
        <w:t>&lt;/Members&gt;</w:t>
      </w:r>
    </w:p>
    <w:p w:rsidR="00E53544" w:rsidRPr="00AE6CD7" w:rsidRDefault="0036450D">
      <w:pPr>
        <w:pStyle w:val="NormalBold"/>
        <w:rPr>
          <w:lang w:val="de-DE"/>
        </w:rPr>
      </w:pPr>
      <w:r w:rsidRPr="00AE6CD7">
        <w:rPr>
          <w:rStyle w:val="HideTWBExt"/>
          <w:b w:val="0"/>
          <w:lang w:val="de-DE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2.</w:t>
            </w:r>
            <w:r>
              <w:tab/>
              <w:t xml:space="preserve">zwraca uwagę, że Trybunał Obrachunkowy („Trybunał”) w swoim sprawozdaniu rocznym za rok budżetowy 2023 („sprawozdanie Trybunału”) zbadał próbę 70 transakcji w dziale „Administracja”, czyli o 10 więcej niż zbadano w 2022 r.; zwraca ponadto uwagę, że Trybunał stwierdził, iż wydatki administracyjne obejmują wydatki na zasoby kadrowe, w tym na emerytury i renty, które w 2023 r. stanowiły około 70 % wszystkich wydatków administracyjnych, oraz wydatki na budynki, wyposażenie, energię, telekomunikację i informatykę, a z kontroli prowadzonych przez Trybunał od wielu lat wynika, iż zasadniczo jest to obszar </w:t>
            </w:r>
            <w:r>
              <w:lastRenderedPageBreak/>
              <w:t>niskiego ryzyka;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2.</w:t>
            </w:r>
            <w:r>
              <w:tab/>
              <w:t xml:space="preserve">zwraca uwagę, że Trybunał Obrachunkowy („Trybunał”) w swoim sprawozdaniu rocznym za rok budżetowy 2023 („sprawozdanie Trybunału”) zbadał próbę 70 transakcji w dziale „Administracja”, czyli o 10 więcej niż zbadano w 2022 r.; zwraca ponadto uwagę, że Trybunał stwierdził, iż wydatki administracyjne obejmują wydatki na zasoby kadrowe, w tym na emerytury i renty, które w 2023 r. stanowiły około 70 % wszystkich wydatków administracyjnych, oraz wydatki na budynki, wyposażenie, energię, telekomunikację i informatykę, a z kontroli prowadzonych przez Trybunał od wielu lat wynika, iż zasadniczo jest to obszar </w:t>
            </w:r>
            <w:r>
              <w:lastRenderedPageBreak/>
              <w:t xml:space="preserve">niskiego ryzyka; </w:t>
            </w:r>
            <w:r>
              <w:rPr>
                <w:b/>
                <w:i/>
              </w:rPr>
              <w:t>ubolewa, że przedstawiono niewiele szczegółowych informacji na temat wykorzystania środków na budynki i IT, które stanowią znaczną część wydatków, podczas gdy brak jest namacalnych dowodów optymalnego wykorzystywania dostępnych już zasobów;</w:t>
            </w:r>
            <w:r>
              <w:t xml:space="preserve"> </w:t>
            </w:r>
            <w:r>
              <w:rPr>
                <w:b/>
                <w:i/>
              </w:rPr>
              <w:t>stwierdza, że, podobnie jak w przypadku innych instytucji UE, nie zapowiedziano żadnej redukcji kosztów operacyjnych i zmniejszenia różnych wydatków;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5.</w:t>
            </w:r>
            <w:r>
              <w:tab/>
              <w:t xml:space="preserve">zwraca uwagę, że budżet przydzielony TSUE w 2023 r. wyniósł </w:t>
            </w:r>
            <w:r>
              <w:rPr>
                <w:b/>
                <w:i/>
              </w:rPr>
              <w:t>486 025 796</w:t>
            </w:r>
            <w:r>
              <w:t xml:space="preserve"> EUR, co stanowi wzrost o 3,7 % w porównaniu z 2022 r.; zauważa, że wzrost ten był głównie związany z dostosowaniami wynagrodzeń przewidzianymi na 2023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5.</w:t>
            </w:r>
            <w:r>
              <w:tab/>
              <w:t xml:space="preserve">zwraca uwagę, że budżet przydzielony TSUE w 2023 r. wyniósł </w:t>
            </w:r>
            <w:r>
              <w:rPr>
                <w:b/>
                <w:i/>
              </w:rPr>
              <w:t>486 025 796</w:t>
            </w:r>
            <w:r>
              <w:t> EUR, co stanowi wzrost o 3,7 % w porównaniu z 2022 r.; zauważa, że wzrost ten był głównie związany z dostosowaniami wynagrodzeń przewidzianymi na 2023 r.;</w:t>
            </w:r>
          </w:p>
        </w:tc>
      </w:tr>
    </w:tbl>
    <w:p w:rsidR="00E53544" w:rsidRPr="00AE6CD7" w:rsidRDefault="0036450D">
      <w:pPr>
        <w:pStyle w:val="AmOrLang"/>
        <w:rPr>
          <w:lang w:val="fr-FR"/>
        </w:rPr>
      </w:pPr>
      <w:r w:rsidRPr="00AE6CD7">
        <w:rPr>
          <w:lang w:val="fr-FR"/>
        </w:rPr>
        <w:t xml:space="preserve">Or. </w:t>
      </w:r>
      <w:r w:rsidRPr="00AE6CD7">
        <w:rPr>
          <w:rStyle w:val="HideTWBExt"/>
          <w:lang w:val="fr-FR"/>
        </w:rPr>
        <w:t>&lt;Original&gt;</w:t>
      </w:r>
      <w:r w:rsidRPr="00AE6CD7">
        <w:rPr>
          <w:rStyle w:val="HideTWBInt"/>
          <w:lang w:val="fr-FR"/>
        </w:rPr>
        <w:t>{EN}</w:t>
      </w:r>
      <w:r w:rsidRPr="00AE6CD7">
        <w:rPr>
          <w:lang w:val="fr-FR"/>
        </w:rPr>
        <w:t>en</w:t>
      </w:r>
      <w:r w:rsidRPr="00AE6CD7">
        <w:rPr>
          <w:rStyle w:val="HideTWBExt"/>
          <w:lang w:val="fr-FR"/>
        </w:rPr>
        <w:t>&lt;/Original&gt;</w:t>
      </w:r>
    </w:p>
    <w:p w:rsidR="00E53544" w:rsidRPr="00AE6CD7" w:rsidRDefault="0036450D">
      <w:pPr>
        <w:rPr>
          <w:lang w:val="fr-FR"/>
        </w:rPr>
      </w:pPr>
      <w:r w:rsidRPr="00AE6CD7">
        <w:rPr>
          <w:rStyle w:val="HideTWBExt"/>
          <w:lang w:val="fr-FR"/>
        </w:rPr>
        <w:t>&lt;/Amend&gt;</w:t>
      </w:r>
    </w:p>
    <w:p w:rsidR="00E53544" w:rsidRPr="00AE6CD7" w:rsidRDefault="0036450D">
      <w:pPr>
        <w:pStyle w:val="AmNumberTabs"/>
        <w:rPr>
          <w:lang w:val="fr-FR"/>
        </w:rPr>
      </w:pPr>
      <w:r w:rsidRPr="00AE6CD7">
        <w:rPr>
          <w:rStyle w:val="HideTWBExt"/>
          <w:lang w:val="fr-FR"/>
        </w:rPr>
        <w:t>&lt;Amend&gt;</w:t>
      </w:r>
      <w:r w:rsidRPr="00AE6CD7">
        <w:rPr>
          <w:lang w:val="fr-FR"/>
        </w:rPr>
        <w:t>Poprawka</w:t>
      </w:r>
      <w:r w:rsidRPr="00AE6CD7">
        <w:rPr>
          <w:lang w:val="fr-FR"/>
        </w:rPr>
        <w:tab/>
      </w:r>
      <w:r w:rsidRPr="00AE6CD7">
        <w:rPr>
          <w:lang w:val="fr-FR"/>
        </w:rPr>
        <w:tab/>
      </w:r>
      <w:r w:rsidRPr="00AE6CD7">
        <w:rPr>
          <w:rStyle w:val="HideTWBExt"/>
          <w:lang w:val="fr-FR"/>
        </w:rPr>
        <w:t>&lt;NumAm&gt;</w:t>
      </w:r>
      <w:r w:rsidRPr="00AE6CD7">
        <w:rPr>
          <w:lang w:val="fr-FR"/>
        </w:rPr>
        <w:t>4</w:t>
      </w:r>
      <w:r w:rsidRPr="00AE6CD7">
        <w:rPr>
          <w:rStyle w:val="HideTWBExt"/>
          <w:lang w:val="fr-FR"/>
        </w:rPr>
        <w:t>&lt;/NumAm&gt;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&lt;RepeatBlock-By&gt;&lt;Members&gt;</w:t>
      </w:r>
      <w:r w:rsidRPr="00AE6CD7">
        <w:rPr>
          <w:lang w:val="fr-FR"/>
        </w:rPr>
        <w:t>Cristian Terheş</w:t>
      </w:r>
      <w:r w:rsidRPr="00AE6CD7">
        <w:rPr>
          <w:rStyle w:val="HideTWBExt"/>
          <w:b w:val="0"/>
          <w:lang w:val="fr-FR"/>
        </w:rPr>
        <w:t>&lt;/Members&gt;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5.</w:t>
            </w:r>
            <w:r>
              <w:tab/>
              <w:t xml:space="preserve">zwraca uwagę, że budżet przydzielony TSUE w 2023 r. wyniósł </w:t>
            </w:r>
            <w:r>
              <w:rPr>
                <w:b/>
                <w:i/>
              </w:rPr>
              <w:t>486 025 796</w:t>
            </w:r>
            <w:r>
              <w:t xml:space="preserve"> EUR, co stanowi wzrost o </w:t>
            </w:r>
            <w:r>
              <w:rPr>
                <w:b/>
                <w:i/>
              </w:rPr>
              <w:t>3,7</w:t>
            </w:r>
            <w:r>
              <w:t xml:space="preserve"> % w porównaniu z 2022 r.; zauważa, że </w:t>
            </w:r>
            <w:r>
              <w:lastRenderedPageBreak/>
              <w:t>wzrost ten był głównie związany z dostosowaniami wynagrodzeń przewidzianymi na 2023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5.</w:t>
            </w:r>
            <w:r>
              <w:tab/>
              <w:t xml:space="preserve">zwraca uwagę, że budżet przydzielony TSUE w 2023 r. wyniósł </w:t>
            </w:r>
            <w:r>
              <w:rPr>
                <w:b/>
                <w:i/>
              </w:rPr>
              <w:t>486 025 796</w:t>
            </w:r>
            <w:r>
              <w:t xml:space="preserve"> EUR, co stanowi wzrost o </w:t>
            </w:r>
            <w:r>
              <w:rPr>
                <w:b/>
                <w:i/>
              </w:rPr>
              <w:t>3,9</w:t>
            </w:r>
            <w:r>
              <w:t xml:space="preserve"> % w porównaniu z 2022 r.; zauważa, że </w:t>
            </w:r>
            <w:r>
              <w:lastRenderedPageBreak/>
              <w:t>wzrost ten był głównie związany z dostosowaniami wynagrodzeń przewidzianymi na 2023 r.;</w:t>
            </w:r>
          </w:p>
        </w:tc>
      </w:tr>
    </w:tbl>
    <w:p w:rsidR="00E53544" w:rsidRPr="00AE6CD7" w:rsidRDefault="0036450D">
      <w:pPr>
        <w:pStyle w:val="AmOrLang"/>
        <w:rPr>
          <w:lang w:val="fr-FR"/>
        </w:rPr>
      </w:pPr>
      <w:r w:rsidRPr="00AE6CD7">
        <w:rPr>
          <w:lang w:val="fr-FR"/>
        </w:rPr>
        <w:lastRenderedPageBreak/>
        <w:t xml:space="preserve">Or. </w:t>
      </w:r>
      <w:r w:rsidRPr="00AE6CD7">
        <w:rPr>
          <w:rStyle w:val="HideTWBExt"/>
          <w:lang w:val="fr-FR"/>
        </w:rPr>
        <w:t>&lt;Original&gt;</w:t>
      </w:r>
      <w:r w:rsidRPr="00AE6CD7">
        <w:rPr>
          <w:rStyle w:val="HideTWBInt"/>
          <w:lang w:val="fr-FR"/>
        </w:rPr>
        <w:t>{EN}</w:t>
      </w:r>
      <w:r w:rsidRPr="00AE6CD7">
        <w:rPr>
          <w:lang w:val="fr-FR"/>
        </w:rPr>
        <w:t>en</w:t>
      </w:r>
      <w:r w:rsidRPr="00AE6CD7">
        <w:rPr>
          <w:rStyle w:val="HideTWBExt"/>
          <w:lang w:val="fr-FR"/>
        </w:rPr>
        <w:t>&lt;/Original&gt;</w:t>
      </w:r>
    </w:p>
    <w:p w:rsidR="00E53544" w:rsidRPr="00AE6CD7" w:rsidRDefault="0036450D">
      <w:pPr>
        <w:rPr>
          <w:lang w:val="fr-FR"/>
        </w:rPr>
      </w:pPr>
      <w:r w:rsidRPr="00AE6CD7">
        <w:rPr>
          <w:rStyle w:val="HideTWBExt"/>
          <w:lang w:val="fr-FR"/>
        </w:rPr>
        <w:t>&lt;/Amend&gt;</w:t>
      </w:r>
    </w:p>
    <w:p w:rsidR="00E53544" w:rsidRPr="00AE6CD7" w:rsidRDefault="0036450D">
      <w:pPr>
        <w:pStyle w:val="AmNumberTabs"/>
        <w:rPr>
          <w:lang w:val="fr-FR"/>
        </w:rPr>
      </w:pPr>
      <w:r w:rsidRPr="00AE6CD7">
        <w:rPr>
          <w:rStyle w:val="HideTWBExt"/>
          <w:lang w:val="fr-FR"/>
        </w:rPr>
        <w:t>&lt;Amend&gt;</w:t>
      </w:r>
      <w:r w:rsidRPr="00AE6CD7">
        <w:rPr>
          <w:lang w:val="fr-FR"/>
        </w:rPr>
        <w:t>Poprawka</w:t>
      </w:r>
      <w:r w:rsidRPr="00AE6CD7">
        <w:rPr>
          <w:lang w:val="fr-FR"/>
        </w:rPr>
        <w:tab/>
      </w:r>
      <w:r w:rsidRPr="00AE6CD7">
        <w:rPr>
          <w:lang w:val="fr-FR"/>
        </w:rPr>
        <w:tab/>
      </w:r>
      <w:r w:rsidRPr="00AE6CD7">
        <w:rPr>
          <w:rStyle w:val="HideTWBExt"/>
          <w:lang w:val="fr-FR"/>
        </w:rPr>
        <w:t>&lt;NumAm&gt;</w:t>
      </w:r>
      <w:r w:rsidRPr="00AE6CD7">
        <w:rPr>
          <w:lang w:val="fr-FR"/>
        </w:rPr>
        <w:t>5</w:t>
      </w:r>
      <w:r w:rsidRPr="00AE6CD7">
        <w:rPr>
          <w:rStyle w:val="HideTWBExt"/>
          <w:lang w:val="fr-FR"/>
        </w:rPr>
        <w:t>&lt;/NumAm&gt;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&lt;RepeatBlock-By&gt;&lt;Members&gt;</w:t>
      </w:r>
      <w:r w:rsidRPr="00AE6CD7">
        <w:rPr>
          <w:lang w:val="fr-FR"/>
        </w:rPr>
        <w:t>Virginie Joron, Tamás Deutsch, Julien Sanchez</w:t>
      </w:r>
      <w:r w:rsidRPr="00AE6CD7">
        <w:rPr>
          <w:rStyle w:val="HideTWBExt"/>
          <w:b w:val="0"/>
          <w:lang w:val="fr-FR"/>
        </w:rPr>
        <w:t>&lt;/Members&gt;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zwraca uwagę</w:t>
            </w:r>
            <w:r>
              <w:t xml:space="preserve">, że budżet TSUE na podróże służbowe, który w 2023 r. wyniósł </w:t>
            </w:r>
            <w:r>
              <w:rPr>
                <w:b/>
                <w:i/>
              </w:rPr>
              <w:t>616 000</w:t>
            </w:r>
            <w:r>
              <w:t xml:space="preserve"> EUR zarówno dla pracowników, jak i członków, w 2023 r. zmniejszył się </w:t>
            </w:r>
            <w:r>
              <w:rPr>
                <w:b/>
                <w:i/>
              </w:rPr>
              <w:t>o dalsze</w:t>
            </w:r>
            <w:r>
              <w:t xml:space="preserve"> 3,3 % w porównaniu z 2022 r.; odnotowuje, że w 2023 r. wykorzystano 85,1 % środków na podróże służbowe w porównaniu z 46,6 % w 2022 r., co było spowodowane utrzymującymi się w tym czasie ograniczeniami podróży;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ubolewa</w:t>
            </w:r>
            <w:r>
              <w:t xml:space="preserve">, że budżet TSUE na podróże służbowe, który w 2023 r. wyniósł </w:t>
            </w:r>
            <w:r>
              <w:rPr>
                <w:b/>
                <w:i/>
              </w:rPr>
              <w:t>aż 616 000</w:t>
            </w:r>
            <w:r>
              <w:t xml:space="preserve"> EUR zarówno dla pracowników, jak i członków, w 2023 r. zmniejszył się </w:t>
            </w:r>
            <w:r>
              <w:rPr>
                <w:b/>
                <w:i/>
              </w:rPr>
              <w:t>zaledwie o</w:t>
            </w:r>
            <w:r>
              <w:t xml:space="preserve"> 3,3 % w porównaniu z 2022 r.; odnotowuje, że w 2023 r. wykorzystano 85,1 % środków na podróże służbowe w porównaniu z 46,6 % w 2022 r., co było spowodowane utrzymującymi się w tym czasie ograniczeniami podróży;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Terheş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9.</w:t>
            </w:r>
            <w:r>
              <w:tab/>
              <w:t xml:space="preserve">zwraca uwagę, że budżet TSUE na podróże służbowe, który w 2023 r. wyniósł </w:t>
            </w:r>
            <w:r>
              <w:rPr>
                <w:b/>
                <w:i/>
              </w:rPr>
              <w:t>616 000</w:t>
            </w:r>
            <w:r>
              <w:t xml:space="preserve"> EUR zarówno dla pracowników, jak i członków, w 2023 r. zmniejszył się o dalsze 3,3 % w porównaniu z 2022 r.; odnotowuje, że w 2023 r. wykorzystano 85,1 % środków na podróże służbowe w porównaniu z 46,6 % w 2022 r., co było spowodowane utrzymującymi się w tym </w:t>
            </w:r>
            <w:r>
              <w:lastRenderedPageBreak/>
              <w:t>czasie ograniczeniami podróży;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9.</w:t>
            </w:r>
            <w:r>
              <w:tab/>
              <w:t xml:space="preserve">zwraca uwagę, że budżet TSUE na podróże służbowe, który w 2023 r. wyniósł </w:t>
            </w:r>
            <w:r>
              <w:rPr>
                <w:b/>
                <w:i/>
              </w:rPr>
              <w:t>638 000</w:t>
            </w:r>
            <w:r>
              <w:t xml:space="preserve"> EUR zarówno dla pracowników, jak i członków, w 2023 r. zmniejszył się o dalsze 3,3 % w porównaniu z 2022 r.; odnotowuje, że w 2023 r. wykorzystano 85,1 % środków na podróże służbowe w porównaniu z 46,6 % w 2022 r., co było spowodowane utrzymującymi się w tym </w:t>
            </w:r>
            <w:r>
              <w:lastRenderedPageBreak/>
              <w:t>czasie ograniczeniami podróży;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Tamás Deutsch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wzywa instytucję do oceny, w jaki sposób ramy regulacyjne Parlamentu Europejskiego mające na celu zapobieganie korupcji i oszustwom zawiodły, umożliwiając posłom do PE aktywny udział w mafijnej sieci zaangażowanej w korupcję i pranie pieniędzy, która przez lata pozostawała niewykryta;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Tamás Deutsch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9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wzywa instytucję do wyciągnięcia lekcji i wniosków na temat własnych przepisów i procedur wewnętrznych, z uwzględnieniem przeprowadzonego we wrześniu 2023 r. przeglądu Regulaminu Parlamentu i kodeksu postępowania, zaleca jednak, aby instytucja przedstawiła kolejne i ulepszone metody zwalczania nadużyć finansowych i pełnej ochrony interesów finansowych UE;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Tamás Deutsch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lastRenderedPageBreak/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11.</w:t>
            </w:r>
            <w:r>
              <w:tab/>
              <w:t xml:space="preserve">zwraca uwagę, że w 2023 r. Trybunał Sprawiedliwości orzekł w pięciu sprawach dotyczących zasady pierwszeństwa prawa UE </w:t>
            </w:r>
            <w:r>
              <w:rPr>
                <w:b/>
                <w:i/>
              </w:rPr>
              <w:t>w kontekście czterech pytań prejudycjalnym</w:t>
            </w:r>
            <w:r>
              <w:t xml:space="preserve"> wniesionych przez sądy w Niemczech, Irlandii, Polsce i Rumunii </w:t>
            </w:r>
            <w:r>
              <w:rPr>
                <w:b/>
                <w:i/>
              </w:rPr>
              <w:t xml:space="preserve">oraz </w:t>
            </w:r>
            <w:r w:rsidRPr="004E1F3C">
              <w:t xml:space="preserve">jednego </w:t>
            </w:r>
            <w:r w:rsidRPr="00845B34">
              <w:t>postępowania</w:t>
            </w:r>
            <w:r>
              <w:t xml:space="preserve"> w sprawie uchybienia zobowiązaniom państwa członkowskiego </w:t>
            </w:r>
            <w:r>
              <w:rPr>
                <w:b/>
                <w:i/>
              </w:rPr>
              <w:t>dotyczącego Polski</w:t>
            </w:r>
            <w:r>
              <w:t xml:space="preserve">; podkreśla, że </w:t>
            </w:r>
            <w:r>
              <w:rPr>
                <w:b/>
                <w:i/>
              </w:rPr>
              <w:t>nadrzędność</w:t>
            </w:r>
            <w:r>
              <w:t xml:space="preserve"> konstytucji krajowych pozostaje nadrzędną zasadą </w:t>
            </w:r>
            <w:r>
              <w:rPr>
                <w:b/>
                <w:i/>
              </w:rPr>
              <w:t>regulującą stosunki</w:t>
            </w:r>
            <w:r>
              <w:t xml:space="preserve"> między konstytucjami państw członkowskich a prawem </w:t>
            </w:r>
            <w:r>
              <w:rPr>
                <w:b/>
                <w:i/>
              </w:rPr>
              <w:t>Unii;</w:t>
            </w:r>
            <w:r>
              <w:t xml:space="preserve"> </w:t>
            </w:r>
            <w:r>
              <w:rPr>
                <w:b/>
                <w:i/>
              </w:rPr>
              <w:t>odnotowuje ponadto, że Sąd orzekł w sześciu sprawach związanych ze środkami ochrony budżetu Unii przed naruszeniami zasad praworządności na Węgrzech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 w:rsidP="006C37E1">
            <w:pPr>
              <w:pStyle w:val="Normal6a"/>
            </w:pPr>
            <w:r>
              <w:t>11.</w:t>
            </w:r>
            <w:r>
              <w:tab/>
              <w:t>zwraca uwagę, że w 2023 r. Trybunał Sprawiedliwości orzekł w pięciu sprawach dotyczących zasady pierwszeństwa prawa UE wniesionych przez sądy w Niemczech, Irlandii, Polsce i Rumunii</w:t>
            </w:r>
            <w:r>
              <w:rPr>
                <w:b/>
                <w:i/>
              </w:rPr>
              <w:t>, a także </w:t>
            </w:r>
            <w:r w:rsidR="006C37E1" w:rsidRPr="006C37E1">
              <w:t>jednego postępowania</w:t>
            </w:r>
            <w:r w:rsidR="006C37E1">
              <w:rPr>
                <w:b/>
                <w:i/>
              </w:rPr>
              <w:t xml:space="preserve"> </w:t>
            </w:r>
            <w:r>
              <w:t xml:space="preserve">w sprawie uchybienia zobowiązaniom państwa członkowskiego </w:t>
            </w:r>
            <w:r>
              <w:rPr>
                <w:b/>
                <w:i/>
              </w:rPr>
              <w:t>przeciwko Polsce</w:t>
            </w:r>
            <w:r>
              <w:t xml:space="preserve">; podkreśla, że </w:t>
            </w:r>
            <w:r>
              <w:rPr>
                <w:b/>
                <w:i/>
              </w:rPr>
              <w:t>pierwszeństwo</w:t>
            </w:r>
            <w:r>
              <w:t xml:space="preserve"> konstytucji krajowych pozostaje nadrzędną zasadą </w:t>
            </w:r>
            <w:r>
              <w:rPr>
                <w:b/>
                <w:i/>
              </w:rPr>
              <w:t>w stosunkach</w:t>
            </w:r>
            <w:r>
              <w:t xml:space="preserve"> między konstytucjami państw członkowskich a prawem </w:t>
            </w:r>
            <w:r>
              <w:rPr>
                <w:b/>
                <w:i/>
              </w:rPr>
              <w:t>UE;</w:t>
            </w:r>
            <w:r>
              <w:t xml:space="preserve"> </w:t>
            </w:r>
            <w:r>
              <w:rPr>
                <w:b/>
                <w:i/>
              </w:rPr>
              <w:t>zaznacza, że porządek prawny Unii Europejskiej nie może przeważać nad przepisami konstytucyjnymi stanowiącymi podstawę suwerenności państw członkowskich oraz że każde orzeczenie Trybunału Sprawiedliwości Unii Europejskiej (TSUE) musi respektować struktury polityczne i prawne poszczególnych państw członkowskich;</w:t>
            </w:r>
            <w:r>
              <w:t xml:space="preserve"> </w:t>
            </w:r>
            <w:r>
              <w:rPr>
                <w:b/>
                <w:i/>
              </w:rPr>
              <w:t>ze szczególnym zaniepokojeniem odnotowuje, że niektóre orzeczenia służą celom politycznym i są interpretowane w sposób ograniczający prawo państw członkowskich do samostanowienia;</w:t>
            </w:r>
            <w:r>
              <w:t xml:space="preserve"> </w:t>
            </w:r>
            <w:r>
              <w:rPr>
                <w:b/>
                <w:i/>
              </w:rPr>
              <w:t>wzywa TSUE, aby w swoich orzeczeniach i wykładniach prawnych w większym stopniu uwzględniał suwerenne struktury konstytucyjne i historyczne tradycje państw członkowskich</w:t>
            </w:r>
            <w:r>
              <w:t>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Molnár, Claudiu Manda, Marit Maij, Eero Heinäluoma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11.</w:t>
            </w:r>
            <w:r>
              <w:tab/>
              <w:t xml:space="preserve">zwraca uwagę, że w 2023 r. Trybunał Sprawiedliwości orzekł w pięciu sprawach dotyczących zasady pierwszeństwa prawa UE w kontekście czterech pytań </w:t>
            </w:r>
            <w:r w:rsidRPr="009D30AB">
              <w:rPr>
                <w:b/>
                <w:i/>
              </w:rPr>
              <w:t>prejudycjalnym</w:t>
            </w:r>
            <w:r>
              <w:t xml:space="preserve"> wniesionych przez sądy w Niemczech, Irlandii, Polsce i Rumunii oraz jednego postępowania w sprawie uchybienia zobowiązaniom państwa członkowskiego dotyczącego Polski; podkreśla</w:t>
            </w:r>
            <w:r>
              <w:rPr>
                <w:b/>
                <w:i/>
              </w:rPr>
              <w:t>, że nadrzędność konstytucji krajowych pozostaje nadrzędną zasadą regulującą stosunki między konstytucjami państw</w:t>
            </w:r>
            <w:r>
              <w:t xml:space="preserve"> członkowskich </w:t>
            </w:r>
            <w:r>
              <w:rPr>
                <w:b/>
                <w:i/>
              </w:rPr>
              <w:t>a prawem</w:t>
            </w:r>
            <w:r>
              <w:t xml:space="preserve"> Unii; odnotowuje ponadto, że Sąd orzekł w sześciu sprawach związanych ze środkami ochrony budżetu Unii przed naruszeniami zasad praworządności </w:t>
            </w:r>
            <w:r>
              <w:rPr>
                <w:b/>
                <w:i/>
              </w:rPr>
              <w:t>na Węgrzech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11.</w:t>
            </w:r>
            <w:r>
              <w:tab/>
              <w:t>zwraca uwagę, że w 2023 r. Trybunał Sprawiedliwości orzekł w pięciu sprawach dotyczących zasady pierwszeństwa prawa UE w kontekśc</w:t>
            </w:r>
            <w:r w:rsidR="009D30AB">
              <w:t xml:space="preserve">ie czterech pytań </w:t>
            </w:r>
            <w:r w:rsidR="009D30AB" w:rsidRPr="009D30AB">
              <w:rPr>
                <w:b/>
                <w:i/>
              </w:rPr>
              <w:t>prejudycjalnych</w:t>
            </w:r>
            <w:r>
              <w:t xml:space="preserve"> wniesionych przez sądy w Niemczech, Irlandii, Polsce i Rumunii oraz jednego postępowania w sprawie uchybienia zobowiązaniom państwa członkowskiego dotyczącego Polski; podkreśla </w:t>
            </w:r>
            <w:r>
              <w:rPr>
                <w:b/>
                <w:i/>
              </w:rPr>
              <w:t>fundamentalne znaczenie zasady pierwszeństwa prawa unijnego, która zapewnia jednolite interpretowanie i stosowanie prawa UE we wszystkich państwach</w:t>
            </w:r>
            <w:r>
              <w:t xml:space="preserve"> członkowskich </w:t>
            </w:r>
            <w:r>
              <w:rPr>
                <w:b/>
                <w:i/>
              </w:rPr>
              <w:t>oraz gwarantuje praworządność jako jedną z podstawowych wartości Unii;</w:t>
            </w:r>
            <w:r>
              <w:t xml:space="preserve"> </w:t>
            </w:r>
            <w:r>
              <w:rPr>
                <w:b/>
                <w:i/>
              </w:rPr>
              <w:t>podkreśla kluczową rolę TSUE w podtrzymywaniu praworządności w całej</w:t>
            </w:r>
            <w:r>
              <w:t xml:space="preserve"> Unii; odnotowuje ponadto, że Sąd orzekł w sześciu sprawach związanych ze środkami ochrony budżetu Unii przed naruszeniami zasad praworządności </w:t>
            </w:r>
            <w:r>
              <w:rPr>
                <w:b/>
                <w:i/>
              </w:rPr>
              <w:t>przez rząd węgierski, który systematycznie narusza podstawowe wartości UE</w:t>
            </w:r>
            <w:r>
              <w:t>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Gilles Boyer, Olivier Chastel, Michal Wiezik, Gerben-Jan Gerbrandy, Vlad Vasile-Voiculescu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11.</w:t>
            </w:r>
            <w:r>
              <w:tab/>
              <w:t xml:space="preserve">zwraca uwagę, że w 2023 r. Trybunał Sprawiedliwości orzekł w pięciu sprawach dotyczących zasady pierwszeństwa prawa UE w kontekście czterech pytań </w:t>
            </w:r>
            <w:r w:rsidRPr="00A856ED">
              <w:rPr>
                <w:b/>
                <w:i/>
              </w:rPr>
              <w:t>prejudycjalnym</w:t>
            </w:r>
            <w:r>
              <w:t xml:space="preserve"> wniesionych przez sądy w Niemczech, Irlandii, Polsce i Rumunii oraz jednego postępowania w sprawie uchybienia zobowiązaniom państwa członkowskiego dotyczącego Polski; </w:t>
            </w:r>
            <w:r>
              <w:rPr>
                <w:b/>
                <w:i/>
              </w:rPr>
              <w:t xml:space="preserve">podkreśla, że nadrzędność konstytucji krajowych </w:t>
            </w:r>
            <w:r>
              <w:rPr>
                <w:b/>
                <w:i/>
              </w:rPr>
              <w:lastRenderedPageBreak/>
              <w:t>pozostaje nadrzędną zasadą regulującą stosunki między konstytucjami państw członkowskich a prawem Unii;</w:t>
            </w:r>
            <w:r>
              <w:t xml:space="preserve"> odnotowuje ponadto, że Sąd orzekł w sześciu sprawach związanych ze środkami ochrony budżetu Unii przed naruszeniami zasad praworządności na Węgrzech;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 w:rsidP="00A856ED">
            <w:pPr>
              <w:pStyle w:val="Normal6a"/>
            </w:pPr>
            <w:r>
              <w:lastRenderedPageBreak/>
              <w:t>11.</w:t>
            </w:r>
            <w:r>
              <w:tab/>
              <w:t xml:space="preserve">zwraca uwagę, że w 2023 r. Trybunał Sprawiedliwości orzekł w pięciu sprawach dotyczących zasady pierwszeństwa prawa UE w kontekście czterech pytań </w:t>
            </w:r>
            <w:r w:rsidRPr="00A856ED">
              <w:rPr>
                <w:b/>
                <w:i/>
              </w:rPr>
              <w:t>prejudycjalny</w:t>
            </w:r>
            <w:r w:rsidR="00A856ED" w:rsidRPr="00A856ED">
              <w:rPr>
                <w:b/>
                <w:i/>
              </w:rPr>
              <w:t>ch</w:t>
            </w:r>
            <w:r>
              <w:t xml:space="preserve"> wniesionych przez sądy w Niemczech, Irlandii, Polsce i Rumunii oraz jednego postępowania w sprawie uchybienia zobowiązaniom państwa członkowskiego dotyczącego Polski; odnotowuje ponadto, że Sąd orzekł w sześciu sprawach </w:t>
            </w:r>
            <w:r>
              <w:lastRenderedPageBreak/>
              <w:t>związanych ze środkami ochrony budżetu Unii przed naruszeniami zasad praworządności na Węgrzech;</w:t>
            </w:r>
          </w:p>
        </w:tc>
      </w:tr>
    </w:tbl>
    <w:p w:rsidR="00E53544" w:rsidRPr="00AE6CD7" w:rsidRDefault="0036450D">
      <w:pPr>
        <w:pStyle w:val="AmOrLang"/>
        <w:rPr>
          <w:lang w:val="it-IT"/>
        </w:rPr>
      </w:pPr>
      <w:r w:rsidRPr="00AE6CD7">
        <w:rPr>
          <w:lang w:val="it-IT"/>
        </w:rPr>
        <w:lastRenderedPageBreak/>
        <w:t xml:space="preserve">Or. </w:t>
      </w:r>
      <w:r w:rsidRPr="00AE6CD7">
        <w:rPr>
          <w:rStyle w:val="HideTWBExt"/>
          <w:lang w:val="it-IT"/>
        </w:rPr>
        <w:t>&lt;Original&gt;</w:t>
      </w:r>
      <w:r w:rsidRPr="00AE6CD7">
        <w:rPr>
          <w:rStyle w:val="HideTWBInt"/>
          <w:lang w:val="it-IT"/>
        </w:rPr>
        <w:t>{EN}</w:t>
      </w:r>
      <w:r w:rsidRPr="00AE6CD7">
        <w:rPr>
          <w:lang w:val="it-IT"/>
        </w:rPr>
        <w:t>en</w:t>
      </w:r>
      <w:r w:rsidRPr="00AE6CD7">
        <w:rPr>
          <w:rStyle w:val="HideTWBExt"/>
          <w:lang w:val="it-IT"/>
        </w:rPr>
        <w:t>&lt;/Original&gt;</w:t>
      </w:r>
    </w:p>
    <w:p w:rsidR="00E53544" w:rsidRPr="00AE6CD7" w:rsidRDefault="0036450D">
      <w:pPr>
        <w:rPr>
          <w:lang w:val="it-IT"/>
        </w:rPr>
      </w:pPr>
      <w:r w:rsidRPr="00AE6CD7">
        <w:rPr>
          <w:rStyle w:val="HideTWBExt"/>
          <w:lang w:val="it-IT"/>
        </w:rPr>
        <w:t>&lt;/Amend&gt;</w:t>
      </w:r>
    </w:p>
    <w:p w:rsidR="00E53544" w:rsidRPr="00AE6CD7" w:rsidRDefault="0036450D">
      <w:pPr>
        <w:pStyle w:val="AmNumberTabs"/>
        <w:rPr>
          <w:lang w:val="it-IT"/>
        </w:rPr>
      </w:pPr>
      <w:r w:rsidRPr="00AE6CD7">
        <w:rPr>
          <w:rStyle w:val="HideTWBExt"/>
          <w:lang w:val="it-IT"/>
        </w:rPr>
        <w:t>&lt;Amend&gt;</w:t>
      </w:r>
      <w:r w:rsidRPr="00AE6CD7">
        <w:rPr>
          <w:lang w:val="it-IT"/>
        </w:rPr>
        <w:t>Poprawka</w:t>
      </w:r>
      <w:r w:rsidRPr="00AE6CD7">
        <w:rPr>
          <w:lang w:val="it-IT"/>
        </w:rPr>
        <w:tab/>
      </w:r>
      <w:r w:rsidRPr="00AE6CD7">
        <w:rPr>
          <w:lang w:val="it-IT"/>
        </w:rPr>
        <w:tab/>
      </w:r>
      <w:r w:rsidRPr="00AE6CD7">
        <w:rPr>
          <w:rStyle w:val="HideTWBExt"/>
          <w:lang w:val="it-IT"/>
        </w:rPr>
        <w:t>&lt;NumAm&gt;</w:t>
      </w:r>
      <w:r w:rsidRPr="00AE6CD7">
        <w:rPr>
          <w:lang w:val="it-IT"/>
        </w:rPr>
        <w:t>12</w:t>
      </w:r>
      <w:r w:rsidRPr="00AE6CD7">
        <w:rPr>
          <w:rStyle w:val="HideTWBExt"/>
          <w:lang w:val="it-IT"/>
        </w:rPr>
        <w:t>&lt;/NumAm&gt;</w:t>
      </w:r>
    </w:p>
    <w:p w:rsidR="00E53544" w:rsidRPr="00AE6CD7" w:rsidRDefault="0036450D">
      <w:pPr>
        <w:pStyle w:val="NormalBold"/>
        <w:rPr>
          <w:lang w:val="it-IT"/>
        </w:rPr>
      </w:pPr>
      <w:r w:rsidRPr="00AE6CD7">
        <w:rPr>
          <w:rStyle w:val="HideTWBExt"/>
          <w:b w:val="0"/>
          <w:lang w:val="it-IT"/>
        </w:rPr>
        <w:t>&lt;RepeatBlock-By&gt;&lt;Members&gt;</w:t>
      </w:r>
      <w:r w:rsidRPr="00AE6CD7">
        <w:rPr>
          <w:lang w:val="it-IT"/>
        </w:rPr>
        <w:t>Caterina Chinnici</w:t>
      </w:r>
      <w:r w:rsidRPr="00AE6CD7">
        <w:rPr>
          <w:rStyle w:val="HideTWBExt"/>
          <w:b w:val="0"/>
          <w:lang w:val="it-IT"/>
        </w:rPr>
        <w:t>&lt;/Members&gt;</w:t>
      </w:r>
    </w:p>
    <w:p w:rsidR="00E53544" w:rsidRPr="00AE6CD7" w:rsidRDefault="0036450D">
      <w:pPr>
        <w:pStyle w:val="NormalBold"/>
        <w:rPr>
          <w:lang w:val="it-IT"/>
        </w:rPr>
      </w:pPr>
      <w:r w:rsidRPr="00AE6CD7">
        <w:rPr>
          <w:rStyle w:val="HideTWBExt"/>
          <w:b w:val="0"/>
          <w:lang w:val="it-IT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11.</w:t>
            </w:r>
            <w:r>
              <w:tab/>
              <w:t xml:space="preserve">zwraca uwagę, że w 2023 r. Trybunał Sprawiedliwości orzekł w pięciu sprawach dotyczących zasady pierwszeństwa prawa UE w kontekście czterech pytań </w:t>
            </w:r>
            <w:r w:rsidRPr="00344AC5">
              <w:rPr>
                <w:b/>
                <w:i/>
              </w:rPr>
              <w:t>prejudycjalnym</w:t>
            </w:r>
            <w:r>
              <w:t xml:space="preserve"> wniesionych przez sądy w Niemczech, Irlandii, Polsce i Rumunii oraz jednego postępowania w sprawie uchybienia zobowiązaniom państwa członkowskiego dotyczącego Polski; </w:t>
            </w:r>
            <w:r>
              <w:rPr>
                <w:b/>
                <w:i/>
              </w:rPr>
              <w:t>podkreśla, że nadrzędność konstytucji krajowych pozostaje nadrzędną zasadą regulującą stosunki między konstytucjami państw członkowskich a prawem Unii;</w:t>
            </w:r>
            <w:r>
              <w:t xml:space="preserve"> odnotowuje ponadto, że Sąd orzekł w sześciu sprawach związanych ze środkami ochrony budżetu Unii przed naruszeniami zasad praworządności na Węgrzech;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 w:rsidP="00344AC5">
            <w:pPr>
              <w:pStyle w:val="Normal6a"/>
            </w:pPr>
            <w:r>
              <w:t>11.</w:t>
            </w:r>
            <w:r>
              <w:tab/>
              <w:t xml:space="preserve">zwraca uwagę, że w 2023 r. Trybunał Sprawiedliwości orzekł w pięciu sprawach dotyczących zasady pierwszeństwa prawa UE w kontekście czterech pytań </w:t>
            </w:r>
            <w:r w:rsidRPr="00344AC5">
              <w:rPr>
                <w:b/>
                <w:i/>
              </w:rPr>
              <w:t>prejudycjalny</w:t>
            </w:r>
            <w:r w:rsidR="00344AC5" w:rsidRPr="00344AC5">
              <w:rPr>
                <w:b/>
                <w:i/>
              </w:rPr>
              <w:t>ch</w:t>
            </w:r>
            <w:r>
              <w:t xml:space="preserve"> wniesionych przez sądy w Niemczech, Irlandii, Polsce i Rumunii oraz jednego postępowania w sprawie uchybienia zobowiązaniom państwa członkowskiego dotyczącego Polski; odnotowuje ponadto, że Sąd orzekł w sześciu sprawach związanych ze środkami ochrony budżetu Unii przed naruszeniami zasad praworządności na Węgrzech;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13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11.</w:t>
            </w:r>
            <w:r>
              <w:tab/>
              <w:t xml:space="preserve">zwraca uwagę, że w 2023 r. Trybunał Sprawiedliwości orzekł w pięciu sprawach dotyczących zasady pierwszeństwa prawa UE w kontekście czterech pytań </w:t>
            </w:r>
            <w:r w:rsidRPr="00907A8B">
              <w:rPr>
                <w:b/>
                <w:i/>
              </w:rPr>
              <w:t>prejudycjalnym</w:t>
            </w:r>
            <w:r>
              <w:t xml:space="preserve"> wniesionych przez sądy w Niemczech, Irlandii, Polsce i Rumunii </w:t>
            </w:r>
            <w:r>
              <w:rPr>
                <w:b/>
                <w:i/>
              </w:rPr>
              <w:t>oraz</w:t>
            </w:r>
            <w:r>
              <w:t xml:space="preserve"> jednego postępowania w sprawie uchybienia zobowiązaniom państwa członkowskiego dotyczącego Polski; </w:t>
            </w:r>
            <w:r>
              <w:rPr>
                <w:b/>
                <w:i/>
              </w:rPr>
              <w:t>podkreśla, że nadrzędność konstytucji krajowych pozostaje nadrzędną zasadą regulującą stosunki między konstytucjami państw członkowskich a prawem Unii;</w:t>
            </w:r>
            <w:r>
              <w:t xml:space="preserve"> </w:t>
            </w:r>
            <w:r>
              <w:rPr>
                <w:b/>
                <w:i/>
              </w:rPr>
              <w:t>odnotowuje ponadto, że Sąd orzekł w sześciu sprawach związanych ze środkami ochrony budżetu Unii przed naruszeniami zasad praworządności na Węgrzech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 w:rsidP="00907A8B">
            <w:pPr>
              <w:pStyle w:val="Normal6a"/>
            </w:pPr>
            <w:r>
              <w:t>11.</w:t>
            </w:r>
            <w:r>
              <w:tab/>
              <w:t xml:space="preserve">zwraca uwagę, że w 2023 r. Trybunał Sprawiedliwości orzekł w pięciu sprawach dotyczących zasady pierwszeństwa prawa UE w kontekście czterech pytań </w:t>
            </w:r>
            <w:r w:rsidRPr="00907A8B">
              <w:rPr>
                <w:b/>
                <w:i/>
              </w:rPr>
              <w:t>prejudycjalny</w:t>
            </w:r>
            <w:r w:rsidR="00907A8B" w:rsidRPr="00907A8B">
              <w:rPr>
                <w:b/>
                <w:i/>
              </w:rPr>
              <w:t>ch</w:t>
            </w:r>
            <w:r>
              <w:t xml:space="preserve"> wniesionych przez sądy w Niemczech, Irlandii, Polsce i Rumunii</w:t>
            </w:r>
            <w:r>
              <w:rPr>
                <w:b/>
                <w:i/>
              </w:rPr>
              <w:t>, a także</w:t>
            </w:r>
            <w:r>
              <w:t xml:space="preserve"> jednego postępowania w sprawie uchybienia zobowiązaniom państwa członkowskiego dotyczącego Polski; </w:t>
            </w:r>
            <w:r>
              <w:rPr>
                <w:b/>
                <w:i/>
              </w:rPr>
              <w:t>stanowczo potwierdza, że pierwszeństwo prawa UE jest podstawą unijnego porządku prawnego, i apeluje do Komisji o zdecydowane egzekwowanie prawa wobec każdego państwa członkowskiego, które kwestionuje lub lekceważy wiążący charakter orzeczeń TSUE</w:t>
            </w:r>
            <w:r>
              <w:t>;</w:t>
            </w:r>
          </w:p>
        </w:tc>
      </w:tr>
    </w:tbl>
    <w:p w:rsidR="00E53544" w:rsidRPr="00AE6CD7" w:rsidRDefault="0036450D">
      <w:pPr>
        <w:pStyle w:val="AmOrLang"/>
        <w:rPr>
          <w:lang w:val="fr-FR"/>
        </w:rPr>
      </w:pPr>
      <w:r w:rsidRPr="00AE6CD7">
        <w:rPr>
          <w:lang w:val="fr-FR"/>
        </w:rPr>
        <w:t xml:space="preserve">Or. </w:t>
      </w:r>
      <w:r w:rsidRPr="00AE6CD7">
        <w:rPr>
          <w:rStyle w:val="HideTWBExt"/>
          <w:lang w:val="fr-FR"/>
        </w:rPr>
        <w:t>&lt;Original&gt;</w:t>
      </w:r>
      <w:r w:rsidRPr="00AE6CD7">
        <w:rPr>
          <w:rStyle w:val="HideTWBInt"/>
          <w:lang w:val="fr-FR"/>
        </w:rPr>
        <w:t>{EN}</w:t>
      </w:r>
      <w:r w:rsidRPr="00AE6CD7">
        <w:rPr>
          <w:lang w:val="fr-FR"/>
        </w:rPr>
        <w:t>en</w:t>
      </w:r>
      <w:r w:rsidRPr="00AE6CD7">
        <w:rPr>
          <w:rStyle w:val="HideTWBExt"/>
          <w:lang w:val="fr-FR"/>
        </w:rPr>
        <w:t>&lt;/Original&gt;</w:t>
      </w:r>
    </w:p>
    <w:p w:rsidR="00E53544" w:rsidRPr="00AE6CD7" w:rsidRDefault="0036450D">
      <w:pPr>
        <w:rPr>
          <w:lang w:val="fr-FR"/>
        </w:rPr>
      </w:pPr>
      <w:r w:rsidRPr="00AE6CD7">
        <w:rPr>
          <w:rStyle w:val="HideTWBExt"/>
          <w:lang w:val="fr-FR"/>
        </w:rPr>
        <w:t>&lt;/Amend&gt;</w:t>
      </w:r>
    </w:p>
    <w:p w:rsidR="00E53544" w:rsidRPr="00AE6CD7" w:rsidRDefault="0036450D">
      <w:pPr>
        <w:pStyle w:val="AmNumberTabs"/>
        <w:rPr>
          <w:lang w:val="fr-FR"/>
        </w:rPr>
      </w:pPr>
      <w:r w:rsidRPr="00AE6CD7">
        <w:rPr>
          <w:rStyle w:val="HideTWBExt"/>
          <w:lang w:val="fr-FR"/>
        </w:rPr>
        <w:t>&lt;Amend&gt;</w:t>
      </w:r>
      <w:r w:rsidRPr="00AE6CD7">
        <w:rPr>
          <w:lang w:val="fr-FR"/>
        </w:rPr>
        <w:t>Poprawka</w:t>
      </w:r>
      <w:r w:rsidRPr="00AE6CD7">
        <w:rPr>
          <w:lang w:val="fr-FR"/>
        </w:rPr>
        <w:tab/>
      </w:r>
      <w:r w:rsidRPr="00AE6CD7">
        <w:rPr>
          <w:lang w:val="fr-FR"/>
        </w:rPr>
        <w:tab/>
      </w:r>
      <w:r w:rsidRPr="00AE6CD7">
        <w:rPr>
          <w:rStyle w:val="HideTWBExt"/>
          <w:lang w:val="fr-FR"/>
        </w:rPr>
        <w:t>&lt;NumAm&gt;</w:t>
      </w:r>
      <w:r w:rsidRPr="00AE6CD7">
        <w:rPr>
          <w:lang w:val="fr-FR"/>
        </w:rPr>
        <w:t>14</w:t>
      </w:r>
      <w:r w:rsidRPr="00AE6CD7">
        <w:rPr>
          <w:rStyle w:val="HideTWBExt"/>
          <w:lang w:val="fr-FR"/>
        </w:rPr>
        <w:t>&lt;/NumAm&gt;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&lt;RepeatBlock-By&gt;&lt;Members&gt;</w:t>
      </w:r>
      <w:r w:rsidRPr="00AE6CD7">
        <w:rPr>
          <w:lang w:val="fr-FR"/>
        </w:rPr>
        <w:t>Pasquale Tridico</w:t>
      </w:r>
      <w:r w:rsidRPr="00AE6CD7">
        <w:rPr>
          <w:rStyle w:val="HideTWBExt"/>
          <w:b w:val="0"/>
          <w:lang w:val="fr-FR"/>
        </w:rPr>
        <w:t>&lt;/Members&gt;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11.</w:t>
            </w:r>
            <w:r>
              <w:tab/>
              <w:t xml:space="preserve">zwraca uwagę, że w 2023 r. Trybunał Sprawiedliwości orzekł w pięciu sprawach dotyczących zasady pierwszeństwa prawa UE w kontekście czterech pytań </w:t>
            </w:r>
            <w:r w:rsidRPr="007662AE">
              <w:rPr>
                <w:b/>
                <w:i/>
              </w:rPr>
              <w:t>prejudycjalnym</w:t>
            </w:r>
            <w:r>
              <w:t xml:space="preserve"> wniesionych przez sądy w Niemczech, Irlandii, Polsce i Rumunii oraz jednego postępowania w sprawie uchybienia zobowiązaniom państwa członkowskiego dotyczącego Polski; podkreśla, że </w:t>
            </w:r>
            <w:r>
              <w:rPr>
                <w:b/>
                <w:i/>
              </w:rPr>
              <w:t>nadrzędność konstytucji</w:t>
            </w:r>
            <w:r>
              <w:t xml:space="preserve"> krajowych </w:t>
            </w:r>
            <w:r>
              <w:rPr>
                <w:b/>
                <w:i/>
              </w:rPr>
              <w:t>pozostaje nadrzędną zasadą regulującą stosunki między konstytucjami państw członkowskich a prawem Unii</w:t>
            </w:r>
            <w:r>
              <w:t xml:space="preserve">; odnotowuje ponadto, że Sąd orzekł w sześciu sprawach związanych ze środkami ochrony budżetu Unii przed naruszeniami </w:t>
            </w:r>
            <w:r>
              <w:lastRenderedPageBreak/>
              <w:t>zasad praworządności na Węgrzech;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 w:rsidP="007662AE">
            <w:pPr>
              <w:pStyle w:val="Normal6a"/>
            </w:pPr>
            <w:r>
              <w:lastRenderedPageBreak/>
              <w:t>11.</w:t>
            </w:r>
            <w:r>
              <w:tab/>
              <w:t xml:space="preserve">zwraca uwagę, że w 2023 r. Trybunał Sprawiedliwości orzekł w pięciu sprawach dotyczących zasady pierwszeństwa prawa UE w kontekście czterech pytań </w:t>
            </w:r>
            <w:r w:rsidRPr="007662AE">
              <w:rPr>
                <w:b/>
                <w:i/>
              </w:rPr>
              <w:t>prejudycjalny</w:t>
            </w:r>
            <w:r w:rsidR="007662AE" w:rsidRPr="007662AE">
              <w:rPr>
                <w:b/>
                <w:i/>
              </w:rPr>
              <w:t>ch</w:t>
            </w:r>
            <w:r>
              <w:t xml:space="preserve"> wniesionych przez sądy w Niemczech, Irlandii, Polsce i Rumunii oraz jednego postępowania w sprawie uchybienia zobowiązaniom państwa członkowskiego dotyczącego Polski; podkreśla, że </w:t>
            </w:r>
            <w:r>
              <w:rPr>
                <w:b/>
                <w:i/>
              </w:rPr>
              <w:t>zasada pierwszeństwa prawa UE, nawet w stosunku do podstawowych praw zagwarantowanych w konstytucjach</w:t>
            </w:r>
            <w:r>
              <w:t xml:space="preserve"> krajowych</w:t>
            </w:r>
            <w:r>
              <w:rPr>
                <w:b/>
                <w:i/>
              </w:rPr>
              <w:t>, jest powszechnie uznaną doktryną od czasu orzeczenia Trybunału w sprawie 11-70 (Internationale Handelsgesellschaft)</w:t>
            </w:r>
            <w:r>
              <w:t xml:space="preserve">; odnotowuje </w:t>
            </w:r>
            <w:r>
              <w:lastRenderedPageBreak/>
              <w:t>ponadto, że Sąd orzekł w sześciu sprawach związanych ze środkami ochrony budżetu Unii przed naruszeniami zasad praworządności na Węgrzech;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lastRenderedPageBreak/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15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potępia środki krajowe lub krajowe działania ustawodawcze mające na celu podważenie kodyfikacji i egzekwowania wyroków TSUE;</w:t>
            </w:r>
            <w:r>
              <w:t xml:space="preserve"> </w:t>
            </w:r>
            <w:r>
              <w:rPr>
                <w:b/>
                <w:i/>
              </w:rPr>
              <w:t>apeluje o ustanowienie formalnego mechanizmu monitorowania przestrzegania przez państwa członkowskie orzeczeń TSUE i zaleca powiązanie wypłat unijnych środków finansowych z przestrzeganiem zasad praworządności w ramach systemu warunkowości;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16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14.</w:t>
            </w:r>
            <w:r>
              <w:tab/>
              <w:t xml:space="preserve">stwierdza, że średni czas trwania postępowań w sprawach rozstrzygniętych przez Trybunał Sprawiedliwości w 2023 r. wynosił 16,1 miesiąca w porównaniu z 16,4 miesiąca w 2022 r.; odnotowuje, że średni czas trwania spraw rozstrzygniętych przez Sąd wynosił 18,2 miesiąca w porównaniu z 16,2 miesiąca w 2022 r., co </w:t>
            </w:r>
            <w:r>
              <w:lastRenderedPageBreak/>
              <w:t>Sąd uzasadnił charakterem i związaną z nim złożonością postępowań, które prowadzono w 2023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14.</w:t>
            </w:r>
            <w:r>
              <w:tab/>
              <w:t xml:space="preserve">stwierdza, że średni czas trwania postępowań w sprawach rozstrzygniętych przez Trybunał Sprawiedliwości w 2023 r. wynosił 16,1 miesiąca w porównaniu z 16,4 miesiąca w 2022 r.; </w:t>
            </w:r>
            <w:r>
              <w:rPr>
                <w:b/>
                <w:i/>
              </w:rPr>
              <w:t xml:space="preserve">z zadowoleniem odnotowuje, że średni czas trwania postępowań w sprawach wniesionych do Trybunału Sprawiedliwości był krótszy niż </w:t>
            </w:r>
            <w:r>
              <w:rPr>
                <w:b/>
                <w:i/>
              </w:rPr>
              <w:lastRenderedPageBreak/>
              <w:t>w poprzednim roku;</w:t>
            </w:r>
            <w:r>
              <w:t xml:space="preserve"> odnotowuje, że średni czas trwania spraw rozstrzygniętych przez Sąd wynosił 18,2 miesiąca w porównaniu z 16,2 miesiąca w 2022 r., co Sąd uzasadnił charakterem i związaną z nim złożonością postępowań, które prowadzono w 2023 r.;</w:t>
            </w:r>
          </w:p>
        </w:tc>
      </w:tr>
    </w:tbl>
    <w:p w:rsidR="00E53544" w:rsidRPr="00AE6CD7" w:rsidRDefault="0036450D">
      <w:pPr>
        <w:pStyle w:val="AmOrLang"/>
        <w:rPr>
          <w:lang w:val="it-IT"/>
        </w:rPr>
      </w:pPr>
      <w:r w:rsidRPr="00AE6CD7">
        <w:rPr>
          <w:lang w:val="it-IT"/>
        </w:rPr>
        <w:lastRenderedPageBreak/>
        <w:t xml:space="preserve">Or. </w:t>
      </w:r>
      <w:r w:rsidRPr="00AE6CD7">
        <w:rPr>
          <w:rStyle w:val="HideTWBExt"/>
          <w:lang w:val="it-IT"/>
        </w:rPr>
        <w:t>&lt;Original&gt;</w:t>
      </w:r>
      <w:r w:rsidRPr="00AE6CD7">
        <w:rPr>
          <w:rStyle w:val="HideTWBInt"/>
          <w:lang w:val="it-IT"/>
        </w:rPr>
        <w:t>{EN}</w:t>
      </w:r>
      <w:r w:rsidRPr="00AE6CD7">
        <w:rPr>
          <w:lang w:val="it-IT"/>
        </w:rPr>
        <w:t>en</w:t>
      </w:r>
      <w:r w:rsidRPr="00AE6CD7">
        <w:rPr>
          <w:rStyle w:val="HideTWBExt"/>
          <w:lang w:val="it-IT"/>
        </w:rPr>
        <w:t>&lt;/Original&gt;</w:t>
      </w:r>
    </w:p>
    <w:p w:rsidR="00E53544" w:rsidRPr="00AE6CD7" w:rsidRDefault="0036450D">
      <w:pPr>
        <w:rPr>
          <w:lang w:val="it-IT"/>
        </w:rPr>
      </w:pPr>
      <w:r w:rsidRPr="00AE6CD7">
        <w:rPr>
          <w:rStyle w:val="HideTWBExt"/>
          <w:lang w:val="it-IT"/>
        </w:rPr>
        <w:t>&lt;/Amend&gt;</w:t>
      </w:r>
    </w:p>
    <w:p w:rsidR="00E53544" w:rsidRPr="00AE6CD7" w:rsidRDefault="0036450D">
      <w:pPr>
        <w:pStyle w:val="AmNumberTabs"/>
        <w:rPr>
          <w:lang w:val="it-IT"/>
        </w:rPr>
      </w:pPr>
      <w:r w:rsidRPr="00AE6CD7">
        <w:rPr>
          <w:rStyle w:val="HideTWBExt"/>
          <w:lang w:val="it-IT"/>
        </w:rPr>
        <w:t>&lt;Amend&gt;</w:t>
      </w:r>
      <w:r w:rsidRPr="00AE6CD7">
        <w:rPr>
          <w:lang w:val="it-IT"/>
        </w:rPr>
        <w:t>Poprawka</w:t>
      </w:r>
      <w:r w:rsidRPr="00AE6CD7">
        <w:rPr>
          <w:lang w:val="it-IT"/>
        </w:rPr>
        <w:tab/>
      </w:r>
      <w:r w:rsidRPr="00AE6CD7">
        <w:rPr>
          <w:lang w:val="it-IT"/>
        </w:rPr>
        <w:tab/>
      </w:r>
      <w:r w:rsidRPr="00AE6CD7">
        <w:rPr>
          <w:rStyle w:val="HideTWBExt"/>
          <w:lang w:val="it-IT"/>
        </w:rPr>
        <w:t>&lt;NumAm&gt;</w:t>
      </w:r>
      <w:r w:rsidRPr="00AE6CD7">
        <w:rPr>
          <w:lang w:val="it-IT"/>
        </w:rPr>
        <w:t>17</w:t>
      </w:r>
      <w:r w:rsidRPr="00AE6CD7">
        <w:rPr>
          <w:rStyle w:val="HideTWBExt"/>
          <w:lang w:val="it-IT"/>
        </w:rPr>
        <w:t>&lt;/NumAm&gt;</w:t>
      </w:r>
    </w:p>
    <w:p w:rsidR="00E53544" w:rsidRPr="00AE6CD7" w:rsidRDefault="0036450D">
      <w:pPr>
        <w:pStyle w:val="NormalBold"/>
        <w:rPr>
          <w:lang w:val="it-IT"/>
        </w:rPr>
      </w:pPr>
      <w:r w:rsidRPr="00AE6CD7">
        <w:rPr>
          <w:rStyle w:val="HideTWBExt"/>
          <w:b w:val="0"/>
          <w:lang w:val="it-IT"/>
        </w:rPr>
        <w:t>&lt;RepeatBlock-By&gt;&lt;Members&gt;</w:t>
      </w:r>
      <w:r w:rsidRPr="00AE6CD7">
        <w:rPr>
          <w:lang w:val="it-IT"/>
        </w:rPr>
        <w:t>Caterina Chinnici</w:t>
      </w:r>
      <w:r w:rsidRPr="00AE6CD7">
        <w:rPr>
          <w:rStyle w:val="HideTWBExt"/>
          <w:b w:val="0"/>
          <w:lang w:val="it-IT"/>
        </w:rPr>
        <w:t>&lt;/Members&gt;</w:t>
      </w:r>
    </w:p>
    <w:p w:rsidR="00E53544" w:rsidRPr="00AE6CD7" w:rsidRDefault="0036450D">
      <w:pPr>
        <w:pStyle w:val="NormalBold"/>
        <w:rPr>
          <w:lang w:val="it-IT"/>
        </w:rPr>
      </w:pPr>
      <w:r w:rsidRPr="00AE6CD7">
        <w:rPr>
          <w:rStyle w:val="HideTWBExt"/>
          <w:b w:val="0"/>
          <w:lang w:val="it-IT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stwierdza</w:t>
            </w:r>
            <w:r>
              <w:t>, że średni czas trwania postępowań w sprawach rozstrzygniętych przez Trybunał Sprawiedliwości w 2023 r. wynosił 16,1 miesiąca w porównaniu z 16,4 miesiąca w 2022 r.; odnotowuje, że średni czas trwania spraw rozstrzygniętych przez Sąd wynosił 18,2 miesiąca w porównaniu z 16,2 miesiąca w 2022 r., co Sąd uzasadnił charakterem i związaną z nim złożonością postępowań, które prowadzono w 2023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z zadowoleniem zauważa</w:t>
            </w:r>
            <w:r>
              <w:t>, że średni czas trwania postępowań w sprawach rozstrzygniętych przez Trybunał Sprawiedliwości w 2023 r. wynosił 16,1 miesiąca w porównaniu z 16,4 miesiąca w 2022 r.; odnotowuje, że średni czas trwania spraw rozstrzygniętych przez Sąd wynosił 18,2 miesiąca w porównaniu z 16,2 miesiąca w 2022 r., co Sąd uzasadnił charakterem i związaną z nim złożonością postępowań, które prowadzono w 2023 r.;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18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15.</w:t>
            </w:r>
            <w:r>
              <w:tab/>
              <w:t xml:space="preserve">z zadowoleniem przyjmuje opracowane przez TSUE podejście oparte na wynikach, umożliwiające TSUE podejmowanie decyzji na podstawie poziomu realizacji jego celów, mierzonego za pomocą zestawu wskaźników </w:t>
            </w:r>
            <w:r>
              <w:lastRenderedPageBreak/>
              <w:t>obciążenia pracą i wskaźników operacyjnych; zwraca uwagę, że kluczowe wskaźniki wyników stosowane przez TSUE obejmują szeroki zakres konkretnych obszarów powiązanych z pięcioma celami zarządzania służącymi prawidłowemu funkcjonowaniu TSUE, a mianowicie cyfryzacją i powstającymi technologiami, otwartością i przejrzystością, wielojęzycznością i zarządzaniem zasobami ludzkimi;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15.</w:t>
            </w:r>
            <w:r>
              <w:tab/>
              <w:t xml:space="preserve">z zadowoleniem przyjmuje opracowane przez TSUE podejście oparte na wynikach, umożliwiające TSUE podejmowanie decyzji na podstawie </w:t>
            </w:r>
            <w:r>
              <w:rPr>
                <w:b/>
                <w:i/>
              </w:rPr>
              <w:t>wyników działania i</w:t>
            </w:r>
            <w:r>
              <w:t xml:space="preserve"> poziomu realizacji jego celów, mierzonego za pomocą </w:t>
            </w:r>
            <w:r>
              <w:lastRenderedPageBreak/>
              <w:t>zestawu wskaźników obciążenia pracą i wskaźników operacyjnych; zwraca uwagę, że kluczowe wskaźniki wyników stosowane przez TSUE obejmują szeroki zakres konkretnych obszarów powiązanych z pięcioma celami zarządzania służącymi prawidłowemu funkcjonowaniu TSUE, a mianowicie cyfryzacją i powstającymi technologiami, otwartością i przejrzystością, wielojęzycznością i zarządzaniem zasobami ludzkimi;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Tamás Deutsch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17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przypomina, że zgodnie z Traktatem o Unii Europejskiej UE i jej instytucje wspierają solidarność i równość kobiet i mężczyzn;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Molnár, Claudiu Manda, Marit Maij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20.</w:t>
            </w:r>
            <w:r>
              <w:tab/>
              <w:t xml:space="preserve">odnotowuje, że nadal występuje duży brak równowagi płci w składzie Trybunału Sprawiedliwości i Sądu; wyraża uznanie dla pisma prezesa Sądu do przewodniczącego konferencji przedstawicieli rządów państw członkowskich w 2024 r. z apelem do państw członkowskich o to, uwzględniły potrzebę równowagi płci przy mianowaniu </w:t>
            </w:r>
            <w:r>
              <w:lastRenderedPageBreak/>
              <w:t>kandydatów mających zastąpić sędziów i rzeczników generalnych; ponawia apel do Rady o ponowne rozważenie procedury mianowania, by rozwiązać ten problem za pomocą konkretnych działań, takich jak nałożenie na państwa członkowskie obowiązku przedstawiania co najmniej dwojga kandydatów na każde wolne stanowisko;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20.</w:t>
            </w:r>
            <w:r>
              <w:tab/>
            </w:r>
            <w:r>
              <w:rPr>
                <w:b/>
                <w:i/>
              </w:rPr>
              <w:t>z zaniepokojeniem</w:t>
            </w:r>
            <w:r>
              <w:t xml:space="preserve"> odnotowuje, że nadal występuje duży brak równowagi płci w składzie Trybunału Sprawiedliwości i Sądu; wyraża uznanie dla pisma prezesa Sądu do przewodniczącego konferencji przedstawicieli rządów państw członkowskich w 2024 r. z apelem do państw członkowskich o to, uwzględniły potrzebę równowagi płci przy mianowaniu </w:t>
            </w:r>
            <w:r>
              <w:lastRenderedPageBreak/>
              <w:t xml:space="preserve">kandydatów mających zastąpić sędziów i rzeczników generalnych; ponawia apel do Rady o ponowne rozważenie procedury mianowania, by rozwiązać ten problem za pomocą konkretnych działań, takich jak nałożenie na państwa członkowskie obowiązku przedstawiania co najmniej dwojga kandydatów na każde wolne stanowisko; </w:t>
            </w:r>
            <w:r>
              <w:rPr>
                <w:b/>
                <w:i/>
              </w:rPr>
              <w:t>wzywa państwa członkowskie, aby przy powoływaniu kandydatów w ramach wymiany sędziów uwzględniały konieczność równowagi płci;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lastRenderedPageBreak/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21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20.</w:t>
            </w:r>
            <w:r>
              <w:tab/>
              <w:t xml:space="preserve">odnotowuje, że nadal występuje duży brak równowagi płci w składzie Trybunału Sprawiedliwości i Sądu; wyraża uznanie dla pisma prezesa Sądu do przewodniczącego konferencji przedstawicieli rządów państw członkowskich w 2024 r. z apelem do państw członkowskich o to, uwzględniły potrzebę równowagi płci przy mianowaniu kandydatów mających zastąpić sędziów i rzeczników generalnych; ponawia apel do Rady o </w:t>
            </w:r>
            <w:r>
              <w:rPr>
                <w:b/>
                <w:i/>
              </w:rPr>
              <w:t>ponowne rozważenie procedury mianowania, by rozwiązać ten problem za pomocą konkretnych działań, takich jak nałożenie</w:t>
            </w:r>
            <w:r>
              <w:t xml:space="preserve"> na państwa członkowskie obowiązku przedstawiania co najmniej dwojga kandydatów na każde wolne stanowisko;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20.</w:t>
            </w:r>
            <w:r>
              <w:tab/>
              <w:t xml:space="preserve">odnotowuje, że nadal występuje duży brak równowagi płci w składzie Trybunału Sprawiedliwości i Sądu; wyraża uznanie dla pisma prezesa Sądu do przewodniczącego konferencji przedstawicieli rządów państw członkowskich w 2024 r. z apelem do państw członkowskich o to, uwzględniły potrzebę równowagi płci przy mianowaniu kandydatów mających zastąpić sędziów i rzeczników generalnych; ponawia apel do Rady o </w:t>
            </w:r>
            <w:r>
              <w:rPr>
                <w:b/>
                <w:i/>
              </w:rPr>
              <w:t>wprowadzenie obowiązkowej zasady parytetu płci w celu nałożenia</w:t>
            </w:r>
            <w:r>
              <w:t xml:space="preserve"> na państwa członkowskie obowiązku przedstawiania co najmniej dwojga kandydatów na każde wolne stanowisko;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22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lastRenderedPageBreak/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 zadowoleniem przyjmuje szczegółowe odpowiedzi TSUE na kwestionariusz parlamentarnej Komisji Kontroli Budżetowej, przekazane w ramach obecnej procedury udzielania absolutorium, szczególnie w odniesieniu do dystrybucji personelu na koniec 2023 r.;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Gilles Boyer, Olivier Chastel, Michal Wiezik, Vlad Vasile-Voiculescu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21.</w:t>
            </w:r>
            <w:r>
              <w:tab/>
              <w:t>zwraca uwagę, że w 2023 r. w TSUE zatrudnionych było 61,27 % kobiet i 38,73 % mężczyzn; odnotowuje, że reprezentacja kobiet była najwyższa w asystenckich grupach zaszeregowania, zaś najniższa na stanowiskach kierowniczych wyższego szczebla, które zajmowało 43,75 % kobiet i 56,25 % mężczyzn; z zadowoleniem przyjmuje wysiłki podejmowane przez TSUE na rzecz równości, włączenia i różnorodności, zwłaszcza na etapie rekrutacji;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21.</w:t>
            </w:r>
            <w:r>
              <w:tab/>
              <w:t xml:space="preserve">zwraca uwagę, że w 2023 r. w TSUE zatrudnionych było 61,27 % kobiet i 38,73 % mężczyzn; odnotowuje, że reprezentacja kobiet była najwyższa w asystenckich grupach zaszeregowania, zaś najniższa na stanowiskach kierowniczych wyższego szczebla, które zajmowało 43,75 % kobiet i 56,25 % mężczyzn; </w:t>
            </w:r>
            <w:r>
              <w:rPr>
                <w:b/>
                <w:i/>
              </w:rPr>
              <w:t>wzywa TSUE, aby zapewnił większą reprezentację kobiet na stanowiskach kierowniczych wyższego szczebla oraz wprowadził dodatkowe środki w celu promowania równowagi płci na wszystkich szczeblach;</w:t>
            </w:r>
            <w:r>
              <w:t xml:space="preserve"> z zadowoleniem przyjmuje wysiłki podejmowane przez TSUE na rzecz równości, włączenia i różnorodności, zwłaszcza na etapie rekrutacji;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lastRenderedPageBreak/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24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wzywa TSUE, aby publikował coroczne sprawozdanie na temat równości płci i różnorodności w celu zapewnienia przejrzystości w odniesieniu do reprezentacji płci na wszystkich szczeblach instytucji, w tym wśród sędziów, rzeczników generalnych i pracowników administracyjnych, a także aby wprowadził konkretne środki na rzecz poprawy parytetu płci na stanowiskach wyższego szczebla;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22.</w:t>
            </w:r>
            <w:r>
              <w:tab/>
              <w:t xml:space="preserve">wyraża zadowolenie, że wśród pracowników TSUE znajdują się przedstawiciele wszystkich narodowości Unii, ale zauważa, że niektóre z tych narodowości są reprezentowane w większej mierze niż inne; zwraca uwagę, że w 2023 r. TSUE kontynuował wysiłki na rzecz promowania lepszej równowagi geograficznej wśród swoich pracowników, w szczególności przez zwiększanie widoczności i atrakcyjności wolnych miejsc pracy, tworzenie i oferowanie korzystniejszych warunków pracy w celu przyciągnięcia pracowników zatrudnionych na czas określony z niektórych mniej reprezentowanych państw członkowskich oraz szerokie informowanie </w:t>
            </w:r>
            <w:r>
              <w:lastRenderedPageBreak/>
              <w:t>różnych odbiorców o możliwościach zatrudnienia w TSUE; zauważa, że w ramach programu staży TSUE podjęto znaczne wysiłki w celu przyciągnięcia wielu utalentowanych młodych ludzi z różnych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22.</w:t>
            </w:r>
            <w:r>
              <w:tab/>
              <w:t xml:space="preserve">wyraża zadowolenie, że wśród pracowników TSUE znajdują się przedstawiciele wszystkich narodowości Unii, ale zauważa, że niektóre z tych narodowości są reprezentowane w większej mierze niż inne; zwraca uwagę, że w 2023 r. TSUE kontynuował wysiłki na rzecz promowania lepszej równowagi geograficznej wśród swoich pracowników, w szczególności przez zwiększanie widoczności i atrakcyjności wolnych miejsc pracy, tworzenie i oferowanie korzystniejszych warunków pracy w celu przyciągnięcia pracowników zatrudnionych na czas określony z niektórych mniej reprezentowanych państw członkowskich oraz szerokie informowanie </w:t>
            </w:r>
            <w:r>
              <w:lastRenderedPageBreak/>
              <w:t xml:space="preserve">różnych odbiorców o możliwościach zatrudnienia w TSUE; zauważa, że w ramach programu staży TSUE podjęto znaczne wysiłki w celu przyciągnięcia wielu utalentowanych młodych ludzi z różnych państw członkowskich; </w:t>
            </w:r>
            <w:r>
              <w:rPr>
                <w:b/>
                <w:i/>
              </w:rPr>
              <w:t>zwraca się do TSUE o zbadanie, czy stażyści równomiernie reprezentują wszystkie państwa członkowskie;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Gilles Boyer, Olivier Chastel, Michal Wiezik, Vlad Vasile-Voiculescu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22.</w:t>
            </w:r>
            <w:r>
              <w:tab/>
              <w:t xml:space="preserve">wyraża zadowolenie, że wśród pracowników TSUE znajdują się przedstawiciele wszystkich narodowości Unii, ale zauważa, że niektóre z tych narodowości są reprezentowane w większej mierze niż inne; </w:t>
            </w:r>
            <w:r>
              <w:rPr>
                <w:b/>
                <w:i/>
              </w:rPr>
              <w:t>zwraca uwagę</w:t>
            </w:r>
            <w:r>
              <w:t>, że w 2023 r. TSUE kontynuował wysiłki na rzecz promowania lepszej równowagi geograficznej wśród swoich pracowników, w szczególności przez zwiększanie widoczności i atrakcyjności wolnych miejsc pracy, tworzenie i oferowanie korzystniejszych warunków pracy w celu przyciągnięcia pracowników zatrudnionych na czas określony z niektórych mniej reprezentowanych państw członkowskich oraz szerokie informowanie różnych odbiorców o możliwościach zatrudnienia w TSUE; zauważa, że w ramach programu staży TSUE podjęto znaczne wysiłki w celu przyciągnięcia wielu utalentowanych młodych ludzi z różnych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22.</w:t>
            </w:r>
            <w:r>
              <w:tab/>
              <w:t xml:space="preserve">wyraża zadowolenie, że wśród pracowników TSUE znajdują się przedstawiciele wszystkich narodowości Unii, ale zauważa, że niektóre z tych narodowości są reprezentowane w większej mierze niż inne; </w:t>
            </w:r>
            <w:r>
              <w:rPr>
                <w:b/>
                <w:i/>
              </w:rPr>
              <w:t>z zadowoleniem zauważa</w:t>
            </w:r>
            <w:r>
              <w:t>, że w 2023 r. TSUE kontynuował wysiłki na rzecz promowania lepszej równowagi geograficznej wśród swoich pracowników, w szczególności przez zwiększanie widoczności i atrakcyjności wolnych miejsc pracy, tworzenie i oferowanie korzystniejszych warunków pracy w celu przyciągnięcia pracowników zatrudnionych na czas określony z niektórych mniej reprezentowanych państw członkowskich oraz szerokie informowanie różnych odbiorców o możliwościach zatrudnienia w TSUE; zauważa, że w ramach programu staży TSUE podjęto znaczne wysiłki w celu przyciągnięcia wielu utalentowanych młodych ludzi z różnych państw członkowskich;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lastRenderedPageBreak/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27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apeluje do TSUE, aby promował wielojęzyczne środowisko pracy, uznając jego potencjał w zakresie poprawy równowagi pod względem obywatelstwa pracowników;</w:t>
            </w:r>
            <w:r>
              <w:t xml:space="preserve"> </w:t>
            </w:r>
            <w:r>
              <w:rPr>
                <w:b/>
                <w:i/>
              </w:rPr>
              <w:t>wzywa wszystkie instytucje, aby podtrzymywały zasadę wielojęzyczności i zapewniały jej przestrzeganie;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28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23.</w:t>
            </w:r>
            <w:r>
              <w:tab/>
              <w:t xml:space="preserve">z zadowoleniem przyjmuje pracę wykonaną przez międzyinstytucjonalną grupę wysokiego szczebla w celu zwiększenia atrakcyjności Luksemburga dla personelu; </w:t>
            </w:r>
            <w:r>
              <w:rPr>
                <w:b/>
                <w:i/>
              </w:rPr>
              <w:t>zwraca uwagę</w:t>
            </w:r>
            <w:r>
              <w:t>, że władza budżetowa zatwierdziła na rok budżetowy 2025 niezbędne środki, aby umożliwić przyznanie dodatku mieszkaniowego pracownikom zatrudnionym w niższych grupach zaszeregowania, zgodnie z zaleceniem międzyinstytucjonalnej grupy wysokiego szczebla; zwraca się o informowanie Parlamentu o postępach w realizacji inicjatyw mających na celu zwiększenie atrakcyjności Luksemburga jako miejsca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23.</w:t>
            </w:r>
            <w:r>
              <w:tab/>
              <w:t xml:space="preserve">z zadowoleniem przyjmuje pracę wykonaną przez międzyinstytucjonalną grupę wysokiego szczebla w celu zwiększenia atrakcyjności Luksemburga dla personelu; </w:t>
            </w:r>
            <w:r>
              <w:rPr>
                <w:b/>
                <w:i/>
              </w:rPr>
              <w:t>wzywa TSUE, aby utrzymywał i zacieśniał – w ramach różnych inicjatyw – współpracę z innymi instytucjami mającymi siedziby w Luksemburgu;</w:t>
            </w:r>
            <w:r>
              <w:t xml:space="preserve"> </w:t>
            </w:r>
            <w:r>
              <w:rPr>
                <w:b/>
                <w:i/>
              </w:rPr>
              <w:t>z uznaniem zauważa</w:t>
            </w:r>
            <w:r>
              <w:t>, że władza budżetowa zatwierdziła na rok budżetowy 2025 niezbędne środki, aby umożliwić przyznanie dodatku mieszkaniowego pracownikom zatrudnionym w niższych grupach zaszeregowania, zgodnie z zaleceniem międzyinstytucjonalnej grupy wysokiego szczebla; zwraca się o informowanie Parlamentu o postępach w realizacji inicjatyw mających na celu zwiększenie atrakcyjności Luksemburga jako miejsca pracy;</w:t>
            </w:r>
          </w:p>
        </w:tc>
      </w:tr>
    </w:tbl>
    <w:p w:rsidR="00E53544" w:rsidRPr="00AE6CD7" w:rsidRDefault="0036450D">
      <w:pPr>
        <w:pStyle w:val="AmOrLang"/>
        <w:rPr>
          <w:lang w:val="it-IT"/>
        </w:rPr>
      </w:pPr>
      <w:r w:rsidRPr="00AE6CD7">
        <w:rPr>
          <w:lang w:val="it-IT"/>
        </w:rPr>
        <w:lastRenderedPageBreak/>
        <w:t xml:space="preserve">Or. </w:t>
      </w:r>
      <w:r w:rsidRPr="00AE6CD7">
        <w:rPr>
          <w:rStyle w:val="HideTWBExt"/>
          <w:lang w:val="it-IT"/>
        </w:rPr>
        <w:t>&lt;Original&gt;</w:t>
      </w:r>
      <w:r w:rsidRPr="00AE6CD7">
        <w:rPr>
          <w:rStyle w:val="HideTWBInt"/>
          <w:lang w:val="it-IT"/>
        </w:rPr>
        <w:t>{EN}</w:t>
      </w:r>
      <w:r w:rsidRPr="00AE6CD7">
        <w:rPr>
          <w:lang w:val="it-IT"/>
        </w:rPr>
        <w:t>en</w:t>
      </w:r>
      <w:r w:rsidRPr="00AE6CD7">
        <w:rPr>
          <w:rStyle w:val="HideTWBExt"/>
          <w:lang w:val="it-IT"/>
        </w:rPr>
        <w:t>&lt;/Original&gt;</w:t>
      </w:r>
    </w:p>
    <w:p w:rsidR="00E53544" w:rsidRPr="00AE6CD7" w:rsidRDefault="0036450D">
      <w:pPr>
        <w:rPr>
          <w:lang w:val="it-IT"/>
        </w:rPr>
      </w:pPr>
      <w:r w:rsidRPr="00AE6CD7">
        <w:rPr>
          <w:rStyle w:val="HideTWBExt"/>
          <w:lang w:val="it-IT"/>
        </w:rPr>
        <w:t>&lt;/Amend&gt;</w:t>
      </w:r>
    </w:p>
    <w:p w:rsidR="00E53544" w:rsidRPr="00AE6CD7" w:rsidRDefault="0036450D">
      <w:pPr>
        <w:pStyle w:val="AmNumberTabs"/>
        <w:rPr>
          <w:lang w:val="it-IT"/>
        </w:rPr>
      </w:pPr>
      <w:r w:rsidRPr="00AE6CD7">
        <w:rPr>
          <w:rStyle w:val="HideTWBExt"/>
          <w:lang w:val="it-IT"/>
        </w:rPr>
        <w:t>&lt;Amend&gt;</w:t>
      </w:r>
      <w:r w:rsidRPr="00AE6CD7">
        <w:rPr>
          <w:lang w:val="it-IT"/>
        </w:rPr>
        <w:t>Poprawka</w:t>
      </w:r>
      <w:r w:rsidRPr="00AE6CD7">
        <w:rPr>
          <w:lang w:val="it-IT"/>
        </w:rPr>
        <w:tab/>
      </w:r>
      <w:r w:rsidRPr="00AE6CD7">
        <w:rPr>
          <w:lang w:val="it-IT"/>
        </w:rPr>
        <w:tab/>
      </w:r>
      <w:r w:rsidRPr="00AE6CD7">
        <w:rPr>
          <w:rStyle w:val="HideTWBExt"/>
          <w:lang w:val="it-IT"/>
        </w:rPr>
        <w:t>&lt;NumAm&gt;</w:t>
      </w:r>
      <w:r w:rsidRPr="00AE6CD7">
        <w:rPr>
          <w:lang w:val="it-IT"/>
        </w:rPr>
        <w:t>29</w:t>
      </w:r>
      <w:r w:rsidRPr="00AE6CD7">
        <w:rPr>
          <w:rStyle w:val="HideTWBExt"/>
          <w:lang w:val="it-IT"/>
        </w:rPr>
        <w:t>&lt;/NumAm&gt;</w:t>
      </w:r>
    </w:p>
    <w:p w:rsidR="00E53544" w:rsidRPr="00AE6CD7" w:rsidRDefault="0036450D">
      <w:pPr>
        <w:pStyle w:val="NormalBold"/>
        <w:rPr>
          <w:lang w:val="it-IT"/>
        </w:rPr>
      </w:pPr>
      <w:r w:rsidRPr="00AE6CD7">
        <w:rPr>
          <w:rStyle w:val="HideTWBExt"/>
          <w:b w:val="0"/>
          <w:lang w:val="it-IT"/>
        </w:rPr>
        <w:t>&lt;RepeatBlock-By&gt;&lt;Members&gt;</w:t>
      </w:r>
      <w:r w:rsidRPr="00AE6CD7">
        <w:rPr>
          <w:lang w:val="it-IT"/>
        </w:rPr>
        <w:t>Caterina Chinnici</w:t>
      </w:r>
      <w:r w:rsidRPr="00AE6CD7">
        <w:rPr>
          <w:rStyle w:val="HideTWBExt"/>
          <w:b w:val="0"/>
          <w:lang w:val="it-IT"/>
        </w:rPr>
        <w:t>&lt;/Members&gt;</w:t>
      </w:r>
    </w:p>
    <w:p w:rsidR="00E53544" w:rsidRPr="00AE6CD7" w:rsidRDefault="0036450D">
      <w:pPr>
        <w:pStyle w:val="NormalBold"/>
        <w:rPr>
          <w:lang w:val="it-IT"/>
        </w:rPr>
      </w:pPr>
      <w:r w:rsidRPr="00AE6CD7">
        <w:rPr>
          <w:rStyle w:val="HideTWBExt"/>
          <w:b w:val="0"/>
          <w:lang w:val="it-IT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z zadowoleniem przyjmuje obecne kampanie uświadamiające, informacyjne i szkoleniowe mające na celu promowanie włączenia społecznego, wzajemnego szacunku, współpracy oraz wsparcia dla osób z niepełnosprawnościami i osób zapewniających im pomoc;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Molnár, Claudiu Manda, Marit Maij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25.</w:t>
            </w:r>
            <w:r>
              <w:tab/>
              <w:t xml:space="preserve">zauważa, że w 2023 r. zarejestrowano </w:t>
            </w:r>
            <w:r>
              <w:rPr>
                <w:b/>
                <w:i/>
              </w:rPr>
              <w:t>20 198</w:t>
            </w:r>
            <w:r>
              <w:t xml:space="preserve"> dni roboczych urlopu chorobowego, co oznacza spadek o 14,78 % w porównaniu z 2022 r.; odnotowuje z zaniepokojeniem, że w 2023 r. służba medyczna zgłosiła 11 przypadków wypalenia zawodowego; </w:t>
            </w:r>
            <w:r>
              <w:rPr>
                <w:b/>
                <w:i/>
              </w:rPr>
              <w:t>zwraca uwagę</w:t>
            </w:r>
            <w:r>
              <w:t xml:space="preserve">, że TSUE przeprowadził dogłębną analizę sprawozdań diagnostycznych w celu zidentyfikowania przypadków wypalenia zawodowego i położył nacisk na środki zapobiegawcze, w szczególności wzmocnienie zespołu pracowników medycznych i socjalnych, zapobieganie zagrożeniom psychospołecznym w miejscu pracy oraz </w:t>
            </w:r>
            <w:r>
              <w:rPr>
                <w:b/>
                <w:i/>
              </w:rPr>
              <w:t>działania uświadamiające</w:t>
            </w:r>
            <w:r>
              <w:t xml:space="preserve">; zachęca TSUE, by nadal poświęcał uwagę temu </w:t>
            </w:r>
            <w:r>
              <w:lastRenderedPageBreak/>
              <w:t>problemowi w celu zapobieżenia nowym przypadkom wypalenia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25.</w:t>
            </w:r>
            <w:r>
              <w:tab/>
              <w:t xml:space="preserve">zauważa, że w 2023 r. zarejestrowano </w:t>
            </w:r>
            <w:r>
              <w:rPr>
                <w:b/>
                <w:i/>
              </w:rPr>
              <w:t>20 198</w:t>
            </w:r>
            <w:r>
              <w:t xml:space="preserve"> dni roboczych urlopu chorobowego, co oznacza spadek o 14,78 % w porównaniu z 2022 r.; odnotowuje z zaniepokojeniem, że w 2023 r. służba medyczna zgłosiła 11 przypadków wypalenia zawodowego; </w:t>
            </w:r>
            <w:r>
              <w:rPr>
                <w:b/>
                <w:i/>
              </w:rPr>
              <w:t>z zadowoleniem zauważa</w:t>
            </w:r>
            <w:r>
              <w:t xml:space="preserve">, że TSUE przeprowadził dogłębną analizę sprawozdań diagnostycznych w celu zidentyfikowania przypadków wypalenia zawodowego i położył nacisk na środki zapobiegawcze, w szczególności wzmocnienie zespołu pracowników medycznych i socjalnych, zapobieganie zagrożeniom psychospołecznym w miejscu pracy oraz </w:t>
            </w:r>
            <w:r>
              <w:rPr>
                <w:b/>
                <w:i/>
              </w:rPr>
              <w:t xml:space="preserve">wprowadzenie działań uświadamiających dla kadry kierowniczej </w:t>
            </w:r>
            <w:r>
              <w:rPr>
                <w:b/>
                <w:i/>
              </w:rPr>
              <w:lastRenderedPageBreak/>
              <w:t>na temat prawa do bycia offline i na temat ryzyka przepracowania</w:t>
            </w:r>
            <w:r>
              <w:t>; zachęca TSUE, by nadal poświęcał uwagę temu problemowi w celu zapobieżenia nowym przypadkom wypalenia zawodowego;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25.</w:t>
            </w:r>
            <w:r>
              <w:tab/>
              <w:t xml:space="preserve">zauważa, że w 2023 r. zarejestrowano </w:t>
            </w:r>
            <w:r>
              <w:rPr>
                <w:b/>
                <w:i/>
              </w:rPr>
              <w:t>20 198</w:t>
            </w:r>
            <w:r>
              <w:t xml:space="preserve"> dni roboczych urlopu chorobowego, co oznacza spadek o 14,78 % w porównaniu z 2022 r.; odnotowuje z zaniepokojeniem, że w 2023 r. służba medyczna zgłosiła 11 przypadków wypalenia zawodowego; zwraca uwagę, że TSUE przeprowadził dogłębną analizę sprawozdań diagnostycznych w celu zidentyfikowania przypadków wypalenia zawodowego i położył nacisk na środki zapobiegawcze, w szczególności wzmocnienie zespołu pracowników medycznych i socjalnych, zapobieganie zagrożeniom psychospołecznym w miejscu pracy oraz działania uświadamiające; zachęca TSUE, by nadal poświęcał uwagę temu problemowi w celu zapobieżenia nowym przypadkom wypalenia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25.</w:t>
            </w:r>
            <w:r>
              <w:tab/>
              <w:t xml:space="preserve">zauważa, że w 2023 r. zarejestrowano </w:t>
            </w:r>
            <w:r>
              <w:rPr>
                <w:b/>
                <w:i/>
              </w:rPr>
              <w:t>20 198</w:t>
            </w:r>
            <w:r>
              <w:t xml:space="preserve"> dni roboczych urlopu chorobowego, co oznacza spadek o 14,78 % w porównaniu z 2022 r.; odnotowuje z zaniepokojeniem, że w 2023 r. służba medyczna zgłosiła 11 przypadków wypalenia zawodowego; zwraca uwagę, że TSUE przeprowadził dogłębną analizę sprawozdań diagnostycznych w celu zidentyfikowania przypadków wypalenia zawodowego i położył nacisk na środki zapobiegawcze, w szczególności wzmocnienie zespołu pracowników medycznych i socjalnych, zapobieganie zagrożeniom psychospołecznym w miejscu pracy oraz działania uświadamiające; zachęca TSUE, by nadal poświęcał uwagę temu problemowi w celu zapobieżenia nowym przypadkom wypalenia zawodowego</w:t>
            </w:r>
            <w:r>
              <w:rPr>
                <w:b/>
                <w:i/>
              </w:rPr>
              <w:t> oraz informował Parlament Europejski o środkach stosowanych w tym zakresie</w:t>
            </w:r>
            <w:r>
              <w:t>;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32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zwraca uwagę</w:t>
            </w:r>
            <w:r>
              <w:t>, że w 2023 r. wszczęto postępowanie administracyjne w sprawie zarzutu molestowania seksualnego dotyczącego pracownika oraz że sprawa ta zakończyła się w 2024 r. nałożeniem kary; zauważa, że w 2023 r. wszczęto również procedurę wsparcia osoby, która zgłosiła molestowanie przez sędziego, ale w tej sprawie nie stwierdzono, aby do niego doszło; zwraca uwagę, że międzywydziałowa grupa robocza ustanowiona w marcu 2023 r., a zatem przed ratyfikacją Konwencji Rady Europy o zapobieganiu i zwalczaniu przemocy wobec kobiet i przemocy domowej, przeanalizowała zasady i procedury obowiązujące w TSUE w celu zapobiegania molestowaniu i wydała pewne zalecenia z myślą o udoskonaleniu tych zasad i procedur; zachęca TSUE, by podejmował dalsze działania i niezmiennie pokazywał, że dla molestowania w miejscu pracy nie ma tolerancji;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z zaniepokojeniem zauważa</w:t>
            </w:r>
            <w:r>
              <w:t xml:space="preserve">, że w 2023 r. wszczęto postępowanie administracyjne w sprawie zarzutu molestowania seksualnego dotyczącego pracownika oraz że sprawa ta zakończyła się w 2024 r. nałożeniem kary; </w:t>
            </w:r>
            <w:r>
              <w:rPr>
                <w:b/>
                <w:i/>
              </w:rPr>
              <w:t>z zaniepokojeniem</w:t>
            </w:r>
            <w:r>
              <w:t xml:space="preserve"> zauważa, że w 2023 r. wszczęto również procedurę wsparcia osoby, która zgłosiła molestowanie przez sędziego, ale w tej sprawie nie stwierdzono, aby do niego doszło; zwraca uwagę, że międzywydziałowa grupa robocza ustanowiona w marcu 2023 r., a zatem przed ratyfikacją Konwencji Rady Europy o zapobieganiu i zwalczaniu przemocy wobec kobiet i przemocy domowej, przeanalizowała zasady i procedury obowiązujące w TSUE w celu zapobiegania molestowaniu i wydała pewne zalecenia z myślą o udoskonaleniu tych zasad i procedur; zachęca TSUE, by podejmował dalsze działania i niezmiennie pokazywał, że dla molestowania w miejscu pracy nie ma tolerancji</w:t>
            </w:r>
            <w:r>
              <w:rPr>
                <w:b/>
                <w:i/>
              </w:rPr>
              <w:t>, przez wprowadzenie obowiązkowych szkoleń na temat nieświadomych uprzedzeń i norm etycznych dla wszystkich sędziów i urzędników wyższego szczebla w celu zapobiegania nadużywaniu władzy</w:t>
            </w:r>
            <w:r>
              <w:t>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33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Tamás Deutsch, Ondřej Knotek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 xml:space="preserve">przypomina, że zgodnie z Traktatem o Unii Europejskiej celem UE i jej instytucji jest wspieranie pokoju, jej wartości i dobrobytu jej narodów, utrzymanie pokoju, zapobieganie </w:t>
            </w:r>
            <w:r>
              <w:rPr>
                <w:b/>
                <w:i/>
              </w:rPr>
              <w:lastRenderedPageBreak/>
              <w:t>konfliktom i umacnianie bezpieczeństwa międzynarodowego;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Tamás Deutsch, Ondřej Knotek, Julien Sanchez, Virginie Joron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26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26b.</w:t>
            </w:r>
            <w:r>
              <w:tab/>
            </w:r>
            <w:r>
              <w:rPr>
                <w:b/>
                <w:i/>
              </w:rPr>
              <w:t>wzywa instytucję do pełnego poświęcenia i zmaksymalizowania wysiłków za pomocą wszystkich dostępnych środków i zasobów na rzecz promowania pokoju i jak najszybszego zakończenia wojny w Ukrainie oraz utrzymania pokoju i wzmocnienia bezpieczeństwa europejskiego;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35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Tamás Deutsch, Ondřej Knotek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26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26c.</w:t>
            </w:r>
            <w:r>
              <w:tab/>
            </w:r>
            <w:r>
              <w:rPr>
                <w:b/>
                <w:i/>
              </w:rPr>
              <w:t>przypomina, że zgodnie z Traktatem o Unii Europejskiej UE i jej instytucje szanują równość państw członkowskich wobec traktatów, jak również ich tożsamość narodową, nierozerwalnie związaną z ich podstawowymi strukturami politycznymi i konstytucyjnymi, w tym w odniesieniu do samorządu regionalnego i lokalnego;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lastRenderedPageBreak/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Tamás Deutsch, Ondřej Knotek, Julien Sanchez, Virginie Joron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26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26d.</w:t>
            </w:r>
            <w:r>
              <w:tab/>
            </w:r>
            <w:r>
              <w:rPr>
                <w:b/>
                <w:i/>
              </w:rPr>
              <w:t>wzywa instytucję, aby zawsze szanowała równość państw członkowskich i traktowała wszystkie państwa członkowskie jednakowo, a także szanowała ich suwerenność i tożsamość narodową, nierozerwalnie związaną z ich podstawowymi strukturami politycznymi i konstytucyjnymi, w tym z samorządem regionalnym i lokalnym;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Gilles Boyer, Olivier Chastel, Michal Wiezik, Vlad Vasile-Voiculescu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27.</w:t>
            </w:r>
            <w:r>
              <w:tab/>
              <w:t xml:space="preserve">zauważa, że zgodnie z poprzednimi zaleceniami związanymi z absolutorium w 2023 r. opracowano, a w marcu 2024 r. przyjęto nowe zasady etyki dotyczący praw i obowiązków urzędników i innych pracowników TSUE, które odzwierciedlają wartości i przywiązanie TSUE do etyki; zauważa, że zasady etyki zawierają przepisy dotyczące konfliktu interesów, obowiązku lojalności, obowiązku zachowania poufności i dyskrecji, działalności zewnętrznej, działalności zawodowej po zakończeniu służby i na temat publikacji, a przy tym mają zastosowanie również do oddelegowanych ekspertów krajowych i aplikantów sędziowskich goszczonych w ramach europejskiej sieci szkolenia kadr wymiaru sprawiedliwości; zauważa, że w 2023 r. zorganizowano działania uświadamiające i </w:t>
            </w:r>
            <w:r>
              <w:lastRenderedPageBreak/>
              <w:t>zmodernizowane szkolenia na temat zasad etyki dla pracowników i kadry kierowniczej, ze szczególnym uwzględnieniem nowych pracowników; zwraca się o informowanie Parlamentu o tym, jak przebiega wdrażanie zasad etyki;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27.</w:t>
            </w:r>
            <w:r>
              <w:tab/>
              <w:t xml:space="preserve">zauważa, że zgodnie z poprzednimi zaleceniami związanymi z absolutorium w 2023 r. opracowano, a w marcu 2024 r. przyjęto nowe zasady etyki dotyczący praw i obowiązków urzędników i innych pracowników TSUE, które odzwierciedlają wartości i przywiązanie TSUE do etyki; zauważa, że zasady etyki zawierają przepisy dotyczące konfliktu interesów, obowiązku lojalności, obowiązku zachowania poufności i dyskrecji, działalności zewnętrznej, działalności zawodowej po zakończeniu służby i na temat publikacji, a przy tym mają zastosowanie również do oddelegowanych ekspertów krajowych i aplikantów sędziowskich goszczonych w ramach europejskiej sieci szkolenia kadr wymiaru sprawiedliwości; zauważa, że w 2023 r. zorganizowano działania uświadamiające i </w:t>
            </w:r>
            <w:r>
              <w:lastRenderedPageBreak/>
              <w:t xml:space="preserve">zmodernizowane szkolenia na temat zasad etyki dla pracowników i kadry kierowniczej, ze szczególnym uwzględnieniem nowych pracowników; </w:t>
            </w:r>
            <w:r>
              <w:rPr>
                <w:b/>
                <w:i/>
              </w:rPr>
              <w:t>apeluje o regularne obowiązkowe szkolenia dla wszystkich pracowników i</w:t>
            </w:r>
            <w:r>
              <w:t xml:space="preserve"> zwraca się o informowanie Parlamentu o tym, jak przebiega wdrażanie zasad etyki;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lastRenderedPageBreak/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38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27.</w:t>
            </w:r>
            <w:r>
              <w:tab/>
              <w:t>zauważa, że zgodnie z poprzednimi zaleceniami związanymi z absolutorium w 2023 r. opracowano, a w marcu 2024 r. przyjęto nowe zasady etyki dotyczący praw i obowiązków urzędników i innych pracowników TSUE, które odzwierciedlają wartości i przywiązanie TSUE do etyki; zauważa, że zasady etyki zawierają przepisy dotyczące konfliktu interesów, obowiązku lojalności, obowiązku zachowania poufności i dyskrecji, działalności zewnętrznej, działalności zawodowej po zakończeniu służby i na temat publikacji, a przy tym mają zastosowanie również do oddelegowanych ekspertów krajowych i aplikantów sędziowskich goszczonych w ramach europejskiej sieci szkolenia kadr wymiaru sprawiedliwości; zauważa, że w 2023 r. zorganizowano działania uświadamiające i zmodernizowane szkolenia na temat zasad etyki dla pracowników i kadry kierowniczej, ze szczególnym uwzględnieniem nowych pracowników; zwraca się o informowanie Parlamentu o tym, jak przebiega wdrażanie zasad etyki;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27.</w:t>
            </w:r>
            <w:r>
              <w:tab/>
            </w:r>
            <w:r>
              <w:rPr>
                <w:b/>
                <w:i/>
              </w:rPr>
              <w:t>z zadowoleniem</w:t>
            </w:r>
            <w:r>
              <w:t xml:space="preserve"> zauważa, że zgodnie z poprzednimi zaleceniami związanymi z absolutorium w 2023 r. opracowano, a w marcu 2024 r. przyjęto nowe zasady etyki dotyczący praw i obowiązków urzędników i innych pracowników TSUE, które odzwierciedlają wartości i przywiązanie TSUE do etyki; zauważa, że zasady etyki zawierają przepisy dotyczące konfliktu interesów, obowiązku lojalności, obowiązku zachowania poufności i dyskrecji, działalności zewnętrznej, działalności zawodowej po zakończeniu służby i na temat publikacji, a przy tym mają zastosowanie również do oddelegowanych ekspertów krajowych i aplikantów sędziowskich goszczonych w ramach europejskiej sieci szkolenia kadr wymiaru sprawiedliwości; zauważa, że w 2023 r. zorganizowano działania uświadamiające i zmodernizowane szkolenia na temat zasad etyki dla pracowników i kadry kierowniczej, ze szczególnym uwzględnieniem nowych pracowników; zwraca się o informowanie Parlamentu o tym, jak przebiega wdrażanie zasad etyki;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lastRenderedPageBreak/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39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29.</w:t>
            </w:r>
            <w:r>
              <w:tab/>
              <w:t>zauważa, że aby uniknąć wszelkich potencjalnych konfliktów interesów przy rozpatrywaniu spraw, po przyjęciu zasad etyki członków i byłych członków TSUE deklaracje interesów członków zostały opublikowane w internecie; zauważa, że TSUE regularnie poddaje ocenie swoje przepisy wewnętrzne w tym zakresie, aby je aktualizować i zapewnić najwyższe możliwe standardy etycznego postępowania; zwraca się do TSUE o informowanie Parlamentu o wynikach dalszych ocen skuteczności tego środka mającego na celu zapobieganie konfliktom interesów;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29.</w:t>
            </w:r>
            <w:r>
              <w:tab/>
              <w:t xml:space="preserve">zauważa, że aby uniknąć wszelkich potencjalnych konfliktów interesów przy rozpatrywaniu spraw, po przyjęciu zasad etyki członków i byłych członków TSUE deklaracje interesów członków zostały opublikowane w internecie; zauważa, że TSUE regularnie poddaje ocenie swoje przepisy wewnętrzne w tym zakresie, aby je aktualizować i zapewnić najwyższe możliwe standardy etycznego postępowania; </w:t>
            </w:r>
            <w:r>
              <w:rPr>
                <w:b/>
                <w:i/>
              </w:rPr>
              <w:t>wzywa TSUE do ustanowienia niezależnej komisji etycznej odpowiedzialnej za nadzór nad przestrzeganiem kodeksu postępowania i badanie potencjalnych naruszeń;</w:t>
            </w:r>
            <w:r>
              <w:t xml:space="preserve"> </w:t>
            </w:r>
            <w:r>
              <w:rPr>
                <w:b/>
                <w:i/>
              </w:rPr>
              <w:t>apeluje o obowiązkowe coroczne szkolenia na temat etyki dla wszystkich pracowników TSUE, w tym sędziów i rzeczników generalnych, w celu ochrony nieskazitelnego działania Trybunału;</w:t>
            </w:r>
            <w:r>
              <w:t xml:space="preserve"> zwraca się do TSUE o informowanie Parlamentu o wynikach dalszych ocen skuteczności tego środka mającego na celu zapobieganie konfliktom interesów;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40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 xml:space="preserve">z zadowoleniem odnotowuje, że </w:t>
            </w:r>
            <w:r>
              <w:rPr>
                <w:b/>
                <w:i/>
              </w:rPr>
              <w:lastRenderedPageBreak/>
              <w:t>opublikowano deklaracje interesów członków TSUE, lecz apeluje o wprowadzenie standardowej procedury kontroli przed powołaniem na stanowisko w celu identyfikowania i łagodzenia potencjalnych konfliktów interesów na wczesnym etapie;</w:t>
            </w:r>
            <w:r>
              <w:t xml:space="preserve"> </w:t>
            </w:r>
            <w:r>
              <w:rPr>
                <w:b/>
                <w:i/>
              </w:rPr>
              <w:t>apeluje do Rady o ustalenie przejrzystych wytycznych dla państw członkowskich na potrzeby nominowania kandydatów na stanowiska sędziowskie w TSUE;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lastRenderedPageBreak/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41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29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29b.</w:t>
            </w:r>
            <w:r>
              <w:tab/>
            </w:r>
            <w:r>
              <w:rPr>
                <w:b/>
                <w:i/>
              </w:rPr>
              <w:t>apeluje do TSUE o wprowadzenie obowiązkowej polityki wyłączania sędziów, którzy w przeszłości byli powiązani zawodowo ze stronami występującymi przed Trybunałem;</w:t>
            </w:r>
            <w:r>
              <w:t xml:space="preserve"> </w:t>
            </w:r>
            <w:r>
              <w:rPr>
                <w:b/>
                <w:i/>
              </w:rPr>
              <w:t>apeluje o bardziej rygorystyczną kontrolę konfliktów interesów w przypadku sędziów i pracowników wyższego szczebla, w tym regularne aktualizowanie wymogów dotyczących ujawniania informacji finansowych;</w:t>
            </w:r>
            <w:r>
              <w:t xml:space="preserve"> </w:t>
            </w:r>
            <w:r>
              <w:rPr>
                <w:b/>
                <w:i/>
              </w:rPr>
              <w:t>zwraca się o publikowanie w czasie rzeczywistym decyzji o wyłączeniu sędziów, którzy zgłosili konflikt interesów, co zapewni większą przejrzystość postępowań sądowych i zwiększy zaufanie społeczeństwa do bezstronności i nieskazitelności TSUE;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42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31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31a.</w:t>
            </w:r>
            <w:r>
              <w:tab/>
            </w:r>
            <w:r>
              <w:rPr>
                <w:b/>
                <w:i/>
              </w:rPr>
              <w:t>wzywa TSUE, aby prowadził proaktywną politykę zapobiegania ryzyku związanemu z efektem „drzwi obrotowych”, co obejmuje co najmniej dwuletni okres karencji dla byłych sędziów i urzędników wyższego szczebla przed objęciem stanowiska w firmach sektora prywatnego, które toczą spór przed TSUE lub reprezentują klientów w sprawach dotyczących prawa UE;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43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31.</w:t>
            </w:r>
            <w:r>
              <w:tab/>
              <w:t>zauważa, że od 2018 r. wykaz działalności zewnętrznej członków Trybunału Sprawiedliwości i Sądu jest publikowany na stronie internetowej TSUE; zauważa, że zgromadzenie ogólne Trybunału Sprawiedliwości lub konferencja plenarna Sądu wydaje uprzednią zgodę tylko wtedy, gdy działalność zewnętrzna jest zgodna z wymogami zasad etyki i z obowiązkiem dyspozycyjności członków na potrzeby działalności sądowniczej; zwraca się do TSUE o informowanie organu udzielającego absolutorium o inicjatywach mających na celu poprawę czytelności informacji związanych z działalnością zewnętrzną, zgodnie z wcześniejszymi zaleceniami związanymi z absolutorium;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31.</w:t>
            </w:r>
            <w:r>
              <w:tab/>
              <w:t xml:space="preserve">zauważa, że od 2018 r. wykaz działalności zewnętrznej członków Trybunału Sprawiedliwości i Sądu jest publikowany na stronie internetowej TSUE; zauważa </w:t>
            </w:r>
            <w:r>
              <w:rPr>
                <w:b/>
                <w:i/>
              </w:rPr>
              <w:t>ponadto, że wykaz ten jest mało czytelny dla ogółu społeczeństwa, i zaleca jego przegląd w celu zwiększenia jego jasności i wartości informacyjnej;</w:t>
            </w:r>
            <w:r>
              <w:t xml:space="preserve"> </w:t>
            </w:r>
            <w:r>
              <w:rPr>
                <w:b/>
                <w:i/>
              </w:rPr>
              <w:t>zauważa</w:t>
            </w:r>
            <w:r>
              <w:t xml:space="preserve">, że zgromadzenie ogólne Trybunału Sprawiedliwości lub konferencja plenarna Sądu wydaje uprzednią zgodę tylko wtedy, gdy działalność zewnętrzna jest zgodna z wymogami zasad etyki i z obowiązkiem dyspozycyjności członków na potrzeby działalności sądowniczej; zwraca się do TSUE o informowanie organu udzielającego absolutorium o inicjatywach mających na celu poprawę czytelności informacji związanych z działalnością zewnętrzną, zgodnie z wcześniejszymi </w:t>
            </w:r>
            <w:r>
              <w:lastRenderedPageBreak/>
              <w:t>zaleceniami związanymi z absolutorium;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lastRenderedPageBreak/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44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32.</w:t>
            </w:r>
            <w:r>
              <w:tab/>
              <w:t xml:space="preserve">zauważa, że zaktualizowane w 2021 r. przepisy regulujące przejazdy i podróże służbowe członków oraz korzystanie przez nich z usług kierowców i z samochodów stanowią, że TSUE ponosi jedynie koszty bieżące wynikające z korzystania z samochodu do celów związanych z podróżami służbowymi lub z wykonywaniem mandatu z limitem </w:t>
            </w:r>
            <w:r>
              <w:rPr>
                <w:b/>
                <w:i/>
              </w:rPr>
              <w:t>10 000</w:t>
            </w:r>
            <w:r>
              <w:t xml:space="preserve"> km; ponawia opinię, że członkowie TSUE nie powinni korzystać z floty samochodowej w żadnym innym celu niż w ramach ścisłego wykonywania obowiązków członka TSUE; zauważa, że TSUE poinformował, iż prowadzi rozmowy z innymi instytucjami z zamiarem stworzenia zharmonizowanego zbioru przepisów dotyczących używania pojazdów służbowych, z poszanowaniem autonomii każdej z instytucji; zwraca się do TSUE o informowanie Parlamentu o postępach w tej sprawie;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32.</w:t>
            </w:r>
            <w:r>
              <w:tab/>
              <w:t xml:space="preserve">zauważa, że zaktualizowane w 2021 r. przepisy regulujące przejazdy i podróże służbowe członków oraz korzystanie przez nich z usług kierowców i z samochodów stanowią, że TSUE ponosi jedynie koszty bieżące wynikające z korzystania z samochodu do celów związanych z podróżami służbowymi lub z wykonywaniem mandatu z limitem </w:t>
            </w:r>
            <w:r>
              <w:rPr>
                <w:b/>
                <w:i/>
              </w:rPr>
              <w:t>10 000</w:t>
            </w:r>
            <w:r>
              <w:t> km; ponawia opinię, że członkowie TSUE nie powinni korzystać z floty samochodowej w żadnym innym celu niż w ramach ścisłego wykonywania obowiązków członka TSUE; zauważa, że TSUE poinformował, iż prowadzi rozmowy z innymi instytucjami z zamiarem stworzenia zharmonizowanego zbioru przepisów dotyczących używania pojazdów służbowych, z poszanowaniem autonomii każdej z instytucji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zachęca wszystkie instytucje Unii do uzgodnienia jednolitego, stosowanego horyzontalnie systemu, co ograniczyłoby dezorganizację oraz zwiększyło przejrzystość i efektywność wykorzystania pieniędzy publicznych</w:t>
            </w:r>
            <w:r>
              <w:t>; zwraca się do TSUE o informowanie Parlamentu o postępach w tej sprawie;</w:t>
            </w:r>
          </w:p>
        </w:tc>
      </w:tr>
    </w:tbl>
    <w:p w:rsidR="00E53544" w:rsidRPr="00AE6CD7" w:rsidRDefault="0036450D">
      <w:pPr>
        <w:pStyle w:val="AmOrLang"/>
        <w:rPr>
          <w:lang w:val="fr-FR"/>
        </w:rPr>
      </w:pPr>
      <w:r w:rsidRPr="00AE6CD7">
        <w:rPr>
          <w:lang w:val="fr-FR"/>
        </w:rPr>
        <w:t xml:space="preserve">Or. </w:t>
      </w:r>
      <w:r w:rsidRPr="00AE6CD7">
        <w:rPr>
          <w:rStyle w:val="HideTWBExt"/>
          <w:lang w:val="fr-FR"/>
        </w:rPr>
        <w:t>&lt;Original&gt;</w:t>
      </w:r>
      <w:r w:rsidRPr="00AE6CD7">
        <w:rPr>
          <w:rStyle w:val="HideTWBInt"/>
          <w:lang w:val="fr-FR"/>
        </w:rPr>
        <w:t>{EN}</w:t>
      </w:r>
      <w:r w:rsidRPr="00AE6CD7">
        <w:rPr>
          <w:lang w:val="fr-FR"/>
        </w:rPr>
        <w:t>en</w:t>
      </w:r>
      <w:r w:rsidRPr="00AE6CD7">
        <w:rPr>
          <w:rStyle w:val="HideTWBExt"/>
          <w:lang w:val="fr-FR"/>
        </w:rPr>
        <w:t>&lt;/Original&gt;</w:t>
      </w:r>
    </w:p>
    <w:p w:rsidR="00E53544" w:rsidRPr="00AE6CD7" w:rsidRDefault="0036450D">
      <w:pPr>
        <w:rPr>
          <w:lang w:val="fr-FR"/>
        </w:rPr>
      </w:pPr>
      <w:r w:rsidRPr="00AE6CD7">
        <w:rPr>
          <w:rStyle w:val="HideTWBExt"/>
          <w:lang w:val="fr-FR"/>
        </w:rPr>
        <w:t>&lt;/Amend&gt;</w:t>
      </w:r>
    </w:p>
    <w:p w:rsidR="00E53544" w:rsidRPr="00AE6CD7" w:rsidRDefault="0036450D">
      <w:pPr>
        <w:pStyle w:val="AmNumberTabs"/>
        <w:rPr>
          <w:lang w:val="fr-FR"/>
        </w:rPr>
      </w:pPr>
      <w:r w:rsidRPr="00AE6CD7">
        <w:rPr>
          <w:rStyle w:val="HideTWBExt"/>
          <w:lang w:val="fr-FR"/>
        </w:rPr>
        <w:t>&lt;Amend&gt;</w:t>
      </w:r>
      <w:r w:rsidRPr="00AE6CD7">
        <w:rPr>
          <w:lang w:val="fr-FR"/>
        </w:rPr>
        <w:t>Poprawka</w:t>
      </w:r>
      <w:r w:rsidRPr="00AE6CD7">
        <w:rPr>
          <w:lang w:val="fr-FR"/>
        </w:rPr>
        <w:tab/>
      </w:r>
      <w:r w:rsidRPr="00AE6CD7">
        <w:rPr>
          <w:lang w:val="fr-FR"/>
        </w:rPr>
        <w:tab/>
      </w:r>
      <w:r w:rsidRPr="00AE6CD7">
        <w:rPr>
          <w:rStyle w:val="HideTWBExt"/>
          <w:lang w:val="fr-FR"/>
        </w:rPr>
        <w:t>&lt;NumAm&gt;</w:t>
      </w:r>
      <w:r w:rsidRPr="00AE6CD7">
        <w:rPr>
          <w:lang w:val="fr-FR"/>
        </w:rPr>
        <w:t>45</w:t>
      </w:r>
      <w:r w:rsidRPr="00AE6CD7">
        <w:rPr>
          <w:rStyle w:val="HideTWBExt"/>
          <w:lang w:val="fr-FR"/>
        </w:rPr>
        <w:t>&lt;/NumAm&gt;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&lt;RepeatBlock-By&gt;&lt;Members&gt;</w:t>
      </w:r>
      <w:r w:rsidRPr="00AE6CD7">
        <w:rPr>
          <w:lang w:val="fr-FR"/>
        </w:rPr>
        <w:t>Virginie Joron, Tamás Deutsch, Julien Sanchez</w:t>
      </w:r>
      <w:r w:rsidRPr="00AE6CD7">
        <w:rPr>
          <w:rStyle w:val="HideTWBExt"/>
          <w:b w:val="0"/>
          <w:lang w:val="fr-FR"/>
        </w:rPr>
        <w:t>&lt;/Members&gt;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lastRenderedPageBreak/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32.</w:t>
            </w:r>
            <w:r>
              <w:tab/>
              <w:t xml:space="preserve">zauważa, że zaktualizowane w 2021 r. przepisy regulujące przejazdy i podróże służbowe członków oraz korzystanie przez nich z usług kierowców i z samochodów stanowią, że TSUE ponosi jedynie koszty bieżące wynikające z korzystania z samochodu do celów związanych z podróżami służbowymi lub z wykonywaniem mandatu z limitem </w:t>
            </w:r>
            <w:r>
              <w:rPr>
                <w:b/>
                <w:i/>
              </w:rPr>
              <w:t>10 000</w:t>
            </w:r>
            <w:r>
              <w:t xml:space="preserve"> km; ponawia opinię, że członkowie TSUE nie powinni korzystać z floty samochodowej w żadnym innym celu niż w ramach ścisłego wykonywania obowiązków członka TSUE; zauważa, że TSUE poinformował, iż prowadzi rozmowy z innymi instytucjami </w:t>
            </w:r>
            <w:r>
              <w:rPr>
                <w:b/>
                <w:i/>
              </w:rPr>
              <w:t>z zamiarem stworzenia</w:t>
            </w:r>
            <w:r>
              <w:t xml:space="preserve"> zharmonizowanego zbioru przepisów dotyczących </w:t>
            </w:r>
            <w:r>
              <w:rPr>
                <w:b/>
                <w:i/>
              </w:rPr>
              <w:t>używania</w:t>
            </w:r>
            <w:r>
              <w:t xml:space="preserve"> pojazdów służbowych, </w:t>
            </w:r>
            <w:r>
              <w:rPr>
                <w:b/>
                <w:i/>
              </w:rPr>
              <w:t>z poszanowaniem</w:t>
            </w:r>
            <w:r>
              <w:t xml:space="preserve"> autonomii każdej </w:t>
            </w:r>
            <w:r>
              <w:rPr>
                <w:b/>
                <w:i/>
              </w:rPr>
              <w:t>z</w:t>
            </w:r>
            <w:r>
              <w:t xml:space="preserve"> instytucji; zwraca się do TSUE o informowanie Parlamentu o postępach w tej sprawie;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32.</w:t>
            </w:r>
            <w:r>
              <w:tab/>
              <w:t xml:space="preserve">zauważa, że zaktualizowane w 2021 r. przepisy regulujące przejazdy i podróże służbowe członków oraz korzystanie przez nich z usług kierowców i z samochodów stanowią, że TSUE ponosi jedynie koszty bieżące wynikające z korzystania z samochodu do celów związanych z podróżami służbowymi lub z wykonywaniem mandatu z limitem </w:t>
            </w:r>
            <w:r>
              <w:rPr>
                <w:b/>
                <w:i/>
              </w:rPr>
              <w:t>10 000</w:t>
            </w:r>
            <w:r>
              <w:t xml:space="preserve"> km; ponawia opinię, że członkowie TSUE nie powinni korzystać z floty samochodowej w żadnym innym celu niż w ramach ścisłego wykonywania obowiązków członka TSUE </w:t>
            </w:r>
            <w:r>
              <w:rPr>
                <w:b/>
                <w:i/>
              </w:rPr>
              <w:t>oraz że obchodzenie tego zakazu powinno być monitorowane i karane jako sprzeniewierzenie pieniędzy podatników UE</w:t>
            </w:r>
            <w:r>
              <w:t xml:space="preserve">; zauważa, że TSUE poinformował, iż prowadzi rozmowy z innymi instytucjami </w:t>
            </w:r>
            <w:r>
              <w:rPr>
                <w:b/>
                <w:i/>
              </w:rPr>
              <w:t>w celu osiągnięcia</w:t>
            </w:r>
            <w:r>
              <w:t xml:space="preserve"> zharmonizowanego zbioru przepisów dotyczących </w:t>
            </w:r>
            <w:r>
              <w:rPr>
                <w:b/>
                <w:i/>
              </w:rPr>
              <w:t>korzystania z</w:t>
            </w:r>
            <w:r>
              <w:t xml:space="preserve"> pojazdów służbowych, </w:t>
            </w:r>
            <w:r>
              <w:rPr>
                <w:b/>
                <w:i/>
              </w:rPr>
              <w:t>przy jednoczesnym poszanowaniu</w:t>
            </w:r>
            <w:r>
              <w:t xml:space="preserve"> autonomii każdej instytucji; zwraca się do TSUE o informowanie Parlamentu o postępach w tej sprawie;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Virginie Joron, Tamás Deutsch, Julien Sanchez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35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35.</w:t>
            </w:r>
            <w:r>
              <w:tab/>
              <w:t xml:space="preserve">z zadowoleniem przyjmuje zaangażowanie TSUE na rzecz zwiększenia przejrzystości, dostępu do wymiaru sprawiedliwości i otwartości wobec obywateli, przez co przyczynia się on do wzrostu zaufania publicznego do </w:t>
            </w:r>
            <w:r>
              <w:lastRenderedPageBreak/>
              <w:t>instytucji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35.</w:t>
            </w:r>
            <w:r>
              <w:tab/>
              <w:t xml:space="preserve">z zadowoleniem przyjmuje zaangażowanie TSUE na rzecz zwiększenia przejrzystości, dostępu do wymiaru sprawiedliwości i otwartości wobec obywateli, przez co przyczynia się on do wzrostu zaufania publicznego do </w:t>
            </w:r>
            <w:r>
              <w:lastRenderedPageBreak/>
              <w:t xml:space="preserve">instytucji Unii; </w:t>
            </w:r>
            <w:r>
              <w:rPr>
                <w:b/>
                <w:i/>
              </w:rPr>
              <w:t>w związku z tym przyjmuje do wiadomości niedawną zmianę Protokołu nr 3 w sprawie Statutu Trybunału Sprawiedliwości Unii Europejskiej, przyjętego rozporządzeniem Parlamentu Europejskiego i Rady (UE, Euratom) 2024/2019, która przenosi część właściwości do orzekania w trybie prejudycjalnym z Trybunału Sprawiedliwości na Sąd;</w:t>
            </w:r>
            <w:r>
              <w:t xml:space="preserve"> </w:t>
            </w:r>
            <w:r>
              <w:rPr>
                <w:b/>
                <w:i/>
              </w:rPr>
              <w:t>ubolewa jednak, że wspomniana zmiana Protokołu nr 3 w sprawie Statutu Trybunału Sprawiedliwości Unii Europejskiej nie zapewniła obywatelom UE ani żadnej osobie fizycznej lub prawnej mającej miejsce zamieszkania lub statutową siedzibę w państwie członkowskim dodatkowych gwarancji w odniesieniu do przejrzystości i prawa dostępu do dokumentów związanych z postępowaniami sądowymi, co czyni ją jedną z najmniej przejrzystych instytucji UE, pomimo coraz szerszego zakresu dziedzin, w których podejmuje decyzje, takich jak prawa człowiek, imigracja, prywatność, zdrowie lub środowisko;</w:t>
            </w:r>
          </w:p>
        </w:tc>
      </w:tr>
    </w:tbl>
    <w:p w:rsidR="00E53544" w:rsidRPr="00AE6CD7" w:rsidRDefault="0036450D">
      <w:pPr>
        <w:pStyle w:val="AmOrLang"/>
        <w:rPr>
          <w:lang w:val="it-IT"/>
        </w:rPr>
      </w:pPr>
      <w:r w:rsidRPr="00AE6CD7">
        <w:rPr>
          <w:lang w:val="it-IT"/>
        </w:rPr>
        <w:lastRenderedPageBreak/>
        <w:t xml:space="preserve">Or. </w:t>
      </w:r>
      <w:r w:rsidRPr="00AE6CD7">
        <w:rPr>
          <w:rStyle w:val="HideTWBExt"/>
          <w:lang w:val="it-IT"/>
        </w:rPr>
        <w:t>&lt;Original&gt;</w:t>
      </w:r>
      <w:r w:rsidRPr="00AE6CD7">
        <w:rPr>
          <w:rStyle w:val="HideTWBInt"/>
          <w:lang w:val="it-IT"/>
        </w:rPr>
        <w:t>{FR}</w:t>
      </w:r>
      <w:r w:rsidRPr="00AE6CD7">
        <w:rPr>
          <w:lang w:val="it-IT"/>
        </w:rPr>
        <w:t>fr</w:t>
      </w:r>
      <w:r w:rsidRPr="00AE6CD7">
        <w:rPr>
          <w:rStyle w:val="HideTWBExt"/>
          <w:lang w:val="it-IT"/>
        </w:rPr>
        <w:t>&lt;/Original&gt;</w:t>
      </w:r>
    </w:p>
    <w:p w:rsidR="00E53544" w:rsidRPr="00AE6CD7" w:rsidRDefault="0036450D">
      <w:pPr>
        <w:rPr>
          <w:lang w:val="it-IT"/>
        </w:rPr>
      </w:pPr>
      <w:r w:rsidRPr="00AE6CD7">
        <w:rPr>
          <w:rStyle w:val="HideTWBExt"/>
          <w:lang w:val="it-IT"/>
        </w:rPr>
        <w:t>&lt;/Amend&gt;</w:t>
      </w:r>
    </w:p>
    <w:p w:rsidR="00E53544" w:rsidRPr="00AE6CD7" w:rsidRDefault="0036450D">
      <w:pPr>
        <w:pStyle w:val="AmNumberTabs"/>
        <w:rPr>
          <w:lang w:val="it-IT"/>
        </w:rPr>
      </w:pPr>
      <w:r w:rsidRPr="00AE6CD7">
        <w:rPr>
          <w:rStyle w:val="HideTWBExt"/>
          <w:lang w:val="it-IT"/>
        </w:rPr>
        <w:t>&lt;Amend&gt;</w:t>
      </w:r>
      <w:r w:rsidRPr="00AE6CD7">
        <w:rPr>
          <w:lang w:val="it-IT"/>
        </w:rPr>
        <w:t>Poprawka</w:t>
      </w:r>
      <w:r w:rsidRPr="00AE6CD7">
        <w:rPr>
          <w:lang w:val="it-IT"/>
        </w:rPr>
        <w:tab/>
      </w:r>
      <w:r w:rsidRPr="00AE6CD7">
        <w:rPr>
          <w:lang w:val="it-IT"/>
        </w:rPr>
        <w:tab/>
      </w:r>
      <w:r w:rsidRPr="00AE6CD7">
        <w:rPr>
          <w:rStyle w:val="HideTWBExt"/>
          <w:lang w:val="it-IT"/>
        </w:rPr>
        <w:t>&lt;NumAm&gt;</w:t>
      </w:r>
      <w:r w:rsidRPr="00AE6CD7">
        <w:rPr>
          <w:lang w:val="it-IT"/>
        </w:rPr>
        <w:t>47</w:t>
      </w:r>
      <w:r w:rsidRPr="00AE6CD7">
        <w:rPr>
          <w:rStyle w:val="HideTWBExt"/>
          <w:lang w:val="it-IT"/>
        </w:rPr>
        <w:t>&lt;/NumAm&gt;</w:t>
      </w:r>
    </w:p>
    <w:p w:rsidR="00E53544" w:rsidRPr="00AE6CD7" w:rsidRDefault="0036450D">
      <w:pPr>
        <w:pStyle w:val="NormalBold"/>
        <w:rPr>
          <w:lang w:val="it-IT"/>
        </w:rPr>
      </w:pPr>
      <w:r w:rsidRPr="00AE6CD7">
        <w:rPr>
          <w:rStyle w:val="HideTWBExt"/>
          <w:b w:val="0"/>
          <w:lang w:val="it-IT"/>
        </w:rPr>
        <w:t>&lt;RepeatBlock-By&gt;&lt;Members&gt;</w:t>
      </w:r>
      <w:r w:rsidRPr="00AE6CD7">
        <w:rPr>
          <w:lang w:val="it-IT"/>
        </w:rPr>
        <w:t>Caterina Chinnici</w:t>
      </w:r>
      <w:r w:rsidRPr="00AE6CD7">
        <w:rPr>
          <w:rStyle w:val="HideTWBExt"/>
          <w:b w:val="0"/>
          <w:lang w:val="it-IT"/>
        </w:rPr>
        <w:t>&lt;/Members&gt;</w:t>
      </w:r>
    </w:p>
    <w:p w:rsidR="00E53544" w:rsidRPr="00AE6CD7" w:rsidRDefault="0036450D">
      <w:pPr>
        <w:pStyle w:val="NormalBold"/>
        <w:rPr>
          <w:lang w:val="it-IT"/>
        </w:rPr>
      </w:pPr>
      <w:r w:rsidRPr="00AE6CD7">
        <w:rPr>
          <w:rStyle w:val="HideTWBExt"/>
          <w:b w:val="0"/>
          <w:lang w:val="it-IT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36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36.</w:t>
            </w:r>
            <w:r>
              <w:tab/>
              <w:t xml:space="preserve">zauważa, że w 2023 r. TSUE połączył usługi transmisji strumieniowej na stronie internetowej Curia z rozpraw Trybunału Sprawiedliwości i z rozpraw Sądu, ułatwiając w ten sposób obywatelom poznanie działalności sądowniczej TSUE; z zadowoleniem przyjmuje fakt, że od 2023 r. na stronie internetowej Curia transmituje się na żywo ogłaszanie wyroków przez Trybunał Sprawiedliwości, odczytywanie opinii rzeczników </w:t>
            </w:r>
            <w:r>
              <w:lastRenderedPageBreak/>
              <w:t>generalnych, rozprawy wielkiej izby i niektóre rozprawy izb rozpoznających sprawy z udziałem pięciu sędziów; wzywa TSUE do dalszego zwiększenia przejrzystości poprzez transmitowanie wszystkich rozpraw obu sądów na swojej stronie internetowej i przechowywanie ich bezterminowo w internecie;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36.</w:t>
            </w:r>
            <w:r>
              <w:tab/>
              <w:t xml:space="preserve">zauważa, że w 2023 r. TSUE połączył usługi transmisji strumieniowej na stronie internetowej Curia z rozpraw Trybunału Sprawiedliwości i z rozpraw Sądu, ułatwiając w ten sposób obywatelom poznanie działalności sądowniczej TSUE; z zadowoleniem </w:t>
            </w:r>
            <w:r>
              <w:rPr>
                <w:b/>
                <w:i/>
              </w:rPr>
              <w:t>odnotowuje ulepszenie strony internetowej CURIA pod względem struktury, funkcji i treści;</w:t>
            </w:r>
            <w:r>
              <w:t xml:space="preserve"> </w:t>
            </w:r>
            <w:r>
              <w:rPr>
                <w:b/>
                <w:i/>
              </w:rPr>
              <w:t>z zadowoleniem</w:t>
            </w:r>
            <w:r>
              <w:t xml:space="preserve"> przyjmuje fakt, że od 2023 r. na stronie internetowej Curia transmituje się na żywo </w:t>
            </w:r>
            <w:r>
              <w:lastRenderedPageBreak/>
              <w:t>ogłaszanie wyroków przez Trybunał Sprawiedliwości, odczytywanie opinii rzeczników generalnych, rozprawy wielkiej izby i niektóre rozprawy izb rozpoznających sprawy z udziałem pięciu sędziów; wzywa TSUE do dalszego zwiększenia przejrzystości poprzez transmitowanie wszystkich rozpraw obu sądów na swojej stronie internetowej i przechowywanie ich bezterminowo w internecie;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Dick Erixon, Charlie Weimers, Beatrice Timgren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39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>uważa, że stosowanie zawiłego żargonu prawniczego szkodzi zaangażowaniu publicznemu i wywołuje poczucie oderwania od ogółu obywateli, a tym samym zmniejsza przejrzystość postępowań sądowych;</w:t>
            </w:r>
            <w:r>
              <w:t xml:space="preserve"> </w:t>
            </w:r>
            <w:r>
              <w:rPr>
                <w:b/>
                <w:i/>
              </w:rPr>
              <w:t>wzywa Trybunał, aby informował o swoich orzeczeniach w języku zrozumiałym i przystępnym dla laików;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Dick Erixon, Charlie Weimers, Beatrice Timgren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39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39b.</w:t>
            </w:r>
            <w:r>
              <w:tab/>
            </w:r>
            <w:r>
              <w:rPr>
                <w:b/>
                <w:i/>
              </w:rPr>
              <w:t>zwraca się do Trybunału o uproszczenie wyszukiwania orzeczeń w e-Curia;</w:t>
            </w:r>
            <w:r>
              <w:t xml:space="preserve"> </w:t>
            </w:r>
            <w:r>
              <w:rPr>
                <w:b/>
                <w:i/>
              </w:rPr>
              <w:t xml:space="preserve">z zadowoleniem przyjmuje wysiłki na rzecz uczynienia interfejsu bardziej </w:t>
            </w:r>
            <w:r>
              <w:rPr>
                <w:b/>
                <w:i/>
              </w:rPr>
              <w:lastRenderedPageBreak/>
              <w:t>przyjaznym dla użytkowników i intuicyjnym;</w:t>
            </w:r>
          </w:p>
        </w:tc>
      </w:tr>
    </w:tbl>
    <w:p w:rsidR="00E53544" w:rsidRPr="00AE6CD7" w:rsidRDefault="0036450D">
      <w:pPr>
        <w:pStyle w:val="AmOrLang"/>
        <w:rPr>
          <w:lang w:val="fr-FR"/>
        </w:rPr>
      </w:pPr>
      <w:r w:rsidRPr="00AE6CD7">
        <w:rPr>
          <w:lang w:val="fr-FR"/>
        </w:rPr>
        <w:lastRenderedPageBreak/>
        <w:t xml:space="preserve">Or. </w:t>
      </w:r>
      <w:r w:rsidRPr="00AE6CD7">
        <w:rPr>
          <w:rStyle w:val="HideTWBExt"/>
          <w:lang w:val="fr-FR"/>
        </w:rPr>
        <w:t>&lt;Original&gt;</w:t>
      </w:r>
      <w:r w:rsidRPr="00AE6CD7">
        <w:rPr>
          <w:rStyle w:val="HideTWBInt"/>
          <w:lang w:val="fr-FR"/>
        </w:rPr>
        <w:t>{EN}</w:t>
      </w:r>
      <w:r w:rsidRPr="00AE6CD7">
        <w:rPr>
          <w:lang w:val="fr-FR"/>
        </w:rPr>
        <w:t>en</w:t>
      </w:r>
      <w:r w:rsidRPr="00AE6CD7">
        <w:rPr>
          <w:rStyle w:val="HideTWBExt"/>
          <w:lang w:val="fr-FR"/>
        </w:rPr>
        <w:t>&lt;/Original&gt;</w:t>
      </w:r>
    </w:p>
    <w:p w:rsidR="00E53544" w:rsidRPr="00AE6CD7" w:rsidRDefault="0036450D">
      <w:pPr>
        <w:rPr>
          <w:lang w:val="fr-FR"/>
        </w:rPr>
      </w:pPr>
      <w:r w:rsidRPr="00AE6CD7">
        <w:rPr>
          <w:rStyle w:val="HideTWBExt"/>
          <w:lang w:val="fr-FR"/>
        </w:rPr>
        <w:t>&lt;/Amend&gt;</w:t>
      </w:r>
    </w:p>
    <w:p w:rsidR="00E53544" w:rsidRPr="00AE6CD7" w:rsidRDefault="0036450D">
      <w:pPr>
        <w:pStyle w:val="AmNumberTabs"/>
        <w:rPr>
          <w:lang w:val="fr-FR"/>
        </w:rPr>
      </w:pPr>
      <w:r w:rsidRPr="00AE6CD7">
        <w:rPr>
          <w:rStyle w:val="HideTWBExt"/>
          <w:lang w:val="fr-FR"/>
        </w:rPr>
        <w:t>&lt;Amend&gt;</w:t>
      </w:r>
      <w:r w:rsidRPr="00AE6CD7">
        <w:rPr>
          <w:lang w:val="fr-FR"/>
        </w:rPr>
        <w:t>Poprawka</w:t>
      </w:r>
      <w:r w:rsidRPr="00AE6CD7">
        <w:rPr>
          <w:lang w:val="fr-FR"/>
        </w:rPr>
        <w:tab/>
      </w:r>
      <w:r w:rsidRPr="00AE6CD7">
        <w:rPr>
          <w:lang w:val="fr-FR"/>
        </w:rPr>
        <w:tab/>
      </w:r>
      <w:r w:rsidRPr="00AE6CD7">
        <w:rPr>
          <w:rStyle w:val="HideTWBExt"/>
          <w:lang w:val="fr-FR"/>
        </w:rPr>
        <w:t>&lt;NumAm&gt;</w:t>
      </w:r>
      <w:r w:rsidRPr="00AE6CD7">
        <w:rPr>
          <w:lang w:val="fr-FR"/>
        </w:rPr>
        <w:t>50</w:t>
      </w:r>
      <w:r w:rsidRPr="00AE6CD7">
        <w:rPr>
          <w:rStyle w:val="HideTWBExt"/>
          <w:lang w:val="fr-FR"/>
        </w:rPr>
        <w:t>&lt;/NumAm&gt;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&lt;RepeatBlock-By&gt;&lt;Members&gt;</w:t>
      </w:r>
      <w:r w:rsidRPr="00AE6CD7">
        <w:rPr>
          <w:lang w:val="fr-FR"/>
        </w:rPr>
        <w:t>Pasquale Tridico</w:t>
      </w:r>
      <w:r w:rsidRPr="00AE6CD7">
        <w:rPr>
          <w:rStyle w:val="HideTWBExt"/>
          <w:b w:val="0"/>
          <w:lang w:val="fr-FR"/>
        </w:rPr>
        <w:t>&lt;/Members&gt;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zrobotyzowanych;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(ICDT);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 xml:space="preserve"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zrobotyzowanych; </w:t>
            </w:r>
            <w:r>
              <w:rPr>
                <w:b/>
                <w:i/>
              </w:rPr>
              <w:t>podkreśla, że niezwykle ważne jest, aby sztuczna inteligencja była wykorzystywana w sposób, który w pełni chroni niezawisłość, jakość i spokój procesów prawnych oraz który w pełni uwzględnia kwestie etyczne, a także by była wykorzystywana pod nadzorem człowieka i umożliwiała interwencję człowieka, aby unikać negatywnych konsekwencji i zagrożeń oraz aby można było zatrzymać system, jeśli nie będzie działał zgodnie z zamierzeniami;</w:t>
            </w:r>
            <w:r>
              <w:t xml:space="preserve">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</w:t>
            </w:r>
            <w:r>
              <w:lastRenderedPageBreak/>
              <w:t>współpracy z Międzyinstytucjonalnym Komitetem ds. Transformacji Cyfrowej (ICDT);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Molnár, Claudiu Manda, Marit Maij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zrobotyzowanych;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(ICDT);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 xml:space="preserve"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zrobotyzowanych; zauważa, że w ramach tej strategii TSUE powołał radę ds. SI złożoną z członków Trybunału Sprawiedliwości i Sądu, której zadaniem jest nadzór nad aspektami etycznymi wykorzystywania SI w TSUE oraz określenie jasnych granic jej stosowania; </w:t>
            </w:r>
            <w:r>
              <w:rPr>
                <w:b/>
                <w:i/>
              </w:rPr>
              <w:t>podkreśla, że niezwykle ważne jest, aby sztuczna inteligencja była wykorzystywana w sposób, który w pełni chroni niezawisłość, jakość i integralność procesów prawnych i zapewnia pełną zgodność z normami etycznymi, a także aby była wykorzystywana pod ścisłym nadzorem i ścisłą kontrolą człowieka;</w:t>
            </w:r>
            <w:r>
              <w:t xml:space="preserve">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</w:t>
            </w:r>
            <w:r>
              <w:lastRenderedPageBreak/>
              <w:t>(ICDT);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Gilles Boyer, Olivier Chastel, Michal Wiezik, Gerben-Jan Gerbrandy, Vlad Vasile-Voiculescu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zrobotyzowanych;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(ICDT);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 xml:space="preserve"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zrobotyzowanych;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(ICDT); </w:t>
            </w:r>
            <w:r>
              <w:rPr>
                <w:b/>
                <w:i/>
              </w:rPr>
              <w:t>podkreśla, że cyfryzacja wymiaru sprawiedliwości i przyjęcie nowych technologii, takich jak sztuczna inteligencja, przyniosą znaczne korzyści z punktu widzenia skutecznego funkcjonowania Trybunału;</w:t>
            </w:r>
            <w:r>
              <w:t xml:space="preserve"> </w:t>
            </w:r>
            <w:r>
              <w:rPr>
                <w:b/>
                <w:i/>
              </w:rPr>
              <w:t xml:space="preserve">zaleca jednak, aby Trybunał Sprawiedliwości przewidział związane z tym ryzyko dla cyberbezpieczeństwa i jeszcze bardziej </w:t>
            </w:r>
            <w:r>
              <w:rPr>
                <w:b/>
                <w:i/>
              </w:rPr>
              <w:lastRenderedPageBreak/>
              <w:t>zacieśnił współpracę z Agencją Unii Europejskiej ds. Cyberbezpieczeństwa i z CERT-UE.</w:t>
            </w:r>
          </w:p>
        </w:tc>
      </w:tr>
    </w:tbl>
    <w:p w:rsidR="00E53544" w:rsidRPr="00AE6CD7" w:rsidRDefault="0036450D">
      <w:pPr>
        <w:pStyle w:val="AmOrLang"/>
        <w:rPr>
          <w:lang w:val="fr-FR"/>
        </w:rPr>
      </w:pPr>
      <w:r w:rsidRPr="00AE6CD7">
        <w:rPr>
          <w:lang w:val="fr-FR"/>
        </w:rPr>
        <w:lastRenderedPageBreak/>
        <w:t xml:space="preserve">Or. </w:t>
      </w:r>
      <w:r w:rsidRPr="00AE6CD7">
        <w:rPr>
          <w:rStyle w:val="HideTWBExt"/>
          <w:lang w:val="fr-FR"/>
        </w:rPr>
        <w:t>&lt;Original&gt;</w:t>
      </w:r>
      <w:r w:rsidRPr="00AE6CD7">
        <w:rPr>
          <w:rStyle w:val="HideTWBInt"/>
          <w:lang w:val="fr-FR"/>
        </w:rPr>
        <w:t>{EN}</w:t>
      </w:r>
      <w:r w:rsidRPr="00AE6CD7">
        <w:rPr>
          <w:lang w:val="fr-FR"/>
        </w:rPr>
        <w:t>en</w:t>
      </w:r>
      <w:r w:rsidRPr="00AE6CD7">
        <w:rPr>
          <w:rStyle w:val="HideTWBExt"/>
          <w:lang w:val="fr-FR"/>
        </w:rPr>
        <w:t>&lt;/Original&gt;</w:t>
      </w:r>
    </w:p>
    <w:p w:rsidR="00E53544" w:rsidRPr="00AE6CD7" w:rsidRDefault="0036450D">
      <w:pPr>
        <w:rPr>
          <w:lang w:val="fr-FR"/>
        </w:rPr>
      </w:pPr>
      <w:r w:rsidRPr="00AE6CD7">
        <w:rPr>
          <w:rStyle w:val="HideTWBExt"/>
          <w:lang w:val="fr-FR"/>
        </w:rPr>
        <w:t>&lt;/Amend&gt;</w:t>
      </w:r>
    </w:p>
    <w:p w:rsidR="00E53544" w:rsidRPr="00AE6CD7" w:rsidRDefault="0036450D">
      <w:pPr>
        <w:pStyle w:val="AmNumberTabs"/>
        <w:rPr>
          <w:lang w:val="fr-FR"/>
        </w:rPr>
      </w:pPr>
      <w:r w:rsidRPr="00AE6CD7">
        <w:rPr>
          <w:rStyle w:val="HideTWBExt"/>
          <w:lang w:val="fr-FR"/>
        </w:rPr>
        <w:t>&lt;Amend&gt;</w:t>
      </w:r>
      <w:r w:rsidRPr="00AE6CD7">
        <w:rPr>
          <w:lang w:val="fr-FR"/>
        </w:rPr>
        <w:t>Poprawka</w:t>
      </w:r>
      <w:r w:rsidRPr="00AE6CD7">
        <w:rPr>
          <w:lang w:val="fr-FR"/>
        </w:rPr>
        <w:tab/>
      </w:r>
      <w:r w:rsidRPr="00AE6CD7">
        <w:rPr>
          <w:lang w:val="fr-FR"/>
        </w:rPr>
        <w:tab/>
      </w:r>
      <w:r w:rsidRPr="00AE6CD7">
        <w:rPr>
          <w:rStyle w:val="HideTWBExt"/>
          <w:lang w:val="fr-FR"/>
        </w:rPr>
        <w:t>&lt;NumAm&gt;</w:t>
      </w:r>
      <w:r w:rsidRPr="00AE6CD7">
        <w:rPr>
          <w:lang w:val="fr-FR"/>
        </w:rPr>
        <w:t>53</w:t>
      </w:r>
      <w:r w:rsidRPr="00AE6CD7">
        <w:rPr>
          <w:rStyle w:val="HideTWBExt"/>
          <w:lang w:val="fr-FR"/>
        </w:rPr>
        <w:t>&lt;/NumAm&gt;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&lt;RepeatBlock-By&gt;&lt;Members&gt;</w:t>
      </w:r>
      <w:r w:rsidRPr="00AE6CD7">
        <w:rPr>
          <w:lang w:val="fr-FR"/>
        </w:rPr>
        <w:t>Virginie Joron, Tamás Deutsch, Julien Sanchez</w:t>
      </w:r>
      <w:r w:rsidRPr="00AE6CD7">
        <w:rPr>
          <w:rStyle w:val="HideTWBExt"/>
          <w:b w:val="0"/>
          <w:lang w:val="fr-FR"/>
        </w:rPr>
        <w:t>&lt;/Members&gt;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zrobotyzowanych;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(ICDT);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 xml:space="preserve"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zrobotyzowanych;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(ICDT); </w:t>
            </w:r>
            <w:r>
              <w:rPr>
                <w:b/>
                <w:i/>
              </w:rPr>
              <w:t>wzywa do sporządzenia rocznego sprawozdania, które umożliwi m.in. sprawdzenie adekwatności wydatków związanych ze strategią SI;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lastRenderedPageBreak/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Dick Erixon, Charlie Weimers, Beatrice Timgren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zrobotyzowanych;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(ICDT);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43.</w:t>
            </w:r>
            <w:r>
              <w:tab/>
              <w:t xml:space="preserve"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 </w:t>
            </w:r>
            <w:r>
              <w:rPr>
                <w:b/>
                <w:i/>
              </w:rPr>
              <w:t>i transkrypcje rozpraw</w:t>
            </w:r>
            <w:r>
              <w:t>;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(ICDT);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Gilles Boyer, Olivier Chastel, Michal Wiezik, Gerben-Jan Gerbrandy, Vlad Vasile-Voiculescu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44.</w:t>
            </w:r>
            <w:r>
              <w:tab/>
              <w:t xml:space="preserve">odnotowuje, że w 2023 r. </w:t>
            </w:r>
            <w:r>
              <w:lastRenderedPageBreak/>
              <w:t>Europejski Inspektor Ochrony Danych (EIOD) nie powiadomił TSUE o żadnym postępowaniu wobec TSUE; zauważa, że w 2023 r. w następstwie dochodzenia w sprawie korzystania z usług w chmurze świadczonych przez Amazon Web Services EIOD nie skierował do TSUE żadnych konkretnych zaleceń; zauważa, że w 2023 r. EIOD opublikował decyzję potwierdzającą zgodność korzystania przez TSUE z usług wideokonferencji w chmurze z prawem o ochronie danych;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44.</w:t>
            </w:r>
            <w:r>
              <w:tab/>
              <w:t xml:space="preserve">odnotowuje, że w 2023 r. </w:t>
            </w:r>
            <w:r>
              <w:lastRenderedPageBreak/>
              <w:t xml:space="preserve">Europejski Inspektor Ochrony Danych (EIOD) nie powiadomił TSUE o żadnym postępowaniu wobec TSUE; zauważa, że w 2023 r. w następstwie dochodzenia w sprawie korzystania z usług w chmurze świadczonych przez Amazon Web Services EIOD nie skierował do TSUE żadnych konkretnych zaleceń; zauważa, że w 2023 r. EIOD opublikował decyzję potwierdzającą zgodność korzystania przez TSUE z usług wideokonferencji w chmurze z prawem o ochronie danych; </w:t>
            </w:r>
            <w:r>
              <w:rPr>
                <w:b/>
                <w:i/>
              </w:rPr>
              <w:t>ponownie wyraża jednak obawy dotyczące korzystania z zewnętrznych usług w chmurze, zważywszy na zagrożenia dla cyberbezpieczeństwa i suwerenności cyfrowej;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Gilles Boyer, Olivier Chastel, Michal Wiezik, Gerben-Jan Gerbrandy, Vlad Vasile-Voiculescu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45.</w:t>
            </w:r>
            <w:r>
              <w:tab/>
            </w:r>
            <w:r>
              <w:rPr>
                <w:b/>
                <w:i/>
              </w:rPr>
              <w:t>zauważa</w:t>
            </w:r>
            <w:r>
              <w:t>, że w 2023 r. TSUE przyjął plan działania w zakresie cyberbezpieczeństwa i wzmocnił swoje zdolności operacyjne w zakresie cyberbezpieczeństwa, aby lepiej chronić swoje systemy przed rosnącą liczbą cyberataków</w:t>
            </w:r>
            <w:r>
              <w:rPr>
                <w:b/>
                <w:i/>
              </w:rPr>
              <w:t>, wśród których najpoważniejszym zagrożeniem pozostają ataki typu phishing</w:t>
            </w:r>
            <w:r>
              <w:t xml:space="preserve">; zauważa, że TSUE podjął różne działania, aby zwiększyć swoją gotowość w zakresie cyberbezpieczeństwa i zdolności do przywrócenia gotowości do pracy po incydentach związanych z bezpieczeństwem, m.in. poprzez udział w Międzyinstytucjonalnej Radzie ds. Cyberbezpieczeństwa oraz poprzez szereg powiązanych ze sobą elementów kontroli i narzędzi z zakresu cyberbezpieczeństwa </w:t>
            </w:r>
            <w:r>
              <w:lastRenderedPageBreak/>
              <w:t>zgodnie z zaleceniami CERT-UE; odnotowuje, że władza budżetowa zatwierdziła na rok budżetowy 2025 niezbędne środki na dwa dodatkowe stanowiska potrzebne do wzmocnienia zasobów kadrowych TSUE w dziedzinie cyberbezpieczeństwa;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lastRenderedPageBreak/>
              <w:t>45.</w:t>
            </w:r>
            <w:r>
              <w:tab/>
            </w:r>
            <w:r>
              <w:rPr>
                <w:b/>
                <w:i/>
              </w:rPr>
              <w:t>z zadowoleniem odnotowuje</w:t>
            </w:r>
            <w:r>
              <w:t>, że w 2023 r. TSUE przyjął plan działania w zakresie cyberbezpieczeństwa i wzmocnił swoje zdolności operacyjne w zakresie cyberbezpieczeństwa, aby lepiej chronić swoje systemy przed rosnącą liczbą cyberataków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podkreśla ponadto, że skuteczna strategia cyberbezpieczeństwa jest niezbędnym narzędziem walki z obcymi ingerencjami mającymi na celu podważenie integralności instytucji europejskich</w:t>
            </w:r>
            <w:r>
              <w:t xml:space="preserve">; zauważa, że TSUE podjął różne działania, aby zwiększyć swoją gotowość w zakresie cyberbezpieczeństwa i zdolności do przywrócenia gotowości do pracy po incydentach związanych z bezpieczeństwem, m.in. poprzez udział w Międzyinstytucjonalnej Radzie ds. Cyberbezpieczeństwa oraz poprzez szereg </w:t>
            </w:r>
            <w:r>
              <w:lastRenderedPageBreak/>
              <w:t>powiązanych ze sobą elementów kontroli i narzędzi z zakresu cyberbezpieczeństwa zgodnie z zaleceniami CERT-UE; odnotowuje, że władza budżetowa zatwierdziła na rok budżetowy 2025 niezbędne środki na dwa dodatkowe stanowiska potrzebne do wzmocnienia zasobów kadrowych TSUE w dziedzinie cyberbezpieczeństwa;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lastRenderedPageBreak/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57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48.</w:t>
            </w:r>
            <w:r>
              <w:tab/>
              <w:t xml:space="preserve">zauważa, że w 2023 r. TSUE nadal znacznie zmniejszał zużycie energii i ślad węglowy w porównaniu z 2015 r., który stanowi punkt odniesienia przy wdrażaniu strategii TSUE dotyczącej systemu ekozarządzania i audytu, dzięki działaniom oszczędzającym energię oraz optymalizacji infrastruktury grzewczej, chłodniczej i oświetleniowej; odnotowuje, że w 2023 r. zużycie energii grzewczej zmniejszyło się o 33,5 %, elektryczności – o 28,7 %, wody – o 20,1 %, papieru biurowego – o 63 %, ilość odpadów z biur i ze stołówek zmalała o 43 %, a emisje gazów cieplarnianych – o 30,2 % w porównaniu z 2015 r.; odnotowuje, że TSUE zastosował kryteria zielonych zamówień publicznych w 10 zaproszeniach do składania ofert o wartości powyżej </w:t>
            </w:r>
            <w:r>
              <w:rPr>
                <w:b/>
                <w:i/>
              </w:rPr>
              <w:t>60 000 EUR;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48.</w:t>
            </w:r>
            <w:r>
              <w:tab/>
              <w:t xml:space="preserve">zauważa, że w 2023 r. TSUE nadal znacznie zmniejszał zużycie energii i ślad węglowy w porównaniu z 2015 r., który stanowi punkt odniesienia przy wdrażaniu strategii TSUE dotyczącej systemu ekozarządzania i audytu, dzięki działaniom oszczędzającym energię oraz optymalizacji infrastruktury grzewczej, chłodniczej i oświetleniowej; odnotowuje, że w 2023 r. zużycie energii grzewczej zmniejszyło się o 33,5 %, elektryczności – o 28,7 %, wody – o 20,1 %, papieru biurowego – o 63 %, ilość odpadów z biur i ze stołówek zmalała o 43 %, a emisje gazów cieplarnianych – o 30,2 % w porównaniu z 2015 r.; </w:t>
            </w:r>
            <w:r>
              <w:rPr>
                <w:b/>
                <w:i/>
              </w:rPr>
              <w:t>z zadowoleniem</w:t>
            </w:r>
            <w:r>
              <w:t xml:space="preserve"> odnotowuje, że TSUE zastosował kryteria zielonych zamówień publicznych w 10 zaproszeniach do składania ofert o wartości powyżej </w:t>
            </w:r>
            <w:r>
              <w:rPr>
                <w:b/>
                <w:i/>
              </w:rPr>
              <w:t>60 000 EUR;</w:t>
            </w:r>
            <w:r>
              <w:t xml:space="preserve"> </w:t>
            </w:r>
            <w:r>
              <w:rPr>
                <w:b/>
                <w:i/>
              </w:rPr>
              <w:t>z zadowoleniem odnotowuje zobowiązanie TSUE do stosowania systemu ekozarządzania i audytu (EMAS);</w:t>
            </w:r>
            <w:r>
              <w:t xml:space="preserve"> </w:t>
            </w:r>
            <w:r>
              <w:rPr>
                <w:b/>
                <w:i/>
              </w:rPr>
              <w:t xml:space="preserve">zachęca TSUE, aby kontynuował wysiłki w celu zmniejszenia swojego wpływu na środowisko przez opracowanie strategii na rzecz osiągnięcia neutralności pod względem emisji </w:t>
            </w:r>
            <w:r>
              <w:rPr>
                <w:b/>
                <w:i/>
              </w:rPr>
              <w:lastRenderedPageBreak/>
              <w:t>dwutlenku węgla do 2035 r.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lastRenderedPageBreak/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58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48.</w:t>
            </w:r>
            <w:r>
              <w:tab/>
              <w:t xml:space="preserve">zauważa, że w 2023 r. TSUE nadal znacznie zmniejszał zużycie energii i ślad węglowy w porównaniu z 2015 r., który stanowi punkt odniesienia przy wdrażaniu strategii TSUE dotyczącej systemu ekozarządzania i audytu, dzięki działaniom oszczędzającym energię oraz optymalizacji infrastruktury grzewczej, chłodniczej i oświetleniowej; odnotowuje, że w 2023 r. zużycie energii grzewczej zmniejszyło się o 33,5 %, elektryczności – o 28,7 %, wody – o 20,1 %, papieru biurowego – o 63 %, ilość odpadów z biur i ze stołówek zmalała o 43 %, a emisje gazów cieplarnianych – o 30,2 % w porównaniu z 2015 r.; odnotowuje, że TSUE zastosował kryteria zielonych zamówień publicznych w 10 zaproszeniach do składania ofert o wartości powyżej </w:t>
            </w:r>
            <w:r>
              <w:rPr>
                <w:b/>
                <w:i/>
              </w:rPr>
              <w:t>60 000</w:t>
            </w:r>
            <w:r>
              <w:t xml:space="preserve"> EUR;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48.</w:t>
            </w:r>
            <w:r>
              <w:tab/>
            </w:r>
            <w:r>
              <w:rPr>
                <w:b/>
                <w:i/>
              </w:rPr>
              <w:t>z zadowoleniem</w:t>
            </w:r>
            <w:r>
              <w:t xml:space="preserve"> zauważa, że w 2023 r. TSUE nadal znacznie zmniejszał zużycie energii i ślad węglowy w porównaniu z 2015 r., który stanowi punkt odniesienia przy wdrażaniu strategii TSUE dotyczącej systemu ekozarządzania i audytu, dzięki działaniom oszczędzającym energię oraz optymalizacji infrastruktury grzewczej, chłodniczej i oświetleniowej; odnotowuje, że w 2023 r. zużycie energii grzewczej zmniejszyło się o 33,5 %, elektryczności – o 28,7 %, wody – o 20,1 %, papieru biurowego – o 63 %, ilość odpadów z biur i ze stołówek zmalała o 43 %, a emisje gazów cieplarnianych – o 30,2 % w porównaniu z 2015 r.; odnotowuje, że TSUE zastosował kryteria zielonych zamówień publicznych w 10 zaproszeniach do składania ofert o wartości powyżej </w:t>
            </w:r>
            <w:r>
              <w:rPr>
                <w:b/>
                <w:i/>
              </w:rPr>
              <w:t>60 000</w:t>
            </w:r>
            <w:r>
              <w:t> EUR;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Tamás Deutsch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49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49a.</w:t>
            </w:r>
            <w:r>
              <w:tab/>
            </w:r>
            <w:r>
              <w:rPr>
                <w:b/>
                <w:i/>
              </w:rPr>
              <w:t xml:space="preserve">zwraca się do instytucji o wydanie zaleceń dla Parlamentu Europejskiego i Komisji Kontroli Budżetowej w sprawie </w:t>
            </w:r>
            <w:r>
              <w:rPr>
                <w:b/>
                <w:i/>
              </w:rPr>
              <w:lastRenderedPageBreak/>
              <w:t>nowych sposobów zwalczania nadużyć i niewłaściwego wykorzystania funduszy UE w oparciu o własne doświadczenia instytucjonalne i doświadczenia zdobyte w przeszłości, a także o dzielenie się najlepszymi praktykami, ponieważ udowodniono, że interesy finansowe Unii Europejskiej nie były należycie chronione w Parlamencie Europejskim;</w:t>
            </w:r>
            <w:r>
              <w:t xml:space="preserve"> </w:t>
            </w:r>
            <w:r>
              <w:rPr>
                <w:b/>
                <w:i/>
              </w:rPr>
              <w:t>uważa, że Parlament mógłby skorzystać z nowego spojrzenia w tej sprawie i wkładu ze strony instytucji, jak pokazała sprawa karna i dochodzenia;</w:t>
            </w:r>
          </w:p>
        </w:tc>
      </w:tr>
    </w:tbl>
    <w:p w:rsidR="00E53544" w:rsidRDefault="0036450D">
      <w:pPr>
        <w:pStyle w:val="AmOrLang"/>
      </w:pPr>
      <w:r>
        <w:lastRenderedPageBreak/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Molnár, Claudiu Manda, Marit Maij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51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51.</w:t>
            </w:r>
            <w:r>
              <w:tab/>
              <w:t>zauważa, że zgodnie z deklaracją TSUE pt. „Wspieranie Europejskiej Sieci Szkolenia Kadr Wymiaru Sprawiedliwości (EJTN) w kształtowaniu zrównoważonej europejskiej kultury sądowej” w 2023 r. TSUE i EJTN starały się zwiększyć różnorodność stażystów długoterminowych i docelowo podnieść ich liczbę do jednego na państwo członkowskie; odnotowuje, że w latach 2023–2024 zaoferowano 15 staży;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51.</w:t>
            </w:r>
            <w:r>
              <w:tab/>
            </w:r>
            <w:r>
              <w:rPr>
                <w:b/>
                <w:i/>
              </w:rPr>
              <w:t>z uznaniem</w:t>
            </w:r>
            <w:r>
              <w:t xml:space="preserve"> zauważa, że zgodnie z deklaracją TSUE pt. „Wspieranie Europejskiej Sieci Szkolenia Kadr Wymiaru Sprawiedliwości (EJTN) w kształtowaniu zrównoważonej europejskiej kultury sądowej” w 2023 r. TSUE i EJTN starały się zwiększyć różnorodność stażystów długoterminowych i docelowo podnieść ich liczbę do jednego na państwo członkowskie; odnotowuje, że w latach 2023–2024 zaoferowano 15 </w:t>
            </w:r>
            <w:r>
              <w:rPr>
                <w:b/>
                <w:i/>
              </w:rPr>
              <w:t>płatnych</w:t>
            </w:r>
            <w:r>
              <w:t xml:space="preserve"> staży; </w:t>
            </w:r>
            <w:r>
              <w:rPr>
                <w:b/>
                <w:i/>
              </w:rPr>
              <w:t>podkreśla, że staże powinny być płatne zgodnie z rezolucją Parlamentu Europejskiego z 14 czerwca 2023 r. w sprawie wysokiej jakości staży w Unii (2020/2005(INL)), w której Parlament apelował o wynagradzanie wszystkich stażystów w Europie;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Caterina Chinnici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51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51.</w:t>
            </w:r>
            <w:r>
              <w:tab/>
              <w:t>zauważa, że zgodnie z deklaracją TSUE pt. „Wspieranie Europejskiej Sieci Szkolenia Kadr Wymiaru Sprawiedliwości (EJTN) w kształtowaniu zrównoważonej europejskiej kultury sądowej” w 2023 r. TSUE i EJTN starały się zwiększyć różnorodność stażystów długoterminowych i docelowo podnieść ich liczbę do jednego na państwo członkowskie; odnotowuje, że w latach 2023–2024 zaoferowano 15 staży;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51.</w:t>
            </w:r>
            <w:r>
              <w:tab/>
              <w:t xml:space="preserve">zauważa, że zgodnie z deklaracją TSUE pt. „Wspieranie Europejskiej Sieci Szkolenia Kadr Wymiaru Sprawiedliwości (EJTN) w kształtowaniu zrównoważonej europejskiej kultury sądowej” w 2023 r. TSUE i EJTN starały się zwiększyć różnorodność stażystów długoterminowych i docelowo podnieść ich liczbę do jednego na państwo członkowskie; odnotowuje, że </w:t>
            </w:r>
            <w:r>
              <w:rPr>
                <w:b/>
                <w:i/>
              </w:rPr>
              <w:t>zastosowane środki już okazały się skuteczne, ponieważ TSUE przyjął stażystów z niektórych państw członkowskich, które wcześniej nie uczestniczyły aktywnie w programie;</w:t>
            </w:r>
            <w:r>
              <w:t xml:space="preserve"> </w:t>
            </w:r>
            <w:r>
              <w:rPr>
                <w:b/>
                <w:i/>
              </w:rPr>
              <w:t>odnotowuje, że</w:t>
            </w:r>
            <w:r>
              <w:t xml:space="preserve"> w latach 2023–2024 zaoferowano 15 staży;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62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51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51a.</w:t>
            </w:r>
            <w:r>
              <w:tab/>
            </w:r>
            <w:r>
              <w:rPr>
                <w:b/>
                <w:i/>
              </w:rPr>
              <w:t>z zadowoleniem odnotowuje wysiłki Europejskiej Sieci Szkolenia Kadr Wymiaru Sprawiedliwości (EJTN) dotyczące szkolenia sędziów krajowych w dziedzinie prawa UE;</w:t>
            </w:r>
            <w:r>
              <w:t xml:space="preserve"> </w:t>
            </w:r>
            <w:r>
              <w:rPr>
                <w:b/>
                <w:i/>
              </w:rPr>
              <w:t>wzywa TSUE, aby nadal rozwijał inicjatywy wymiany wiedzy, obejmujące wspólne bazy orzecznictwa i wirtualne platformy współpracy, w celu wspierania sądów krajowych w złożonych interpretacjach prawnych;</w:t>
            </w:r>
          </w:p>
        </w:tc>
      </w:tr>
    </w:tbl>
    <w:p w:rsidR="00E53544" w:rsidRPr="00AE6CD7" w:rsidRDefault="0036450D">
      <w:pPr>
        <w:pStyle w:val="AmOrLang"/>
        <w:rPr>
          <w:lang w:val="fr-FR"/>
        </w:rPr>
      </w:pPr>
      <w:r w:rsidRPr="00AE6CD7">
        <w:rPr>
          <w:lang w:val="fr-FR"/>
        </w:rPr>
        <w:t xml:space="preserve">Or. </w:t>
      </w:r>
      <w:r w:rsidRPr="00AE6CD7">
        <w:rPr>
          <w:rStyle w:val="HideTWBExt"/>
          <w:lang w:val="fr-FR"/>
        </w:rPr>
        <w:t>&lt;Original&gt;</w:t>
      </w:r>
      <w:r w:rsidRPr="00AE6CD7">
        <w:rPr>
          <w:rStyle w:val="HideTWBInt"/>
          <w:lang w:val="fr-FR"/>
        </w:rPr>
        <w:t>{EN}</w:t>
      </w:r>
      <w:r w:rsidRPr="00AE6CD7">
        <w:rPr>
          <w:lang w:val="fr-FR"/>
        </w:rPr>
        <w:t>en</w:t>
      </w:r>
      <w:r w:rsidRPr="00AE6CD7">
        <w:rPr>
          <w:rStyle w:val="HideTWBExt"/>
          <w:lang w:val="fr-FR"/>
        </w:rPr>
        <w:t>&lt;/Original&gt;</w:t>
      </w:r>
    </w:p>
    <w:p w:rsidR="00E53544" w:rsidRPr="00AE6CD7" w:rsidRDefault="0036450D">
      <w:pPr>
        <w:rPr>
          <w:lang w:val="fr-FR"/>
        </w:rPr>
      </w:pPr>
      <w:r w:rsidRPr="00AE6CD7">
        <w:rPr>
          <w:rStyle w:val="HideTWBExt"/>
          <w:lang w:val="fr-FR"/>
        </w:rPr>
        <w:lastRenderedPageBreak/>
        <w:t>&lt;/Amend&gt;</w:t>
      </w:r>
    </w:p>
    <w:p w:rsidR="00E53544" w:rsidRPr="00AE6CD7" w:rsidRDefault="0036450D">
      <w:pPr>
        <w:pStyle w:val="AmNumberTabs"/>
        <w:rPr>
          <w:lang w:val="fr-FR"/>
        </w:rPr>
      </w:pPr>
      <w:r w:rsidRPr="00AE6CD7">
        <w:rPr>
          <w:rStyle w:val="HideTWBExt"/>
          <w:lang w:val="fr-FR"/>
        </w:rPr>
        <w:t>&lt;Amend&gt;</w:t>
      </w:r>
      <w:r w:rsidRPr="00AE6CD7">
        <w:rPr>
          <w:lang w:val="fr-FR"/>
        </w:rPr>
        <w:t>Poprawka</w:t>
      </w:r>
      <w:r w:rsidRPr="00AE6CD7">
        <w:rPr>
          <w:lang w:val="fr-FR"/>
        </w:rPr>
        <w:tab/>
      </w:r>
      <w:r w:rsidRPr="00AE6CD7">
        <w:rPr>
          <w:lang w:val="fr-FR"/>
        </w:rPr>
        <w:tab/>
      </w:r>
      <w:r w:rsidRPr="00AE6CD7">
        <w:rPr>
          <w:rStyle w:val="HideTWBExt"/>
          <w:lang w:val="fr-FR"/>
        </w:rPr>
        <w:t>&lt;NumAm&gt;</w:t>
      </w:r>
      <w:r w:rsidRPr="00AE6CD7">
        <w:rPr>
          <w:lang w:val="fr-FR"/>
        </w:rPr>
        <w:t>63</w:t>
      </w:r>
      <w:r w:rsidRPr="00AE6CD7">
        <w:rPr>
          <w:rStyle w:val="HideTWBExt"/>
          <w:lang w:val="fr-FR"/>
        </w:rPr>
        <w:t>&lt;/NumAm&gt;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&lt;RepeatBlock-By&gt;&lt;Members&gt;</w:t>
      </w:r>
      <w:r w:rsidRPr="00AE6CD7">
        <w:rPr>
          <w:lang w:val="fr-FR"/>
        </w:rPr>
        <w:t>Pasquale Tridico</w:t>
      </w:r>
      <w:r w:rsidRPr="00AE6CD7">
        <w:rPr>
          <w:rStyle w:val="HideTWBExt"/>
          <w:b w:val="0"/>
          <w:lang w:val="fr-FR"/>
        </w:rPr>
        <w:t>&lt;/Members&gt;</w:t>
      </w:r>
    </w:p>
    <w:p w:rsidR="00E53544" w:rsidRPr="00AE6CD7" w:rsidRDefault="0036450D">
      <w:pPr>
        <w:pStyle w:val="NormalBold"/>
        <w:rPr>
          <w:lang w:val="fr-FR"/>
        </w:rPr>
      </w:pPr>
      <w:r w:rsidRPr="00AE6CD7">
        <w:rPr>
          <w:rStyle w:val="HideTWBExt"/>
          <w:b w:val="0"/>
          <w:lang w:val="fr-FR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51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51a.</w:t>
            </w:r>
            <w:r>
              <w:tab/>
            </w:r>
            <w:r>
              <w:rPr>
                <w:b/>
                <w:i/>
              </w:rPr>
              <w:t>z zadowoleniem odnotowuje, że obecnie nie ma stażystów odbywających staże bezpłatne i że wszyscy stażyści podczas pobytu otrzymują stypendium, głównie od TSUE, a w niektórych szczególnych przypadkach z innych źródeł;</w:t>
            </w:r>
            <w:r>
              <w:t xml:space="preserve"> </w:t>
            </w:r>
            <w:r>
              <w:rPr>
                <w:b/>
                <w:i/>
              </w:rPr>
              <w:t>zauważa, że TSUE przyjmuje tylko niewielką liczbę stażystów (mniej niż 10 rocznie) opłacanych z innych źródeł, i tylko na krótkie okresy (średnio 2 miesiące);</w:t>
            </w:r>
            <w:r>
              <w:t xml:space="preserve"> </w:t>
            </w:r>
            <w:r>
              <w:rPr>
                <w:b/>
                <w:i/>
              </w:rPr>
              <w:t>z zadowoleniem odnotowuje, że w takich przypadkach administracja TSUE starannie sprawdza, czy stażyści faktycznie otrzymują stypendium, dodatek lub wynagrodzenie za staż bezpośrednio od pracodawcy lub uczelni;</w:t>
            </w:r>
          </w:p>
        </w:tc>
      </w:tr>
    </w:tbl>
    <w:p w:rsidR="00E53544" w:rsidRPr="00AE6CD7" w:rsidRDefault="0036450D">
      <w:pPr>
        <w:pStyle w:val="AmOrLang"/>
        <w:rPr>
          <w:lang w:val="es-ES"/>
        </w:rPr>
      </w:pPr>
      <w:r w:rsidRPr="00AE6CD7">
        <w:rPr>
          <w:lang w:val="es-ES"/>
        </w:rPr>
        <w:t xml:space="preserve">Or. </w:t>
      </w:r>
      <w:r w:rsidRPr="00AE6CD7">
        <w:rPr>
          <w:rStyle w:val="HideTWBExt"/>
          <w:lang w:val="es-ES"/>
        </w:rPr>
        <w:t>&lt;Original&gt;</w:t>
      </w:r>
      <w:r w:rsidRPr="00AE6CD7">
        <w:rPr>
          <w:rStyle w:val="HideTWBInt"/>
          <w:lang w:val="es-ES"/>
        </w:rPr>
        <w:t>{EN}</w:t>
      </w:r>
      <w:r w:rsidRPr="00AE6CD7">
        <w:rPr>
          <w:lang w:val="es-ES"/>
        </w:rPr>
        <w:t>en</w:t>
      </w:r>
      <w:r w:rsidRPr="00AE6CD7">
        <w:rPr>
          <w:rStyle w:val="HideTWBExt"/>
          <w:lang w:val="es-ES"/>
        </w:rPr>
        <w:t>&lt;/Original&gt;</w:t>
      </w:r>
    </w:p>
    <w:p w:rsidR="00E53544" w:rsidRPr="00AE6CD7" w:rsidRDefault="0036450D">
      <w:pPr>
        <w:rPr>
          <w:lang w:val="es-ES"/>
        </w:rPr>
      </w:pPr>
      <w:r w:rsidRPr="00AE6CD7">
        <w:rPr>
          <w:rStyle w:val="HideTWBExt"/>
          <w:lang w:val="es-ES"/>
        </w:rPr>
        <w:t>&lt;/Amend&gt;</w:t>
      </w:r>
    </w:p>
    <w:p w:rsidR="00E53544" w:rsidRPr="00AE6CD7" w:rsidRDefault="0036450D">
      <w:pPr>
        <w:pStyle w:val="AmNumberTabs"/>
        <w:rPr>
          <w:lang w:val="es-ES"/>
        </w:rPr>
      </w:pPr>
      <w:r w:rsidRPr="00AE6CD7">
        <w:rPr>
          <w:rStyle w:val="HideTWBExt"/>
          <w:lang w:val="es-ES"/>
        </w:rPr>
        <w:t>&lt;Amend&gt;</w:t>
      </w:r>
      <w:r w:rsidRPr="00AE6CD7">
        <w:rPr>
          <w:lang w:val="es-ES"/>
        </w:rPr>
        <w:t>Poprawka</w:t>
      </w:r>
      <w:r w:rsidRPr="00AE6CD7">
        <w:rPr>
          <w:lang w:val="es-ES"/>
        </w:rPr>
        <w:tab/>
      </w:r>
      <w:r w:rsidRPr="00AE6CD7">
        <w:rPr>
          <w:lang w:val="es-ES"/>
        </w:rPr>
        <w:tab/>
      </w:r>
      <w:r w:rsidRPr="00AE6CD7">
        <w:rPr>
          <w:rStyle w:val="HideTWBExt"/>
          <w:lang w:val="es-ES"/>
        </w:rPr>
        <w:t>&lt;NumAm&gt;</w:t>
      </w:r>
      <w:r w:rsidRPr="00AE6CD7">
        <w:rPr>
          <w:lang w:val="es-ES"/>
        </w:rPr>
        <w:t>64</w:t>
      </w:r>
      <w:r w:rsidRPr="00AE6CD7">
        <w:rPr>
          <w:rStyle w:val="HideTWBExt"/>
          <w:lang w:val="es-ES"/>
        </w:rPr>
        <w:t>&lt;/NumAm&gt;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&lt;RepeatBlock-By&gt;&lt;Members&gt;</w:t>
      </w:r>
      <w:r w:rsidRPr="00AE6CD7">
        <w:rPr>
          <w:lang w:val="es-ES"/>
        </w:rPr>
        <w:t>Csaba Molnár, Claudiu Manda</w:t>
      </w:r>
      <w:r w:rsidRPr="00AE6CD7">
        <w:rPr>
          <w:rStyle w:val="HideTWBExt"/>
          <w:b w:val="0"/>
          <w:lang w:val="es-ES"/>
        </w:rPr>
        <w:t>&lt;/Members&gt;</w:t>
      </w:r>
    </w:p>
    <w:p w:rsidR="00E53544" w:rsidRPr="00AE6CD7" w:rsidRDefault="0036450D">
      <w:pPr>
        <w:pStyle w:val="NormalBold"/>
        <w:rPr>
          <w:lang w:val="es-ES"/>
        </w:rPr>
      </w:pPr>
      <w:r w:rsidRPr="00AE6CD7">
        <w:rPr>
          <w:rStyle w:val="HideTWBExt"/>
          <w:b w:val="0"/>
          <w:lang w:val="es-ES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52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52.</w:t>
            </w:r>
            <w:r>
              <w:tab/>
              <w:t>zauważa, że w 2023 r. TSUE kontynuował wysiłki na rzecz utrzymania dialogu nawiązanego z sądami krajowymi, w szczególności z sądami konstytucyjnymi i najwyższymi, oraz że TSUE był gospodarzem szeregu spotkań, w tym dorocznego spotkania sędziów krajowych;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t>52.</w:t>
            </w:r>
            <w:r>
              <w:tab/>
            </w:r>
            <w:r>
              <w:rPr>
                <w:b/>
                <w:i/>
              </w:rPr>
              <w:t>z uznaniem zauważa, że TSUE w pełni współpracuje z OLAF, Trybunałem Obrachunkowym, EIOD i Europejskim Rzecznikiem Praw Obywatelskich;</w:t>
            </w:r>
            <w:r>
              <w:t xml:space="preserve"> zauważa, że w 2023 r. TSUE kontynuował wysiłki na rzecz utrzymania dialogu nawiązanego z sądami krajowymi, w szczególności z sądami konstytucyjnymi i najwyższymi, oraz że TSUE był gospodarzem szeregu spotkań, w tym dorocznego spotkania sędziów krajowych;</w:t>
            </w:r>
          </w:p>
        </w:tc>
      </w:tr>
    </w:tbl>
    <w:p w:rsidR="00E53544" w:rsidRPr="00AE6CD7" w:rsidRDefault="0036450D">
      <w:pPr>
        <w:pStyle w:val="AmOrLang"/>
        <w:rPr>
          <w:lang w:val="sv-SE"/>
        </w:rPr>
      </w:pPr>
      <w:r w:rsidRPr="00AE6CD7">
        <w:rPr>
          <w:lang w:val="sv-SE"/>
        </w:rPr>
        <w:lastRenderedPageBreak/>
        <w:t xml:space="preserve">Or. </w:t>
      </w:r>
      <w:r w:rsidRPr="00AE6CD7">
        <w:rPr>
          <w:rStyle w:val="HideTWBExt"/>
          <w:lang w:val="sv-SE"/>
        </w:rPr>
        <w:t>&lt;Original&gt;</w:t>
      </w:r>
      <w:r w:rsidRPr="00AE6CD7">
        <w:rPr>
          <w:rStyle w:val="HideTWBInt"/>
          <w:lang w:val="sv-SE"/>
        </w:rPr>
        <w:t>{EN}</w:t>
      </w:r>
      <w:r w:rsidRPr="00AE6CD7">
        <w:rPr>
          <w:lang w:val="sv-SE"/>
        </w:rPr>
        <w:t>en</w:t>
      </w:r>
      <w:r w:rsidRPr="00AE6CD7">
        <w:rPr>
          <w:rStyle w:val="HideTWBExt"/>
          <w:lang w:val="sv-SE"/>
        </w:rPr>
        <w:t>&lt;/Original&gt;</w:t>
      </w:r>
    </w:p>
    <w:p w:rsidR="00E53544" w:rsidRPr="00AE6CD7" w:rsidRDefault="0036450D">
      <w:pPr>
        <w:rPr>
          <w:lang w:val="sv-SE"/>
        </w:rPr>
      </w:pPr>
      <w:r w:rsidRPr="00AE6CD7">
        <w:rPr>
          <w:rStyle w:val="HideTWBExt"/>
          <w:lang w:val="sv-SE"/>
        </w:rPr>
        <w:t>&lt;/Amend&gt;</w:t>
      </w:r>
    </w:p>
    <w:p w:rsidR="00E53544" w:rsidRPr="00AE6CD7" w:rsidRDefault="0036450D">
      <w:pPr>
        <w:pStyle w:val="AmNumberTabs"/>
        <w:rPr>
          <w:lang w:val="sv-SE"/>
        </w:rPr>
      </w:pPr>
      <w:r w:rsidRPr="00AE6CD7">
        <w:rPr>
          <w:rStyle w:val="HideTWBExt"/>
          <w:lang w:val="sv-SE"/>
        </w:rPr>
        <w:t>&lt;Amend&gt;</w:t>
      </w:r>
      <w:r w:rsidRPr="00AE6CD7">
        <w:rPr>
          <w:lang w:val="sv-SE"/>
        </w:rPr>
        <w:t>Poprawka</w:t>
      </w:r>
      <w:r w:rsidRPr="00AE6CD7">
        <w:rPr>
          <w:lang w:val="sv-SE"/>
        </w:rPr>
        <w:tab/>
      </w:r>
      <w:r w:rsidRPr="00AE6CD7">
        <w:rPr>
          <w:lang w:val="sv-SE"/>
        </w:rPr>
        <w:tab/>
      </w:r>
      <w:r w:rsidRPr="00AE6CD7">
        <w:rPr>
          <w:rStyle w:val="HideTWBExt"/>
          <w:lang w:val="sv-SE"/>
        </w:rPr>
        <w:t>&lt;NumAm&gt;</w:t>
      </w:r>
      <w:r w:rsidRPr="00AE6CD7">
        <w:rPr>
          <w:lang w:val="sv-SE"/>
        </w:rPr>
        <w:t>65</w:t>
      </w:r>
      <w:r w:rsidRPr="00AE6CD7">
        <w:rPr>
          <w:rStyle w:val="HideTWBExt"/>
          <w:lang w:val="sv-SE"/>
        </w:rPr>
        <w:t>&lt;/NumAm&gt;</w:t>
      </w:r>
    </w:p>
    <w:p w:rsidR="00E53544" w:rsidRPr="00AE6CD7" w:rsidRDefault="0036450D">
      <w:pPr>
        <w:pStyle w:val="NormalBold"/>
        <w:rPr>
          <w:lang w:val="sv-SE"/>
        </w:rPr>
      </w:pPr>
      <w:r w:rsidRPr="00AE6CD7">
        <w:rPr>
          <w:rStyle w:val="HideTWBExt"/>
          <w:b w:val="0"/>
          <w:lang w:val="sv-SE"/>
        </w:rPr>
        <w:t>&lt;RepeatBlock-By&gt;&lt;Members&gt;</w:t>
      </w:r>
      <w:r w:rsidRPr="00AE6CD7">
        <w:rPr>
          <w:lang w:val="sv-SE"/>
        </w:rPr>
        <w:t>Damian Boeselager</w:t>
      </w:r>
      <w:r w:rsidRPr="00AE6CD7">
        <w:rPr>
          <w:rStyle w:val="HideTWBExt"/>
          <w:b w:val="0"/>
          <w:lang w:val="sv-SE"/>
        </w:rPr>
        <w:t>&lt;/Members&gt;</w:t>
      </w:r>
    </w:p>
    <w:p w:rsidR="00E53544" w:rsidRDefault="0036450D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w imieniu grupy Verts/ALE</w:t>
      </w:r>
      <w:r>
        <w:rPr>
          <w:rStyle w:val="HideTWBExt"/>
        </w:rPr>
        <w:t>&lt;/AuNomDe&gt;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52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52a.</w:t>
            </w:r>
            <w:r>
              <w:tab/>
            </w:r>
            <w:r>
              <w:rPr>
                <w:b/>
                <w:i/>
              </w:rPr>
              <w:t>zachęca do głębszej współpracy między TSUE a sądami krajowymi w celu udoskonalenia jednolitego stosowania prawa Unii;</w:t>
            </w:r>
            <w:r>
              <w:t xml:space="preserve"> </w:t>
            </w:r>
            <w:r>
              <w:rPr>
                <w:b/>
                <w:i/>
              </w:rPr>
              <w:t>zaleca ustanowienie stałego programu wymiany sędziów z państw członkowskich w celu współpracy z ich odpowiednikami w TSUE, co sprzyjałoby upowszechnianiu najlepszych praktyk w zakresie wykładni prawa UE;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Tamás Deutsch</w:t>
      </w:r>
      <w:r>
        <w:rPr>
          <w:rStyle w:val="HideTWBExt"/>
          <w:b w:val="0"/>
        </w:rPr>
        <w:t>&lt;/Members&gt;</w:t>
      </w:r>
    </w:p>
    <w:p w:rsidR="00E53544" w:rsidRDefault="0036450D">
      <w:pPr>
        <w:pStyle w:val="NormalBold"/>
      </w:pPr>
      <w:r>
        <w:rPr>
          <w:rStyle w:val="HideTWBExt"/>
          <w:b w:val="0"/>
        </w:rPr>
        <w:t>&lt;/RepeatBlock-By&gt;</w:t>
      </w:r>
    </w:p>
    <w:p w:rsidR="00E53544" w:rsidRDefault="0036450D"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:rsidR="00E53544" w:rsidRDefault="0036450D">
      <w:pPr>
        <w:pStyle w:val="NormalBold"/>
      </w:pPr>
      <w:r>
        <w:rPr>
          <w:rStyle w:val="HideTWBExt"/>
        </w:rPr>
        <w:t>&lt;Article&gt;</w:t>
      </w:r>
      <w:r>
        <w:t>Ustęp 52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35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/>
        </w:tc>
      </w:tr>
      <w:tr w:rsidR="00E535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AmColumnHeading"/>
            </w:pPr>
            <w:r>
              <w:t>Poprawka</w:t>
            </w:r>
          </w:p>
        </w:tc>
      </w:tr>
      <w:tr w:rsidR="00E535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E535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53544" w:rsidRDefault="0036450D">
            <w:pPr>
              <w:pStyle w:val="Normal6a"/>
            </w:pPr>
            <w:r>
              <w:rPr>
                <w:b/>
                <w:i/>
              </w:rPr>
              <w:t>52a.</w:t>
            </w:r>
            <w:r>
              <w:tab/>
            </w:r>
            <w:r>
              <w:rPr>
                <w:b/>
                <w:i/>
              </w:rPr>
              <w:t>wzywa instytucję, by powstrzymała się od promowania, rozpowszechniania i wspierania ideologii „gender” i „woke” oraz respektowała traktat i jego postanowienia, a także by szanowała tożsamość narodową państw członkowskich, nierozerwalnie związaną z ich podstawowymi strukturami, historią, religią i tradycjami;</w:t>
            </w:r>
          </w:p>
        </w:tc>
      </w:tr>
    </w:tbl>
    <w:p w:rsidR="00E53544" w:rsidRDefault="0036450D"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 w:rsidR="00E53544" w:rsidRDefault="0036450D">
      <w:r>
        <w:rPr>
          <w:rStyle w:val="HideTWBExt"/>
        </w:rPr>
        <w:t>&lt;/Amend&gt;</w:t>
      </w:r>
    </w:p>
    <w:p w:rsidR="00E53544" w:rsidRDefault="0036450D">
      <w:r>
        <w:rPr>
          <w:rStyle w:val="HideTWBExt"/>
        </w:rPr>
        <w:t>&lt;/RepeatBlock-Amend&gt;</w:t>
      </w:r>
    </w:p>
    <w:sectPr w:rsidR="00E535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248" w:rsidRDefault="0036450D">
      <w:r>
        <w:separator/>
      </w:r>
    </w:p>
  </w:endnote>
  <w:endnote w:type="continuationSeparator" w:id="0">
    <w:p w:rsidR="00F95248" w:rsidRDefault="0036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544" w:rsidRPr="00AE6CD7" w:rsidRDefault="0036450D">
    <w:pPr>
      <w:pStyle w:val="EPFooter"/>
      <w:rPr>
        <w:lang w:val="de-DE"/>
      </w:rPr>
    </w:pPr>
    <w:r w:rsidRPr="00AE6CD7">
      <w:rPr>
        <w:lang w:val="de-DE"/>
      </w:rPr>
      <w:t>PE</w:t>
    </w:r>
    <w:r w:rsidRPr="00AE6CD7">
      <w:rPr>
        <w:rStyle w:val="HideTWBExt"/>
        <w:lang w:val="de-DE"/>
      </w:rPr>
      <w:t>&lt;NoPE&gt;</w:t>
    </w:r>
    <w:r w:rsidRPr="00AE6CD7">
      <w:rPr>
        <w:lang w:val="de-DE"/>
      </w:rPr>
      <w:t>768.136</w:t>
    </w:r>
    <w:r w:rsidRPr="00AE6CD7">
      <w:rPr>
        <w:rStyle w:val="HideTWBExt"/>
        <w:lang w:val="de-DE"/>
      </w:rPr>
      <w:t>&lt;/NoPE&gt;&lt;Version&gt;</w:t>
    </w:r>
    <w:r w:rsidRPr="00AE6CD7">
      <w:rPr>
        <w:lang w:val="de-DE"/>
      </w:rPr>
      <w:t>v01-00</w:t>
    </w:r>
    <w:r w:rsidRPr="00AE6CD7">
      <w:rPr>
        <w:rStyle w:val="HideTWBExt"/>
        <w:lang w:val="de-DE"/>
      </w:rPr>
      <w:t>&lt;/Version&gt;</w:t>
    </w:r>
    <w:r w:rsidRPr="00AE6CD7">
      <w:rPr>
        <w:lang w:val="de-DE"/>
      </w:rPr>
      <w:tab/>
    </w:r>
    <w:r>
      <w:fldChar w:fldCharType="begin"/>
    </w:r>
    <w:r w:rsidRPr="00AE6CD7">
      <w:rPr>
        <w:lang w:val="de-DE"/>
      </w:rPr>
      <w:instrText xml:space="preserve"> PAGE </w:instrText>
    </w:r>
    <w:r>
      <w:fldChar w:fldCharType="separate"/>
    </w:r>
    <w:r w:rsidR="00AE6CD7">
      <w:rPr>
        <w:noProof/>
        <w:lang w:val="de-DE"/>
      </w:rPr>
      <w:t>2</w:t>
    </w:r>
    <w:r>
      <w:fldChar w:fldCharType="end"/>
    </w:r>
    <w:r w:rsidRPr="00AE6CD7">
      <w:rPr>
        <w:lang w:val="de-DE"/>
      </w:rPr>
      <w:t>/</w:t>
    </w:r>
    <w:r w:rsidR="00AE6CD7">
      <w:fldChar w:fldCharType="begin"/>
    </w:r>
    <w:r w:rsidR="00AE6CD7" w:rsidRPr="00AE6CD7">
      <w:rPr>
        <w:lang w:val="de-DE"/>
      </w:rPr>
      <w:instrText xml:space="preserve"> NUMPAGES </w:instrText>
    </w:r>
    <w:r w:rsidR="00AE6CD7">
      <w:fldChar w:fldCharType="separate"/>
    </w:r>
    <w:r w:rsidR="00AE6CD7">
      <w:rPr>
        <w:noProof/>
        <w:lang w:val="de-DE"/>
      </w:rPr>
      <w:t>43</w:t>
    </w:r>
    <w:r w:rsidR="00AE6CD7">
      <w:rPr>
        <w:noProof/>
      </w:rPr>
      <w:fldChar w:fldCharType="end"/>
    </w:r>
    <w:r w:rsidRPr="00AE6CD7">
      <w:rPr>
        <w:lang w:val="de-DE"/>
      </w:rPr>
      <w:tab/>
    </w:r>
    <w:r w:rsidRPr="00AE6CD7">
      <w:rPr>
        <w:rStyle w:val="HideTWBExt"/>
        <w:lang w:val="de-DE"/>
      </w:rPr>
      <w:t>&lt;PathFdR&gt;</w:t>
    </w:r>
    <w:r w:rsidRPr="00AE6CD7">
      <w:rPr>
        <w:lang w:val="de-DE"/>
      </w:rPr>
      <w:t>AM\1314487PL.docx</w:t>
    </w:r>
    <w:r w:rsidRPr="00AE6CD7">
      <w:rPr>
        <w:rStyle w:val="HideTWBExt"/>
        <w:lang w:val="de-DE"/>
      </w:rPr>
      <w:t>&lt;/PathFdR&gt;</w:t>
    </w:r>
  </w:p>
  <w:p w:rsidR="00E53544" w:rsidRDefault="0036450D">
    <w:pPr>
      <w:pStyle w:val="EPFooter2"/>
    </w:pPr>
    <w: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544" w:rsidRPr="00AE6CD7" w:rsidRDefault="0036450D">
    <w:pPr>
      <w:pStyle w:val="EPFooter"/>
      <w:rPr>
        <w:lang w:val="de-DE"/>
      </w:rPr>
    </w:pPr>
    <w:r w:rsidRPr="00AE6CD7">
      <w:rPr>
        <w:rStyle w:val="HideTWBExt"/>
        <w:lang w:val="de-DE"/>
      </w:rPr>
      <w:t>&lt;PathFdR&gt;</w:t>
    </w:r>
    <w:r w:rsidRPr="00AE6CD7">
      <w:rPr>
        <w:lang w:val="de-DE"/>
      </w:rPr>
      <w:t>AM\1314487PL.docx</w:t>
    </w:r>
    <w:r w:rsidRPr="00AE6CD7">
      <w:rPr>
        <w:rStyle w:val="HideTWBExt"/>
        <w:lang w:val="de-DE"/>
      </w:rPr>
      <w:t>&lt;/PathFdR&gt;</w:t>
    </w:r>
    <w:r w:rsidRPr="00AE6CD7">
      <w:rPr>
        <w:lang w:val="de-DE"/>
      </w:rPr>
      <w:tab/>
    </w:r>
    <w:r>
      <w:fldChar w:fldCharType="begin"/>
    </w:r>
    <w:r w:rsidRPr="00AE6CD7">
      <w:rPr>
        <w:lang w:val="de-DE"/>
      </w:rPr>
      <w:instrText xml:space="preserve"> PAGE </w:instrText>
    </w:r>
    <w:r>
      <w:fldChar w:fldCharType="separate"/>
    </w:r>
    <w:r w:rsidR="00AE6CD7">
      <w:rPr>
        <w:noProof/>
        <w:lang w:val="de-DE"/>
      </w:rPr>
      <w:t>3</w:t>
    </w:r>
    <w:r>
      <w:fldChar w:fldCharType="end"/>
    </w:r>
    <w:r w:rsidRPr="00AE6CD7">
      <w:rPr>
        <w:lang w:val="de-DE"/>
      </w:rPr>
      <w:t>/</w:t>
    </w:r>
    <w:r w:rsidR="00AE6CD7">
      <w:fldChar w:fldCharType="begin"/>
    </w:r>
    <w:r w:rsidR="00AE6CD7" w:rsidRPr="00AE6CD7">
      <w:rPr>
        <w:lang w:val="de-DE"/>
      </w:rPr>
      <w:instrText xml:space="preserve"> NUMPAGES </w:instrText>
    </w:r>
    <w:r w:rsidR="00AE6CD7">
      <w:fldChar w:fldCharType="separate"/>
    </w:r>
    <w:r w:rsidR="00AE6CD7">
      <w:rPr>
        <w:noProof/>
        <w:lang w:val="de-DE"/>
      </w:rPr>
      <w:t>43</w:t>
    </w:r>
    <w:r w:rsidR="00AE6CD7">
      <w:rPr>
        <w:noProof/>
      </w:rPr>
      <w:fldChar w:fldCharType="end"/>
    </w:r>
    <w:r w:rsidRPr="00AE6CD7">
      <w:rPr>
        <w:lang w:val="de-DE"/>
      </w:rPr>
      <w:tab/>
      <w:t>PE</w:t>
    </w:r>
    <w:r w:rsidRPr="00AE6CD7">
      <w:rPr>
        <w:rStyle w:val="HideTWBExt"/>
        <w:lang w:val="de-DE"/>
      </w:rPr>
      <w:t>&lt;NoPE&gt;</w:t>
    </w:r>
    <w:r w:rsidRPr="00AE6CD7">
      <w:rPr>
        <w:lang w:val="de-DE"/>
      </w:rPr>
      <w:t>768.136</w:t>
    </w:r>
    <w:r w:rsidRPr="00AE6CD7">
      <w:rPr>
        <w:rStyle w:val="HideTWBExt"/>
        <w:lang w:val="de-DE"/>
      </w:rPr>
      <w:t>&lt;/NoPE&gt;&lt;Version&gt;</w:t>
    </w:r>
    <w:r w:rsidRPr="00AE6CD7">
      <w:rPr>
        <w:lang w:val="de-DE"/>
      </w:rPr>
      <w:t>v01-00</w:t>
    </w:r>
    <w:r w:rsidRPr="00AE6CD7">
      <w:rPr>
        <w:rStyle w:val="HideTWBExt"/>
        <w:lang w:val="de-DE"/>
      </w:rPr>
      <w:t>&lt;/Version&gt;</w:t>
    </w:r>
  </w:p>
  <w:p w:rsidR="00E53544" w:rsidRDefault="0036450D">
    <w:pPr>
      <w:pStyle w:val="EPFooter2"/>
    </w:pPr>
    <w:r w:rsidRPr="00AE6CD7">
      <w:rPr>
        <w:lang w:val="de-DE"/>
      </w:rPr>
      <w:tab/>
    </w:r>
    <w:r w:rsidRPr="00AE6CD7">
      <w:rPr>
        <w:lang w:val="de-DE"/>
      </w:rPr>
      <w:tab/>
    </w:r>
    <w:r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544" w:rsidRPr="00AE6CD7" w:rsidRDefault="0036450D">
    <w:pPr>
      <w:pStyle w:val="EPFooter"/>
      <w:rPr>
        <w:lang w:val="de-DE"/>
      </w:rPr>
    </w:pPr>
    <w:r w:rsidRPr="00AE6CD7">
      <w:rPr>
        <w:rStyle w:val="HideTWBExt"/>
        <w:lang w:val="de-DE"/>
      </w:rPr>
      <w:t>&lt;PathFdR&gt;</w:t>
    </w:r>
    <w:r w:rsidRPr="00AE6CD7">
      <w:rPr>
        <w:lang w:val="de-DE"/>
      </w:rPr>
      <w:t>AM\1314487PL.docx</w:t>
    </w:r>
    <w:r w:rsidRPr="00AE6CD7">
      <w:rPr>
        <w:rStyle w:val="HideTWBExt"/>
        <w:lang w:val="de-DE"/>
      </w:rPr>
      <w:t>&lt;/PathFdR&gt;</w:t>
    </w:r>
    <w:r w:rsidRPr="00AE6CD7">
      <w:rPr>
        <w:lang w:val="de-DE"/>
      </w:rPr>
      <w:tab/>
    </w:r>
    <w:r w:rsidRPr="00AE6CD7">
      <w:rPr>
        <w:lang w:val="de-DE"/>
      </w:rPr>
      <w:tab/>
      <w:t>PE</w:t>
    </w:r>
    <w:r w:rsidRPr="00AE6CD7">
      <w:rPr>
        <w:rStyle w:val="HideTWBExt"/>
        <w:lang w:val="de-DE"/>
      </w:rPr>
      <w:t>&lt;NoPE&gt;</w:t>
    </w:r>
    <w:r w:rsidRPr="00AE6CD7">
      <w:rPr>
        <w:lang w:val="de-DE"/>
      </w:rPr>
      <w:t>768.136</w:t>
    </w:r>
    <w:r w:rsidRPr="00AE6CD7">
      <w:rPr>
        <w:rStyle w:val="HideTWBExt"/>
        <w:lang w:val="de-DE"/>
      </w:rPr>
      <w:t>&lt;/NoPE&gt;&lt;Version&gt;</w:t>
    </w:r>
    <w:r w:rsidRPr="00AE6CD7">
      <w:rPr>
        <w:lang w:val="de-DE"/>
      </w:rPr>
      <w:t>v01-00</w:t>
    </w:r>
    <w:r w:rsidRPr="00AE6CD7">
      <w:rPr>
        <w:rStyle w:val="HideTWBExt"/>
        <w:lang w:val="de-DE"/>
      </w:rPr>
      <w:t>&lt;/Version&gt;</w:t>
    </w:r>
  </w:p>
  <w:p w:rsidR="00E53544" w:rsidRDefault="0036450D"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248" w:rsidRDefault="0036450D">
      <w:r>
        <w:separator/>
      </w:r>
    </w:p>
  </w:footnote>
  <w:footnote w:type="continuationSeparator" w:id="0">
    <w:p w:rsidR="00F95248" w:rsidRDefault="0036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CD7" w:rsidRDefault="00AE6C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CD7" w:rsidRDefault="00AE6C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CD7" w:rsidRDefault="00AE6C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</w:docVars>
  <w:rsids>
    <w:rsidRoot w:val="00A77B3E"/>
    <w:rsid w:val="00344AC5"/>
    <w:rsid w:val="0036450D"/>
    <w:rsid w:val="004E1F3C"/>
    <w:rsid w:val="00557356"/>
    <w:rsid w:val="006C37E1"/>
    <w:rsid w:val="007662AE"/>
    <w:rsid w:val="00845B34"/>
    <w:rsid w:val="00907A8B"/>
    <w:rsid w:val="009D30AB"/>
    <w:rsid w:val="00A77B3E"/>
    <w:rsid w:val="00A856ED"/>
    <w:rsid w:val="00AE6CD7"/>
    <w:rsid w:val="00CA2A55"/>
    <w:rsid w:val="00E53544"/>
    <w:rsid w:val="00F9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AE989"/>
  <w15:docId w15:val="{DA9E0991-16DA-44B6-9A85-CD14BA85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AE6C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E6C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10330</Words>
  <Characters>77271</Characters>
  <Application>Microsoft Office Word</Application>
  <DocSecurity>0</DocSecurity>
  <Lines>643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87427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WOLSZCZAK Monika</cp:lastModifiedBy>
  <cp:revision>2</cp:revision>
  <dcterms:created xsi:type="dcterms:W3CDTF">2025-02-25T09:12:00Z</dcterms:created>
  <dcterms:modified xsi:type="dcterms:W3CDTF">2025-02-25T09:12:00Z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1314487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132979</vt:lpwstr>
  </property>
  <property fmtid="{D5CDD505-2E9C-101B-9397-08002B2CF9AE}" pid="7" name="dmxml.render.traceId">
    <vt:lpwstr>67b8bef011fdb7327a71dd0a1f6b5ef7</vt:lpwstr>
  </property>
  <property fmtid="{D5CDD505-2E9C-101B-9397-08002B2CF9AE}" pid="8" name="FooterPath">
    <vt:lpwstr>AM\1314487PL.docx</vt:lpwstr>
  </property>
  <property fmtid="{D5CDD505-2E9C-101B-9397-08002B2CF9AE}" pid="9" name="PE Number">
    <vt:lpwstr>768.136</vt:lpwstr>
  </property>
  <property fmtid="{D5CDD505-2E9C-101B-9397-08002B2CF9AE}" pid="10" name="UID">
    <vt:lpwstr>eu.europa.europarl-DIN1-2025-0000019342_01.00-pl-01.00_text-xml</vt:lpwstr>
  </property>
</Properties>
</file>