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2024/2023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11. 2. 2025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75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Dick Erixon</w:t>
      </w:r>
      <w:r>
        <w:rPr>
          <w:rStyle w:val="HideTWBExt"/>
        </w:rPr>
        <w:t>&lt;/Rapporteur&gt;</w:t>
      </w:r>
    </w:p>
    <w:p>
      <w:pPr>
        <w:pStyle w:val="CoverNormal24a"/>
      </w:pPr>
      <w:r>
        <w:rPr>
          <w:rStyle w:val="HideTWBExt"/>
        </w:rPr>
        <w:t>&lt;DocRefPE&gt;</w:t>
      </w:r>
      <w:r>
        <w:t>(PE764.995v01-00)</w:t>
      </w:r>
      <w:r>
        <w:rPr>
          <w:rStyle w:val="HideTWBExt"/>
        </w:rPr>
        <w:t>&lt;/DocRefPE&gt;</w:t>
      </w:r>
    </w:p>
    <w:p>
      <w:pPr>
        <w:pStyle w:val="CoverNormal"/>
      </w:pPr>
      <w:r>
        <w:rPr>
          <w:rStyle w:val="HideTWBExt"/>
        </w:rPr>
        <w:t>&lt;Titre&gt;</w:t>
      </w:r>
      <w:r>
        <w:t>Udělení absolutoria za rok 2023: souhrnný rozpočet EU – Účetní dvůr</w:t>
      </w:r>
      <w:r>
        <w:rPr>
          <w:rStyle w:val="HideTWBExt"/>
        </w:rPr>
        <w:t>&lt;/Titre&gt;</w:t>
      </w:r>
    </w:p>
    <w:p>
      <w:pPr>
        <w:pStyle w:val="CoverNormal24a"/>
      </w:pPr>
      <w:r>
        <w:rPr>
          <w:rStyle w:val="HideTWBExt"/>
        </w:rPr>
        <w:t>&lt;DocRef&gt;</w:t>
      </w:r>
      <w:r>
        <w:t>(2024/2023(DEC))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vítá soustavný nárůst počtu operací kontrolovaných Účetním dvorem v rámci okruhu Správa;</w:t>
            </w:r>
            <w:r>
              <w:t xml:space="preserve"> </w:t>
            </w:r>
            <w:r>
              <w:rPr>
                <w:b/>
                <w:i/>
              </w:rPr>
              <w:t>bere na vědomí plánovaný audit veřejné služby EU, avšak připomíná, že správní výdaje je důležité důkladněji prošetřit, a opakuje svou výzvu, aby do této činnosti byly zahrnuty komplexní údaje o všech orgánech a institucích s cílem poskytnout soudržný základ pro jednotný postup udělování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zdůrazňuje, že plnění rozpočtu na rok 2023 bylo poznamenáno dvěma faktory:</w:t>
            </w:r>
          </w:p>
        </w:tc>
        <w:tc>
          <w:tcPr>
            <w:tcW w:w="4876" w:type="dxa"/>
            <w:tcBorders>
              <w:top w:val="nil"/>
              <w:left w:val="nil"/>
              <w:bottom w:val="nil"/>
              <w:right w:val="nil"/>
            </w:tcBorders>
          </w:tcPr>
          <w:p>
            <w:pPr>
              <w:pStyle w:val="Normal6a"/>
            </w:pPr>
            <w:r>
              <w:t>8.</w:t>
            </w:r>
            <w:r>
              <w:tab/>
            </w:r>
            <w:r>
              <w:t>zdůrazňuje, že plnění rozpočtu na rok 2023 bylo poznamenáno dvěma faktory</w:t>
            </w:r>
            <w:r>
              <w:rPr>
                <w:b/>
                <w:i/>
              </w:rPr>
              <w:t>, které vysvětlují o něco nižší míru plnění než v roce 2022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vyšší fluktuací smluvních zaměstnanců a vyslaných národních odborníků (některé smlouvy pro vyslané národní odborníky nebyly prodlouženy a několik vyslaných národních odborníků uspělo v interním výběrovém řízení na pozice dočasných zaměstnanců), zpožděními a potížemi v náborových procesech;</w:t>
            </w:r>
          </w:p>
        </w:tc>
        <w:tc>
          <w:tcPr>
            <w:tcW w:w="4876" w:type="dxa"/>
            <w:tcBorders>
              <w:top w:val="nil"/>
              <w:left w:val="nil"/>
              <w:bottom w:val="nil"/>
              <w:right w:val="nil"/>
            </w:tcBorders>
          </w:tcPr>
          <w:p>
            <w:pPr>
              <w:pStyle w:val="Normal6a"/>
            </w:pPr>
            <w:r>
              <w:t>2.</w:t>
            </w:r>
            <w:r>
              <w:tab/>
            </w:r>
            <w:r>
              <w:t>vyšší fluktuací smluvních zaměstnanců a vyslaných národních odborníků (některé smlouvy pro vyslané národní odborníky nebyly prodlouženy a několik vyslaných národních odborníků uspělo v interním výběrovém řízení na pozice dočasných zaměstnanců), zpožděními a potížemi v náborových procesech</w:t>
            </w:r>
            <w:r>
              <w:rPr>
                <w:b/>
                <w:i/>
              </w:rPr>
              <w:t>, například v evropských orgánech v Lucemburku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konstatuje</w:t>
            </w:r>
            <w:r>
              <w:t xml:space="preserve">, že celkový rozpočet Účetního dvora na služební cesty (členové a zaměstnanci), původně stanovený na </w:t>
            </w:r>
            <w:r>
              <w:rPr>
                <w:b/>
                <w:i/>
              </w:rPr>
              <w:t>2 722 500</w:t>
            </w:r>
            <w:r>
              <w:t xml:space="preserve"> EUR, se snížil o 4,4 % na </w:t>
            </w:r>
            <w:r>
              <w:rPr>
                <w:b/>
                <w:i/>
              </w:rPr>
              <w:t>2 602 500</w:t>
            </w:r>
            <w:r>
              <w:t xml:space="preserve"> EUR vzhledem ke změnám v pracovních postupech Účetního dvora po pandemii;</w:t>
            </w:r>
          </w:p>
        </w:tc>
        <w:tc>
          <w:tcPr>
            <w:tcW w:w="4876" w:type="dxa"/>
            <w:tcBorders>
              <w:top w:val="nil"/>
              <w:left w:val="nil"/>
              <w:bottom w:val="nil"/>
              <w:right w:val="nil"/>
            </w:tcBorders>
          </w:tcPr>
          <w:p>
            <w:pPr>
              <w:pStyle w:val="Normal6a"/>
            </w:pPr>
            <w:r>
              <w:t>12.</w:t>
            </w:r>
            <w:r>
              <w:tab/>
            </w:r>
            <w:r>
              <w:rPr>
                <w:b/>
                <w:i/>
              </w:rPr>
              <w:t>vítá</w:t>
            </w:r>
            <w:r>
              <w:t xml:space="preserve">, že celkový rozpočet Účetního dvora na služební cesty (členové a zaměstnanci), původně stanovený na </w:t>
            </w:r>
            <w:r>
              <w:rPr>
                <w:b/>
                <w:i/>
              </w:rPr>
              <w:t>2 722 500</w:t>
            </w:r>
            <w:r>
              <w:t xml:space="preserve"> EUR, se snížil o 4,4 % na </w:t>
            </w:r>
            <w:r>
              <w:rPr>
                <w:b/>
                <w:i/>
              </w:rPr>
              <w:t>2 602 500</w:t>
            </w:r>
            <w:r>
              <w:t xml:space="preserve"> EUR vzhledem ke změnám v pracovních postupech Účetního dvora po pandemii;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připomíná, že Budapešťské prohlášení o Nové dohodě pro konkurenceschopnost Evropy přináší revoluční zjednodušování, zajištění jasného, jednoduchého a inteligentního regulačního rámce pro podniky a výrazné snížení administrativní a regulační zátěže a zátěže spojené s podáváním zpráv, zejména pro MSP, a vyzývá Účetní dvůr, aby posoudil možnosti, jak k této strategii přispět a pomoci Komisi dosáhnout stanovených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Účetní dvůr, aby provedl komplexní přezkum příspěvků na cestu a účast na schůzích a zajistil, aby výdaje byly nákladově efektivní, odůvodněné a environmentálně udržitelné, včetně častějšího využívání hybridních schůzí s cílem snížit zbytečné výdaje a emise uhlíku;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vyzdvihuje strategii Budapešťského prohlášení, která staví na přístupu důvěry, jenž podnikům umožní prosperovat bez nadměrné regulace, přičemž mezi hlavní cíle, které má Komise neprodleně provést, patří předložení konkrétních návrhů na snížení požadavků na podávání zpráv alespoň o 25 % v první polovině roku 2025 a zahrnutí posouzení dopadů na administrativní zátěž a konkurenceschopnost do návrhů Komise; domnívá se, že Účetní dvůr by mohl přispět návrhy na provádění tohoto plánu; vyzývá Účetní dvůr, aby posoudil možnosti poskytování poradenství a pomoci Komisi při provádění stanovených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vyzývá tento orgán, aby zjistil, jak je možné, že selhal regulační rámec Evropského parlamentu pro předcházení korupci a podvodům a umožnil, aby poslanci Evropského parlamentu byli několik let aktivně zapojeni do sítě podobné mafii podílející se na korupci a praní peněz, aniž by byli odhaleni;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vyzývá tento orgán, aby získané zkušenosti a závěry zohlednil ve svých vnitřních pravidlech a postupech a přihlédl i k revizi jednacího řádu a kodexu chování Parlamentu ze září 2023, doporučuje mu však, aby navrhl další, ráznější způsoby, jak zintenzivnit boj proti podvodům a plně chránit finanční zájmy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c>
          <w:tcPr>
            <w:tcW w:w="4876" w:type="dxa"/>
            <w:tcBorders>
              <w:top w:val="nil"/>
              <w:left w:val="nil"/>
              <w:bottom w:val="nil"/>
              <w:right w:val="nil"/>
            </w:tcBorders>
          </w:tcPr>
          <w:p>
            <w:pPr>
              <w:pStyle w:val="Normal6a"/>
            </w:pPr>
            <w:r>
              <w:t>17.</w:t>
            </w:r>
            <w:r>
              <w:tab/>
            </w:r>
            <w:r>
              <w:rPr>
                <w:b/>
                <w:i/>
              </w:rPr>
              <w:t>vítá připravenost Účetního dvora vyhovět žádosti Parlamentu zaměřit svou auditní činnost na nejnaléhavější výzvy a přizpůsobit komunikaci s Konferencí předsedů výborů Parlamentu s cílem dále zlepšit vzájemnou spolupráci;</w:t>
            </w:r>
            <w:r>
              <w:t xml:space="preserve"> 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 </w:t>
            </w:r>
            <w:r>
              <w:rPr>
                <w:b/>
                <w:i/>
              </w:rPr>
              <w:t>připomíná, že komisař pro rozpočet na schůzi výboru CONT dne 10. října 2024 otevřeně uvedl, že Účetní dvůr má plný mandát v souvislosti s Nástrojem pro oživení a odolnost, což znamená, že je třeba urychleně zlepšit přístup Účetního dvora ke všem nástrojům, aby mohl svůj mandát plnit;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c>
          <w:tcPr>
            <w:tcW w:w="4876" w:type="dxa"/>
            <w:tcBorders>
              <w:top w:val="nil"/>
              <w:left w:val="nil"/>
              <w:bottom w:val="nil"/>
              <w:right w:val="nil"/>
            </w:tcBorders>
          </w:tcPr>
          <w:p>
            <w:pPr>
              <w:pStyle w:val="Normal6a"/>
            </w:pPr>
            <w:r>
              <w:t>17.</w:t>
            </w:r>
            <w:r>
              <w:tab/>
            </w:r>
            <w:r>
              <w:t xml:space="preserve">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w:t>
            </w:r>
            <w:r>
              <w:rPr>
                <w:b/>
                <w:i/>
              </w:rPr>
              <w:t>a informace v něm uvedené nejsou včas aktualizovány</w:t>
            </w:r>
            <w:r>
              <w:t>;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zdůrazňuje, že Účetní dvůr by měl mít plný přístup k nástrojům pro posuzování rizika podvodů, včetně databází Komise a členských států týkajících se podvodů s finančními prostředky EU, s cílem zlepšit systémy včasného varování před podvodnými činnostmi;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w:t>
            </w:r>
            <w:r>
              <w:rPr>
                <w:b/>
                <w:i/>
              </w:rPr>
              <w:t>podporuje žádost Účetního dvora, aby mu Komise co nejdříve udělila plnohodnotný</w:t>
            </w:r>
            <w:r>
              <w:t xml:space="preserve">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c>
          <w:tcPr>
            <w:tcW w:w="4876" w:type="dxa"/>
            <w:tcBorders>
              <w:top w:val="nil"/>
              <w:left w:val="nil"/>
              <w:bottom w:val="nil"/>
              <w:right w:val="nil"/>
            </w:tcBorders>
          </w:tcPr>
          <w:p>
            <w:pPr>
              <w:pStyle w:val="Normal6a"/>
            </w:pPr>
            <w:r>
              <w:t>17.</w:t>
            </w:r>
            <w:r>
              <w:tab/>
            </w:r>
            <w:r>
              <w:t xml:space="preserve">připomíná,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w:t>
            </w:r>
            <w:r>
              <w:rPr>
                <w:b/>
                <w:i/>
              </w:rPr>
              <w:t>naléhavě vyzývá Komisi, aby Účetnímu dvoru neprodleně poskytla plný a okamžitý</w:t>
            </w:r>
            <w:r>
              <w:t xml:space="preserve"> přístup </w:t>
            </w:r>
            <w:r>
              <w:rPr>
                <w:b/>
                <w:i/>
              </w:rPr>
              <w:t>ke všem modulům FENIX</w:t>
            </w:r>
            <w:r>
              <w:t>;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připomíná</w:t>
            </w:r>
            <w:r>
              <w:t>,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c>
          <w:tcPr>
            <w:tcW w:w="4876" w:type="dxa"/>
            <w:tcBorders>
              <w:top w:val="nil"/>
              <w:left w:val="nil"/>
              <w:bottom w:val="nil"/>
              <w:right w:val="nil"/>
            </w:tcBorders>
          </w:tcPr>
          <w:p>
            <w:pPr>
              <w:pStyle w:val="Normal6a"/>
            </w:pPr>
            <w:r>
              <w:t>17.</w:t>
            </w:r>
            <w:r>
              <w:tab/>
            </w:r>
            <w:r>
              <w:rPr>
                <w:b/>
                <w:i/>
              </w:rPr>
              <w:t>vyjadřuje hluboké politování nad tím</w:t>
            </w:r>
            <w:r>
              <w:t>, že přístup Účetního dvora k nástroji FENIX, což je nový nástroj pro podávání zpráv o Nástroji pro oživení a odolnost (RRF), zůstává neuzavřeným problémem vzhledem k tomu, že Komise uděluje Účetnímu dvoru přístup pouze k některým modulům nástroje FENIX; podporuje žádost Účetního dvora, aby mu Komise co nejdříve udělila plnohodnotný přístup; konstatuje, že Generální ředitelství Komise pro hospodářské a finanční záležitosti se snažilo udělit Účetnímu dvoru přístup k souborům modulu FENIX do 2 týdnů od schválení žádosti o platbu; je však znepokojen tím, že v praxi tato lhůta často není splněna a že v některých případech byla zjištěna zpoždění v délce až 2,5 měsíce, což významně zpomalilo předkládání závěrů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Účetní dvůr, aby vzhledem k rostoucí úloze EIB v hospodářské, finanční a průmyslové politice EU rozšířil rozsah svého auditu na operace Evropské investiční banky (EIB) financované z vlastních prostředků EIB;</w:t>
            </w:r>
            <w:r>
              <w:t xml:space="preserve"> </w:t>
            </w:r>
            <w:r>
              <w:rPr>
                <w:b/>
                <w:i/>
              </w:rPr>
              <w:t>naléhavě vyzývá Komisi a členské státy, aby Účetnímu dvoru udělily právní mandát k tomuto rozšíření;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oceňuje včasné a relevantní zvláštní zprávy o provádění Nástroje pro oživení a odolnost, které orgánu příslušnému k udělení absolutoria umožňují účinně vykonávat jeho výsady a předkládat Komisi doporučení ke zlepšení fungování tohoto nástroje;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naléhavě vyzývá Účetní dvůr, aby posílil svou úlohu v boji proti podvodům v rozpočtu Unie tím, že odhalí nedostatky, povede diskuse o boji proti podvodům, zintenzivní audity, bude spolupracovat se subjekty pro odhalování podvodů a poskytne příslušnou zpětnou vazbu orgánu příslušnému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konstatuje, že na konci roku 2023 měl Účetní dvůr 969 zaměstnanců;</w:t>
            </w:r>
            <w:r>
              <w:t xml:space="preserve"> </w:t>
            </w:r>
            <w:r>
              <w:rPr>
                <w:b/>
                <w:i/>
              </w:rPr>
              <w:t>konstatuje, že v roce 2023 tvořily ženy 53 % a muži 47 % zaměstnanců, což se oproti předchozímu roku 2022 nezměnilo;</w:t>
            </w:r>
            <w:r>
              <w:t xml:space="preserve"> </w:t>
            </w:r>
            <w:r>
              <w:rPr>
                <w:b/>
                <w:i/>
              </w:rPr>
              <w:t>vyjadřuje politování nad tím, že ve vrcholném vedení činí zastoupení žen pouze 30 %, což představuje významný pokles oproti 36,4 % v roce 2022;</w:t>
            </w:r>
            <w:r>
              <w:t xml:space="preserve"> </w:t>
            </w:r>
            <w:r>
              <w:rPr>
                <w:b/>
                <w:i/>
              </w:rPr>
              <w:t>zdůrazňuje, že celkový podíl žen na vedoucích pozicích se v roce 2023 snížil;</w:t>
            </w:r>
            <w:r>
              <w:t xml:space="preserve"> </w:t>
            </w:r>
            <w:r>
              <w:rPr>
                <w:b/>
                <w:i/>
              </w:rPr>
              <w:t>vyzývá Účetní dvůr, aby pokračoval ve svém úsilí o podporu vyváženého zastoupení žen a mužů ve středním a vrcholném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je znepokojen tím, že k procesu náboru bylo zapotřebí dodatečného úsilí, protože asi 50 % uchazečů odmítlo pracovní nabídky od Účetního dvora, částečně kvůli omezené přitažlivosti Lucemburku jako místa pro výkon zaměstnání a s tím spojeným životním nákladům; </w:t>
            </w:r>
            <w:r>
              <w:rPr>
                <w:b/>
                <w:i/>
              </w:rPr>
              <w:t>konstatuje však, že velké auditní společnosti působící v Lucemburku také čelí výzvám a hledají nyní auditory na asijských trzích;</w:t>
            </w:r>
            <w:r>
              <w:t xml:space="preserve"> </w:t>
            </w:r>
            <w:r>
              <w:rPr>
                <w:b/>
                <w:i/>
              </w:rPr>
              <w:t>zdůrazňuje, že takovýto přístup Účetní dvůr uplatňovat nemůže kvůli bezpečnostním obavám a obavám souvisejícím se způsobilostí;</w:t>
            </w:r>
          </w:p>
        </w:tc>
        <w:tc>
          <w:tcPr>
            <w:tcW w:w="4876" w:type="dxa"/>
            <w:tcBorders>
              <w:top w:val="nil"/>
              <w:left w:val="nil"/>
              <w:bottom w:val="nil"/>
              <w:right w:val="nil"/>
            </w:tcBorders>
          </w:tcPr>
          <w:p>
            <w:pPr>
              <w:pStyle w:val="Normal6a"/>
            </w:pPr>
            <w:r>
              <w:t>18.</w:t>
            </w:r>
            <w:r>
              <w:tab/>
            </w:r>
            <w:r>
              <w:t>je znepokojen tím, že k procesu náboru bylo zapotřebí dodatečného úsilí, protože asi 50 % uchazečů odmítlo pracovní nabídky od Účetního dvora, částečně kvůli omezené přitažlivosti Lucemburku jako místa pro výkon zaměstnání a s tím spojeným životním nákladům;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je znepokojen tím, že k procesu náboru bylo zapotřebí dodatečného úsilí, protože asi 50 % uchazečů odmítlo pracovní nabídky od Účetního dvora, částečně kvůli omezené přitažlivosti Lucemburku jako místa pro výkon zaměstnání a s tím spojeným životním nákladům; konstatuje však, že velké auditní společnosti působící v Lucemburku také čelí výzvám a hledají nyní auditory na asijských trzích; zdůrazňuje, že takovýto přístup Účetní dvůr uplatňovat nemůže kvůli bezpečnostním obavám a obavám souvisejícím se způsobilostí;</w:t>
            </w:r>
          </w:p>
        </w:tc>
        <w:tc>
          <w:tcPr>
            <w:tcW w:w="4876" w:type="dxa"/>
            <w:tcBorders>
              <w:top w:val="nil"/>
              <w:left w:val="nil"/>
              <w:bottom w:val="nil"/>
              <w:right w:val="nil"/>
            </w:tcBorders>
          </w:tcPr>
          <w:p>
            <w:pPr>
              <w:pStyle w:val="Normal6a"/>
            </w:pPr>
            <w:r>
              <w:t>18.</w:t>
            </w:r>
            <w:r>
              <w:tab/>
            </w:r>
            <w:r>
              <w:t xml:space="preserve">je znepokojen tím, že k procesu náboru bylo zapotřebí dodatečného úsilí, protože asi 50 % uchazečů odmítlo pracovní nabídky od Účetního dvora, částečně kvůli omezené přitažlivosti Lucemburku jako místa pro výkon zaměstnání a s tím spojeným </w:t>
            </w:r>
            <w:r>
              <w:rPr>
                <w:b/>
                <w:i/>
              </w:rPr>
              <w:t>vysokým</w:t>
            </w:r>
            <w:r>
              <w:t xml:space="preserve"> životním nákladům; konstatuje však, že velké auditní společnosti působící v Lucemburku také čelí výzvám a hledají nyní auditory na asijských trzích; zdůrazňuje, že takovýto přístup Účetní dvůr uplatňovat nemůže kvůli bezpečnostním obavám a obavám souvisejícím se způsobilostí; </w:t>
            </w:r>
            <w:r>
              <w:rPr>
                <w:b/>
                <w:i/>
              </w:rPr>
              <w:t>bere na vědomí úsilí Účetního dvora a vybízí jej, aby spolupracoval s dalšími orgány se sídlem v Lucemburku v rámci interinstitucionální skupiny na vysoké úrovni s cílem zvýšit přitažlivost Lucemburku pro potenciální zaměstnance prostřednictvím určených opatření, jako jsou zvláštní příspěvky na bydlení s cílem snížit vysoké náklady na pronájem u zaměstnanců nižších platových tříd a dočasné bydlení za přiměřené ceny pro krátkodobé pobyty;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je znepokojen tím, že k procesu náboru bylo zapotřebí dodatečného úsilí, protože asi 50 % uchazečů odmítlo pracovní nabídky od Účetního dvora, částečně kvůli omezené přitažlivosti Lucemburku jako místa pro výkon zaměstnání a s tím spojeným životním nákladům; konstatuje však, že velké auditní společnosti působící v Lucemburku také čelí výzvám a hledají nyní auditory na asijských trzích; zdůrazňuje, že takovýto přístup Účetní dvůr uplatňovat nemůže kvůli bezpečnostním obavám a obavám souvisejícím se způsobilostí;</w:t>
            </w:r>
          </w:p>
        </w:tc>
        <w:tc>
          <w:tcPr>
            <w:tcW w:w="4876" w:type="dxa"/>
            <w:tcBorders>
              <w:top w:val="nil"/>
              <w:left w:val="nil"/>
              <w:bottom w:val="nil"/>
              <w:right w:val="nil"/>
            </w:tcBorders>
          </w:tcPr>
          <w:p>
            <w:pPr>
              <w:pStyle w:val="Normal6a"/>
            </w:pPr>
            <w:r>
              <w:t>18.</w:t>
            </w:r>
            <w:r>
              <w:tab/>
            </w:r>
            <w:r>
              <w:t xml:space="preserve">je znepokojen tím, že k procesu náboru bylo zapotřebí dodatečného úsilí, protože asi 50 % uchazečů odmítlo pracovní nabídky od Účetního dvora, částečně kvůli omezené přitažlivosti Lucemburku jako místa pro výkon zaměstnání a s tím spojeným životním nákladům; konstatuje však, že velké auditní společnosti působící v Lucemburku také čelí výzvám a hledají nyní auditory na asijských trzích; zdůrazňuje, že takovýto přístup Účetní dvůr uplatňovat nemůže kvůli bezpečnostním obavám a obavám souvisejícím se způsobilostí; </w:t>
            </w:r>
            <w:r>
              <w:rPr>
                <w:b/>
                <w:i/>
              </w:rPr>
              <w:t>vybízí k řešení těchto problémů zavedením nových opatření, jako jsou vyšší příspěvky na přestěhování a bydlení nebo daňové výhody, aby se zaměstnání zde stalo atraktivnějším;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připomíná, že Smlouva o Evropské unii stanoví, že EU a její orgány podporují solidaritu a rovnost žen a mužů;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sdílí obavy Účetního dvora, že obecně auditorské povolání čelí problémům s náborem kvůli nedostatečnému zájmu o auditní a kontrolní pozice v řadách mladých pracovníků;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sdílí obavy Účetního dvora, že obecně auditorské povolání čelí problémům s náborem kvůli nedostatečnému zájmu o auditní a kontrolní pozice v řadách mladých pracovníků;</w:t>
            </w:r>
          </w:p>
        </w:tc>
        <w:tc>
          <w:tcPr>
            <w:tcW w:w="4876" w:type="dxa"/>
            <w:tcBorders>
              <w:top w:val="nil"/>
              <w:left w:val="nil"/>
              <w:bottom w:val="nil"/>
              <w:right w:val="nil"/>
            </w:tcBorders>
          </w:tcPr>
          <w:p>
            <w:pPr>
              <w:pStyle w:val="Normal6a"/>
            </w:pPr>
            <w:r>
              <w:t>19.</w:t>
            </w:r>
            <w:r>
              <w:tab/>
            </w:r>
            <w:r>
              <w:t xml:space="preserve">sdílí obavy Účetního dvora, že obecně auditorské povolání čelí problémům s náborem kvůli nedostatečnému zájmu o auditní a kontrolní pozice v řadách mladých pracovníků; </w:t>
            </w:r>
            <w:r>
              <w:rPr>
                <w:b/>
                <w:i/>
              </w:rPr>
              <w:t>naléhavě vyzývá k okamžité systematické interinstitucionální spolupráci při řešení tohoto problému;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sdílí obavy Účetního dvora, že obecně auditorské povolání čelí problémům s náborem kvůli nedostatečnému zájmu o auditní a kontrolní pozice v řadách mladých pracovníků;</w:t>
            </w:r>
          </w:p>
        </w:tc>
        <w:tc>
          <w:tcPr>
            <w:tcW w:w="4876" w:type="dxa"/>
            <w:tcBorders>
              <w:top w:val="nil"/>
              <w:left w:val="nil"/>
              <w:bottom w:val="nil"/>
              <w:right w:val="nil"/>
            </w:tcBorders>
          </w:tcPr>
          <w:p>
            <w:pPr>
              <w:pStyle w:val="Normal6a"/>
            </w:pPr>
            <w:r>
              <w:t>19.</w:t>
            </w:r>
            <w:r>
              <w:tab/>
            </w:r>
            <w:r>
              <w:t xml:space="preserve">sdílí obavy Účetního dvora, že obecně auditorské povolání čelí problémům s náborem kvůli nedostatečnému zájmu o auditní a kontrolní pozice v řadách mladých pracovníků; </w:t>
            </w:r>
            <w:r>
              <w:rPr>
                <w:b/>
                <w:i/>
              </w:rPr>
              <w:t>vyzývá k přijetí proaktivních opatření k řešení tohoto problému;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souhlasí s připomínkami Účetního dvora, že výběrová řízení pořádaná úřadem EPSO ne vždy naplní cíl přilákat a vybrat relevantní profily uchazečů ze soukromého sektoru; zdůrazňuje</w:t>
            </w:r>
            <w:r>
              <w:rPr>
                <w:b/>
                <w:i/>
              </w:rPr>
              <w:t>, že</w:t>
            </w:r>
            <w:r>
              <w:t xml:space="preserve"> několik problémů s výběrovými řízeními pořádanými úřadem EPSO, například technické problémy se zkouškami na dálku vedoucí ke zrušení jednoho řízení a pozastavení všech ostatních</w:t>
            </w:r>
            <w:r>
              <w:rPr>
                <w:b/>
                <w:i/>
              </w:rPr>
              <w:t>, vyvolalo u Účetního dvora vážné pochybnosti týkající se kontinuity</w:t>
            </w:r>
            <w:r>
              <w:t xml:space="preserve"> činnosti; s uznáním konstatuje, že Účetní dvůr zahájil spolupráci s úřadem ESPO s cílem pořádat v pravidelných intervalech výběrová řízení na místa týkající se auditu;</w:t>
            </w:r>
          </w:p>
        </w:tc>
        <w:tc>
          <w:tcPr>
            <w:tcW w:w="4876" w:type="dxa"/>
            <w:tcBorders>
              <w:top w:val="nil"/>
              <w:left w:val="nil"/>
              <w:bottom w:val="nil"/>
              <w:right w:val="nil"/>
            </w:tcBorders>
          </w:tcPr>
          <w:p>
            <w:pPr>
              <w:pStyle w:val="Normal6a"/>
            </w:pPr>
            <w:r>
              <w:t>20.</w:t>
            </w:r>
            <w:r>
              <w:tab/>
            </w:r>
            <w:r>
              <w:t>souhlasí s připomínkami Účetního dvora, že výběrová řízení pořádaná úřadem EPSO ne vždy naplní cíl přilákat a vybrat relevantní profily uchazečů ze soukromého sektoru; zdůrazňuje několik problémů s výběrovými řízeními pořádanými úřadem EPSO, například technické problémy se zkouškami na dálku vedoucí ke zrušení jednoho řízení a pozastavení všech ostatních</w:t>
            </w:r>
            <w:r>
              <w:rPr>
                <w:b/>
                <w:i/>
              </w:rPr>
              <w:t>;</w:t>
            </w:r>
            <w:r>
              <w:t xml:space="preserve"> </w:t>
            </w:r>
            <w:r>
              <w:rPr>
                <w:b/>
                <w:i/>
              </w:rPr>
              <w:t>bere na vědomí znepokojení týkající se náboru a výběrových řízení na nové zaměstnance;</w:t>
            </w:r>
            <w:r>
              <w:t xml:space="preserve"> </w:t>
            </w:r>
            <w:r>
              <w:rPr>
                <w:b/>
                <w:i/>
              </w:rPr>
              <w:t>vybízí Účetní dvůr, aby pokračoval ve svém úsilí o vyřešení této situace s cílem zajistit kontinuitu</w:t>
            </w:r>
            <w:r>
              <w:t xml:space="preserve"> činnosti </w:t>
            </w:r>
            <w:r>
              <w:rPr>
                <w:b/>
                <w:i/>
              </w:rPr>
              <w:t>Účetního dvora</w:t>
            </w:r>
            <w:r>
              <w:t>; s uznáním konstatuje, že Účetní dvůr zahájil spolupráci s úřadem ESPO s cílem pořádat v pravidelných intervalech výběrová řízení na místa týkající se auditu;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souhlasí s připomínkami Účetního dvora, že výběrová řízení pořádaná úřadem EPSO ne vždy naplní cíl přilákat a vybrat relevantní profily uchazečů ze soukromého sektoru; zdůrazňuje, že několik problémů s výběrovými řízeními pořádanými úřadem EPSO, například technické problémy se zkouškami na dálku vedoucí ke zrušení jednoho řízení a pozastavení všech ostatních, vyvolalo u Účetního dvora vážné pochybnosti týkající se kontinuity činnosti; s uznáním konstatuje, že Účetní dvůr zahájil spolupráci s úřadem ESPO s cílem pořádat v pravidelných intervalech výběrová řízení na místa týkající se auditu;</w:t>
            </w:r>
          </w:p>
        </w:tc>
        <w:tc>
          <w:tcPr>
            <w:tcW w:w="4876" w:type="dxa"/>
            <w:tcBorders>
              <w:top w:val="nil"/>
              <w:left w:val="nil"/>
              <w:bottom w:val="nil"/>
              <w:right w:val="nil"/>
            </w:tcBorders>
          </w:tcPr>
          <w:p>
            <w:pPr>
              <w:pStyle w:val="Normal6a"/>
            </w:pPr>
            <w:r>
              <w:t>20.</w:t>
            </w:r>
            <w:r>
              <w:tab/>
            </w:r>
            <w:r>
              <w:t xml:space="preserve">souhlasí s připomínkami Účetního dvora, že výběrová řízení pořádaná úřadem EPSO ne vždy naplní cíl přilákat a vybrat relevantní profily uchazečů ze soukromého sektoru; zdůrazňuje, že několik problémů s výběrovými řízeními pořádanými úřadem EPSO, například technické problémy se zkouškami na dálku vedoucí ke zrušení jednoho řízení a pozastavení všech ostatních, vyvolalo u Účetního dvora vážné pochybnosti týkající se kontinuity činnosti; s uznáním konstatuje, že Účetní dvůr zahájil spolupráci s úřadem ESPO s cílem pořádat v pravidelných intervalech výběrová řízení na místa týkající se auditu; </w:t>
            </w:r>
            <w:r>
              <w:rPr>
                <w:b/>
                <w:i/>
              </w:rPr>
              <w:t>navrhuje případnou spolupráci s dalšími příslušnými orgány EU s cílem postupy přijímání zaměstnanců optimalizovat;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oceňuje velkorysý</w:t>
            </w:r>
            <w:r>
              <w:t xml:space="preserve"> režim práce na dálku (až 10 dnů měsíčně), které Účetní dvůr nabízí ke zmírnění problémů, s nimiž se potýká při náboru;</w:t>
            </w:r>
          </w:p>
        </w:tc>
        <w:tc>
          <w:tcPr>
            <w:tcW w:w="4876" w:type="dxa"/>
            <w:tcBorders>
              <w:top w:val="nil"/>
              <w:left w:val="nil"/>
              <w:bottom w:val="nil"/>
              <w:right w:val="nil"/>
            </w:tcBorders>
          </w:tcPr>
          <w:p>
            <w:pPr>
              <w:pStyle w:val="Normal6a"/>
            </w:pPr>
            <w:r>
              <w:t>22.</w:t>
            </w:r>
            <w:r>
              <w:tab/>
            </w:r>
            <w:r>
              <w:rPr>
                <w:b/>
                <w:i/>
              </w:rPr>
              <w:t>bere na vědomí</w:t>
            </w:r>
            <w:r>
              <w:t xml:space="preserve"> režim práce na dálku (až 10 dnů měsíčně), které Účetní dvůr nabízí ke zmírnění problémů, s nimiž se potýká při náboru;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vítá opatření, která Účetní dvůr přijal v roce 2023 s cílem zajistit fyzickou a duševní pohodu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Účetní dvůr, aby zveřejňoval výroční zprávu o rovnosti žen a mužů a rozmanitosti s údaji rozčleněnými podle pohlaví, státní příslušnosti a kategorií zaměstnání, jakož i konkrétní opatření ke zvýšení zastoupení méně zastoupených členských států a menšin;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vítá skutečnost, že Účetní dvůr podnikl různé kroky k řešení problému zeměpisné vyváženosti, jako je zvýšení viditelnosti výběrových řízení Účetního dvora a jeho oznámení o volném pracovním místě ve významně nedostatečně zastoupených členských státech, a spolupracuje s členy Účetního dvora na distribuci těchto oznámení a oslovování případných uchazečů účastí na pracovních veletrzích v některých členských státech;</w:t>
            </w:r>
          </w:p>
        </w:tc>
        <w:tc>
          <w:tcPr>
            <w:tcW w:w="4876" w:type="dxa"/>
            <w:tcBorders>
              <w:top w:val="nil"/>
              <w:left w:val="nil"/>
              <w:bottom w:val="nil"/>
              <w:right w:val="nil"/>
            </w:tcBorders>
          </w:tcPr>
          <w:p>
            <w:pPr>
              <w:pStyle w:val="Normal6a"/>
            </w:pPr>
            <w:r>
              <w:t>25.</w:t>
            </w:r>
            <w:r>
              <w:tab/>
            </w:r>
            <w:r>
              <w:t xml:space="preserve">vítá skutečnost, že Účetní dvůr podnikl různé kroky k řešení problému zeměpisné vyváženosti, jako je zvýšení viditelnosti výběrových řízení Účetního dvora a jeho oznámení o volném pracovním místě ve významně nedostatečně zastoupených členských státech, a spolupracuje s členy Účetního dvora na distribuci těchto oznámení a oslovování případných uchazečů účastí na pracovních veletrzích v některých členských státech; </w:t>
            </w:r>
            <w:r>
              <w:rPr>
                <w:b/>
                <w:i/>
              </w:rPr>
              <w:t>vybízí k tomu, aby byly zváženy další kroky, jako jsou strategie včasného zapojení, které přilákají mladé talenty ze zemí s nízkým zastoupením;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 určitým politováním konstatuje, že Účetní dvůr má před sebou ještě kus cesty k dosažení vyváženého zastoupení žen a mužů ve středním a vrcholném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vítá skutečnost, že na konci roku 2023 bylo obsazeno všech 29 dodatečných pracovních míst nezbytných pro audit nástroje RRF ve výši 723,8 miliardy EUR; podtrhuje však, že významnost, složitost, velké objemy a rychlé vyplácení z nástroje RRF i nadále představuje výzvy a že ne všechny aspekty nástroje RRF mohou být pokryty při dostupných zdrojích;</w:t>
            </w:r>
          </w:p>
        </w:tc>
        <w:tc>
          <w:tcPr>
            <w:tcW w:w="4876" w:type="dxa"/>
            <w:tcBorders>
              <w:top w:val="nil"/>
              <w:left w:val="nil"/>
              <w:bottom w:val="nil"/>
              <w:right w:val="nil"/>
            </w:tcBorders>
          </w:tcPr>
          <w:p>
            <w:pPr>
              <w:pStyle w:val="Normal6a"/>
            </w:pPr>
            <w:r>
              <w:t>26.</w:t>
            </w:r>
            <w:r>
              <w:tab/>
            </w:r>
            <w:r>
              <w:t>vítá skutečnost, že na konci roku 2023 bylo obsazeno všech 29 dodatečných pracovních míst nezbytných pro audit nástroje RRF ve výši 723,8 miliardy EUR; podtrhuje však, že významnost, složitost, velké objemy a rychlé vyplácení z nástroje RRF i nadále představuje výzvy a že ne všechny aspekty nástroje RRF mohou být pokryty při dostupných zdrojích</w:t>
            </w:r>
            <w:r>
              <w:rPr>
                <w:b/>
                <w:i/>
              </w:rPr>
              <w:t>, což Účetnímu dvoru umožňuje posoudit uspokojivé plnění milníků a cílů, a tudíž legalitu a správnost plateb z Nástroje pro oživení a odolnost, ale nepostačuje k tomu, aby systematicky pokrýval soulad výdajů Nástroje pro oživení a odolnost s právními předpisy EU a vnitrostátními právními předpisy;</w:t>
            </w:r>
            <w:r>
              <w:t xml:space="preserve"> </w:t>
            </w:r>
            <w:r>
              <w:rPr>
                <w:b/>
                <w:i/>
              </w:rPr>
              <w:t>oceňuje úsilí, které Účetní dvůr dosud vynaložil při plnění svých povinností v souvislosti s Nástrojem pro oživení a odolnost, a to navzdory tomu, že nejsou k dispozici plně odpovídající zdroje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vítá skutečnost, že na konci roku 2023 bylo obsazeno všech 29 dodatečných pracovních míst nezbytných pro audit nástroje RRF ve výši 723,8 miliardy EUR; podtrhuje však, že významnost, složitost, velké objemy a rychlé vyplácení z nástroje RRF i nadále představuje výzvy a že ne všechny aspekty nástroje RRF mohou být pokryty při dostupných zdrojích;</w:t>
            </w:r>
          </w:p>
        </w:tc>
        <w:tc>
          <w:tcPr>
            <w:tcW w:w="4876" w:type="dxa"/>
            <w:tcBorders>
              <w:top w:val="nil"/>
              <w:left w:val="nil"/>
              <w:bottom w:val="nil"/>
              <w:right w:val="nil"/>
            </w:tcBorders>
          </w:tcPr>
          <w:p>
            <w:pPr>
              <w:pStyle w:val="Normal6a"/>
            </w:pPr>
            <w:r>
              <w:t>26.</w:t>
            </w:r>
            <w:r>
              <w:tab/>
            </w:r>
            <w:r>
              <w:t xml:space="preserve">vítá skutečnost, že na konci roku 2023 bylo obsazeno všech 29 dodatečných pracovních míst nezbytných pro audit nástroje RRF ve výši 723,8 miliardy EUR; podtrhuje však, že významnost, složitost, velké objemy a rychlé vyplácení z nástroje RRF i nadále představuje výzvy a že ne všechny aspekty nástroje RRF mohou být pokryty při dostupných zdrojích; </w:t>
            </w:r>
            <w:r>
              <w:rPr>
                <w:b/>
                <w:i/>
              </w:rPr>
              <w:t>zdůrazňuje, že je důležité zajistit, aby měl Účetní dvůr trvale k dispozici odpovídající počet zaměstnanců, a mohl tak plnit svůj mandát i další povinnosti vyplývající z nových finančních nástrojů, jako je Nástroj pro oživení a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bere v úvahu, že pokud jde o genderovou vyváženost</w:t>
            </w:r>
            <w:r>
              <w:t xml:space="preserve"> sboru Účetního dvora</w:t>
            </w:r>
            <w:r>
              <w:rPr>
                <w:b/>
                <w:i/>
              </w:rPr>
              <w:t>, členové Účetního dvora jsou jmenováni po konzultaci s Evropským parlamentem a Účetní dvůr nemá ve výběrovém procesu členů podle čl. 286 odst. 2 SFEU slovo</w:t>
            </w:r>
            <w:r>
              <w:t>;</w:t>
            </w:r>
          </w:p>
        </w:tc>
        <w:tc>
          <w:tcPr>
            <w:tcW w:w="4876" w:type="dxa"/>
            <w:tcBorders>
              <w:top w:val="nil"/>
              <w:left w:val="nil"/>
              <w:bottom w:val="nil"/>
              <w:right w:val="nil"/>
            </w:tcBorders>
          </w:tcPr>
          <w:p>
            <w:pPr>
              <w:pStyle w:val="Normal6a"/>
            </w:pPr>
            <w:r>
              <w:t>27.</w:t>
            </w:r>
            <w:r>
              <w:tab/>
            </w:r>
            <w:r>
              <w:rPr>
                <w:b/>
                <w:i/>
              </w:rPr>
              <w:t>vyjadřuje politování nad tím, že 12 členských států nikdy nejmenovalo do</w:t>
            </w:r>
            <w:r>
              <w:t xml:space="preserve"> sboru Účetního dvora </w:t>
            </w:r>
            <w:r>
              <w:rPr>
                <w:b/>
                <w:i/>
              </w:rPr>
              <w:t>ženu;</w:t>
            </w:r>
            <w:r>
              <w:t xml:space="preserve"> </w:t>
            </w:r>
            <w:r>
              <w:rPr>
                <w:b/>
                <w:i/>
              </w:rPr>
              <w:t>vyzývá Účetní dvůr, aby zhodnotil své celkové složení a předložil tuto analýzu Radě a členským státům a aby zajistil, že v budoucích procesech jmenování bude náležitě zajištěna genderová vyváženost;</w:t>
            </w:r>
            <w:r>
              <w:t xml:space="preserve"> </w:t>
            </w:r>
            <w:r>
              <w:rPr>
                <w:b/>
                <w:i/>
              </w:rPr>
              <w:t>znovu vyzývá členské státy, aby navrhly kandidáty různých pohlaví s cílem dosáhnout vyváženějšího a reprezentativnějšího složení Účetního dvora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bere v úvahu, že </w:t>
            </w:r>
            <w:r>
              <w:rPr>
                <w:b/>
                <w:i/>
              </w:rPr>
              <w:t>pokud jde o genderovou vyváženost sboru Účetního dvora,</w:t>
            </w:r>
            <w:r>
              <w:t xml:space="preserve"> členové Účetního dvora jsou jmenováni po konzultaci s Evropským parlamentem a Účetní dvůr nemá ve výběrovém procesu členů podle čl. 286 odst. 2 SFEU slovo;</w:t>
            </w:r>
          </w:p>
        </w:tc>
        <w:tc>
          <w:tcPr>
            <w:tcW w:w="4876" w:type="dxa"/>
            <w:tcBorders>
              <w:top w:val="nil"/>
              <w:left w:val="nil"/>
              <w:bottom w:val="nil"/>
              <w:right w:val="nil"/>
            </w:tcBorders>
          </w:tcPr>
          <w:p>
            <w:pPr>
              <w:pStyle w:val="Normal6a"/>
            </w:pPr>
            <w:r>
              <w:t>27.</w:t>
            </w:r>
            <w:r>
              <w:tab/>
            </w:r>
            <w:r>
              <w:rPr>
                <w:b/>
                <w:i/>
              </w:rPr>
              <w:t>ačkoli</w:t>
            </w:r>
            <w:r>
              <w:t xml:space="preserve"> bere v úvahu, že členové Účetního dvora jsou jmenováni po konzultaci s Evropským parlamentem a </w:t>
            </w:r>
            <w:r>
              <w:rPr>
                <w:b/>
                <w:i/>
              </w:rPr>
              <w:t>že</w:t>
            </w:r>
            <w:r>
              <w:t xml:space="preserve"> Účetní dvůr nemá ve výběrovém procesu členů podle čl. 286 odst. 2 SFEU slovo; </w:t>
            </w:r>
            <w:r>
              <w:rPr>
                <w:b/>
                <w:i/>
              </w:rPr>
              <w:t>nadále vyjadřuje politování nad genderovou nevyvážeností sboru Účetního dvora, a to i přes určité zvýšení počtu žen v průběhu let;</w:t>
            </w:r>
            <w:r>
              <w:t xml:space="preserve"> </w:t>
            </w:r>
            <w:r>
              <w:rPr>
                <w:b/>
                <w:i/>
              </w:rPr>
              <w:t>vyzývá Radu, aby přehodnotila postup navrhování kandidátů s cílem řešit tento problém konkrétními opatřeními, jako je zavedení povinnosti členských států nominovat na každé volné pracovní místo alespoň dva kandidáty různého pohlaví;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bere v úvahu, že pokud jde o genderovou vyváženost sboru Účetního dvora, členové Účetního dvora jsou jmenováni po konzultaci s Evropským parlamentem a Účetní dvůr nemá ve výběrovém procesu členů podle čl. 286 odst. 2 SFEU slovo;</w:t>
            </w:r>
          </w:p>
        </w:tc>
        <w:tc>
          <w:tcPr>
            <w:tcW w:w="4876" w:type="dxa"/>
            <w:tcBorders>
              <w:top w:val="nil"/>
              <w:left w:val="nil"/>
              <w:bottom w:val="nil"/>
              <w:right w:val="nil"/>
            </w:tcBorders>
          </w:tcPr>
          <w:p>
            <w:pPr>
              <w:pStyle w:val="Normal6a"/>
            </w:pPr>
            <w:r>
              <w:t>27.</w:t>
            </w:r>
            <w:r>
              <w:tab/>
            </w:r>
            <w:r>
              <w:t xml:space="preserve">bere v úvahu, že pokud jde o genderovou vyváženost sboru Účetního dvora, členové Účetního dvora jsou jmenováni po konzultaci s Evropským parlamentem a Účetní dvůr nemá ve výběrovém procesu členů podle čl. 286 odst. 2 SFEU slovo; </w:t>
            </w:r>
            <w:r>
              <w:rPr>
                <w:b/>
                <w:i/>
              </w:rPr>
              <w:t>poukazuje na to, že v rámci Účetního dvora stále existuje významná genderová nerovnováha, neboť mezi 27 členy je pouze 9 žen;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vyjadřuje politování nad tím, že Rada v minulosti opakovaně jmenovala členy Účetního dvora, přestože je Parlament odmítl;</w:t>
            </w:r>
            <w:r>
              <w:t xml:space="preserve"> </w:t>
            </w:r>
            <w:r>
              <w:rPr>
                <w:b/>
                <w:i/>
              </w:rPr>
              <w:t>zdůrazňuje, že při posuzování vhodnosti kandidátů na členy Účetního dvora by Parlament měl plnit závaznou úlohu;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vyjadřuje politování nad tím, že Rada opakovaně jmenovala členy Účetního dvora, které Parlament odmítl;</w:t>
            </w:r>
            <w:r>
              <w:t xml:space="preserve"> </w:t>
            </w:r>
            <w:r>
              <w:rPr>
                <w:b/>
                <w:i/>
              </w:rPr>
              <w:t>zdůrazňuje, že Parlament má závaznou úlohu při posuzování vhodnosti kandidátů na členy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konstatuje, že v roce 2023 bylo zaznamenáno sedm případů syndromu vyhoření;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w:t>
            </w:r>
          </w:p>
        </w:tc>
        <w:tc>
          <w:tcPr>
            <w:tcW w:w="4876" w:type="dxa"/>
            <w:tcBorders>
              <w:top w:val="nil"/>
              <w:left w:val="nil"/>
              <w:bottom w:val="nil"/>
              <w:right w:val="nil"/>
            </w:tcBorders>
          </w:tcPr>
          <w:p>
            <w:pPr>
              <w:pStyle w:val="Normal6a"/>
            </w:pPr>
            <w:r>
              <w:t>29.</w:t>
            </w:r>
            <w:r>
              <w:tab/>
            </w:r>
            <w:r>
              <w:rPr>
                <w:b/>
                <w:i/>
              </w:rPr>
              <w:t>se znepokojením</w:t>
            </w:r>
            <w:r>
              <w:t xml:space="preserve"> konstatuje, že v roce 2023 bylo zaznamenáno sedm případů syndromu vyhoření</w:t>
            </w:r>
            <w:r>
              <w:rPr>
                <w:b/>
                <w:i/>
              </w:rPr>
              <w:t>, což je stejně znepokojivý počet jako v roce 2022</w:t>
            </w:r>
            <w:r>
              <w:t>;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oceňuje, že v prosinci 2022 byla přijata nová politika, která má zajistit pracoviště vyznačující se respektem bez obtěžování a která se zaměřuje na prevenci obtěžování, zvyšování informovanosti o této problematice a včasné odhalování takových případů;</w:t>
            </w:r>
            <w:r>
              <w:t xml:space="preserve"> </w:t>
            </w:r>
            <w:r>
              <w:rPr>
                <w:b/>
                <w:i/>
              </w:rPr>
              <w:t>poukazuje na opatření, jako byla prezentace této politiky všem zaměstnancům v lednu 2023, která má zajistit její lepší pochopení, a jako je zavedení harmonizovaného formuláře pro nahlašování případů obtěžování a zveřejnění první souhrnné výroční zprávy o uplatňování této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 uspokojením konstatuje, že v roce 2023 Účetní dvůr v souladu s doporučeními Mezinárodní federace účetních opět překročil cíl v oblasti odborné přípravy, kterým je pět dnů nejazykové odborné přípravy pro auditory (6,7 dne) za rok;</w:t>
            </w:r>
            <w:r>
              <w:t xml:space="preserve"> </w:t>
            </w:r>
            <w:r>
              <w:rPr>
                <w:b/>
                <w:i/>
              </w:rPr>
              <w:t>bere na vědomí zejména odbornou přípravu zaměstnanců Účetního dvora v oblasti Nástroje EU na podporu oživení a Nástroje pro oživení a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vítá akční plán Účetního dvora pro rozmanitost a začleňování na období 2021–2025;</w:t>
            </w:r>
            <w:r>
              <w:t xml:space="preserve"> </w:t>
            </w:r>
            <w:r>
              <w:rPr>
                <w:b/>
                <w:i/>
              </w:rPr>
              <w:t>s uspokojením bere na vědomí uspořádání třetího Týdne zvyšování povědomí o zdravotním postižení a interinstitucionálních iniciativ na podporu inkluzivnosti;</w:t>
            </w:r>
            <w:r>
              <w:t xml:space="preserve"> </w:t>
            </w:r>
            <w:r>
              <w:rPr>
                <w:b/>
                <w:i/>
              </w:rPr>
              <w:t>poukazuje na úsilí Účetního dvora, včetně jeho průzkumu týkajícího se přístupnosti pracovišť, účasti v soutěži o Cenu veřejného ochránce práv za řádnou správu a externího auditu přístupnosti budov v souladu s lucemburskými právními předpisy v oblasti přístupnosti z roku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poukazuje na zásadní úlohu Účetního dvora jako nezávislého externího auditora Unie a strážce jeho financí, což vyžaduje, aby dodržoval nejvyšší standardy bezúhonnosti, profesionality a odpovědnosti a sloužil jako vzorový orgán, který vzbuzuje důvěru a je důvěryhodný;</w:t>
            </w:r>
            <w:r>
              <w:t xml:space="preserve"> </w:t>
            </w:r>
            <w:r>
              <w:rPr>
                <w:b/>
                <w:i/>
              </w:rPr>
              <w:t>připomíná, že v souladu s článkem 285 Smlouvy o fungování EU musejí být členové Účetního dvora zcela nezávislí, dodržovat nejvyšší etické zásady a prokazovat bezúhonnost, objektivitu, profesionální chování, důstojnost, odhodlání a loajalitu;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připomíná úlohu a význam Účetního dvora jako nezávislého externího auditora Unie a strážce jejích financí, což vyžaduje, aby dodržoval nejvyšší možné standardy a působil jako vzorová organizace, která vzbuzuje důvěru a je důvěryhodná;</w:t>
            </w:r>
            <w:r>
              <w:t xml:space="preserve"> </w:t>
            </w:r>
            <w:r>
              <w:rPr>
                <w:b/>
                <w:i/>
              </w:rPr>
              <w:t>připomíná, že podle článku 285 Smlouvy o fungování EU jsou členové Účetního dvora zcela nezávislí;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konstatuje, že v roce 2023 uspořádal Účetní dvůr 3 školení konkrétně zaměřená na etiku, která přilákala 60 účastníků; zohledňuje skutečnost, že školení Účetního dvora o etice byla přístupná všem zaměstnancům, včetně vedoucích pracovníků, a že standardní školení jsou povinná pro nováčky a zabývají se veřejnou etikou a politikou Účetního dvora proti obtěžování;</w:t>
            </w:r>
          </w:p>
        </w:tc>
        <w:tc>
          <w:tcPr>
            <w:tcW w:w="4876" w:type="dxa"/>
            <w:tcBorders>
              <w:top w:val="nil"/>
              <w:left w:val="nil"/>
              <w:bottom w:val="nil"/>
              <w:right w:val="nil"/>
            </w:tcBorders>
          </w:tcPr>
          <w:p>
            <w:pPr>
              <w:pStyle w:val="Normal6a"/>
            </w:pPr>
            <w:r>
              <w:t>31.</w:t>
            </w:r>
            <w:r>
              <w:tab/>
            </w:r>
            <w:r>
              <w:t xml:space="preserve">konstatuje, že v roce 2023 uspořádal Účetní dvůr 3 školení konkrétně zaměřená na etiku, která přilákala 60 účastníků; zohledňuje skutečnost, že školení Účetního dvora o etice byla přístupná všem zaměstnancům, včetně vedoucích pracovníků, a že standardní školení jsou povinná pro nováčky a zabývají se veřejnou etikou a politikou Účetního dvora proti obtěžování; </w:t>
            </w:r>
            <w:r>
              <w:rPr>
                <w:b/>
                <w:i/>
              </w:rPr>
              <w:t>vyjadřuje politování nad tím, že všichni zaměstnanci nemuseli povinně absolvovat pravidelné kurzy týkající se 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připomíná, že ve Smlouvě o Evropské unii je stanoveno, že cílem EU a jejích orgánů je prosazovat mír, své hodnoty a blahobyt svých obyvatel, zachovávat mír, předcházet konfliktům a posilovat mezinárodní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vyzývá úřad, aby s maximálním nasazením a všemi dostupnými opatřeními a prostředky usiloval o prosazování míru a co nejrychlejší ukončení války na Ukrajině a o zachování míru a posílení evropské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připomíná, že ve Smlouvě o Evropské unii je stanoveno, že EU a její orgány ctí rovnost členských států před Smlouvami a jejich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31d.</w:t>
            </w:r>
            <w:r>
              <w:tab/>
            </w:r>
            <w:r>
              <w:rPr>
                <w:b/>
                <w:i/>
              </w:rPr>
              <w:t>vyzývá tento orgán, aby vždy respektoval rovnost členských států a se všemi členskými státy zacházel stejně a aby respektoval jejich svrchovanost a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vyjadřuje politování nad tím, že Účetní dvůr plně nespolupracoval s Úřadem evropského veřejného žalobce tím, že odmítl zbavit svého bývalého předsedu imunity a odepřel Úřadu evropského veřejného žalobce možnost prohledat své prostory v souvislosti s vyšetřováním možného protiprávního jednání, což by podle Úřadu evropského veřejného žalobce mohlo být považováno za zásah do řádného vedení vyšetřování;</w:t>
            </w:r>
            <w:r>
              <w:t xml:space="preserve"> </w:t>
            </w:r>
            <w:r>
              <w:rPr>
                <w:b/>
                <w:i/>
              </w:rPr>
              <w:t>připomíná, že Účetní dvůr je jakožto externí auditor Unie vázán zásadami odpovědnosti, bezúhonnosti a transparentnosti a také zásadou vzájemné loajální spolupráce mezi orgány EU;</w:t>
            </w:r>
            <w:r>
              <w:t xml:space="preserve"> </w:t>
            </w:r>
            <w:r>
              <w:rPr>
                <w:b/>
                <w:i/>
              </w:rPr>
              <w:t>vyzývá Účetní dvůr, aby zajistil, že nebude uplatňovat imunitu s cílem bránit legitimním soudním řízením, a aby přijal veškerá nezbytná opatření k zajištění neomezené interinstitucionální spolupráce při předcházení podvodům a jejich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je znepokojen zprávou ve sdělovacích prostředcích, že vyšetřování ze strany Úřadu evropského veřejného žalobce týkající se zneužití finančních prostředků bývalým předsedou Účetního dvora je v současné době zablokováno rozhodnutím Účetního dvora nezbavit jej imunity;</w:t>
            </w:r>
            <w:r>
              <w:t xml:space="preserve"> </w:t>
            </w:r>
            <w:r>
              <w:rPr>
                <w:b/>
                <w:i/>
              </w:rPr>
              <w:t>žádá Účetní dvůr, aby plně spolupracoval s Úřadem evropského veřejného žalobce na veškerých vyšetřováních, která by mohl zahájit, a aby informoval o důvodech rozhodnutí nezbavovat svého bývalého předsedu imunity;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se znepokojením konstatuje, že podle zpráv sdělovacích prostředků požádal Úřad evropského veřejného žalobce (EPPO) v roce 2023 o zrušení imunity několika zaměstnanců Účetního dvora a že Účetní dvůr odmítl této žádosti vyhovět;</w:t>
            </w:r>
            <w:r>
              <w:t xml:space="preserve"> </w:t>
            </w:r>
            <w:r>
              <w:rPr>
                <w:b/>
                <w:i/>
              </w:rPr>
              <w:t>zdůrazňuje, že i když imunita slouží k ochraně nezávislosti orgánů EU, neměla by být zneužívána k ochraně jednotlivců před legitimní soudní kontrolou;</w:t>
            </w:r>
            <w:r>
              <w:t xml:space="preserve"> </w:t>
            </w:r>
            <w:r>
              <w:rPr>
                <w:b/>
                <w:i/>
              </w:rPr>
              <w:t>domnívá se, že žádosti o zrušení imunity by měly být zamítány pouze za výjimečných okolností;</w:t>
            </w:r>
            <w:r>
              <w:t xml:space="preserve"> </w:t>
            </w:r>
            <w:r>
              <w:rPr>
                <w:b/>
                <w:i/>
              </w:rPr>
              <w:t>vyzývá Účetní dvůr, aby orgánu příslušnému k udělení absolutoria poskytl podrobné odůvodnění svého rozhodnutí v tomto případě a nastínil případné konkrétní právní a procesní obavy, které vedly k zamítnutí žádosti;</w:t>
            </w:r>
            <w:r>
              <w:t xml:space="preserve"> </w:t>
            </w:r>
            <w:r>
              <w:rPr>
                <w:b/>
                <w:i/>
              </w:rPr>
              <w:t>dále naléhavě vyzývá Účetní dvůr, aby v rámci své spolupráce s Úřadem evropského veřejného žalobce a dalšími subjekty EU odpovědnými za boj proti podvodům a protiprávnímu jednání zachoval vysokou míru transparentnosti 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vyzývá Účetní dvůr, aby zajistil, aby všichni členové a vedoucí pracovníci zveřejňovali v souladu s osvědčenými postupy uvedenými v unijních pravidlech transparentnosti své finanční zájmy, prohlášení o daru nebo pohostinství ve veřejné online databázi;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konstatuje</w:t>
            </w:r>
            <w:r>
              <w:t xml:space="preserve">, že v roce 2024 vyzval Účetní dvůr spolu se Soudním dvorem Komisi, aby se zapojila do interinstitucionálního dialogu s cílem dohodnout se na společných pravidlech týkajících se využívání služebních vozidel, která </w:t>
            </w:r>
            <w:r>
              <w:rPr>
                <w:b/>
                <w:i/>
              </w:rPr>
              <w:t>budou</w:t>
            </w:r>
            <w:r>
              <w:t xml:space="preserve"> v souladu s připomínkami uvedenými v usnesení Parlamentu ze dne 11. dubna 2022 o udělení absolutoria za plnění rozpočtu Účetního dvora a Soudního dvora; zdůrazňuje výzvu všem orgánům Unie, aby se dohodly na jednotném systému, který by byl uplatňován horizontálně, což by snížilo zmatek a zvýšilo transparentnost a efektivitu využívání veřejných prostředků; konstatuje, že bude v rámci interinstitucionálního přípravného výboru pro otázky týkající se služebního řádu vytvořena pracovní skupina; oceňuje ochotu Účetního dvora sladit pravidla s platnými pravidly Komise;</w:t>
            </w:r>
          </w:p>
        </w:tc>
        <w:tc>
          <w:tcPr>
            <w:tcW w:w="4876" w:type="dxa"/>
            <w:tcBorders>
              <w:top w:val="nil"/>
              <w:left w:val="nil"/>
              <w:bottom w:val="nil"/>
              <w:right w:val="nil"/>
            </w:tcBorders>
          </w:tcPr>
          <w:p>
            <w:pPr>
              <w:pStyle w:val="Normal6a"/>
            </w:pPr>
            <w:r>
              <w:t>34.</w:t>
            </w:r>
            <w:r>
              <w:tab/>
            </w:r>
            <w:r>
              <w:rPr>
                <w:b/>
                <w:i/>
              </w:rPr>
              <w:t>oceňuje</w:t>
            </w:r>
            <w:r>
              <w:t xml:space="preserve">, že v roce 2024 vyzval Účetní dvůr spolu se Soudním dvorem Komisi, aby se zapojila do interinstitucionálního dialogu s cílem dohodnout se na společných pravidlech týkajících se využívání služebních vozidel, která </w:t>
            </w:r>
            <w:r>
              <w:rPr>
                <w:b/>
                <w:i/>
              </w:rPr>
              <w:t>by byla</w:t>
            </w:r>
            <w:r>
              <w:t xml:space="preserve"> v souladu s připomínkami uvedenými v usnesení Parlamentu ze dne 11. dubna 2022 o udělení absolutoria za plnění rozpočtu Účetního dvora a Soudního dvora; zdůrazňuje výzvu všem orgánům Unie, aby se dohodly na jednotném systému, který by byl uplatňován horizontálně, což by snížilo zmatek a zvýšilo transparentnost a efektivitu využívání veřejných prostředků; konstatuje, že bude v rámci interinstitucionálního přípravného výboru pro otázky týkající se služebního řádu vytvořena pracovní skupina; oceňuje ochotu Účetního dvora sladit </w:t>
            </w:r>
            <w:r>
              <w:rPr>
                <w:b/>
                <w:i/>
              </w:rPr>
              <w:t>uvedená</w:t>
            </w:r>
            <w:r>
              <w:t xml:space="preserve"> pravidla s platnými pravidly Komise</w:t>
            </w:r>
            <w:r>
              <w:rPr>
                <w:b/>
                <w:i/>
              </w:rPr>
              <w:t>, opakuje však kritiku, která už byla vyjádřena v souvislosti s předchozími usneseními o udělení absolutoria ohledně nového rozhodnutí z roku 2022 týkajícího se služebních a dalších cest poslanců a využívání řidičů a automobilů poslanci, což je v rozporu s obecnou zásadou, že by za žádných okolností nemělo docházet k využívání vozového parku mimo striktní plnění povinností členů Účetního dvora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Účetní dvůr, aby pro bývalé členy a vyšší úředníky zavedl povinné přechodné období po skončení funkce v délce nejméně dvou let, než se mohou zapojit do lobbistických nebo poradenských funkcí v odvětvích, která podléhají auditům EÚD;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vítá rozšíření rozsahu informací zveřejňovaných o pracovních cestách členů Účetního dvora, připomíná však žádost Parlamentu o poskytnutí informací o pracovních cestách během celého jejich mandátu;</w:t>
            </w:r>
            <w:r>
              <w:t xml:space="preserve"> </w:t>
            </w:r>
            <w:r>
              <w:rPr>
                <w:b/>
                <w:i/>
              </w:rPr>
              <w:t>vítá revizi kodexu chování poslanců, která jim zakazuje zastávat jakoukoli čestnou funkci v politické organizaci, čímž byla splněna žádost Parlamentu, aby členové Účetního dvora neměli žádné oficiální politické vazby;</w:t>
            </w:r>
            <w:r>
              <w:t xml:space="preserve"> </w:t>
            </w:r>
            <w:r>
              <w:rPr>
                <w:b/>
                <w:i/>
              </w:rPr>
              <w:t>bere na vědomí, že závěry zprávy o interním auditu týkající se etiky měly být ve třetím čtvrtletí roku 2024 sděleny předsedkyni EP a předsedovi Výboru pro rozpočtovou kontrolu, a vyzývá Účetní dvůr, aby tyto informace poskytl celému Výboru pro rozpočtovou kontrolu;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naléhavě vyzývá Účetní dvůr, aby v případech, kdy členové Účetního dvora nebo jeho zaměstnanci oznámí střet zájmů, zveřejňoval rozhodnutí o vyloučení v reálném čase, a zajistil tak větší transparentnost auditního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lituje, že výroční seznam smluv překračujících prahovou hodnotu stanovenou směrnicí (&gt; 140 000 EUR na služby/dodávky; &gt; 5 382 000 EUR na stavební práce) vypracovaný v roce 2023 není k dispozici na webových stránkách Účetního dvora; vyzývá Účetní dvůr, aby uvedený seznam zveřejnil jako samostatný dokument a zajistil k němu snadný přístup;</w:t>
            </w:r>
          </w:p>
        </w:tc>
        <w:tc>
          <w:tcPr>
            <w:tcW w:w="4876" w:type="dxa"/>
            <w:tcBorders>
              <w:top w:val="nil"/>
              <w:left w:val="nil"/>
              <w:bottom w:val="nil"/>
              <w:right w:val="nil"/>
            </w:tcBorders>
          </w:tcPr>
          <w:p>
            <w:pPr>
              <w:pStyle w:val="Normal6a"/>
            </w:pPr>
            <w:r>
              <w:t>38.</w:t>
            </w:r>
            <w:r>
              <w:tab/>
            </w:r>
            <w:r>
              <w:t xml:space="preserve">lituje, že výroční seznam smluv překračujících prahovou hodnotu stanovenou směrnicí (&gt; 140 000 EUR na služby/dodávky; &gt; 5 382 000 EUR na stavební práce) vypracovaný v roce 2023 není k dispozici na webových stránkách Účetního dvora; vyzývá Účetní dvůr, aby uvedený seznam </w:t>
            </w:r>
            <w:r>
              <w:rPr>
                <w:b/>
                <w:i/>
              </w:rPr>
              <w:t>neprodleně</w:t>
            </w:r>
            <w:r>
              <w:t xml:space="preserve"> zveřejnil jako samostatný dokument a zajistil k němu snadný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zcela podporuje odůvodnění Účetního dvora, pokud jde o jeho rozhodnutí nepřipojit se k</w:t>
            </w:r>
            <w:r>
              <w:t xml:space="preserve"> rejstříku transparentnosti</w:t>
            </w:r>
            <w:r>
              <w:rPr>
                <w:b/>
                <w:i/>
              </w:rPr>
              <w:t>, protože nemá vlastní zájem na ovlivňování rozhodování, jen poskytuje fakta a objektivní zpětnou vazbu o programech Unie;</w:t>
            </w:r>
            <w:r>
              <w:t xml:space="preserve"> </w:t>
            </w:r>
            <w:r>
              <w:rPr>
                <w:b/>
                <w:i/>
              </w:rPr>
              <w:t>konstatuje, že všechny zprávy Účetního dvora jsou veřejně dostupné a podléhají důslednému postupu vyjasňování se subjekty, které byly předmětem auditu;</w:t>
            </w:r>
            <w:r>
              <w:t xml:space="preserve"> </w:t>
            </w:r>
            <w:r>
              <w:rPr>
                <w:b/>
                <w:i/>
              </w:rPr>
              <w:t>je si vědom toho, že opačný scénář by vytvořil pro Účetní dvůr administrativní zátěž a nepřinesl by větší transparentnost</w:t>
            </w:r>
            <w:r>
              <w:t>;</w:t>
            </w:r>
          </w:p>
        </w:tc>
        <w:tc>
          <w:tcPr>
            <w:tcW w:w="4876" w:type="dxa"/>
            <w:tcBorders>
              <w:top w:val="nil"/>
              <w:left w:val="nil"/>
              <w:bottom w:val="nil"/>
              <w:right w:val="nil"/>
            </w:tcBorders>
          </w:tcPr>
          <w:p>
            <w:pPr>
              <w:pStyle w:val="Normal6a"/>
            </w:pPr>
            <w:r>
              <w:t>40.</w:t>
            </w:r>
            <w:r>
              <w:tab/>
            </w:r>
            <w:r>
              <w:rPr>
                <w:b/>
                <w:i/>
              </w:rPr>
              <w:t>důrazně doporučuje, aby Účetní dvůr přehodnotil svůj postoj k unijnímu</w:t>
            </w:r>
            <w:r>
              <w:t xml:space="preserve"> rejstříku transparentnosti </w:t>
            </w:r>
            <w:r>
              <w:rPr>
                <w:b/>
                <w:i/>
              </w:rPr>
              <w:t>zřízenému interinstitucionální dohodou ze dne 20. května 2021 mezi Evropským parlamentem, Radou Evropské unie a Evropskou komisí o povinném rejstříku transparentnosti1a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zcela podporuje</w:t>
            </w:r>
            <w:r>
              <w:t xml:space="preserve"> odůvodnění Účetního dvora, pokud jde o jeho rozhodnutí nepřipojit se k rejstříku transparentnosti, protože nemá vlastní zájem na ovlivňování rozhodování, jen poskytuje fakta a objektivní zpětnou vazbu o programech Unie; konstatuje, že všechny zprávy Účetního dvora jsou veřejně dostupné a podléhají důslednému postupu vyjasňování se subjekty, které byly předmětem auditu; </w:t>
            </w:r>
            <w:r>
              <w:rPr>
                <w:b/>
                <w:i/>
              </w:rPr>
              <w:t>je si vědom toho, že opačný scénář by vytvořil pro Účetní dvůr administrativní zátěž a nepřinesl by větší transparentnost</w:t>
            </w:r>
            <w:r>
              <w:t>;</w:t>
            </w:r>
          </w:p>
        </w:tc>
        <w:tc>
          <w:tcPr>
            <w:tcW w:w="4876" w:type="dxa"/>
            <w:tcBorders>
              <w:top w:val="nil"/>
              <w:left w:val="nil"/>
              <w:bottom w:val="nil"/>
              <w:right w:val="nil"/>
            </w:tcBorders>
          </w:tcPr>
          <w:p>
            <w:pPr>
              <w:pStyle w:val="Normal6a"/>
            </w:pPr>
            <w:r>
              <w:t>40.</w:t>
            </w:r>
            <w:r>
              <w:tab/>
            </w:r>
            <w:r>
              <w:rPr>
                <w:b/>
                <w:i/>
              </w:rPr>
              <w:t>i nadále odmítá</w:t>
            </w:r>
            <w:r>
              <w:t xml:space="preserve"> odůvodnění Účetního dvora, pokud jde o jeho rozhodnutí nepřipojit se k rejstříku transparentnosti, protože nemá vlastní zájem na ovlivňování rozhodování, jen poskytuje fakta a objektivní zpětnou vazbu o programech Unie; konstatuje, že všechny zprávy Účetního dvora jsou veřejně dostupné a podléhají důslednému postupu vyjasňování se subjekty, které byly předmětem auditu; </w:t>
            </w:r>
            <w:r>
              <w:rPr>
                <w:b/>
                <w:i/>
              </w:rPr>
              <w:t>znovu důrazně vyzývá Účetní dvůr, aby se připojil k unijnímu rejstříku transparentnosti s cílem dodržovat základní zásady transparentnosti a zároveň zajistil, aby nedocházelo k vytváření překážek, které by ohrožovaly plnou nezávislost Účetního dvora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oceňuje, že v roce 2023 bylo dosaženo významného pokroku při zavádění ekosystému pro správu dokumentů (DOME), konkrétně vytvoření a uplatňování jak nového elektronického podpisu, tak základního schvalovacího modulu pro PASS (postup schvalování, podepisování a zasílání dokumentů) prostřednictvím konkrétních postupů schvalování dokumentů;</w:t>
            </w:r>
            <w:r>
              <w:t xml:space="preserve"> </w:t>
            </w:r>
            <w:r>
              <w:rPr>
                <w:b/>
                <w:i/>
              </w:rPr>
              <w:t>vybízí Účetní dvůr, aby dále sledoval své cíle, kterými je digitalizace pracovních postupů v oblasti přezkumu a schvalování a zvýšení jejich účinnosti;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konstatuje, že Účetní dvůr byl i nadále aktivně zapojen do činnosti skupiny pro vznikající technologie v rámci Interinstitucionálního výboru pro digitální transformaci, která se v roce 2023 zaměřovala na činnost v oblasti umělé inteligence;</w:t>
            </w:r>
            <w:r>
              <w:t xml:space="preserve"> </w:t>
            </w:r>
            <w:r>
              <w:rPr>
                <w:b/>
                <w:i/>
              </w:rPr>
              <w:t>podotýká, že tým DATA (data a technologie pro audit) zřízený v roce 2021 pokračoval v práci na provádění plánu rozvoje pro lepší využívání technologií na podporu cílů auditu Účetního dvora, zejména při vypracování analýzy příležitostí a výzev spojených s umělou inteligencí, s nimiž se potýká Účetní dvůr v rámci své auditní činnosti, a poté začal vypracovávat návrh strategie pro využívání umělé inteligence v rámci auditu;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připomíná, že je důležité zlepšit digitalizaci auditní činnosti;</w:t>
            </w:r>
            <w:r>
              <w:t xml:space="preserve"> </w:t>
            </w:r>
            <w:r>
              <w:rPr>
                <w:b/>
                <w:i/>
              </w:rPr>
              <w:t>vítá veškeré úsilí, které v tomto směru Účetní dvůr i nadále vyvíjí, spolu s vyšším počtem návštěv na místě, což povede k vytvoření systému účinné a přesné auditní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naléhavě vyzývá Účetní dvůr, aby pro orgány a agentury EU vytvořil rámec pro audity kybernetické bezpečnosti, který by zajistil harmonizované bezpečnostní normy a opatření na zvýšení odolnosti vůči kybernetickým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 uznáním konstatuje, že Účetní dvůr provádí nejméně tři simulovaná cvičení napadení formou phishingu ročně, aby zvýšil povědomí uživatelů o této kybernetické hrozbě; dále konstatuje, že Účetní dvůr provádí každé tři roky komplexní posouzení rizik v oblasti kybernetické bezpečnosti;</w:t>
            </w:r>
          </w:p>
        </w:tc>
        <w:tc>
          <w:tcPr>
            <w:tcW w:w="4876" w:type="dxa"/>
            <w:tcBorders>
              <w:top w:val="nil"/>
              <w:left w:val="nil"/>
              <w:bottom w:val="nil"/>
              <w:right w:val="nil"/>
            </w:tcBorders>
          </w:tcPr>
          <w:p>
            <w:pPr>
              <w:pStyle w:val="Normal6a"/>
            </w:pPr>
            <w:r>
              <w:t>43.</w:t>
            </w:r>
            <w:r>
              <w:tab/>
            </w:r>
            <w:r>
              <w:t xml:space="preserve">s uznáním konstatuje, že Účetní dvůr provádí nejméně tři simulovaná cvičení napadení formou phishingu ročně, aby zvýšil povědomí uživatelů o této kybernetické hrozbě; dále konstatuje, že Účetní dvůr provádí každé tři roky komplexní posouzení rizik v oblasti kybernetické bezpečnosti; </w:t>
            </w:r>
            <w:r>
              <w:rPr>
                <w:b/>
                <w:i/>
              </w:rPr>
              <w:t>navrhuje Účetnímu dvoru, aby pro všechny zaměstnance pravidelně organizoval povinné školení o kybernetických hrozbách, mj. o osvědčených postupech zajišťujících bezpečné používání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s úlevou konstatuje, že nejsou žádné stopy po exfiltraci dat nebo laterálním pohybu útočníka do jiných IT systémů Účetního dvora během kybernetického incidentu v červenci 2023, během něhož byl prolomen jeden perimetr ochranných bran využitím zranitelnosti softwaru;</w:t>
            </w:r>
          </w:p>
        </w:tc>
        <w:tc>
          <w:tcPr>
            <w:tcW w:w="4876" w:type="dxa"/>
            <w:tcBorders>
              <w:top w:val="nil"/>
              <w:left w:val="nil"/>
              <w:bottom w:val="nil"/>
              <w:right w:val="nil"/>
            </w:tcBorders>
          </w:tcPr>
          <w:p>
            <w:pPr>
              <w:pStyle w:val="Normal6a"/>
            </w:pPr>
            <w:r>
              <w:t>44.</w:t>
            </w:r>
            <w:r>
              <w:tab/>
            </w:r>
            <w:r>
              <w:t xml:space="preserve">s úlevou konstatuje, že nejsou žádné stopy po exfiltraci dat nebo laterálním pohybu útočníka do jiných IT systémů Účetního dvora během kybernetického incidentu v červenci 2023, během něhož byl prolomen jeden perimetr ochranných bran využitím zranitelnosti softwaru; </w:t>
            </w:r>
            <w:r>
              <w:rPr>
                <w:b/>
                <w:i/>
              </w:rPr>
              <w:t>konstatuje, že prodejce odhalil zranitelnost softwaru pouze dva dny před incidentem;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naléhavě vyzývá Účetní dvůr, aby do svých strategií pro zadávání veřejných zakázek začlenil environmentální kritéria a zajistil, aby veškeré zakoupené zboží a služby splňovaly v souladu s pokyny EU pro zelené veřejné zakázky přísné normy týkající se udržitelnosti;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žádá orgán, aby Evropskému parlamentu a jeho Výboru pro rozpočtovou kontrolu poskytl jednak doporučení ohledně nových způsobů boje proti pochybením a zneužívání finančních prostředků EU, a to na základě vlastních interních zkušeností a zkušeností získaných v rámci dřívějších případů, a jednak osvědčené postupy, neboť bylo prokázáno, že finanční zájmy Evropské unie nebyly v Evropském parlamentu dobře chráněny;</w:t>
            </w:r>
            <w:r>
              <w:t xml:space="preserve"> </w:t>
            </w:r>
            <w:r>
              <w:rPr>
                <w:b/>
                <w:i/>
              </w:rPr>
              <w:t>domnívá se, že jak bylo odhaleno v rámci dané trestní věci a vyšetřování, Parlament by mohl v této věci využít nový pohled a podněty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vyzývá k formalizaci každoročního interinstitucionálního dialogu mezi Účetním dvorem, Evropským parlamentem, Radou a Komisí o rozpočtové kontrole, a zajistil tak systematická opatření navazující na zjištění auditu a lepší dohled nad výdaji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znovu připomíná, že účinná spolupráce mezi Účetním dvorem a Komisí bude i nadále omezená, pokud Komise nepřijme metodiku Účetního dvora pro posuzování míry chyb, která je založena na nezávislém a komplexním hodnocení všech porušení pravidel na rozdíl od Komise, která klade důraz na zpětně vymahatelné chyby;</w:t>
            </w:r>
          </w:p>
        </w:tc>
        <w:tc>
          <w:tcPr>
            <w:tcW w:w="4876" w:type="dxa"/>
            <w:tcBorders>
              <w:top w:val="nil"/>
              <w:left w:val="nil"/>
              <w:bottom w:val="nil"/>
              <w:right w:val="nil"/>
            </w:tcBorders>
          </w:tcPr>
          <w:p>
            <w:pPr>
              <w:pStyle w:val="Normal6a"/>
            </w:pPr>
            <w:r>
              <w:t>52.</w:t>
            </w:r>
            <w:r>
              <w:tab/>
            </w:r>
            <w:r>
              <w:t xml:space="preserve">znovu připomíná, že účinná spolupráce mezi Účetním dvorem a Komisí bude i nadále omezená, pokud Komise nepřijme metodiku Účetního dvora pro posuzování míry chyb, která je založena na nezávislém a komplexním hodnocení všech porušení pravidel na rozdíl od Komise, která klade důraz na zpětně vymahatelné chyby; </w:t>
            </w:r>
            <w:r>
              <w:rPr>
                <w:b/>
                <w:i/>
              </w:rPr>
              <w:t>Parlament důrazně odmítá využívání finančních prostředků EU jako prostředku politického nátlaku a vyzývá Evropský účetní dvůr, aby provedl zvláštní přezkum případů, kdy byl přístup k finančním prostředkům EU v případě některých členských států z politických důvodů omezen nebo podmíněn splněním určitých podmínek.</w:t>
            </w:r>
            <w:r>
              <w:t xml:space="preserve"> </w:t>
            </w:r>
            <w:r>
              <w:rPr>
                <w:b/>
                <w:i/>
              </w:rPr>
              <w:t>Objektivní a zákonný dohled nad finančními prostředky EU se nesmí stát nástrojem centralizovaných politických her bruselských elit.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vítá skutečnost, že Účetní dvůr úzce spolupracuje s úřadem OLAF i EPPO, mimo jiné i pořádáním workshopů a osvětových akcí a výměnou poznatků a odborných znalostí; dále konstatuje, že Účetní dvůr v roce 2023 předal 20 případů podezření na podvod úřadu OLAF a 17 případů úřadu EPPO;</w:t>
            </w:r>
          </w:p>
        </w:tc>
        <w:tc>
          <w:tcPr>
            <w:tcW w:w="4876" w:type="dxa"/>
            <w:tcBorders>
              <w:top w:val="nil"/>
              <w:left w:val="nil"/>
              <w:bottom w:val="nil"/>
              <w:right w:val="nil"/>
            </w:tcBorders>
          </w:tcPr>
          <w:p>
            <w:pPr>
              <w:pStyle w:val="Normal6a"/>
            </w:pPr>
            <w:r>
              <w:t>53.</w:t>
            </w:r>
            <w:r>
              <w:tab/>
            </w:r>
            <w:r>
              <w:t xml:space="preserve">vítá skutečnost, že Účetní dvůr úzce spolupracuje s úřadem OLAF i EPPO, mimo jiné i pořádáním workshopů a osvětových akcí a výměnou poznatků a odborných znalostí; dále konstatuje, že Účetní dvůr v roce 2023 předal 20 případů podezření na podvod úřadu OLAF a 17 případů úřadu EPPO; </w:t>
            </w:r>
            <w:r>
              <w:rPr>
                <w:b/>
                <w:i/>
              </w:rPr>
              <w:t>poukazuje na své stanovisko, že veškerá podezření na podvod by měla být za účelem důkladného vyšetření ihned předána úřadu OLAF a úřadu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vyzývá Účetní dvůr, aby zavedl strukturovaný mechanismus spolupráce s úřadem OLAF a Úřadem evropského veřejného žalobce za účelem odhalování podvodů, včetně dohod o sdílení údajů v reálném čase a přístupu společného auditu rizikových oblastí financování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vyzývá tento orgán, aby se zdržel propagace, šíření a podpory ideologie rovnosti žen a mužů a ideologie „woke“ a aby dodržoval Smlouvu a její ustanovení a respektoval národní identitu členských států, která spočívá v jejich základních strukturách, historii, náboženství a tradicích;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blahopřeje Účetnímu dvoru k jeho přesným a mnohem jasnějším zprávám, než jsou publikace Komise;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vybízí Účetní dvůr, aby v informačních polích uvedl další konkrétní příklady.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AM\1314489CS.docx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AM\1314489CS.docx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768.137</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AM\1314489CS.docx</w:t>
    </w:r>
    <w:r>
      <w:rPr>
        <w:rStyle w:val="HideTWBExt"/>
      </w:rPr>
      <w:t>&lt;/PathFdR&gt;</w:t>
    </w:r>
    <w:r>
      <w:tab/>
    </w:r>
    <w:r>
      <w:tab/>
    </w:r>
    <w:r>
      <w:t>PE</w:t>
    </w:r>
    <w:r>
      <w:rPr>
        <w:rStyle w:val="HideTWBExt"/>
      </w:rPr>
      <w:t>&lt;NoPE&gt;</w:t>
    </w:r>
    <w:r>
      <w:t>768.137</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8082</Words>
  <Characters>47010</Characters>
  <Application>Microsoft Office Word</Application>
  <DocSecurity>0</DocSecurity>
  <Lines>1</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1314489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134097</vt:lpwstr>
  </property>
  <property fmtid="{D5CDD505-2E9C-101B-9397-08002B2CF9AE}" pid="7" name="dmxml.render.traceId">
    <vt:lpwstr>67bd9c9decaaa29ee689369982acb283</vt:lpwstr>
  </property>
  <property fmtid="{D5CDD505-2E9C-101B-9397-08002B2CF9AE}" pid="8" name="FooterPath">
    <vt:lpwstr>AM\1314489CS.docx</vt:lpwstr>
  </property>
  <property fmtid="{D5CDD505-2E9C-101B-9397-08002B2CF9AE}" pid="9" name="PE Number">
    <vt:lpwstr>768.137</vt:lpwstr>
  </property>
  <property fmtid="{D5CDD505-2E9C-101B-9397-08002B2CF9AE}" pid="10" name="UID">
    <vt:lpwstr>eu.europa.europarl-DIN1-2025-0000020504_01.00-cs-01.00_text-xml</vt:lpwstr>
  </property>
</Properties>
</file>