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2024/2024</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11. 2. 2025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115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(PE764.994v01-00)</w:t>
      </w:r>
      <w:r>
        <w:rPr>
          <w:rStyle w:val="HideTWBExt"/>
        </w:rPr>
        <w:t>&lt;/DocRefPE&gt;</w:t>
      </w:r>
    </w:p>
    <w:p>
      <w:pPr>
        <w:pStyle w:val="CoverNormal"/>
      </w:pPr>
      <w:r>
        <w:rPr>
          <w:rStyle w:val="HideTWBExt"/>
        </w:rPr>
        <w:t>&lt;Titre&gt;</w:t>
      </w:r>
      <w:r>
        <w:t>Udělení absolutoria za rozpočtový rok 2023: souhrnný rozpočet EU – Evropská služba pro vnější činnost</w:t>
      </w:r>
      <w:r>
        <w:rPr>
          <w:rStyle w:val="HideTWBExt"/>
        </w:rPr>
        <w:t>&lt;/Titre&gt;</w:t>
      </w:r>
    </w:p>
    <w:p>
      <w:pPr>
        <w:pStyle w:val="CoverNormal24a"/>
      </w:pPr>
      <w:r>
        <w:rPr>
          <w:rStyle w:val="HideTWBExt"/>
        </w:rPr>
        <w:t>&lt;DocRef&gt;</w:t>
      </w:r>
      <w:r>
        <w:t>(2024/2024(DEC))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úlohou delegací je zastupovat Unii a její občany po celém světě prostřednictvím budování sítí a partnerství a prosazovat hodnoty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lidová referenda v roce 2005 odmítla Smlouvu o založení ESVČ;</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konstatuje, že 21 (30 %) ze 70 transakcí obsahovalo chyby, ale že Účetní dvůr na základě pěti chyb, které byly vyčísleny, odhaduje míru chyb pod prahem významnosti;</w:t>
            </w:r>
          </w:p>
        </w:tc>
        <w:tc>
          <w:tcPr>
            <w:tcW w:w="4876" w:type="dxa"/>
            <w:tcBorders>
              <w:top w:val="nil"/>
              <w:left w:val="nil"/>
              <w:bottom w:val="nil"/>
              <w:right w:val="nil"/>
            </w:tcBorders>
          </w:tcPr>
          <w:p>
            <w:pPr>
              <w:pStyle w:val="Normal6a"/>
            </w:pPr>
            <w:r>
              <w:t>3.</w:t>
            </w:r>
            <w:r>
              <w:tab/>
            </w:r>
            <w:r>
              <w:t xml:space="preserve">konstatuje, že 21 (30 %) ze 70 transakcí obsahovalo chyby, </w:t>
            </w:r>
            <w:r>
              <w:rPr>
                <w:b/>
                <w:i/>
              </w:rPr>
              <w:t>což je značné procento,</w:t>
            </w:r>
            <w:r>
              <w:t xml:space="preserve"> ale že Účetní dvůr na základě pěti chyb, které byly vyčísleny, odhaduje míru chyb pod prahem významnosti;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konstatuje, že Účetní dvůr ve své výroční zprávě za rozpočtový rok 2023 zjistil v jedné ze 13 zkoumaných plateb kvantifikovatelnou chybu a šest nekvantifikovatelných zjištění týkajících se ESVČ; konstatuje, že kvantifikovatelná chyba souvisela s chybějícím platným zadávacím řízením před uzavřením nájemní smlouvy v případě delegace Unie; konstatuje, že v roce 2023 přijala ESVČ opatření k odstranění obou kvantifikovatelných chyb, jež Účetní dvůr konstatoval ve své výroční zprávě za rok 2022, jakož i opatření, jež mají takovému problému zabránit do budoucna;</w:t>
            </w:r>
          </w:p>
        </w:tc>
        <w:tc>
          <w:tcPr>
            <w:tcW w:w="4876" w:type="dxa"/>
            <w:tcBorders>
              <w:top w:val="nil"/>
              <w:left w:val="nil"/>
              <w:bottom w:val="nil"/>
              <w:right w:val="nil"/>
            </w:tcBorders>
          </w:tcPr>
          <w:p>
            <w:pPr>
              <w:pStyle w:val="Normal6a"/>
            </w:pPr>
            <w:r>
              <w:t>4.</w:t>
            </w:r>
            <w:r>
              <w:tab/>
            </w:r>
            <w:r>
              <w:t xml:space="preserve">konstatuje </w:t>
            </w:r>
            <w:r>
              <w:rPr>
                <w:b/>
                <w:i/>
              </w:rPr>
              <w:t>se znepokojením</w:t>
            </w:r>
            <w:r>
              <w:t>, že Účetní dvůr ve své výroční zprávě za rozpočtový rok 2023 zjistil v jedné ze 13 zkoumaných plateb kvantifikovatelnou chybu a šest nekvantifikovatelných zjištění týkajících se ESVČ; konstatuje, že kvantifikovatelná chyba souvisela s chybějícím platným zadávacím řízením před uzavřením nájemní smlouvy v případě delegace Unie; konstatuje, že v roce 2023 přijala ESVČ opatření k odstranění obou kvantifikovatelných chyb, jež Účetní dvůr konstatoval ve své výroční zprávě za rok 2022, jakož i opatření, jež mají takovému problému zabránit do budoucna;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konečný rozpočet ESVČ na rozpočtový rok 2023 činil </w:t>
            </w:r>
            <w:r>
              <w:rPr>
                <w:b/>
                <w:i/>
              </w:rPr>
              <w:t>821 900 280 EUR, což</w:t>
            </w:r>
            <w:r>
              <w:t xml:space="preserve"> oproti roku 2022 představuje zvýšení o 4,45 %; konstatuje, že ESVČ měla k dispozici také částku 259,7 milionu EUR (včetně účelově vázaných příjmů a přenesených částek), kterou poskytla Komise na krytí správních nákladů souvisejících s jejími zaměstnanci pracujícími v delegacích Unie; dále konstatuje, že ESVČ obdržela další příspěvky v pevné výši na pokrytí společných nákladů na zaměstnance Evropského rozvojového fondu v delegacích a společných umístěních, jakož i další částky na základě dohody o společném umístění a dalších dohod; konstatuje, že celkové rozpočtové prostředky, které ESVČ v roce 2023 spravovala, tudíž činily </w:t>
            </w:r>
            <w:r>
              <w:rPr>
                <w:b/>
                <w:i/>
              </w:rPr>
              <w:t>1 198,2</w:t>
            </w:r>
            <w:r>
              <w:t xml:space="preserve"> milionu EUR (prostředky na závazky), což oproti předchozímu roku představuje nárůst o 4,8 %;</w:t>
            </w:r>
          </w:p>
        </w:tc>
        <w:tc>
          <w:tcPr>
            <w:tcW w:w="4876" w:type="dxa"/>
            <w:tcBorders>
              <w:top w:val="nil"/>
              <w:left w:val="nil"/>
              <w:bottom w:val="nil"/>
              <w:right w:val="nil"/>
            </w:tcBorders>
          </w:tcPr>
          <w:p>
            <w:pPr>
              <w:pStyle w:val="Normal6a"/>
            </w:pPr>
            <w:r>
              <w:t>5.</w:t>
            </w:r>
            <w:r>
              <w:tab/>
            </w:r>
            <w:r>
              <w:t xml:space="preserve">konstatuje, že konečný rozpočet ESVČ na rozpočtový rok 2023 činil </w:t>
            </w:r>
            <w:r>
              <w:rPr>
                <w:b/>
                <w:i/>
              </w:rPr>
              <w:t>821 900 280 EUR, což je naprosto enormní částka a</w:t>
            </w:r>
            <w:r>
              <w:t xml:space="preserve"> oproti roku 2022 představuje zvýšení o 4,45 %; konstatuje, že ESVČ měla k dispozici také částku 259,7 milionu EUR (včetně účelově vázaných příjmů a přenesených částek), kterou poskytla Komise na krytí správních nákladů souvisejících s jejími zaměstnanci pracujícími v delegacích Unie; dále konstatuje, že ESVČ obdržela další příspěvky v pevné výši na pokrytí společných nákladů na zaměstnance Evropského rozvojového fondu v delegacích a společných umístěních, jakož i další částky na základě dohody o společném umístění a dalších dohod; konstatuje, že celkové rozpočtové prostředky, které ESVČ v roce 2023 spravovala, tudíž činily </w:t>
            </w:r>
            <w:r>
              <w:rPr>
                <w:b/>
                <w:i/>
              </w:rPr>
              <w:t>1 198,2</w:t>
            </w:r>
            <w:r>
              <w:t xml:space="preserve"> milionu EUR (prostředky na závazky), což oproti předchozímu roku představuje nárůst o 4,8 %;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připomíná ESVČ doporučení Účetního dvora, že je nezbytné stanovit přísnější podmínky pomoci na Ukrajině při poskytování institucionální podpory soudním, donucovacím a státním institucím, zdůrazňovat kritéria integrity a odhodlání k reformám, zejména pokud jde o boj proti korupci na Ukrajině, a zaměřit se přitom na příspěvky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požaduje změnu mandátu ESVČ s cílem zdůraznit, že zahraniční politika je a měla by zůstat v pravomoci členských států, které přijímají kolektivní rozhodnutí jednomyslně;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připomíná, že Smlouva o Evropské unii stanoví, že cílem EU a jejích orgánů je podporovat mír, své hodnoty a blahobyt svých obyvatel, zachovávat mír, předcházet konfliktům a posilovat mezinárodní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konstatuje, že míra plnění rozpočtu u prostředků na závazky činila v roce 2023 100 %, zatímco u prostředků na platby činila 91,9 % oproti 90,6 % v roce 2022; konstatuje, že průměrná doba uskutečnění platby byla 13,57 dní, upozorňuje je však, že 8,63% celkového objemu prostředků bylo vyplaceno pozdě, a proto úroky z prodlení činily v roce </w:t>
            </w:r>
            <w:r>
              <w:rPr>
                <w:b/>
                <w:i/>
              </w:rPr>
              <w:t>2023 50 253,91 EUR</w:t>
            </w:r>
            <w:r>
              <w:t>; vyzývá ESVČ, aby se dále snažila zvýšit počet elektronických plateb a zlepšit digitalizaci pracovních postupů, zejména v delegacích;</w:t>
            </w:r>
          </w:p>
        </w:tc>
        <w:tc>
          <w:tcPr>
            <w:tcW w:w="4876" w:type="dxa"/>
            <w:tcBorders>
              <w:top w:val="nil"/>
              <w:left w:val="nil"/>
              <w:bottom w:val="nil"/>
              <w:right w:val="nil"/>
            </w:tcBorders>
          </w:tcPr>
          <w:p>
            <w:pPr>
              <w:pStyle w:val="Normal6a"/>
            </w:pPr>
            <w:r>
              <w:t>6.</w:t>
            </w:r>
            <w:r>
              <w:tab/>
            </w:r>
            <w:r>
              <w:t xml:space="preserve">konstatuje, že míra plnění rozpočtu u prostředků na závazky činila v roce 2023 100 %, zatímco u prostředků na platby činila 91,9 % oproti 90,6 % v roce 2022; konstatuje, že průměrná doba uskutečnění platby byla 13,57 dní, upozorňuje je však, že 8,63% celkového objemu prostředků bylo vyplaceno pozdě, a proto úroky z prodlení činily v roce </w:t>
            </w:r>
            <w:r>
              <w:rPr>
                <w:b/>
                <w:i/>
              </w:rPr>
              <w:t>2023 50 253,91 EUR;</w:t>
            </w:r>
            <w:r>
              <w:t xml:space="preserve"> </w:t>
            </w:r>
            <w:r>
              <w:rPr>
                <w:b/>
                <w:i/>
              </w:rPr>
              <w:t>naléhavě vyzývá ESVČ, aby své závazky hradila včas</w:t>
            </w:r>
            <w:r>
              <w:t>; vyzývá ESVČ, aby se dále snažila zvýšit počet elektronických plateb a zlepšit digitalizaci pracovních postupů, zejména v delegacích;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konstatuje, že míra plnění rozpočtu u prostředků na závazky činila v roce 2023 100 %, zatímco u prostředků na platby činila 91,9 % oproti 90,6 % v roce 2022; konstatuje, že průměrná doba uskutečnění platby byla 13,57 dní, upozorňuje je však, že 8,63% celkového objemu prostředků bylo vyplaceno pozdě, a proto úroky z prodlení činily v roce </w:t>
            </w:r>
            <w:r>
              <w:rPr>
                <w:b/>
                <w:i/>
              </w:rPr>
              <w:t>2023 50 253,91 EUR;</w:t>
            </w:r>
            <w:r>
              <w:t xml:space="preserve"> vyzývá ESVČ, aby se dále snažila zvýšit počet elektronických plateb a zlepšit digitalizaci pracovních postupů, zejména v delegacích;</w:t>
            </w:r>
          </w:p>
        </w:tc>
        <w:tc>
          <w:tcPr>
            <w:tcW w:w="4876" w:type="dxa"/>
            <w:tcBorders>
              <w:top w:val="nil"/>
              <w:left w:val="nil"/>
              <w:bottom w:val="nil"/>
              <w:right w:val="nil"/>
            </w:tcBorders>
          </w:tcPr>
          <w:p>
            <w:pPr>
              <w:pStyle w:val="Normal6a"/>
            </w:pPr>
            <w:r>
              <w:t>6.</w:t>
            </w:r>
            <w:r>
              <w:tab/>
            </w:r>
            <w:r>
              <w:t xml:space="preserve">konstatuje, že míra plnění rozpočtu u prostředků na závazky činila v roce 2023 100 %, zatímco u prostředků na platby činila 91,9 % oproti 90,6 % v roce 2022; konstatuje, že průměrná doba uskutečnění platby byla 13,57 dní, upozorňuje je však, že 8,63% celkového objemu prostředků bylo vyplaceno pozdě, a proto úroky z prodlení činily v roce </w:t>
            </w:r>
            <w:r>
              <w:rPr>
                <w:b/>
                <w:i/>
              </w:rPr>
              <w:t>2023 50 253,91 EUR;</w:t>
            </w:r>
            <w:r>
              <w:t xml:space="preserve"> </w:t>
            </w:r>
            <w:r>
              <w:rPr>
                <w:b/>
                <w:i/>
              </w:rPr>
              <w:t>naléhavě</w:t>
            </w:r>
            <w:r>
              <w:t xml:space="preserve"> vyzývá ESVČ, aby se dále snažila zvýšit počet elektronických plateb a zlepšit digitalizaci pracovních postupů, zejména v delegacích;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míra plnění rozpočtu u prostředků na závazky činila v roce 2023 100 %, zatímco u prostředků na platby činila 91,9 % oproti 90,6 % v roce 2022; konstatuje, že průměrná doba uskutečnění platby byla 13,57 dní</w:t>
            </w:r>
            <w:r>
              <w:rPr>
                <w:b/>
                <w:i/>
              </w:rPr>
              <w:t>, upozorňuje je však, že 8,63%</w:t>
            </w:r>
            <w:r>
              <w:t xml:space="preserve"> celkového objemu prostředků bylo vyplaceno pozdě, a proto úroky z prodlení činily v roce </w:t>
            </w:r>
            <w:r>
              <w:rPr>
                <w:b/>
                <w:i/>
              </w:rPr>
              <w:t>2023 50 253,91</w:t>
            </w:r>
            <w:r>
              <w:t xml:space="preserve"> EUR; vyzývá ESVČ, aby se dále snažila zvýšit počet elektronických plateb a zlepšit digitalizaci pracovních postupů, zejména v delegacích;</w:t>
            </w:r>
          </w:p>
        </w:tc>
        <w:tc>
          <w:tcPr>
            <w:tcW w:w="4876" w:type="dxa"/>
            <w:tcBorders>
              <w:top w:val="nil"/>
              <w:left w:val="nil"/>
              <w:bottom w:val="nil"/>
              <w:right w:val="nil"/>
            </w:tcBorders>
          </w:tcPr>
          <w:p>
            <w:pPr>
              <w:pStyle w:val="Normal6a"/>
            </w:pPr>
            <w:r>
              <w:t>6.</w:t>
            </w:r>
            <w:r>
              <w:tab/>
            </w:r>
            <w:r>
              <w:t>konstatuje, že míra plnění rozpočtu u prostředků na závazky činila v roce 2023 100 %, zatímco u prostředků na platby činila 91,9 % oproti 90,6 % v roce 2022; konstatuje, že průměrná doba uskutečnění platby byla 13,57 dní</w:t>
            </w:r>
            <w:r>
              <w:rPr>
                <w:b/>
                <w:i/>
              </w:rPr>
              <w:t>;</w:t>
            </w:r>
            <w:r>
              <w:t xml:space="preserve"> </w:t>
            </w:r>
            <w:r>
              <w:rPr>
                <w:b/>
                <w:i/>
              </w:rPr>
              <w:t>se zděšením konstatuje, že 8,63 %</w:t>
            </w:r>
            <w:r>
              <w:t xml:space="preserve"> celkového objemu prostředků bylo vyplaceno pozdě, a proto úroky z prodlení činily v roce </w:t>
            </w:r>
            <w:r>
              <w:rPr>
                <w:b/>
                <w:i/>
              </w:rPr>
              <w:t>2023 50 253,91</w:t>
            </w:r>
            <w:r>
              <w:t> EUR; vyzývá ESVČ, aby se dále snažila zvýšit počet elektronických plateb a zlepšit digitalizaci pracovních postupů, zejména v delegacích;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konstatuje, že finanční strop Evropského mírového nástroje řízeného z pověření vysokého představitele, místopředsedy Komise byl z 5,6 milionů EUR navýšen na více než 12 milionů EUR v roce 2023; konstatuje, že izraelsko-palestinský konflikt, který opětovně zažehl útok Hamásu ze dne 7. října 2023, přiměl ESVČ zintenzívnit diplomatické úsilí, vybízet orgány a instituce Unie, aby vyzývaly k deeskalaci napětí v regionu, reagovat na humanitární potřeby a podporovat mírové úsilí v regionu;</w:t>
            </w:r>
          </w:p>
        </w:tc>
        <w:tc>
          <w:tcPr>
            <w:tcW w:w="4876" w:type="dxa"/>
            <w:tcBorders>
              <w:top w:val="nil"/>
              <w:left w:val="nil"/>
              <w:bottom w:val="nil"/>
              <w:right w:val="nil"/>
            </w:tcBorders>
          </w:tcPr>
          <w:p>
            <w:pPr>
              <w:pStyle w:val="Normal6a"/>
            </w:pPr>
            <w:r>
              <w:t>8.</w:t>
            </w:r>
            <w:r>
              <w:tab/>
            </w:r>
            <w:r>
              <w:t xml:space="preserve">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w:t>
            </w:r>
            <w:r>
              <w:rPr>
                <w:b/>
                <w:i/>
              </w:rPr>
              <w:t>uznává úlohu ESVČ při shromažďování důkazů proti subjektům podporovaným ruským státem, na něž se vztahují sankce EU, a jednotlivcům zapojeným do šíření dezinformací a manipulace s informacemi k ospravedlnění ruské útočné války;</w:t>
            </w:r>
            <w:r>
              <w:t xml:space="preserve"> </w:t>
            </w:r>
            <w:r>
              <w:rPr>
                <w:b/>
                <w:i/>
              </w:rPr>
              <w:t>zdůrazňuje, že je třeba poskytnout odpovídající zdroje oddělení pro strategickou komunikaci a strategický výhled Evropské služby pro vnější činnost (ESVČ) s cílem účinně bojovat proti dezinformačním kampaním využívaným autoritářskými a neliberálními režimy jako strategické nástroje;</w:t>
            </w:r>
            <w:r>
              <w:t xml:space="preserve"> konstatuje, že finanční strop Evropského mírového nástroje řízeného z pověření vysokého představitele, místopředsedy Komise byl z 5,6 milionů EUR navýšen na více než 12 milionů EUR v roce 2023; konstatuje, že izraelsko-palestinský konflikt, který opětovně zažehl útok Hamásu ze dne 7. října 2023, přiměl ESVČ zintenzívnit diplomatické úsilí, vybízet orgány a instituce Unie, aby vyzývaly k deeskalaci napětí v regionu, reagovat na humanitární potřeby a podporovat mírové úsilí v regionu; </w:t>
            </w:r>
            <w:r>
              <w:rPr>
                <w:b/>
                <w:i/>
              </w:rPr>
              <w:t>zdůrazňuje, že pomoc EU a ESVČ musí být v souladu s širšími cíli v oblasti lidských práv a míru v regionu a že musí být zavedeny silné záruky, které zajistí, aby finanční prostředky přímo ani nepřímo nepodporovaly teroristické nebo násilné činnosti;</w:t>
            </w:r>
            <w:r>
              <w:t xml:space="preserve"> </w:t>
            </w:r>
            <w:r>
              <w:rPr>
                <w:b/>
                <w:i/>
              </w:rPr>
              <w:t>požaduje, aby EU zahájila financování obnovy Gazy až poté, co budou propuštěni všichni rukojmí Hamásu;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konstatuje, že finanční strop Evropského mírového nástroje řízeného z pověření vysokého představitele, místopředsedy Komise byl z 5,6 milionů EUR navýšen na více než 12 milionů EUR v roce 2023; konstatuje, že izraelsko-palestinský konflikt, který opětovně zažehl útok Hamásu ze dne 7. října 2023, přiměl ESVČ zintenzívnit diplomatické úsilí, vybízet orgány a instituce Unie, aby vyzývaly k deeskalaci napětí v regionu, reagovat na humanitární potřeby a podporovat mírové úsilí v regionu;</w:t>
            </w:r>
          </w:p>
        </w:tc>
        <w:tc>
          <w:tcPr>
            <w:tcW w:w="4876" w:type="dxa"/>
            <w:tcBorders>
              <w:top w:val="nil"/>
              <w:left w:val="nil"/>
              <w:bottom w:val="nil"/>
              <w:right w:val="nil"/>
            </w:tcBorders>
          </w:tcPr>
          <w:p>
            <w:pPr>
              <w:pStyle w:val="Normal6a"/>
            </w:pPr>
            <w:r>
              <w:t>8.</w:t>
            </w:r>
            <w:r>
              <w:tab/>
            </w:r>
            <w:r>
              <w:t xml:space="preserve">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w:t>
            </w:r>
            <w:r>
              <w:rPr>
                <w:b/>
                <w:i/>
              </w:rPr>
              <w:t>vyzývá ESVČ, aby posílila delegace Unie v zemích Východního partnerství s cílem podpořit země, které jsou výrazně zasaženy ruskou vojenskou agresí vůči Ukrajině;</w:t>
            </w:r>
            <w:r>
              <w:t xml:space="preserve"> konstatuje, že finanční strop Evropského mírového nástroje řízeného z pověření vysokého představitele, místopředsedy Komise byl z 5,6 milionů EUR navýšen na více než 12 milionů EUR v roce 2023; </w:t>
            </w:r>
            <w:r>
              <w:rPr>
                <w:b/>
                <w:i/>
              </w:rPr>
              <w:t>vyzývá ESVČ, aby spolupracovala s GŘ NEAR s cílem zajistit účinný dohled a monitorování projektů financovaných z nástroje;</w:t>
            </w:r>
            <w:r>
              <w:t xml:space="preserve"> konstatuje, že izraelsko-palestinský konflikt, který opětovně zažehl útok Hamásu ze dne 7. října 2023, přiměl ESVČ zintenzívnit diplomatické úsilí, vybízet orgány a instituce Unie, aby vyzývaly k deeskalaci napětí v regionu, reagovat na humanitární potřeby a podporovat mírové úsilí v regionu; </w:t>
            </w:r>
            <w:r>
              <w:rPr>
                <w:b/>
                <w:i/>
              </w:rPr>
              <w:t>zdůrazňuje význam transparentnosti při přidělování finančních zdrojů ve třetích zemích pro zajištění odpovědnosti při využívání rozpočtu EU a nových finančních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konstatuje, že finanční strop Evropského mírového nástroje řízeného z pověření vysokého představitele, místopředsedy Komise byl z 5,6 milionů EUR navýšen na více než 12 milionů EUR v roce 2023; </w:t>
            </w:r>
            <w:r>
              <w:rPr>
                <w:b/>
                <w:i/>
              </w:rPr>
              <w:t>konstatuje</w:t>
            </w:r>
            <w:r>
              <w:t xml:space="preserve">, že izraelsko-palestinský konflikt, který opětovně zažehl útok Hamásu ze dne 7. října 2023, </w:t>
            </w:r>
            <w:r>
              <w:rPr>
                <w:b/>
                <w:i/>
              </w:rPr>
              <w:t>přiměl ESVČ zintenzívnit diplomatické úsilí, vybízet</w:t>
            </w:r>
            <w:r>
              <w:t xml:space="preserve"> orgány a instituce Unie, aby vyzývaly k deeskalaci napětí v regionu, </w:t>
            </w:r>
            <w:r>
              <w:rPr>
                <w:b/>
                <w:i/>
              </w:rPr>
              <w:t>reagovat</w:t>
            </w:r>
            <w:r>
              <w:t xml:space="preserve"> na humanitární potřeby a </w:t>
            </w:r>
            <w:r>
              <w:rPr>
                <w:b/>
                <w:i/>
              </w:rPr>
              <w:t>podporovat</w:t>
            </w:r>
            <w:r>
              <w:t xml:space="preserve"> mírové úsilí v regionu;</w:t>
            </w:r>
          </w:p>
        </w:tc>
        <w:tc>
          <w:tcPr>
            <w:tcW w:w="4876" w:type="dxa"/>
            <w:tcBorders>
              <w:top w:val="nil"/>
              <w:left w:val="nil"/>
              <w:bottom w:val="nil"/>
              <w:right w:val="nil"/>
            </w:tcBorders>
          </w:tcPr>
          <w:p>
            <w:pPr>
              <w:pStyle w:val="Normal6a"/>
            </w:pPr>
            <w:r>
              <w:t>8.</w:t>
            </w:r>
            <w:r>
              <w:tab/>
            </w:r>
            <w:r>
              <w:t xml:space="preserve">konstatuje, že ESVČ se v roce 2023 potýkala s narůstajícími politickými a finančními problémy a s problémy souvisejícími s dodržováním lidských práv a právního státu; konstatuje, že ruská útočná válka proti Ukrajině a její geopolitické důsledky byly i v roce 2023 prvořadou záležitostí, a proto ESVČ zajišťovala rozsáhlou podporu pro Ukrajinu, vyvíjela tlak na Rusko a na světové úrovni usilovala o spolupráci s cílem řešit důsledky války, mimo jiné provádět akční plán pro geopolitické důsledky ruské agrese vůči Ukrajině; konstatuje, že finanční strop Evropského mírového nástroje řízeného z pověření vysokého představitele, místopředsedy Komise byl z 5,6 milionů EUR navýšen na více než 12 milionů EUR v roce 2023; </w:t>
            </w:r>
            <w:r>
              <w:rPr>
                <w:b/>
                <w:i/>
              </w:rPr>
              <w:t>vyjadřuje politování nad tím</w:t>
            </w:r>
            <w:r>
              <w:t xml:space="preserve">, že izraelsko-palestinský konflikt, který opětovně zažehl útok Hamásu ze dne 7. října 2023, </w:t>
            </w:r>
            <w:r>
              <w:rPr>
                <w:b/>
                <w:i/>
              </w:rPr>
              <w:t>vedl k rozhodnutí ESVČ zvýšit podporu UNRWA;</w:t>
            </w:r>
            <w:r>
              <w:t xml:space="preserve"> </w:t>
            </w:r>
            <w:r>
              <w:rPr>
                <w:b/>
                <w:i/>
              </w:rPr>
              <w:t>vybízí</w:t>
            </w:r>
            <w:r>
              <w:t xml:space="preserve"> orgány a instituce Unie, aby vyzývaly k deeskalaci napětí v regionu, </w:t>
            </w:r>
            <w:r>
              <w:rPr>
                <w:b/>
                <w:i/>
              </w:rPr>
              <w:t>reagovaly</w:t>
            </w:r>
            <w:r>
              <w:t xml:space="preserve"> na humanitární potřeby a </w:t>
            </w:r>
            <w:r>
              <w:rPr>
                <w:b/>
                <w:i/>
              </w:rPr>
              <w:t>podporovaly</w:t>
            </w:r>
            <w:r>
              <w:t xml:space="preserve"> mírové úsilí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vyjadřuje politování nad tím, že v letech 2014 až 2021 poskytla EU finanční prostředky ve výši přibližně 1,7 milionu EUR Islámské univerzitě v Gaze, která byla čtyři dny po útocích ze dne 7. října izraelskými nálety srovnaná se zemí; podle Izraelských obranných sil (IDF) byla Islámská univerzita „důležitým operačním, politickým a vojenským centrem Hamásu v Gaze“;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naléhavě vyzývá ESVČ, aby úzce spolupracovala s Komisí s cílem zajistit, aby na pořadu případných budoucích opatření týkajících se Ruské federace byla úplná restituce rumunského národního pokladu a národního dědictví dalších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odsuzuje zapojení zaměstnanců UNRWA do teroristického útoku ze dne 7. října 2023;</w:t>
            </w:r>
            <w:r>
              <w:t xml:space="preserve"> </w:t>
            </w:r>
            <w:r>
              <w:rPr>
                <w:b/>
                <w:i/>
              </w:rPr>
              <w:t>požaduje, aby ESVČ a Komise okamžitě přesměrovaly finanční prostředky od agentury UNRWA vzhledem k obavám, že by peníze daňových poplatníků EU mohly být zneužity;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vyzývá ESVČ, aby okamžitě ukončila veškerou finanční podporu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odsuzuje UNRWA za to, že neprovedla doporučení 34 a 35 zprávy, v nichž se vyzývá k přezkumu učebnic s Izraelem a výslovně požaduje zákaz nenávistných projevů, podněcování k násilí a antisemitských odkazů v učebnicích a doplňkových učebních materiálech vyráběných na místní úrovni ve školách UNRWA;</w:t>
            </w:r>
            <w:r>
              <w:t xml:space="preserve"> </w:t>
            </w:r>
            <w:r>
              <w:rPr>
                <w:b/>
                <w:i/>
              </w:rPr>
              <w:t>žádá ESVČ a Komisi, aby stanovily jako podmínku, že žádné finanční prostředky nebudou přímo či nepřímo přidělovány nebo spojeny s vzdělávacími materiály nebo pracovníky zapojenými do terorismu, radikalizace a podněcování, a aby to pečlivě kontrolovaly;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odsuzuje Palestinskou národní správu za systematickou propagaci antisemitismu ve svém vzdělávacím systému, což přímo přispělo k radikalizaci palestinské mládeže a hrálo úlohu při brutálních činech, k nimž došlo dne 7. října 2023;</w:t>
            </w:r>
            <w:r>
              <w:t xml:space="preserve"> </w:t>
            </w:r>
            <w:r>
              <w:rPr>
                <w:b/>
                <w:i/>
              </w:rPr>
              <w:t>odsuzuje skutečnost, že finanční prostředky EU nadále podporují vzdělávací systém, který oslavuje terorismus, podněcuje nenávist vůči Židům a Izraelcům a oslabuje vyhlídky na mír a soužití navzdory pokračující angažovanosti a finanční podpoře EU, a vyjadřuje nad tím hluboké znepokojení;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vyjadřuje hluboké znepokojení nad tím, že ESVČ neřeší opakovaná varování Parlamentu týkající se zneužívání finančních prostředků EU teroristickými organizacemi místo toho, aby z nich mělo prospěch palestinské civilní obyvatelstvo;</w:t>
            </w:r>
            <w:r>
              <w:t xml:space="preserve"> </w:t>
            </w:r>
            <w:r>
              <w:rPr>
                <w:b/>
                <w:i/>
              </w:rPr>
              <w:t>je hluboce znepokojen tvrzeními o zapojení zaměstnanců UNRWA do teroristických činů;</w:t>
            </w:r>
            <w:r>
              <w:t xml:space="preserve"> </w:t>
            </w:r>
            <w:r>
              <w:rPr>
                <w:b/>
                <w:i/>
              </w:rPr>
              <w:t>naléhavě vyzývá ESVČ, aby zabránila zneužívání peněz daňových poplatníků EU;</w:t>
            </w:r>
            <w:r>
              <w:t xml:space="preserve"> </w:t>
            </w:r>
            <w:r>
              <w:rPr>
                <w:b/>
                <w:i/>
              </w:rPr>
              <w:t>naléhavě vyzývá ESVČ a Komisi, aby trvaly na kontrolách a auditech agentury UNRWA prováděných nezávislými externími odborníky jmenovanými EÚD a EU;</w:t>
            </w:r>
            <w:r>
              <w:t xml:space="preserve"> </w:t>
            </w:r>
            <w:r>
              <w:rPr>
                <w:b/>
                <w:i/>
              </w:rPr>
              <w:t>vyzývá ESVČ, aby při poskytování finančních prostředků a pomoci palestinským civilistům využívala jiné důvěryhodné partnery v Gaze a na palestinských územích;</w:t>
            </w:r>
            <w:r>
              <w:t xml:space="preserve"> </w:t>
            </w:r>
            <w:r>
              <w:rPr>
                <w:b/>
                <w:i/>
              </w:rPr>
              <w:t>vyzývá ESVČ, aby informovala Parlament o změnách ve spolupráci mezi ESVČ a Palestinskou národní správou;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odsuzuje problematický a nenávistný obsah, který podporuje násilí, šíří antisemitismus a podněcuje k nenávisti v palestinských školních učebnicích;</w:t>
            </w:r>
            <w:r>
              <w:t xml:space="preserve"> </w:t>
            </w:r>
            <w:r>
              <w:rPr>
                <w:b/>
                <w:i/>
              </w:rPr>
              <w:t>zdůrazňuje, že finanční podpora Unie Palestinské národní správě v oblasti vzdělávání je podmíněna plným dodržováním norem UNESCO týkajících se míru a tolerance;</w:t>
            </w:r>
            <w:r>
              <w:t xml:space="preserve"> </w:t>
            </w:r>
            <w:r>
              <w:rPr>
                <w:b/>
                <w:i/>
              </w:rPr>
              <w:t>vyzývá ESVČ, aby společně s Komisí zajistily, že žádné finanční prostředky Unie nebudou přímo ani nepřímo přidělovány na vypracování takových vzdělávacích materiálů, jejich používání při výuce nebo jejich zpřístupnění palestinským dětem, včetně materiálů poskytovaných organizacemi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a znovu potvrzuje předchozí přijaté absolutorium EP, v němž se požaduje, aby veškerá finanční pomoc EU Palestinské národní správě byla podmíněna úplným a ověřitelným odstraněním antisemitismu, nenávisti a podněcování k násilí z jejích učebních osnov, a to na všech stupních a ve všech předmětech;</w:t>
            </w:r>
            <w:r>
              <w:t xml:space="preserve"> </w:t>
            </w:r>
            <w:r>
              <w:rPr>
                <w:b/>
                <w:i/>
              </w:rPr>
              <w:t>dokud nebudou tyto reformy plně provedeny na všech stupních a ve všech předmětech, musí zůstat finanční prostředky EU zmrazeny;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konstatuje, že tato univerzita odmítla v roce 2020 podepsat doložku, která stanoví, že „žádný subdodavatel nebo fyzická osoba, včetně účastníků workshopů a/nebo školení a příjemců finanční podpory třetím stranám“ nejsou ze strany EU uvedeni na seznamu teroristů;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vyzývá ESVČ, aby spolupracovala s Komisí s cílem zajistit, aby Palestinská národní správa neprodleně odstranila veškeré vzdělávací materiály, které nesplňují normy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vyzývá Radu, aby pověřila ESVČ plně podporovat diplomatické úsilí vlády USA o přemístění Palestinců z pásma Gazy do Egypta a Jordánska, čímž se sníží migrační tlaky z této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konstatuje,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w:t>
            </w:r>
            <w:r>
              <w:rPr>
                <w:b/>
                <w:i/>
              </w:rPr>
              <w:t>odsuzuje skutečnost, že ESVČ musela z rozpočtových důvodů upřednostnit účast zaměstnanců ve volebních pozorovatelských misích před jinými typy misí, například před navazujícími misemi</w:t>
            </w:r>
            <w:r>
              <w:t>;</w:t>
            </w:r>
          </w:p>
        </w:tc>
        <w:tc>
          <w:tcPr>
            <w:tcW w:w="4876" w:type="dxa"/>
            <w:tcBorders>
              <w:top w:val="nil"/>
              <w:left w:val="nil"/>
              <w:bottom w:val="nil"/>
              <w:right w:val="nil"/>
            </w:tcBorders>
          </w:tcPr>
          <w:p>
            <w:pPr>
              <w:pStyle w:val="Normal6a"/>
            </w:pPr>
            <w:r>
              <w:t>9.</w:t>
            </w:r>
            <w:r>
              <w:tab/>
            </w:r>
            <w:r>
              <w:t xml:space="preserve">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konstatuje,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w:t>
            </w:r>
            <w:r>
              <w:rPr>
                <w:b/>
                <w:i/>
              </w:rPr>
              <w:t>vyzývá ESVČ, aby omezila své činnosti v neprioritních třetích zemích, počínaje zrušením nákladných velvyslanectví, delegací a zastoupení a omezením počtu recepcí organizovaných těmito subjekty;</w:t>
            </w:r>
            <w:r>
              <w:t xml:space="preserve"> </w:t>
            </w:r>
            <w:r>
              <w:rPr>
                <w:b/>
                <w:i/>
              </w:rPr>
              <w:t>vyzývá k tomu, aby se Evropa v první řadě zaměřila na třetí země, které jednoznačně přispívají k bezprostředním zájmům EU, jako je hospodářská prosperita a energetická bezpečnost, ochrana hranic a předcházení masovým migračním tokům směřujícím do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konstatuje,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odsuzuje skutečnost, že ESVČ musela z rozpočtových důvodů upřednostnit účast zaměstnanců ve volebních pozorovatelských misích před jinými typy misí, například před navazujícími misemi;</w:t>
            </w:r>
          </w:p>
        </w:tc>
        <w:tc>
          <w:tcPr>
            <w:tcW w:w="4876" w:type="dxa"/>
            <w:tcBorders>
              <w:top w:val="nil"/>
              <w:left w:val="nil"/>
              <w:bottom w:val="nil"/>
              <w:right w:val="nil"/>
            </w:tcBorders>
          </w:tcPr>
          <w:p>
            <w:pPr>
              <w:pStyle w:val="Normal6a"/>
            </w:pPr>
            <w:r>
              <w:t>9.</w:t>
            </w:r>
            <w:r>
              <w:tab/>
            </w:r>
            <w:r>
              <w:t xml:space="preserve">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konstatuje,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odsuzuje skutečnost, že ESVČ musela z rozpočtových důvodů upřednostnit účast zaměstnanců ve volebních pozorovatelských misích před jinými typy misí, například před navazujícími misemi; </w:t>
            </w:r>
            <w:r>
              <w:rPr>
                <w:b/>
                <w:i/>
              </w:rPr>
              <w:t>zdůrazňuje, že je nezbytné zřídit diplomatickou službu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w:t>
            </w:r>
            <w:r>
              <w:rPr>
                <w:b/>
                <w:i/>
              </w:rPr>
              <w:t>konstatuje</w:t>
            </w:r>
            <w:r>
              <w:t>,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odsuzuje skutečnost, že ESVČ musela z rozpočtových důvodů upřednostnit účast zaměstnanců ve volebních pozorovatelských misích před jinými typy misí, například před navazujícími misemi;</w:t>
            </w:r>
          </w:p>
        </w:tc>
        <w:tc>
          <w:tcPr>
            <w:tcW w:w="4876" w:type="dxa"/>
            <w:tcBorders>
              <w:top w:val="nil"/>
              <w:left w:val="nil"/>
              <w:bottom w:val="nil"/>
              <w:right w:val="nil"/>
            </w:tcBorders>
          </w:tcPr>
          <w:p>
            <w:pPr>
              <w:pStyle w:val="Normal6a"/>
            </w:pPr>
            <w:r>
              <w:t>9.</w:t>
            </w:r>
            <w:r>
              <w:tab/>
            </w:r>
            <w:r>
              <w:t xml:space="preserve">konstatuje, že ESVČ v roce 2023 oznámila podstatná rozpočtová omezení, v jejichž důsledku provedla drastické škrty a optimalizaci rozpočtu, aby se mohla vyrovnat s inflací ve třetích zemích, kolísáním místních měn a nárůstem cen, zejména pak s náklady na pronájem kancelářských prostor, informační technologie, zabezpečení a ceny energií, kvůli nimž měla ESVČ v cizích zemích mnohem vyšší provozní náklady, které nepříznivě ovlivnily její schopnost efektivně fungovat a plnit povinnost řádné péče ve vztahu k zaměstnancům vyslaným v delegacích; </w:t>
            </w:r>
            <w:r>
              <w:rPr>
                <w:b/>
                <w:i/>
              </w:rPr>
              <w:t>vyjadřuje politování nad tím</w:t>
            </w:r>
            <w:r>
              <w:t>, že kvůli rozpočtovým tlakům ESVČ odložila údržbu infrastruktury, vyčlenila nebo zrušila výdaje související se zabezpečením v delegacích a škrtla rozpočtová místa, například v rozpočtu na služební cesty a reprezentaci, kancelářské potřeby a kurzy odborné přípravy; odsuzuje skutečnost, že ESVČ musela z rozpočtových důvodů upřednostnit účast zaměstnanců ve volebních pozorovatelských misích před jinými typy misí, například před navazujícími misemi;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v 52 % případů; konstatuje, že jedním z důvodů poměrně vysokého počtu neúspěšných zadávacích řízení mohou být vysoké normy a složitost unijních zadávacích řízení, neboť uplatňování unijních pravidel může být pro uchazeče, především na místních trzích, náročné; </w:t>
            </w:r>
            <w:r>
              <w:rPr>
                <w:b/>
                <w:i/>
              </w:rPr>
              <w:t>vítá</w:t>
            </w:r>
            <w:r>
              <w:t>, že v případě vnější činnosti byla pravidla pro zadávání veřejných zakázek v přepracovaném znění finančního nařízení zjednodušena;</w:t>
            </w:r>
          </w:p>
        </w:tc>
        <w:tc>
          <w:tcPr>
            <w:tcW w:w="4876" w:type="dxa"/>
            <w:tcBorders>
              <w:top w:val="nil"/>
              <w:left w:val="nil"/>
              <w:bottom w:val="nil"/>
              <w:right w:val="nil"/>
            </w:tcBorders>
          </w:tcPr>
          <w:p>
            <w:pPr>
              <w:pStyle w:val="Normal6a"/>
            </w:pPr>
            <w:r>
              <w:t>10.</w:t>
            </w:r>
            <w:r>
              <w:tab/>
            </w:r>
            <w:r>
              <w:t xml:space="preserve">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v 52 % případů; konstatuje, že jedním z důvodů poměrně vysokého počtu neúspěšných zadávacích řízení mohou být vysoké normy a složitost unijních zadávacích řízení, neboť uplatňování unijních pravidel může být pro uchazeče, především na místních trzích, náročné; </w:t>
            </w:r>
            <w:r>
              <w:rPr>
                <w:b/>
                <w:i/>
              </w:rPr>
              <w:t>vyjadřuje politování nad tím</w:t>
            </w:r>
            <w:r>
              <w:t xml:space="preserve">, že v případě vnější činnosti byla pravidla pro zadávání veřejných zakázek v přepracovaném znění finančního nařízení zjednodušena; </w:t>
            </w:r>
            <w:r>
              <w:rPr>
                <w:b/>
                <w:i/>
              </w:rPr>
              <w:t>zdůrazňuje, že pravidla pro zadávání veřejných zakázek mají zajistit, aby financované projekty podléhaly přísným normám a nebyly náchylné k podvodům;</w:t>
            </w:r>
            <w:r>
              <w:t xml:space="preserve"> </w:t>
            </w:r>
            <w:r>
              <w:rPr>
                <w:b/>
                <w:i/>
              </w:rPr>
              <w:t>vyzývá ESVČ, aby v každém výběrovém řízení vždy usilovala o co nejvyšší úroveň kontroly;</w:t>
            </w:r>
            <w:r>
              <w:t xml:space="preserve"> </w:t>
            </w:r>
            <w:r>
              <w:rPr>
                <w:b/>
                <w:i/>
              </w:rPr>
              <w:t>domnívá se, že nedostatečná informovanost třetích zemí o přísných normách pravidel EU pro zadávání veřejných zakázek by neměla být záminkou ani výmluvou pro stálé snižování laťky;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v 52 % případů; konstatuje, že jedním z důvodů poměrně vysokého počtu neúspěšných zadávacích řízení mohou být vysoké normy a složitost unijních zadávacích řízení, neboť uplatňování unijních pravidel může být pro uchazeče, především </w:t>
            </w:r>
            <w:r>
              <w:rPr>
                <w:b/>
                <w:i/>
              </w:rPr>
              <w:t>na místních trzích</w:t>
            </w:r>
            <w:r>
              <w:t>, náročné; vítá, že v případě vnější činnosti byla pravidla pro zadávání veřejných zakázek v přepracovaném znění finančního nařízení zjednodušena;</w:t>
            </w:r>
          </w:p>
        </w:tc>
        <w:tc>
          <w:tcPr>
            <w:tcW w:w="4876" w:type="dxa"/>
            <w:tcBorders>
              <w:top w:val="nil"/>
              <w:left w:val="nil"/>
              <w:bottom w:val="nil"/>
              <w:right w:val="nil"/>
            </w:tcBorders>
          </w:tcPr>
          <w:p>
            <w:pPr>
              <w:pStyle w:val="Normal6a"/>
            </w:pPr>
            <w:r>
              <w:t>10.</w:t>
            </w:r>
            <w:r>
              <w:tab/>
            </w:r>
            <w:r>
              <w:t xml:space="preserve">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v 52 % případů; konstatuje, že jedním z důvodů poměrně vysokého počtu neúspěšných zadávacích řízení mohou být vysoké normy a složitost unijních zadávacích řízení, neboť uplatňování unijních pravidel může být pro uchazeče, především </w:t>
            </w:r>
            <w:r>
              <w:rPr>
                <w:b/>
                <w:i/>
              </w:rPr>
              <w:t>ve třetích zemích</w:t>
            </w:r>
            <w:r>
              <w:t>, náročné</w:t>
            </w:r>
            <w:r>
              <w:rPr>
                <w:b/>
                <w:i/>
              </w:rPr>
              <w:t>;</w:t>
            </w:r>
            <w:r>
              <w:t xml:space="preserve"> </w:t>
            </w:r>
            <w:r>
              <w:rPr>
                <w:b/>
                <w:i/>
              </w:rPr>
              <w:t>žádá ESVČ, aby prošetřila důvody relativně vysokého počtu neúspěšných postupů zadávání veřejných zakázek a navrhla řešení k zajištění jejich účinného provádění při zachování norem stanovených Unií</w:t>
            </w:r>
            <w:r>
              <w:t>; vítá, že v případě vnější činnosti byla pravidla pro zadávání veřejných zakázek v přepracovaném znění finančního nařízení zjednodušena;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v 52 % případů; konstatuje, že jedním z důvodů poměrně vysokého počtu neúspěšných zadávacích řízení mohou být vysoké normy a složitost unijních zadávacích řízení, neboť uplatňování unijních pravidel může být pro uchazeče, především na místních trzích, náročné; vítá, že v případě vnější činnosti byla pravidla pro zadávání veřejných zakázek v přepracovaném znění finančního nařízení zjednodušena;</w:t>
            </w:r>
          </w:p>
        </w:tc>
        <w:tc>
          <w:tcPr>
            <w:tcW w:w="4876" w:type="dxa"/>
            <w:tcBorders>
              <w:top w:val="nil"/>
              <w:left w:val="nil"/>
              <w:bottom w:val="nil"/>
              <w:right w:val="nil"/>
            </w:tcBorders>
          </w:tcPr>
          <w:p>
            <w:pPr>
              <w:pStyle w:val="Normal6a"/>
            </w:pPr>
            <w:r>
              <w:t>10.</w:t>
            </w:r>
            <w:r>
              <w:tab/>
            </w:r>
            <w:r>
              <w:t xml:space="preserve">konstatuje, že jak ústředí ESVČ, tak její delegace zahájily v roce 2023 celkem 28 zadávacích řízení, 27 soutěžních řízení s jednáním, 14 jednacích řízení bez předchozího uveřejnění oznámení o zahájení zadávacího řízení, 6 užších řízení a 2 jednací řízení pro veřejné zakázky střední hodnoty, která byla úspěšně uzavřena a vedla k přidělení zakázky v průměru </w:t>
            </w:r>
            <w:r>
              <w:rPr>
                <w:b/>
                <w:i/>
              </w:rPr>
              <w:t>pouze</w:t>
            </w:r>
            <w:r>
              <w:t xml:space="preserve"> v 52 % případů; konstatuje, že jedním z důvodů poměrně vysokého počtu neúspěšných zadávacích řízení mohou být vysoké normy a složitost unijních zadávacích řízení, neboť uplatňování unijních pravidel může být pro uchazeče, především na místních trzích, náročné; vítá, že v případě vnější činnosti byla pravidla pro zadávání veřejných zakázek v přepracovaném znění finančního nařízení zjednodušena;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2 995,14 EUR </w:t>
            </w:r>
            <w:r>
              <w:rPr>
                <w:b/>
                <w:i/>
              </w:rPr>
              <w:t>a náklady na leteckou taxislužbu 588 103 EUR, což oproti předchozímu roku představuje nárůst o 229 %;</w:t>
            </w:r>
            <w:r>
              <w:t xml:space="preserve"> </w:t>
            </w:r>
            <w:r>
              <w:rPr>
                <w:b/>
                <w:i/>
              </w:rPr>
              <w:t>žádá ESVČ, aby objasnila důvody tohoto nárůstu</w:t>
            </w:r>
            <w:r>
              <w:t>;</w:t>
            </w:r>
          </w:p>
        </w:tc>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2 995,14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w:t>
            </w:r>
            <w:r>
              <w:rPr>
                <w:b/>
                <w:i/>
              </w:rPr>
              <w:t>žádá</w:t>
            </w:r>
            <w:r>
              <w:t xml:space="preserve"> ESVČ, aby objasnila důvody tohoto nárůstu;</w:t>
            </w:r>
          </w:p>
        </w:tc>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w:t>
            </w:r>
            <w:r>
              <w:rPr>
                <w:b/>
                <w:i/>
              </w:rPr>
              <w:t>vyzývá</w:t>
            </w:r>
            <w:r>
              <w:t xml:space="preserve"> ESVČ, aby objasnila důvody tohoto nárůstu; </w:t>
            </w:r>
            <w:r>
              <w:rPr>
                <w:b/>
                <w:i/>
              </w:rPr>
              <w:t>zdůrazňuje, že transparentnost a řádné finanční řízení při využívání veřejných prostředků Unie musí zůstat základní zásadou pro všechny orgány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Andrey Kovatchev,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w:t>
            </w:r>
            <w:r>
              <w:rPr>
                <w:b/>
                <w:i/>
              </w:rPr>
              <w:t>žádá</w:t>
            </w:r>
            <w:r>
              <w:t xml:space="preserve"> ESVČ, aby objasnila důvody </w:t>
            </w:r>
            <w:r>
              <w:rPr>
                <w:b/>
                <w:i/>
              </w:rPr>
              <w:t>tohoto</w:t>
            </w:r>
            <w:r>
              <w:t xml:space="preserve"> nárůstu;</w:t>
            </w:r>
          </w:p>
        </w:tc>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konstatuje,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v závěru,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w:t>
            </w:r>
            <w:r>
              <w:rPr>
                <w:b/>
                <w:i/>
              </w:rPr>
              <w:t>zdůrazňuje, že vedoucí představitelé orgánů Unie by měli být dobrým příkladem pro veřejnost a občany, zejména při využívání zdrojů EU při plnění svých povinností;</w:t>
            </w:r>
            <w:r>
              <w:t xml:space="preserve"> </w:t>
            </w:r>
            <w:r>
              <w:rPr>
                <w:b/>
                <w:i/>
              </w:rPr>
              <w:t>zdůrazňuje, že letové možnosti by měly být vybírány na základě kritérií řádného finančního řízení, pokud jsou tyto alternativy k dispozici a jsou v souladu s programem a místem konání schůzí;</w:t>
            </w:r>
            <w:r>
              <w:t xml:space="preserve"> </w:t>
            </w:r>
            <w:r>
              <w:rPr>
                <w:b/>
                <w:i/>
              </w:rPr>
              <w:t>naléhavě vyzývá</w:t>
            </w:r>
            <w:r>
              <w:t xml:space="preserve"> ESVČ, aby objasnila důvody </w:t>
            </w:r>
            <w:r>
              <w:rPr>
                <w:b/>
                <w:i/>
              </w:rPr>
              <w:t>takového</w:t>
            </w:r>
            <w:r>
              <w:t xml:space="preserve"> nárůstu </w:t>
            </w:r>
            <w:r>
              <w:rPr>
                <w:b/>
                <w:i/>
              </w:rPr>
              <w:t>nákladů na leteckou taxislužbu pro vysokého představitele, místopředsedu Komise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w:t>
            </w:r>
            <w:r>
              <w:rPr>
                <w:b/>
                <w:i/>
              </w:rPr>
              <w:t>konstatuje</w:t>
            </w:r>
            <w:r>
              <w:t xml:space="preserv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w:t>
            </w:r>
            <w:r>
              <w:rPr>
                <w:b/>
                <w:i/>
              </w:rPr>
              <w:t>v závěru</w:t>
            </w:r>
            <w:r>
              <w:t xml:space="preserve">,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žádá ESVČ, aby objasnila důvody tohoto nárůstu;</w:t>
            </w:r>
          </w:p>
        </w:tc>
        <w:tc>
          <w:tcPr>
            <w:tcW w:w="4876" w:type="dxa"/>
            <w:tcBorders>
              <w:top w:val="nil"/>
              <w:left w:val="nil"/>
              <w:bottom w:val="nil"/>
              <w:right w:val="nil"/>
            </w:tcBorders>
          </w:tcPr>
          <w:p>
            <w:pPr>
              <w:pStyle w:val="Normal6a"/>
            </w:pPr>
            <w:r>
              <w:t>12.</w:t>
            </w:r>
            <w:r>
              <w:tab/>
            </w:r>
            <w:r>
              <w:t xml:space="preserve">konstatuje, že rozpočet pro služební cesty činil v roce </w:t>
            </w:r>
            <w:r>
              <w:rPr>
                <w:b/>
                <w:i/>
              </w:rPr>
              <w:t>2023 18 948 650</w:t>
            </w:r>
            <w:r>
              <w:t xml:space="preserve"> EUR, což oproti předchozímu roku představuje nepatrný nárůst o 1,46 %, jehož cílem bylo vyrovnat nárůst nákladů způsobený inflací, avšak v porovnání se skutečným nárůstem cestovních nákladů v roce 2023 byl nedostatečný; </w:t>
            </w:r>
            <w:r>
              <w:rPr>
                <w:b/>
                <w:i/>
              </w:rPr>
              <w:t>vyjadřuje politování nad tím</w:t>
            </w:r>
            <w:r>
              <w:t xml:space="preserve">, že ESVČ nemá samostatnou rozpočtovou položku pro služební cesty a cestovní náklady vysokého představitele, místopředsedy Komise a že náklady na jeho služební cesty a cestovní náklady se dělí mezi ESVČ a Komisi v závislosti na účelu služební cesty; konstatuje </w:t>
            </w:r>
            <w:r>
              <w:rPr>
                <w:b/>
                <w:i/>
              </w:rPr>
              <w:t>se znepokojením</w:t>
            </w:r>
            <w:r>
              <w:t xml:space="preserve">, že v roce 2023 dosáhly náklady ESVČ na 6 služebních cest vysokého představitele, místopředsedy Komise </w:t>
            </w:r>
            <w:r>
              <w:rPr>
                <w:b/>
                <w:i/>
              </w:rPr>
              <w:t>2 995,14</w:t>
            </w:r>
            <w:r>
              <w:t xml:space="preserve"> EUR a náklady na leteckou taxislužbu </w:t>
            </w:r>
            <w:r>
              <w:rPr>
                <w:b/>
                <w:i/>
              </w:rPr>
              <w:t>588 103</w:t>
            </w:r>
            <w:r>
              <w:t xml:space="preserve"> EUR, což oproti předchozímu roku představuje nárůst o 229 %; žádá ESVČ, aby objasnila důvody tohoto nárůstu;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konstatuje, že náklady na leteckou taxislužbu činily 588,103 EUR, což ve srovnání s rokem 2022 představuje nárůst o 229 %;</w:t>
            </w:r>
            <w:r>
              <w:t xml:space="preserve"> </w:t>
            </w:r>
            <w:r>
              <w:rPr>
                <w:b/>
                <w:i/>
              </w:rPr>
              <w:t>žádá ESVČ, aby objasnila důvody tohoto nárůstu;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vyzývá SDEU, aby vždy respektoval rovnost členských států a se všemi členskými státy zacházel stejně a aby respektoval jejich svrchovanost a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připomíná, že smlouva o Evropské unii stanoví, že EU a její orgány ctí rovnost členských států před Smlouvami a jejich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připomíná, že Smlouva o Evropské unii stanoví, že EU a její orgány podporují solidaritu a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Odsuzuje zneužívání humanitárního úsilí ze strany UNRWA a její spoluúčast na indoktrinaci palestinských dětí v Gaze;</w:t>
            </w:r>
            <w:r>
              <w:t xml:space="preserve"> </w:t>
            </w:r>
            <w:r>
              <w:rPr>
                <w:b/>
                <w:i/>
              </w:rPr>
              <w:t>znovu potvrzuje usnesení EP o udělení absolutoria Komisi z dubna 2024 (bod 199), v němž kategoricky spojuje krutosti ze dne 7. října 2023 s násilným a antisemitským obsahem obsaženým ve vzdělávacích materiálech vyučovaných ve školách UNRWA;</w:t>
            </w:r>
            <w:r>
              <w:t xml:space="preserve"> </w:t>
            </w:r>
            <w:r>
              <w:rPr>
                <w:b/>
                <w:i/>
              </w:rPr>
              <w:t>znovu opakuje a zdůrazňuje vážné znepokojení nad zjištěními přezkumu neutrality agentury UNRWA ze strany OSN, který dospěl k závěru, že její vzdělávací materiály obsahují obsah, který představuje „vážné porušení neutrality“ a je v rozporu s hodnotami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konstatuje, že ESVČ po vnitřní reorganizaci vytvořila v říjnu 2023 nový útvar pro správu a řízení společnosti, který tvoří tři oddělení pověřená inspekcemi, interním auditem a plánováním, podáváním zpráv a dodržováním předpisů, která ESVČ umožní zajistit větší odpovědnost, lepší řízení a lepší sledování činností; </w:t>
            </w:r>
            <w:r>
              <w:rPr>
                <w:b/>
                <w:i/>
              </w:rPr>
              <w:t>konstatuje</w:t>
            </w:r>
            <w:r>
              <w:t>, že byla zřízena také rada pro správu a řízení společnosti, která má zajistit soudržnost v oblasti správy a řízení společnosti v rámci ESVČ; konstatuje také, že ESVČ vytvořila generální ředitelství pro mír, bezpečnost a obranu, ředitelství pro mír, partnerství a řešení krizí a dvě nová oddělení zaměřená na „hybridní hrozby a kybernetickou bezpečnost“ a „námořní bezpečnost“, která mají lépe podporovat činnost Unie v oblasti bezpečnosti a obrany;</w:t>
            </w:r>
          </w:p>
        </w:tc>
        <w:tc>
          <w:tcPr>
            <w:tcW w:w="4876" w:type="dxa"/>
            <w:tcBorders>
              <w:top w:val="nil"/>
              <w:left w:val="nil"/>
              <w:bottom w:val="nil"/>
              <w:right w:val="nil"/>
            </w:tcBorders>
          </w:tcPr>
          <w:p>
            <w:pPr>
              <w:pStyle w:val="Normal6a"/>
            </w:pPr>
            <w:r>
              <w:t>13.</w:t>
            </w:r>
            <w:r>
              <w:tab/>
            </w:r>
            <w:r>
              <w:t xml:space="preserve">konstatuje, že ESVČ po vnitřní reorganizaci vytvořila v říjnu 2023 nový útvar pro správu a řízení společnosti, který tvoří tři oddělení pověřená inspekcemi, interním auditem a plánováním, podáváním zpráv a dodržováním předpisů, která ESVČ umožní zajistit větší odpovědnost, lepší řízení a lepší sledování činností; </w:t>
            </w:r>
            <w:r>
              <w:rPr>
                <w:b/>
                <w:i/>
              </w:rPr>
              <w:t>vítá</w:t>
            </w:r>
            <w:r>
              <w:t>, že byla zřízena také rada pro správu a řízení společnosti, která má zajistit soudržnost v oblasti správy a řízení společnosti v rámci ESVČ; konstatuje také, že ESVČ vytvořila generální ředitelství pro mír, bezpečnost a obranu, ředitelství pro mír, partnerství a řešení krizí a dvě nová oddělení zaměřená na „hybridní hrozby a kybernetickou bezpečnost“ a „námořní bezpečnost“, která mají lépe podporovat činnost Unie v oblasti bezpečnosti a obrany;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vyzývá SDEU, aby s maximálním nasazením a všemi dostupnými opatřeními a prostředky usiloval o prosazování míru a co nejrychlejší ukončení války na Ukrajině, o zachování míru a posílení evropské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v souladu s plánem auditů ESVČ na rok 2023 byly v tomto roce dokončeny tři audity, a sice audit správy rejstříku výjimek a nesplnění požadavků a dva audity správy platů místních zaměstnanců a náboru a řízení místních zaměstnanců a ekvivalentního místního personálu; konstatuje dále, že z důvodu organizační restrukturalizace a odpovídající fluktuace zaměstnanců ve funkci interního auditu nemohl být v roce 2023 proveden plánovaný bezpečnostní audit a že tento audit bude opětovně posouzen v rámci přípravy víceletého strategického plánu interního auditu na období 2025–2027; </w:t>
            </w:r>
            <w:r>
              <w:rPr>
                <w:b/>
                <w:i/>
              </w:rPr>
              <w:t>konstatuje</w:t>
            </w:r>
            <w:r>
              <w:t>, že 4 kritická doporučení a 49 velmi důležitých doporučení vyplývajících z auditu, jež souvisela s dokončenými audity, zůstala v roce 2023 neuskutečněna;</w:t>
            </w:r>
          </w:p>
        </w:tc>
        <w:tc>
          <w:tcPr>
            <w:tcW w:w="4876" w:type="dxa"/>
            <w:tcBorders>
              <w:top w:val="nil"/>
              <w:left w:val="nil"/>
              <w:bottom w:val="nil"/>
              <w:right w:val="nil"/>
            </w:tcBorders>
          </w:tcPr>
          <w:p>
            <w:pPr>
              <w:pStyle w:val="Normal6a"/>
            </w:pPr>
            <w:r>
              <w:t>15.</w:t>
            </w:r>
            <w:r>
              <w:tab/>
            </w:r>
            <w:r>
              <w:t xml:space="preserve">konstatuje, že v souladu s plánem auditů ESVČ na rok 2023 byly v tomto roce dokončeny tři audity, a sice audit správy rejstříku výjimek a nesplnění požadavků a dva audity správy platů místních zaměstnanců a náboru a řízení místních zaměstnanců a ekvivalentního místního personálu; konstatuje dále </w:t>
            </w:r>
            <w:r>
              <w:rPr>
                <w:b/>
                <w:i/>
              </w:rPr>
              <w:t>s velkým znepokojením</w:t>
            </w:r>
            <w:r>
              <w:t xml:space="preserve">, že z důvodu organizační restrukturalizace a odpovídající fluktuace zaměstnanců ve funkci interního auditu nemohl být v roce 2023 proveden plánovaný bezpečnostní audit a že tento audit bude opětovně posouzen v rámci přípravy víceletého strategického plánu interního auditu na období 2025–2027; </w:t>
            </w:r>
            <w:r>
              <w:rPr>
                <w:b/>
                <w:i/>
              </w:rPr>
              <w:t>zdůrazňuje, že je důležité provádět interní audity pečlivě a pravidelně;</w:t>
            </w:r>
            <w:r>
              <w:t xml:space="preserve"> </w:t>
            </w:r>
            <w:r>
              <w:rPr>
                <w:b/>
                <w:i/>
              </w:rPr>
              <w:t>hluboce lituje toho</w:t>
            </w:r>
            <w:r>
              <w:t xml:space="preserve">, že 4 kritická doporučení a 49 velmi důležitých doporučení vyplývajících z auditu, jež souvisela s dokončenými audity, zůstala v roce 2023 neuskutečněna; </w:t>
            </w:r>
            <w:r>
              <w:rPr>
                <w:b/>
                <w:i/>
              </w:rPr>
              <w:t>žádá, aby byl Parlament informován o provádění doporučení;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konstatuje, že Účetní dvůr přijal v prosinci 2023 v návaznosti na svůj audit zaměřený na koordinační úlohu ESVČ závěrečnou zprávu, přičemž tento audit měl posoudit účinnost koordinace, zejména pak s ohledem na správu informací, personální zajištění a podávání zpráv jak interně, tak spolu s Komisí a Radou; konstatuje, že v roce 2023 byla některá doporučení vyplývající z auditu již zohledněna v probíhajících iniciativách, například zaslání pověřovacích dopisů nově jmenovaným velvyslancům před jejich nástupem do funkce a úsilí, které ESVČ vyvíjí od roku 2019 v souvislosti s prováděním strategie pro správu informací; žádá, aby byl Parlament informován o opatřeních přijatých v návaznosti na doporučení Účetního dvora;</w:t>
            </w:r>
          </w:p>
        </w:tc>
        <w:tc>
          <w:tcPr>
            <w:tcW w:w="4876" w:type="dxa"/>
            <w:tcBorders>
              <w:top w:val="nil"/>
              <w:left w:val="nil"/>
              <w:bottom w:val="nil"/>
              <w:right w:val="nil"/>
            </w:tcBorders>
          </w:tcPr>
          <w:p>
            <w:pPr>
              <w:pStyle w:val="Normal6a"/>
            </w:pPr>
            <w:r>
              <w:t>16.</w:t>
            </w:r>
            <w:r>
              <w:tab/>
            </w:r>
            <w:r>
              <w:t xml:space="preserve">konstatuje, že Účetní dvůr přijal v prosinci 2023 v návaznosti na svůj audit zaměřený na koordinační úlohu ESVČ závěrečnou zprávu, přičemž tento audit měl posoudit účinnost koordinace, zejména pak s ohledem na správu informací, personální zajištění a podávání zpráv jak interně, tak spolu s Komisí a Radou; konstatuje, že v roce 2023 byla některá doporučení vyplývající z auditu již zohledněna v probíhajících iniciativách, například zaslání pověřovacích dopisů nově jmenovaným velvyslancům před jejich nástupem do funkce a úsilí, které ESVČ vyvíjí od roku 2019 v souvislosti s prováděním strategie pro správu informací; </w:t>
            </w:r>
            <w:r>
              <w:rPr>
                <w:b/>
                <w:i/>
              </w:rPr>
              <w:t>vyzývá ESVČ, aby plně provedla doporučení uvedená ve zprávě EÚD s cílem řešit zjištěné nedostatky ve správě informací, a to jak ve svém ústředí, tak v delegacích EU v zemích mimo EU, jakož i v kabinetu vysokého představitele/místopředsedy Komise;</w:t>
            </w:r>
            <w:r>
              <w:t xml:space="preserve"> žádá, aby byl Parlament informován o opatřeních přijatých v návaznosti na doporučení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konstatuje, že v roce 2023 předložily tři delegace EU (Středoafrická republika, Sierra Leone a Sýrie) ve svých prohlášeních o věrohodnosti výhrady, zejména pokud jde o provozní rozpočtové položky spravované Evropskou komisí;</w:t>
            </w:r>
            <w:r>
              <w:t xml:space="preserve"> </w:t>
            </w:r>
            <w:r>
              <w:rPr>
                <w:b/>
                <w:i/>
              </w:rPr>
              <w:t>zdůrazňuje, že tyto výhrady neměly podstatný finanční dopad na správní rozpočet, za který odpovídá ESVČ;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 Marit Maij,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vyjadřuje hluboké znepokojení nad tím, že maďarská vláda zneužila svou úlohu v předsednictví EU k plnění dvoustranných závazků, které jsou v rozporu se základními hodnotami Unie, jako jsou setkání předsedy vlády Viktora Orbána s ruským prezidentem Vladimirem Putinem, a to navzdory sankcím Unie a zatýkacímu rozkazu, který na něho vydal Mezinárodní trestní soud za válečné zločiny;</w:t>
            </w:r>
            <w:r>
              <w:t xml:space="preserve"> </w:t>
            </w:r>
            <w:r>
              <w:rPr>
                <w:b/>
                <w:i/>
              </w:rPr>
              <w:t>se znepokojením bere na vědomí podobnou spolupráci s dalšími autoritářskými vůdci, která podkopává důvěryhodnost a soudržnost zahraniční politiky EU;</w:t>
            </w:r>
            <w:r>
              <w:t xml:space="preserve"> </w:t>
            </w:r>
            <w:r>
              <w:rPr>
                <w:b/>
                <w:i/>
              </w:rPr>
              <w:t>zdůrazňuje, že podle čl. 24 odst. 3 Smlouvy o EU mají členské státy v duchu loajality a vzájemné solidarity povinnost aktivně a bezvýhradně podporovat vnější a bezpečnostní politiku Unie a zdržet se jednání, které je v rozporu se zájmy Unie;</w:t>
            </w:r>
            <w:r>
              <w:t xml:space="preserve"> </w:t>
            </w:r>
            <w:r>
              <w:rPr>
                <w:b/>
                <w:i/>
              </w:rPr>
              <w:t>vyzývá vysokou představitelku, místopředsedkyni Komise, aby zajistila úzkou koordinaci opatření zahraniční politiky během předsednictví EU s cílem uvést je do souladu se strategickými zájmy a hodnotami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žádá ESVČ a delegace Unie, aby intenzivně sledovaly stav demokracie v různých zemích a posílily logistickou a technickou podporu obráncům lidských práv a původním obyvatelům, se zvláštním zaměřením na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zdůrazňuje, že je třeba silné a odolné vnější služby s jasným politickým vedením, aby mohla řešit stávající výzvy a zajistit ucelenost zahraniční politiky Unie;</w:t>
            </w:r>
            <w:r>
              <w:t xml:space="preserve"> </w:t>
            </w:r>
            <w:r>
              <w:rPr>
                <w:b/>
                <w:i/>
              </w:rPr>
              <w:t>zdůrazňuje význam silné politické angažovanosti, dvoustranného vlivu, veřejné a kulturní diplomacie pro prosazování hodnot Unie a boj proti dezinformacím;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naléhavě vyzývá delegace Unie, aby posílily podporu skutečným demokratickým aktérům a občanské společnosti na západním Balkáně a aby veřejně odsoudily kroky neliberálních a nedemokratických aktérů, které oslabují zájmy Unie, a zajistily, aby bylo financování z Nástroje předvstupní pomoci III v souladu s cíli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ESVČ a Evropskou komisi, aby úzce spolupracovala s kanceláří EPLO ve Washingtonu DC a delegací EU ve Spojených státech s cílem identifikovat, financovat a provádět iniciativy zaměřené na posílení transatlantických vztahů, včetně výměnných programů pro odborníky pracující ve veřejných institucích EU i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konstatuje, že do konce roku 2023 tvořilo statutární obyvatelstvo ESVČ 52,7 % mužů a 47,3 % žen, což odráží mírný nárůst zastoupení žen ve srovnání s rokem 2022, kdy ženy tvořily 46,8 % zaměstnanců;</w:t>
            </w:r>
            <w:r>
              <w:t xml:space="preserve"> </w:t>
            </w:r>
            <w:r>
              <w:rPr>
                <w:b/>
                <w:i/>
              </w:rPr>
              <w:t>vítá mírný pokrok v oblasti genderové vyváženosti ve vrcholném vedení, kde se zastoupení žen zvýšilo z 6,3 % v roce 2022 na 7,6 % v roce 2023, a ve středním vedení, kde se zvýšilo z 30,1 % v roce 2022 na 30,4 % v roce 2023;</w:t>
            </w:r>
            <w:r>
              <w:t xml:space="preserve"> </w:t>
            </w:r>
            <w:r>
              <w:rPr>
                <w:b/>
                <w:i/>
              </w:rPr>
              <w:t>vyzývá ESVČ, aby zintenzivnila úsilí o dosažení podstatnější a viditelnější genderové vyváženosti na všech úrovních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vítá skutečnost, že vysoká představitelka, místopředsedkyně Komise a Komise na konci roku 2023 zveřejnily zprávu v polovině období o provádění akčního plánu EU pro rovnost žen a mužů (GAP III), jakož i rozhodnutí prodloužit jeho harmonogram do roku 2027, aby byl zajištěn soulad s víceletým finančním rámcem (VFR);</w:t>
            </w:r>
            <w:r>
              <w:t xml:space="preserve"> </w:t>
            </w:r>
            <w:r>
              <w:rPr>
                <w:b/>
                <w:i/>
              </w:rPr>
              <w:t>uznává význam plánu GAP III při prosazování rovnosti žen a mužů jako strategické priority vnější činnosti EU a posilování její úlohy v této oblasti;</w:t>
            </w:r>
            <w:r>
              <w:t xml:space="preserve"> </w:t>
            </w:r>
            <w:r>
              <w:rPr>
                <w:b/>
                <w:i/>
              </w:rPr>
              <w:t>vítá, že tým velvyslankyně pro rovnost žen a mužů uspořádal na konci roku 2023 pro vedoucí pracovníky první školení vedoucích pracovníků zaměřená na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vítá první zprávu ESVČ o činnostech zahraniční manipulace s informacemi a vměšování zaměřených na osoby LGBTIQA+, jejichž cílem je zlepšit pochopení taktik zahraniční manipulace s informacemi a vměšování a podpořit spolupráci, a to i s agenturou ENISA, za účelem ochrany komunity LGBTIQA+;</w:t>
            </w:r>
            <w:r>
              <w:t xml:space="preserve"> </w:t>
            </w:r>
            <w:r>
              <w:rPr>
                <w:b/>
                <w:i/>
              </w:rPr>
              <w:t>vyjadřuje znepokojení nad celosvětovým stavem práv osob LGBTIQ+ a nad stále odmítavějším postojem vůči genderové rovnosti, právům žen a sexuálnímu a reprodukčnímu zdraví a právům v rozvojových zemích;</w:t>
            </w:r>
            <w:r>
              <w:t xml:space="preserve"> </w:t>
            </w:r>
            <w:r>
              <w:rPr>
                <w:b/>
                <w:i/>
              </w:rPr>
              <w:t>vyzývá Komisi a ESVČ, aby se těmito nedostatky zabývaly a upřednostňovaly cílenou podporu organizací občanské společnosti, které se zasazují o tato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vítá, že v ESVČ jsou zastoupeny všechny členské státy; konstatuje však, že určité nerovnováhy přetrvávají, neboť v největší míře nadměrně zastoupeným členským státem je Belgie, jejíž pracovníci tvoří 12,1 % celkového počtu zaměstnanců ESVČ;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s uspokojením konstatuje, že se jedná o pokles oproti loňskému roku, kdy stejných pět zemí mělo 57 % míst velvyslanců; opakuje svou výzvu, aby ESVČ i nadále zajišťovala zdravou zeměpisnou vyváženost v rámci celé organizace a na všech úrovních;</w:t>
            </w:r>
          </w:p>
        </w:tc>
        <w:tc>
          <w:tcPr>
            <w:tcW w:w="4876" w:type="dxa"/>
            <w:tcBorders>
              <w:top w:val="nil"/>
              <w:left w:val="nil"/>
              <w:bottom w:val="nil"/>
              <w:right w:val="nil"/>
            </w:tcBorders>
          </w:tcPr>
          <w:p>
            <w:pPr>
              <w:pStyle w:val="Normal6a"/>
            </w:pPr>
            <w:r>
              <w:t>22.</w:t>
            </w:r>
            <w:r>
              <w:tab/>
            </w:r>
            <w:r>
              <w:t xml:space="preserve">vítá, že v ESVČ jsou zastoupeny všechny členské státy; konstatuje však, že určité nerovnováhy přetrvávají, neboť v největší míře nadměrně zastoupeným členským státem je Belgie, jejíž pracovníci tvoří 12,1 % celkového počtu zaměstnanců ESVČ; </w:t>
            </w:r>
            <w:r>
              <w:rPr>
                <w:b/>
                <w:i/>
              </w:rPr>
              <w:t>poukazuje na to, že mezi západními a východními členskými státy EU rovněž panuje značná zeměpisná nerovnováha;</w:t>
            </w:r>
            <w:r>
              <w:t xml:space="preserve">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s uspokojením konstatuje, že se jedná o pokles oproti loňskému roku, kdy stejných pět zemí mělo 57 % míst velvyslanců; opakuje svou výzvu, aby ESVČ i nadále zajišťovala zdravou zeměpisnou vyváženost v rámci celé organizace a na všech úrovních; </w:t>
            </w:r>
            <w:r>
              <w:rPr>
                <w:b/>
                <w:i/>
              </w:rPr>
              <w:t>opakuje rovněž své znepokojení nad genderovou vyvážeností;</w:t>
            </w:r>
            <w:r>
              <w:t xml:space="preserve"> </w:t>
            </w:r>
            <w:r>
              <w:rPr>
                <w:b/>
                <w:i/>
              </w:rPr>
              <w:t>konstatuje, že ženy jsou výrazně méně zastoupeny na vyšších pozicích, zatímco jsou nadměrně zastoupeny především na pozicích AST;</w:t>
            </w:r>
            <w:r>
              <w:t xml:space="preserve"> </w:t>
            </w:r>
            <w:r>
              <w:rPr>
                <w:b/>
                <w:i/>
              </w:rPr>
              <w:t>vyzývá ESVČ, aby zveřejnila přehled zastoupení jednotlivých členských států a pohlaví ve středních a vyšších vedoucích pozicích;</w:t>
            </w:r>
            <w:r>
              <w:t xml:space="preserve"> </w:t>
            </w:r>
            <w:r>
              <w:rPr>
                <w:b/>
                <w:i/>
              </w:rPr>
              <w:t>žádá orgán, aby se touto otázkou zabýval a zároveň respektoval kompetence a zásluhy kandidátů;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vítá, že v ESVČ jsou zastoupeny všechny členské státy; konstatuje však, že určité nerovnováhy přetrvávají, neboť v největší míře nadměrně zastoupeným členským státem je Belgie, jejíž pracovníci tvoří 12,1 % celkového počtu zaměstnanců ESVČ;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s uspokojením konstatuje, že se jedná o pokles oproti loňskému roku, kdy stejných pět zemí mělo 57 % míst velvyslanců; opakuje svou výzvu, aby ESVČ i nadále zajišťovala zdravou zeměpisnou vyváženost v rámci celé organizace a na všech úrovních;</w:t>
            </w:r>
          </w:p>
        </w:tc>
        <w:tc>
          <w:tcPr>
            <w:tcW w:w="4876" w:type="dxa"/>
            <w:tcBorders>
              <w:top w:val="nil"/>
              <w:left w:val="nil"/>
              <w:bottom w:val="nil"/>
              <w:right w:val="nil"/>
            </w:tcBorders>
          </w:tcPr>
          <w:p>
            <w:pPr>
              <w:pStyle w:val="Normal6a"/>
            </w:pPr>
            <w:r>
              <w:t>22.</w:t>
            </w:r>
            <w:r>
              <w:tab/>
            </w:r>
            <w:r>
              <w:t xml:space="preserve">vítá, že v ESVČ jsou zastoupeny všechny členské státy; konstatuje však, že určité nerovnováhy přetrvávají, neboť v největší míře nadměrně zastoupeným členským státem je Belgie, jejíž pracovníci tvoří 12,1 % celkového počtu zaměstnanců ESVČ;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s uspokojením konstatuje, že se jedná o pokles oproti loňskému roku, kdy stejných pět zemí mělo 57 % míst velvyslanců; opakuje svou výzvu, aby ESVČ i nadále zajišťovala zdravou zeměpisnou vyváženost v rámci celé organizace a na všech úrovních; </w:t>
            </w:r>
            <w:r>
              <w:rPr>
                <w:b/>
                <w:i/>
              </w:rPr>
              <w:t>vyzývá ESVČ, aby do roku 2035 postupně snížila počet velvyslanců Unie ze 141 na 20 (působících ve 20 zemích, které jsou největšími obchodními partnery EU jako celku);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vítá, že v ESVČ jsou zastoupeny všechny členské státy;</w:t>
            </w:r>
            <w:r>
              <w:t xml:space="preserve"> konstatuje </w:t>
            </w:r>
            <w:r>
              <w:rPr>
                <w:b/>
                <w:i/>
              </w:rPr>
              <w:t>však</w:t>
            </w:r>
            <w:r>
              <w:t xml:space="preserve">, že určité nerovnováhy přetrvávají, neboť v největší míře nadměrně zastoupeným členským státem je Belgie, jejíž pracovníci tvoří 12,1 % celkového počtu zaměstnanců ESVČ;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w:t>
            </w:r>
            <w:r>
              <w:rPr>
                <w:b/>
                <w:i/>
              </w:rPr>
              <w:t>s uspokojením konstatuje, že se jedná o pokles oproti loňskému roku, kdy stejných pět zemí mělo 57 % míst velvyslanců;</w:t>
            </w:r>
            <w:r>
              <w:t xml:space="preserve"> opakuje svou výzvu, aby ESVČ i nadále zajišťovala zdravou zeměpisnou vyváženost v rámci celé organizace a na všech úrovních;</w:t>
            </w:r>
          </w:p>
        </w:tc>
        <w:tc>
          <w:tcPr>
            <w:tcW w:w="4876" w:type="dxa"/>
            <w:tcBorders>
              <w:top w:val="nil"/>
              <w:left w:val="nil"/>
              <w:bottom w:val="nil"/>
              <w:right w:val="nil"/>
            </w:tcBorders>
          </w:tcPr>
          <w:p>
            <w:pPr>
              <w:pStyle w:val="Normal6a"/>
            </w:pPr>
            <w:r>
              <w:t>22.</w:t>
            </w:r>
            <w:r>
              <w:tab/>
            </w:r>
            <w:r>
              <w:t xml:space="preserve">konstatuje, že </w:t>
            </w:r>
            <w:r>
              <w:rPr>
                <w:b/>
                <w:i/>
              </w:rPr>
              <w:t>ačkoli</w:t>
            </w:r>
            <w:r>
              <w:t xml:space="preserve"> určité nerovnováhy přetrvávají, neboť v největší míře nadměrně zastoupeným členským státem je Belgie, jejíž pracovníci tvoří 12,1 % celkového počtu zaměstnanců ESVČ; konstatuje také, že ve vedoucích funkcích je v největší míře nadměrně zastoupeným členským státem Itálie, jejíž občané zastávají 15 % všech vedoucích pozic; konstatuje, že ze 141 velvyslanců Unie nemají tři členské státy žádného velvyslance (Maďarsko, Lucembursko a Malta), zatímco nejvíce velvyslanců má Francie (22), Španělsko a Itálie (16), Německo (12) a Belgie (10), což znamená, že těchto pět zemí má 54 % všech míst velvyslanců; </w:t>
            </w:r>
            <w:r>
              <w:rPr>
                <w:b/>
                <w:i/>
              </w:rPr>
              <w:t>důrazně</w:t>
            </w:r>
            <w:r>
              <w:t xml:space="preserve"> opakuje svou výzvu, aby ESVČ i nadále zajišťovala zdravou zeměpisnou vyváženost v rámci celé organizace a na všech úrovních;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se znepokojením konstatuje, že ženy jsou stále nedostatečně zastoupeny na úrovni AD a nadměrně zastoupeny na úrovni AST;</w:t>
            </w:r>
            <w:r>
              <w:t xml:space="preserve"> </w:t>
            </w:r>
            <w:r>
              <w:rPr>
                <w:b/>
                <w:i/>
              </w:rPr>
              <w:t>vyjadřuje politování nad tím, že ženy jsou stále nedostatečně zastoupeny na úrovni středního a vyššího vedení jak v ústředí, tak v delegacích;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konstatuje, že na konci roku 2023 bylo z 1 695 úředníků a dočasných zaměstnanců 863 (51 %) mužů a 832 (49 %) žen, což představuje mírný nárůst oproti roku 2022;</w:t>
            </w:r>
            <w:r>
              <w:t xml:space="preserve"> </w:t>
            </w:r>
            <w:r>
              <w:rPr>
                <w:b/>
                <w:i/>
              </w:rPr>
              <w:t>konstatuje, že mezi smluvními zaměstnanci tvořily 57,4 % ženy, což představuje mírný nárůst oproti roku 2022;</w:t>
            </w:r>
            <w:r>
              <w:t xml:space="preserve"> </w:t>
            </w:r>
            <w:r>
              <w:rPr>
                <w:b/>
                <w:i/>
              </w:rPr>
              <w:t>konstatuje však, že ženy jsou stále výrazně méně zastoupeny na vyšších pozicích, zatímco jsou nadměrně zastoupeny především na pozicích 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vítá skutečnost, že rotace v roce 2023 nabídla 42 vedoucích míst v delegacích a vedla k 12 % nárůstu počtu vyslankyň, a to z 31,7 % na 35,5 %, což je však stále nedostatečné zastoupení;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vyzývá ESVČ, aby orgánu příslušnému k udělení absolutoria poskytla informace o krocích podniknutých ve prospěch feministické diplomacie, jako např. o nejnovějším vývoji akčního plánu pro rovnost žen a mužů na období 2021–2025 a opatřeních přijatých velvyslankyní EU pro rovnost žen a mužů a rozmanitost na podporu účasti žen ve všech diplomatických a politických dialozích;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konstatuje, že ESVČ přijala v roce 2023 Program pro rozmanitost a inkluzi 2023–2025, což je podrobný akční plán na podporu bezpečného a slušného pracovního prostředí a přístupu nulové tolerance vůči obtěžování; konstatuje, že u obou dokumentů byly vedeny konzultace se zástupci zaměstnanců, sdruženími zaměstnanců a Společným výborem pro rovné příležitosti, který byl přejmenován na Společný výbor pro rozmanitost a inkluzi; konstatuje, že akční plán zahrnuje opatření pro zamezení obtěžování, jako je pro všechny zaměstnance povinný elektronický vzdělávací kurz zaměřený na „rozpoznání a řešení obtěžování na pracovišti“ a povinné školení pro vedoucí pracovníky zaměřené na „způsob, jak vytvořit pracovní prostředí, kde nedochází k obtěžování“;</w:t>
            </w:r>
          </w:p>
        </w:tc>
        <w:tc>
          <w:tcPr>
            <w:tcW w:w="4876" w:type="dxa"/>
            <w:tcBorders>
              <w:top w:val="nil"/>
              <w:left w:val="nil"/>
              <w:bottom w:val="nil"/>
              <w:right w:val="nil"/>
            </w:tcBorders>
          </w:tcPr>
          <w:p>
            <w:pPr>
              <w:pStyle w:val="Normal6a"/>
            </w:pPr>
            <w:r>
              <w:t>24.</w:t>
            </w:r>
            <w:r>
              <w:tab/>
            </w:r>
            <w:r>
              <w:t xml:space="preserve">konstatuje, že ESVČ přijala v roce 2023 Program pro rozmanitost a inkluzi 2023–2025, což je podrobný akční plán na podporu bezpečného a slušného pracovního prostředí a přístupu nulové tolerance vůči obtěžování; konstatuje, že u obou dokumentů byly vedeny konzultace se zástupci zaměstnanců, sdruženími zaměstnanců a Společným výborem pro rovné příležitosti, který byl přejmenován na Společný výbor pro rozmanitost a inkluzi; konstatuje, že akční plán zahrnuje opatření pro zamezení obtěžování, jako je pro všechny zaměstnance povinný elektronický vzdělávací kurz zaměřený na „rozpoznání a řešení obtěžování na pracovišti“ a povinné školení pro vedoucí pracovníky zaměřené na „způsob, jak vytvořit pracovní prostředí, kde nedochází k obtěžování“; </w:t>
            </w:r>
            <w:r>
              <w:rPr>
                <w:b/>
                <w:i/>
              </w:rPr>
              <w:t>vyzývá ESVČ, aby pracovníkům v manažerských pozicích i nemanažerských pozicích nadále poskytovala pravidelnou odbornou přípravu v otázkách rozmanitosti, rovnosti, začleňování a sounáležitosti;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konstatuje, že ESVČ přijala v roce 2023 Program pro rozmanitost a inkluzi 2023–2025, což je podrobný akční plán na podporu bezpečného a slušného pracovního prostředí a přístupu nulové tolerance vůči obtěžování; konstatuje, že u obou dokumentů byly vedeny konzultace se zástupci zaměstnanců, sdruženími zaměstnanců a Společným výborem pro rovné příležitosti, který byl přejmenován na Společný výbor pro rozmanitost a inkluzi; konstatuje, že akční plán zahrnuje opatření pro zamezení obtěžování, jako je pro všechny zaměstnance povinný elektronický vzdělávací kurz zaměřený na „rozpoznání a řešení obtěžování na pracovišti“ a povinné školení pro vedoucí pracovníky zaměřené na „způsob, jak vytvořit pracovní prostředí, kde nedochází k obtěžování“;</w:t>
            </w:r>
          </w:p>
        </w:tc>
        <w:tc>
          <w:tcPr>
            <w:tcW w:w="4876" w:type="dxa"/>
            <w:tcBorders>
              <w:top w:val="nil"/>
              <w:left w:val="nil"/>
              <w:bottom w:val="nil"/>
              <w:right w:val="nil"/>
            </w:tcBorders>
          </w:tcPr>
          <w:p>
            <w:pPr>
              <w:pStyle w:val="Normal6a"/>
            </w:pPr>
            <w:r>
              <w:t>24.</w:t>
            </w:r>
            <w:r>
              <w:tab/>
            </w:r>
            <w:r>
              <w:rPr>
                <w:b/>
                <w:i/>
              </w:rPr>
              <w:t>s uspokojením</w:t>
            </w:r>
            <w:r>
              <w:t xml:space="preserve"> konstatuje, že ESVČ přijala v roce 2023 Program pro rozmanitost a inkluzi 2023–2025, což je podrobný akční plán na podporu bezpečného a slušného pracovního prostředí a přístupu nulové tolerance vůči obtěžování; konstatuje, že u obou dokumentů byly vedeny konzultace se zástupci zaměstnanců, sdruženími zaměstnanců a Společným výborem pro rovné příležitosti, který byl přejmenován na Společný výbor pro rozmanitost a inkluzi; konstatuje, že akční plán zahrnuje opatření pro zamezení obtěžování, jako je pro všechny zaměstnance povinný elektronický vzdělávací kurz zaměřený na „rozpoznání a řešení obtěžování na pracovišti“ a povinné školení pro vedoucí pracovníky zaměřené na „způsob, jak vytvořit pracovní prostředí, kde nedochází k obtěžování“;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ESVČ, aby zveřejňovala výroční zprávu o rozmanitosti a inkluzi, včetně konkrétních opatření ke zlepšení zastoupení žen a mužů, zeměpisného a etnického zastoupení ve službě, se zvláštním důrazem na nedostatečně zastoupené národnosti na pozicích velvyslanců;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 znepokojením konstatuje, že ESVČ obdržela v roce 2023 tři žádosti o pomoc při řešení údajného psychologického obtěžování, do něhož měli být zapojeni dva úředníci, přičemž proběhla dvě správní šetření, z nichž jedno nebylo dosud ukončeno a druhé bylo ukončeno uložením disciplinární sankce; konstatuje, že v roce 2023 se mediační služba ESVČ v rámci neformálního postupu zabývala 28 případy údajného psychologického obtěžování a 10 případy sexuálního obtěžování a že důvěrní poradci řešili 21 případů údajného psychologického obtěžování a 6 případů sexuálního obtěžování; konstatuje, že ESVČ vypracovala v roce 2023 rozhodnutí o předcházení obtěžování určené místním zaměstnancům v delegacích, které bylo přijato v červnu 2024;</w:t>
            </w:r>
          </w:p>
        </w:tc>
        <w:tc>
          <w:tcPr>
            <w:tcW w:w="4876" w:type="dxa"/>
            <w:tcBorders>
              <w:top w:val="nil"/>
              <w:left w:val="nil"/>
              <w:bottom w:val="nil"/>
              <w:right w:val="nil"/>
            </w:tcBorders>
          </w:tcPr>
          <w:p>
            <w:pPr>
              <w:pStyle w:val="Normal6a"/>
            </w:pPr>
            <w:r>
              <w:t>25.</w:t>
            </w:r>
            <w:r>
              <w:tab/>
            </w:r>
            <w:r>
              <w:t xml:space="preserve">se znepokojením konstatuje, že ESVČ obdržela v roce 2023 tři žádosti o pomoc při řešení údajného psychologického obtěžování, do něhož měli být zapojeni dva úředníci, přičemž proběhla dvě správní šetření, z nichž jedno nebylo dosud ukončeno a druhé bylo ukončeno uložením disciplinární sankce; konstatuje, že v roce 2023 se mediační služba ESVČ v rámci neformálního postupu zabývala 28 případy údajného psychologického obtěžování a 10 případy sexuálního obtěžování a že důvěrní poradci řešili 21 případů údajného psychologického obtěžování a 6 případů sexuálního obtěžování; konstatuje, že ESVČ vypracovala v roce 2023 rozhodnutí o předcházení obtěžování určené místním zaměstnancům v delegacích, které bylo přijato v červnu 2024; </w:t>
            </w:r>
            <w:r>
              <w:rPr>
                <w:b/>
                <w:i/>
              </w:rPr>
              <w:t>oceňuje úsilí ESVČ o posílení svých politik proti obtěžování, včetně zavedení povinných modulů elektronického učení ke zvýšení informovanosti a zřízení „pracovní skupiny Istanbulské úmluvy“, jejímž cílem je určit opatření k zajištění bezpečnějšího pracoviště pro všechny;</w:t>
            </w:r>
            <w:r>
              <w:t xml:space="preserve"> </w:t>
            </w:r>
            <w:r>
              <w:rPr>
                <w:b/>
                <w:i/>
              </w:rPr>
              <w:t>vyjadřuje však vážné znepokojení nad trvale vysokým počtem případů obtěžování a vyzývá ESVČ, aby zavedla silnější prevenci, podporu obětí a přísná disciplinární opatření s cílem zajistit nulovou toleranci obtěžování;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se znepokojením konstatuje, že ESVČ obdržela v roce 2023 tři žádosti o pomoc při řešení údajného psychologického obtěžování, do něhož měli být zapojeni dva úředníci, přičemž proběhla dvě správní šetření, z nichž jedno nebylo dosud ukončeno a druhé bylo ukončeno uložením disciplinární sankce; konstatuje, že v roce 2023 se mediační služba ESVČ v rámci neformálního postupu zabývala 28 případy údajného psychologického obtěžování a 10 případy sexuálního obtěžování a že důvěrní poradci řešili 21 případů údajného psychologického obtěžování a 6 případů sexuálního obtěžování; konstatuje, že ESVČ vypracovala v roce 2023 rozhodnutí o předcházení obtěžování určené místním zaměstnancům v delegacích, které bylo přijato v červnu 2024;</w:t>
            </w:r>
          </w:p>
        </w:tc>
        <w:tc>
          <w:tcPr>
            <w:tcW w:w="4876" w:type="dxa"/>
            <w:tcBorders>
              <w:top w:val="nil"/>
              <w:left w:val="nil"/>
              <w:bottom w:val="nil"/>
              <w:right w:val="nil"/>
            </w:tcBorders>
          </w:tcPr>
          <w:p>
            <w:pPr>
              <w:pStyle w:val="Normal6a"/>
            </w:pPr>
            <w:r>
              <w:t>25.</w:t>
            </w:r>
            <w:r>
              <w:tab/>
            </w:r>
            <w:r>
              <w:t xml:space="preserve">se znepokojením konstatuje, že ESVČ obdržela v roce 2023 tři žádosti o pomoc při řešení údajného psychologického obtěžování, do něhož měli být zapojeni dva úředníci, přičemž proběhla dvě správní šetření, z nichž jedno nebylo dosud ukončeno a druhé bylo ukončeno uložením disciplinární sankce; konstatuje, že v roce 2023 se mediační služba ESVČ v rámci neformálního postupu zabývala 28 případy údajného psychologického obtěžování a 10 případy sexuálního obtěžování a že důvěrní poradci řešili 21 případů údajného psychologického obtěžování a 6 případů sexuálního obtěžování; konstatuje, že ESVČ vypracovala v roce 2023 rozhodnutí o předcházení obtěžování určené místním zaměstnancům v delegacích, které bylo přijato v červnu 2024; </w:t>
            </w:r>
            <w:r>
              <w:rPr>
                <w:b/>
                <w:i/>
              </w:rPr>
              <w:t>vyzývá ESVČ, aby i nadále přijímala opatření, která podporují bezpečné pracovní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je znepokojen, že počet zaměstnanců ESVČ v dlouhodobé pracovní neschopnosti delší než 50 dnů se zvýšil ze 111 zaměstnanců v roce 2022 na 171 zaměstnanců v roce 2023, což odpovídá nárůstu o 54 %; konstatuje, že lékařská služba zavedla několik opatření k prevenci rizika vyhoření, například v prosinci 2023 přijala do pracovního poměru psychiatra a zavedla systematičtější sledování pracovní neschopnosti lékařskou službou, psychologickou podporu a poradenství pro zaměstnance i vedoucí pracovníky, činnosti v oblasti zvyšování povědomí a vytvořila síť pracovníků první pomoci v oblasti duševního zdraví;</w:t>
            </w:r>
          </w:p>
        </w:tc>
        <w:tc>
          <w:tcPr>
            <w:tcW w:w="4876" w:type="dxa"/>
            <w:tcBorders>
              <w:top w:val="nil"/>
              <w:left w:val="nil"/>
              <w:bottom w:val="nil"/>
              <w:right w:val="nil"/>
            </w:tcBorders>
          </w:tcPr>
          <w:p>
            <w:pPr>
              <w:pStyle w:val="Normal6a"/>
            </w:pPr>
            <w:r>
              <w:t>27.</w:t>
            </w:r>
            <w:r>
              <w:tab/>
            </w:r>
            <w:r>
              <w:t xml:space="preserve">je znepokojen, že počet zaměstnanců ESVČ v dlouhodobé pracovní neschopnosti delší než 50 dnů se zvýšil ze 111 zaměstnanců v roce 2022 na 171 zaměstnanců v roce 2023, což odpovídá nárůstu o 54 %; konstatuje, že lékařská služba zavedla několik opatření k prevenci rizika vyhoření, například v prosinci 2023 přijala do pracovního poměru psychiatra a zavedla systematičtější sledování pracovní neschopnosti lékařskou službou, psychologickou podporu a poradenství pro zaměstnance i vedoucí pracovníky, činnosti v oblasti zvyšování povědomí a vytvořila síť pracovníků první pomoci v oblasti duševního zdraví; </w:t>
            </w:r>
            <w:r>
              <w:rPr>
                <w:b/>
                <w:i/>
              </w:rPr>
              <w:t>zdůrazňuje, že je třeba, aby vedoucí pracovníci zajistili spravedlivé přidělování úkolů a uplatňovali pokyny a pružné uspořádání pracovní doby;</w:t>
            </w:r>
            <w:r>
              <w:t xml:space="preserve"> </w:t>
            </w:r>
            <w:r>
              <w:rPr>
                <w:b/>
                <w:i/>
              </w:rPr>
              <w:t>vyzývá ESVČ, aby zaujala proaktivní přístup k předcházení dlouhodobých nemocí a vyhoření a upřednostňovala dobré pracovní podmínky zaměstnanců prostřednictvím účinných podpůrných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je znepokojen, že počet zaměstnanců ESVČ v dlouhodobé pracovní neschopnosti delší než 50 dnů se zvýšil ze 111 zaměstnanců v roce 2022 na 171 zaměstnanců v roce 2023, což odpovídá nárůstu o 54 %; konstatuje, že lékařská služba zavedla několik opatření k prevenci rizika vyhoření, například v prosinci 2023 přijala do pracovního poměru psychiatra a zavedla systematičtější sledování pracovní neschopnosti lékařskou službou, psychologickou podporu a poradenství pro zaměstnance i vedoucí pracovníky, činnosti v oblasti zvyšování povědomí a vytvořila síť pracovníků první pomoci v oblasti duševního zdraví;</w:t>
            </w:r>
          </w:p>
        </w:tc>
        <w:tc>
          <w:tcPr>
            <w:tcW w:w="4876" w:type="dxa"/>
            <w:tcBorders>
              <w:top w:val="nil"/>
              <w:left w:val="nil"/>
              <w:bottom w:val="nil"/>
              <w:right w:val="nil"/>
            </w:tcBorders>
          </w:tcPr>
          <w:p>
            <w:pPr>
              <w:pStyle w:val="Normal6a"/>
            </w:pPr>
            <w:r>
              <w:t>27.</w:t>
            </w:r>
            <w:r>
              <w:tab/>
            </w:r>
            <w:r>
              <w:t xml:space="preserve">je znepokojen, že počet zaměstnanců ESVČ v dlouhodobé pracovní neschopnosti delší než 50 dnů se zvýšil ze 111 zaměstnanců v roce 2022 na 171 zaměstnanců v roce 2023, což odpovídá nárůstu o 54 %; konstatuje, že lékařská služba zavedla několik opatření k prevenci rizika vyhoření, například v prosinci 2023 přijala do pracovního poměru psychiatra a zavedla systematičtější sledování pracovní neschopnosti lékařskou službou, psychologickou podporu a poradenství pro zaměstnance i vedoucí pracovníky, činnosti v oblasti zvyšování povědomí a vytvořila síť pracovníků první pomoci v oblasti duševního zdraví; </w:t>
            </w:r>
            <w:r>
              <w:rPr>
                <w:b/>
                <w:i/>
              </w:rPr>
              <w:t>vyzývá ESVČ, aby přijala nezbytná opatření k zajištění duševní pohody svých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je znepokojen tím, že maďarské orgány zřejmě udělují bezpečnostní prověrku maďarským státním příslušníkům pouze tehdy, pokud jsou členy vládnoucí strany Fidesz, čímž omezují možnosti kariérního postupu Maďarů v orgánech EU;</w:t>
            </w:r>
            <w:r>
              <w:t xml:space="preserve"> </w:t>
            </w:r>
            <w:r>
              <w:rPr>
                <w:b/>
                <w:i/>
              </w:rPr>
              <w:t>vyzývá Komisi a Evropskou službu pro vnější činnost, aby posoudily dopad této praxe na zásadu rovného zacházení a spravedlivého přístupu k zaměstnání v EU;</w:t>
            </w:r>
            <w:r>
              <w:t xml:space="preserve"> </w:t>
            </w:r>
            <w:r>
              <w:rPr>
                <w:b/>
                <w:i/>
              </w:rPr>
              <w:t>naléhavě vyzývá Radu a členské státy, aby přijaly vhodná opatření k zajištění toho, aby se postupy bezpečnostní prověrky nestaly nástrojem politické diskriminace, což narušuje nezávislost a integritu orgánů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bere na vědomí, že kvůli rozpočtovým omezením byl počet zaměstnaných stážistů snížen;</w:t>
            </w:r>
            <w:r>
              <w:t xml:space="preserve"> </w:t>
            </w:r>
            <w:r>
              <w:rPr>
                <w:b/>
                <w:i/>
              </w:rPr>
              <w:t>vyzývá ESVČ, aby poskytla informace o pracovních podmínkách a odměňování stážistů v ústředí a delegacích;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konstatuje, že ESVČ v roce 2023 zkvalitnila svůj etický rámec, neboť poskytla nové pokyny, které zakazují či omezují služební cesty, u nichž jsou náklady částečně či zcela hrazeny z vnějších zdrojů, aby se zamezilo riziku střetu zájmů, a zaslala všem zaměstnancům upozornění týkající se etiky; konstatuje, že ESVČ rovněž pořádala zvláštní školení zaměřená na etiku, střety zájmů, vnitřní kontrolu a boj proti podvodům určená různým cílovým skupinám v ústředí ESVČ a v delegacích a jim přizpůsobená; dále konstatuje, že 16 „zásad profesionálního vystupování“ přijatých v roce 2022 je i nadále rozesíláno nově přijatým pracovníkům a tyto zásady jsou prosazovány v širokém měřítku, zejména pak během školení o „etice a integritě“ a „politice proti obtěžování“; žádá, aby ESVČ Parlament informovala o veškerém dalším vývoji svého etického rámce;</w:t>
            </w:r>
          </w:p>
        </w:tc>
        <w:tc>
          <w:tcPr>
            <w:tcW w:w="4876" w:type="dxa"/>
            <w:tcBorders>
              <w:top w:val="nil"/>
              <w:left w:val="nil"/>
              <w:bottom w:val="nil"/>
              <w:right w:val="nil"/>
            </w:tcBorders>
          </w:tcPr>
          <w:p>
            <w:pPr>
              <w:pStyle w:val="Normal6a"/>
            </w:pPr>
            <w:r>
              <w:t>28.</w:t>
            </w:r>
            <w:r>
              <w:tab/>
            </w:r>
            <w:r>
              <w:t xml:space="preserve">konstatuje, že ESVČ v roce 2023 zkvalitnila svůj etický rámec, neboť poskytla nové pokyny, které zakazují či omezují služební cesty, u nichž jsou náklady částečně či zcela hrazeny z vnějších zdrojů, aby se zamezilo riziku střetu zájmů, a zaslala všem zaměstnancům upozornění týkající se etiky; konstatuje, že ESVČ rovněž pořádala zvláštní školení zaměřená na etiku, střety zájmů, vnitřní kontrolu a boj proti podvodům určená různým cílovým skupinám v ústředí ESVČ a v delegacích a jim přizpůsobená; dále konstatuje, že 16 „zásad profesionálního vystupování“ přijatých v roce 2022 je i nadále rozesíláno nově přijatým pracovníkům a tyto zásady jsou prosazovány v širokém měřítku, zejména pak během školení o „etice a integritě“ a „politice proti obtěžování“; žádá, aby ESVČ Parlament informovala o veškerém dalším vývoji svého etického rámce; </w:t>
            </w:r>
            <w:r>
              <w:rPr>
                <w:b/>
                <w:i/>
              </w:rPr>
              <w:t>vyzývá ESVČ, aby poskytovala pravidelná povinná školení o etice, včetně etického používání umělé inteligence, 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zdůrazňuje, že svoboda náboženského vyznání a přesvědčení je základní hodnotou svobodného světa a Evropské unie;</w:t>
            </w:r>
            <w:r>
              <w:t xml:space="preserve"> </w:t>
            </w:r>
            <w:r>
              <w:rPr>
                <w:b/>
                <w:i/>
              </w:rPr>
              <w:t>naléhavě vyzývá Evropskou službu pro vnější činnost, aby do svých činností začlenila náboženskou diplomacii a uznala náboženství jako součást řešení globálních výzev;</w:t>
            </w:r>
            <w:r>
              <w:t xml:space="preserve"> </w:t>
            </w:r>
            <w:r>
              <w:rPr>
                <w:b/>
                <w:i/>
              </w:rPr>
              <w:t>zdůrazňuje, že tento přístup by měl zahrnovat aktivní ochranu práv křesťanů a dalších náboženských skupin, zejména v zemích, kde jsou menšinami, jakož i prosazování tolerance a zajištění toho, aby náboženská svoboda byla součástí všech příslušných vnějších závazků a politik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vítá, že ESVČ přijala v říjnu 2023 novou strategii proti podvodům, která se vztahuje na všechny zaměstnance v ústředí ESVČ i v delegacích a jež je výsledkem důkladného přezkumu rizik souvisejících s podvody a již formálně schválil úřad OLAF; konstatuje,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w:t>
            </w:r>
          </w:p>
        </w:tc>
        <w:tc>
          <w:tcPr>
            <w:tcW w:w="4876" w:type="dxa"/>
            <w:tcBorders>
              <w:top w:val="nil"/>
              <w:left w:val="nil"/>
              <w:bottom w:val="nil"/>
              <w:right w:val="nil"/>
            </w:tcBorders>
          </w:tcPr>
          <w:p>
            <w:pPr>
              <w:pStyle w:val="Normal6a"/>
            </w:pPr>
            <w:r>
              <w:t>29.</w:t>
            </w:r>
            <w:r>
              <w:tab/>
            </w:r>
            <w:r>
              <w:t xml:space="preserve">vítá, že ESVČ přijala v říjnu 2023 novou strategii proti podvodům, která se vztahuje na všechny zaměstnance v ústředí ESVČ i v delegacích a jež je výsledkem důkladného přezkumu rizik souvisejících s podvody a již formálně schválil úřad OLAF; konstatuje,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 </w:t>
            </w:r>
            <w:r>
              <w:rPr>
                <w:b/>
                <w:i/>
              </w:rPr>
              <w:t>vyzývá k posílení opatření, která zajistí, aby příjemci finančních prostředků EU dodržovali pravidla, záruky a mezinárodní právo EU;</w:t>
            </w:r>
            <w:r>
              <w:t xml:space="preserve"> </w:t>
            </w:r>
            <w:r>
              <w:rPr>
                <w:b/>
                <w:i/>
              </w:rPr>
              <w:t>vyzývá k pozastavení veškerých finančních prostředků EU pro Palestinskou správu a UNRWA, dokud všechny učebnice a vzdělávací materiály používané v jejich školách nebudou přísně v souladu s normami UNESCO v oblasti míru, tolerance, soužití a nenásilí;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vítá, že ESVČ přijala v říjnu 2023 novou strategii proti podvodům, která se vztahuje na všechny zaměstnance v ústředí ESVČ i v delegacích a jež je výsledkem důkladného přezkumu rizik souvisejících s podvody a již formálně schválil úřad OLAF; konstatuje,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w:t>
            </w:r>
          </w:p>
        </w:tc>
        <w:tc>
          <w:tcPr>
            <w:tcW w:w="4876" w:type="dxa"/>
            <w:tcBorders>
              <w:top w:val="nil"/>
              <w:left w:val="nil"/>
              <w:bottom w:val="nil"/>
              <w:right w:val="nil"/>
            </w:tcBorders>
          </w:tcPr>
          <w:p>
            <w:pPr>
              <w:pStyle w:val="Normal6a"/>
            </w:pPr>
            <w:r>
              <w:t>29.</w:t>
            </w:r>
            <w:r>
              <w:tab/>
            </w:r>
            <w:r>
              <w:t xml:space="preserve">vítá, že ESVČ přijala v říjnu 2023 novou strategii proti podvodům, která se vztahuje na všechny zaměstnance v ústředí ESVČ i v delegacích a jež je výsledkem důkladného přezkumu rizik souvisejících s podvody a již formálně schválil úřad OLAF; konstatuje,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 </w:t>
            </w:r>
            <w:r>
              <w:rPr>
                <w:b/>
                <w:i/>
              </w:rPr>
              <w:t>žádá ESVČ, aby pro všechny zaměstnance prováděla povinná pravidelná školení zaměřená na informovanost a prevenci podvodů;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vítá, že ESVČ přijala v říjnu 2023 novou strategii proti podvodům, která se vztahuje na všechny zaměstnance v ústředí ESVČ i v delegacích a jež je výsledkem důkladného přezkumu rizik souvisejících s podvody a již formálně schválil úřad OLAF; </w:t>
            </w:r>
            <w:r>
              <w:rPr>
                <w:b/>
                <w:i/>
              </w:rPr>
              <w:t>konstatuje</w:t>
            </w:r>
            <w:r>
              <w:t>,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w:t>
            </w:r>
          </w:p>
        </w:tc>
        <w:tc>
          <w:tcPr>
            <w:tcW w:w="4876" w:type="dxa"/>
            <w:tcBorders>
              <w:top w:val="nil"/>
              <w:left w:val="nil"/>
              <w:bottom w:val="nil"/>
              <w:right w:val="nil"/>
            </w:tcBorders>
          </w:tcPr>
          <w:p>
            <w:pPr>
              <w:pStyle w:val="Normal6a"/>
            </w:pPr>
            <w:r>
              <w:t>29.</w:t>
            </w:r>
            <w:r>
              <w:tab/>
            </w:r>
            <w:r>
              <w:t xml:space="preserve">vítá, že ESVČ přijala v říjnu 2023 novou strategii proti podvodům, která se vztahuje na všechny zaměstnance v ústředí ESVČ i v delegacích a jež je výsledkem důkladného přezkumu rizik souvisejících s podvody a již formálně schválil úřad OLAF; </w:t>
            </w:r>
            <w:r>
              <w:rPr>
                <w:b/>
                <w:i/>
              </w:rPr>
              <w:t>vítá</w:t>
            </w:r>
            <w:r>
              <w:t>, že ESVČ věnovala zvláštní úsilí školení a poradenství pro zaměstnance, především pak její oddělení pro boj proti podvodům zřízené v prosinci 2022; konstatuje, že zaměstnanci ESVČ vyslaní do delegací Unie se aktivně účastnili řady pracovních setkání a seminářů věnovaných informovanosti o podvodech a jejich prevenci, že zaměstnanci nově přidělení do delegací Unie před nástupem do funkce systematicky absolvovali školení zaměřená na tuto problematiku a že byla přepracována stránka intranetu věnovaná boji proti podvodům, aby usnadnila oznamování možných případů podvodů a nabídla širší škálu možností školení v oblasti boje proti podvodům;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konstatuje, že ESVČ nebyly v roce 2023 oznámeny žádné případy whistleblowingu; konstatuje, že ESVČ začala v roce 2023 připravovat zvláštní politiku ochrany oznamovatelů, jež je v souladu s novou strategií proti podvodům; žádá, aby byl Parlament informován o jejím přijetí naplánovaném na rok 2025 a jejím provádění v jednotlivých útvarech;</w:t>
            </w:r>
          </w:p>
        </w:tc>
        <w:tc>
          <w:tcPr>
            <w:tcW w:w="4876" w:type="dxa"/>
            <w:tcBorders>
              <w:top w:val="nil"/>
              <w:left w:val="nil"/>
              <w:bottom w:val="nil"/>
              <w:right w:val="nil"/>
            </w:tcBorders>
          </w:tcPr>
          <w:p>
            <w:pPr>
              <w:pStyle w:val="Normal6a"/>
            </w:pPr>
            <w:r>
              <w:t>30.</w:t>
            </w:r>
            <w:r>
              <w:tab/>
            </w:r>
            <w:r>
              <w:t xml:space="preserve">konstatuje, že ESVČ nebyly v roce 2023 oznámeny žádné případy whistleblowingu; </w:t>
            </w:r>
            <w:r>
              <w:rPr>
                <w:b/>
                <w:i/>
              </w:rPr>
              <w:t>s uspokojením</w:t>
            </w:r>
            <w:r>
              <w:t xml:space="preserve"> konstatuje, že ESVČ začala v roce 2023 připravovat zvláštní politiku ochrany oznamovatelů, jež je v souladu s novou strategií proti podvodům; žádá, aby byl Parlament informován o jejím přijetí naplánovaném na rok 2025 a jejím provádění v jednotlivých útvarech;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vyzývá ESVČ, aby stanovila dvouleté přechodné období pro vyšší úředníky a diplomaty, než se mohou ujmout úlohy v obranném průmyslu, zahraničních vládách nebo poradenských firmách zapojených do lobbování v rámci politiky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se znepokojením konstatuje, že úřad OLAF zahájil v roce 2023 osm vyšetřování, jež stále probíhají a která se týkají možného pochybení v rámci zadávacích řízení a provádění zakázek, grantových dohod či možných nesrovnalostí souvisejících se záležitostmi z oblasti lidských zdrojů; </w:t>
            </w:r>
            <w:r>
              <w:rPr>
                <w:b/>
                <w:i/>
              </w:rPr>
              <w:t>konstatuje, že případy otevřené v roce 2023 se týkaly úředníků, dočasných zaměstnanců a místních zaměstnanců jak v ústředí ESVČ, tak v delegacích;</w:t>
            </w:r>
            <w:r>
              <w:t xml:space="preserve"> </w:t>
            </w:r>
            <w:r>
              <w:rPr>
                <w:b/>
                <w:i/>
              </w:rPr>
              <w:t>žádá, aby byl Parlament informován o opatřeních přijatých v návaznosti na tato vyšetřování;</w:t>
            </w:r>
            <w:r>
              <w:t xml:space="preserve"> </w:t>
            </w:r>
            <w:r>
              <w:rPr>
                <w:b/>
                <w:i/>
              </w:rPr>
              <w:t>konstatuje, že bylo uzavřeno osm starších případů, do nichž byli zapojeni bývalí i dnešní zaměstnanci, přičemž v pěti případech bylo doporučeno přijmout další kroky;</w:t>
            </w:r>
            <w:r>
              <w:t xml:space="preserve"> </w:t>
            </w:r>
            <w:r>
              <w:rPr>
                <w:b/>
                <w:i/>
              </w:rPr>
              <w:t>konstatuje, že ESVČ je prostřednictvím svého oddělení pro boj proti podvodům v pravidelném kontaktu s úřadem OLAF a že přijímá včasná opatření navazující na doporučení úřadu</w:t>
            </w:r>
            <w:r>
              <w:t>;</w:t>
            </w:r>
          </w:p>
        </w:tc>
        <w:tc>
          <w:tcPr>
            <w:tcW w:w="4876" w:type="dxa"/>
            <w:tcBorders>
              <w:top w:val="nil"/>
              <w:left w:val="nil"/>
              <w:bottom w:val="nil"/>
              <w:right w:val="nil"/>
            </w:tcBorders>
          </w:tcPr>
          <w:p>
            <w:pPr>
              <w:pStyle w:val="Normal6a"/>
            </w:pPr>
            <w:r>
              <w:t>32.</w:t>
            </w:r>
            <w:r>
              <w:tab/>
            </w:r>
            <w:r>
              <w:t xml:space="preserve">se znepokojením konstatuje, že úřad OLAF zahájil v roce 2023 osm vyšetřování, jež stále probíhají a která se týkají možného pochybení v rámci zadávacích řízení a provádění zakázek, grantových dohod či možných nesrovnalostí souvisejících se záležitostmi z oblasti lidských zdrojů; </w:t>
            </w:r>
            <w:r>
              <w:rPr>
                <w:b/>
                <w:i/>
              </w:rPr>
              <w:t>vyjadřuje hluboké znepokojení nad případem odhaleným Evropským úřadem pro boj proti podvodům (OLAF), který zjistil, že někteří diplomaté ESVČ provozovali při vysílání pracovníků do jihovýchodní Asie nelegální síť pro pašování alkoholu a doutníků, čímž porušili pravidla EU a zákaz zneužívání diplomatických výsad;</w:t>
            </w:r>
            <w:r>
              <w:t xml:space="preserve"> </w:t>
            </w:r>
            <w:r>
              <w:rPr>
                <w:b/>
                <w:i/>
              </w:rPr>
              <w:t>odsuzuje skutečnost, že zúčastněné strany zneužívaly své oficiální postoje EU a daňové a celní výjimky spojené s jejich diplomatickým statusem k osobnímu prospěchu, což vážně poškozuje důvěryhodnost a pověst orgánů EU;</w:t>
            </w:r>
            <w:r>
              <w:t xml:space="preserve"> </w:t>
            </w:r>
            <w:r>
              <w:rPr>
                <w:b/>
                <w:i/>
              </w:rPr>
              <w:t>vyzývá ESVČ, aby okamžitě zveřejnila výsledky svých vnitřních vyšetřování a zajistila přijetí vhodných disciplinárních a právních opatření;</w:t>
            </w:r>
            <w:r>
              <w:t xml:space="preserve"> </w:t>
            </w:r>
            <w:r>
              <w:rPr>
                <w:b/>
                <w:i/>
              </w:rPr>
              <w:t>zdůrazňuje, že je třeba zavést přísnější kontrolní mechanismy a etická pravidla, aby se takovým případům zabránilo, zejména pokud jde o zneužívání diplomatických výsad;</w:t>
            </w:r>
            <w:r>
              <w:t xml:space="preserve"> </w:t>
            </w:r>
            <w:r>
              <w:rPr>
                <w:b/>
                <w:i/>
              </w:rPr>
              <w:t>vyzývá ESVČ, aby informovala Parlament o opatřeních přijatých v reakci na tento případ a o svých návrzích na posílení mechanismů transparentnosti a odpovědnosti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se znepokojením konstatuje, že úřad OLAF zahájil v roce 2023 osm vyšetřování, jež stále probíhají a která se týkají možného pochybení v rámci zadávacích řízení a provádění zakázek, grantových dohod či možných nesrovnalostí souvisejících se záležitostmi z oblasti lidských zdrojů; konstatuje, že případy otevřené v roce 2023 se týkaly úředníků, dočasných zaměstnanců a místních zaměstnanců jak v ústředí ESVČ, tak v delegacích; žádá, aby byl Parlament informován o opatřeních přijatých v návaznosti na tato vyšetřování; konstatuje, že bylo uzavřeno osm starších případů, do nichž byli zapojeni bývalí i dnešní zaměstnanci, přičemž v pěti případech bylo doporučeno přijmout další kroky; konstatuje, že ESVČ je prostřednictvím svého oddělení pro boj proti podvodům v pravidelném kontaktu s úřadem OLAF a že přijímá včasná opatření navazující na doporučení úřadu;</w:t>
            </w:r>
          </w:p>
        </w:tc>
        <w:tc>
          <w:tcPr>
            <w:tcW w:w="4876" w:type="dxa"/>
            <w:tcBorders>
              <w:top w:val="nil"/>
              <w:left w:val="nil"/>
              <w:bottom w:val="nil"/>
              <w:right w:val="nil"/>
            </w:tcBorders>
          </w:tcPr>
          <w:p>
            <w:pPr>
              <w:pStyle w:val="Normal6a"/>
            </w:pPr>
            <w:r>
              <w:t>32.</w:t>
            </w:r>
            <w:r>
              <w:tab/>
            </w:r>
            <w:r>
              <w:t xml:space="preserve">se znepokojením konstatuje, že úřad OLAF zahájil v roce 2023 osm vyšetřování, jež stále probíhají a která se týkají možného pochybení v rámci zadávacích řízení a provádění zakázek, grantových dohod či možných nesrovnalostí souvisejících se záležitostmi z oblasti lidských zdrojů; konstatuje, že případy otevřené v roce 2023 se týkaly úředníků, dočasných zaměstnanců a místních zaměstnanců jak v ústředí ESVČ, tak v delegacích; žádá, aby byl Parlament informován o opatřeních přijatých v návaznosti na tato vyšetřování; konstatuje, že bylo uzavřeno osm starších případů, do nichž byli zapojeni bývalí i dnešní zaměstnanci, přičemž v pěti případech bylo doporučeno přijmout další kroky; konstatuje, že ESVČ je prostřednictvím svého oddělení pro boj proti podvodům v pravidelném kontaktu s úřadem OLAF a že přijímá včasná opatření navazující na doporučení úřadu; </w:t>
            </w:r>
            <w:r>
              <w:rPr>
                <w:b/>
                <w:i/>
              </w:rPr>
              <w:t>žádá, aby byl Parlament informován o provádění doporučení;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bere na vědomí veškeré činnosti prováděné za účelem zvýšení povědomí o mimopracovních činnostech;</w:t>
            </w:r>
            <w:r>
              <w:t xml:space="preserve"> </w:t>
            </w:r>
            <w:r>
              <w:rPr>
                <w:b/>
                <w:i/>
              </w:rPr>
              <w:t>připomíná žádost Parlamentu, aby byla přijata samostatná prováděcí ustanovení o mimopracovních činnostech a úkolech s cílem chránit pověst Unie, zejména v případě vedoucích delegací;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w:t>
            </w:r>
          </w:p>
        </w:tc>
        <w:tc>
          <w:tcPr>
            <w:tcW w:w="4876" w:type="dxa"/>
            <w:tcBorders>
              <w:top w:val="nil"/>
              <w:left w:val="nil"/>
              <w:bottom w:val="nil"/>
              <w:right w:val="nil"/>
            </w:tcBorders>
          </w:tcPr>
          <w:p>
            <w:pPr>
              <w:pStyle w:val="Normal6a"/>
            </w:pPr>
            <w:r>
              <w:t>34.</w:t>
            </w:r>
            <w:r>
              <w:tab/>
            </w:r>
            <w:r>
              <w:t xml:space="preserve">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 </w:t>
            </w:r>
            <w:r>
              <w:rPr>
                <w:b/>
                <w:i/>
              </w:rPr>
              <w:t>připomíná, že je třeba klást zvláštní důraz na další posilování demokratické legitimity orgánů a institucí Unie zvyšováním transparentnosti a zodpovědnosti, uplatňováním konceptu sestavování rozpočtu podle výkonnosti a řádným řízením lidských zdrojů;</w:t>
            </w:r>
            <w:r>
              <w:t xml:space="preserve"> </w:t>
            </w:r>
            <w:r>
              <w:rPr>
                <w:b/>
                <w:i/>
              </w:rPr>
              <w:t>vyzývá ESVČ, aby na svých internetových stránkách zveřejnila všechny dokumenty související se spisem;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připomíná, že je třeba klást zvláštní důraz na další posilování demokratické legitimity orgánů a institucí Unie uplatňováním konceptu sestavování rozpočtu podle výkonnosti a řádným řízením lidských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w:t>
            </w:r>
          </w:p>
        </w:tc>
        <w:tc>
          <w:tcPr>
            <w:tcW w:w="4876" w:type="dxa"/>
            <w:tcBorders>
              <w:top w:val="nil"/>
              <w:left w:val="nil"/>
              <w:bottom w:val="nil"/>
              <w:right w:val="nil"/>
            </w:tcBorders>
          </w:tcPr>
          <w:p>
            <w:pPr>
              <w:pStyle w:val="Normal6a"/>
            </w:pPr>
            <w:r>
              <w:t>34.</w:t>
            </w:r>
            <w:r>
              <w:tab/>
            </w:r>
            <w:r>
              <w:t xml:space="preserve">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 </w:t>
            </w:r>
            <w:r>
              <w:rPr>
                <w:b/>
                <w:i/>
              </w:rPr>
              <w:t>vyzývá delegace Unie, aby v rámci spolupráce s organizacemi občanské společnosti dodržovaly vysoké standardy odpovědnosti a transparentnosti;</w:t>
            </w:r>
            <w:r>
              <w:t xml:space="preserve"> </w:t>
            </w:r>
            <w:r>
              <w:rPr>
                <w:b/>
                <w:i/>
              </w:rPr>
              <w:t>žádá delegace Unie, aby zajistily, že finanční prostředky EU přidělované organizacím občanské společnosti a sociálním partnerům ve třetích zemích budou využívány v souladu s hodnotami, politikami a finančními pravidly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w:t>
            </w:r>
          </w:p>
        </w:tc>
        <w:tc>
          <w:tcPr>
            <w:tcW w:w="4876" w:type="dxa"/>
            <w:tcBorders>
              <w:top w:val="nil"/>
              <w:left w:val="nil"/>
              <w:bottom w:val="nil"/>
              <w:right w:val="nil"/>
            </w:tcBorders>
          </w:tcPr>
          <w:p>
            <w:pPr>
              <w:pStyle w:val="Normal6a"/>
            </w:pPr>
            <w:r>
              <w:t>34.</w:t>
            </w:r>
            <w:r>
              <w:tab/>
            </w:r>
            <w:r>
              <w:t xml:space="preserve">konstatuje, že vysoký představitel, místopředseda Komise je ze své funkce místopředsedy vázán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konstatuje, že by bylo velmi vhodné, kdyby ESVČ přijala opatření pro zajištění transparentnosti a oznámila je správní radě rejstříku transparentnosti </w:t>
            </w:r>
            <w:r>
              <w:rPr>
                <w:b/>
                <w:i/>
              </w:rPr>
              <w:t>a kdyby se k rejstříku připojila</w:t>
            </w:r>
            <w:r>
              <w:t>; vyzývá ESVČ, aby v zájmu zvýšení transparentnosti zveřejňovala všechny schůzky se všemi druhy lobbistických organizací, včetně setkání vedoucích delegací Unie; žádá, aby byl Parlament informován o každé nové iniciativě ke zvýšení transparentnosti, kterou ESVČ přijme;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naléhavě vyzývá ESVČ, aby se připojila k rejstříku transparentnosti EU s cílem sladit své postupy s Evropským parlamentem a Komisí a zajistit úplné zveřejňování lobbistických činností a finančních zájmů souvisejících s obranou a diplomatickými záležitostmi;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konstatuje, že ESVČ začala v roce 2023 využívat a ovládat prostředí UI, aby mohl být zaveden ucelený model řízení UI; konstatuje, že tento technický krok připravil půdu pro přijetí pokynů k používání generativní UI a přijetí Strategie pro využívání umělé inteligence v roce 2024, jakož i pro průběžné ověřování koncepce;</w:t>
            </w:r>
          </w:p>
        </w:tc>
        <w:tc>
          <w:tcPr>
            <w:tcW w:w="4876" w:type="dxa"/>
            <w:tcBorders>
              <w:top w:val="nil"/>
              <w:left w:val="nil"/>
              <w:bottom w:val="nil"/>
              <w:right w:val="nil"/>
            </w:tcBorders>
          </w:tcPr>
          <w:p>
            <w:pPr>
              <w:pStyle w:val="Normal6a"/>
            </w:pPr>
            <w:r>
              <w:t>36.</w:t>
            </w:r>
            <w:r>
              <w:tab/>
            </w:r>
            <w:r>
              <w:t xml:space="preserve">konstatuje, že ESVČ začala v roce 2023 využívat a ovládat prostředí UI, aby mohl být zaveden ucelený model řízení UI; konstatuje, že tento technický krok připravil půdu pro přijetí pokynů k používání generativní UI a přijetí Strategie pro využívání umělé inteligence v roce 2024, jakož i pro průběžné ověřování koncepce; </w:t>
            </w:r>
            <w:r>
              <w:rPr>
                <w:b/>
                <w:i/>
              </w:rPr>
              <w:t>žádá, aby byl Parlament průběžně informován o vývoji strategie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konstatuje, že v rámci provádění Strategického kompasu pro bezpečnost a obranu přijatého v roce 2022 se ESVČ podílela na přijetí hlavních politických dokumentů a souborů nástrojů týkajících se mimo jiné kybernetické obrany, digitální diplomacie, hybridních hrozeb, zahraničního vměšování a manipulace s informacemi; konstatuje, že ESVČ v rámci své organizace opět zlepšila své schopnosti v oblasti kybernetické bezpečnosti náborem specializovaných pracovníků a že různým cílovým skupinám, mimo jiné týmu pro řízení bezpečnosti, členům delegací, nově přijatým pracovníkům i vedoucím pracovníkům, zajistila činnosti v oblasti povědomí o kybernetické bezpečnosti;</w:t>
            </w:r>
          </w:p>
        </w:tc>
        <w:tc>
          <w:tcPr>
            <w:tcW w:w="4876" w:type="dxa"/>
            <w:tcBorders>
              <w:top w:val="nil"/>
              <w:left w:val="nil"/>
              <w:bottom w:val="nil"/>
              <w:right w:val="nil"/>
            </w:tcBorders>
          </w:tcPr>
          <w:p>
            <w:pPr>
              <w:pStyle w:val="Normal6a"/>
            </w:pPr>
            <w:r>
              <w:t>37.</w:t>
            </w:r>
            <w:r>
              <w:tab/>
            </w:r>
            <w:r>
              <w:t xml:space="preserve">konstatuje, že v rámci provádění Strategického kompasu pro bezpečnost a obranu přijatého v roce 2022 se ESVČ podílela na přijetí hlavních politických dokumentů a souborů nástrojů týkajících se mimo jiné kybernetické obrany, digitální diplomacie, hybridních hrozeb, zahraničního vměšování a manipulace s informacemi; konstatuje, že ESVČ v rámci své organizace opět zlepšila své schopnosti v oblasti kybernetické bezpečnosti náborem specializovaných pracovníků a že různým cílovým skupinám, mimo jiné týmu pro řízení bezpečnosti, členům delegací, nově přijatým pracovníkům i vedoucím pracovníkům, zajistila činnosti v oblasti povědomí o kybernetické bezpečnosti; </w:t>
            </w:r>
            <w:r>
              <w:rPr>
                <w:b/>
                <w:i/>
              </w:rPr>
              <w:t>vyzývá k větší podpoře EU pro Moldavsko v boji proti dezinformacím, hybridním hrozbám a kybernetickým útokům;</w:t>
            </w:r>
            <w:r>
              <w:t xml:space="preserve"> </w:t>
            </w:r>
            <w:r>
              <w:rPr>
                <w:b/>
                <w:i/>
              </w:rPr>
              <w:t>vyzývá delegaci EU v Moldavsku, aby s ještě větším úsilím podporovala aktivnější a účinnější komunikační strategie týkající se evropské perspektivy, včetně osvěty v ruském jazyce;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konstatuje, že v rámci provádění Strategického kompasu pro bezpečnost a obranu přijatého v roce 2022 se ESVČ podílela na přijetí hlavních politických dokumentů a souborů nástrojů týkajících se mimo jiné kybernetické obrany, digitální diplomacie, hybridních hrozeb, zahraničního vměšování a manipulace s informacemi; konstatuje, že ESVČ v rámci své organizace opět zlepšila své schopnosti v oblasti kybernetické bezpečnosti náborem specializovaných pracovníků a že různým cílovým skupinám, mimo jiné týmu pro řízení bezpečnosti, členům delegací, nově přijatým pracovníkům i vedoucím pracovníkům, zajistila činnosti v oblasti povědomí o kybernetické bezpečnosti;</w:t>
            </w:r>
          </w:p>
        </w:tc>
        <w:tc>
          <w:tcPr>
            <w:tcW w:w="4876" w:type="dxa"/>
            <w:tcBorders>
              <w:top w:val="nil"/>
              <w:left w:val="nil"/>
              <w:bottom w:val="nil"/>
              <w:right w:val="nil"/>
            </w:tcBorders>
          </w:tcPr>
          <w:p>
            <w:pPr>
              <w:pStyle w:val="Normal6a"/>
            </w:pPr>
            <w:r>
              <w:t>37.</w:t>
            </w:r>
            <w:r>
              <w:tab/>
            </w:r>
            <w:r>
              <w:t xml:space="preserve">konstatuje, že v rámci provádění Strategického kompasu pro bezpečnost a obranu přijatého v roce 2022 se ESVČ podílela na přijetí hlavních politických dokumentů a souborů nástrojů týkajících se mimo jiné kybernetické obrany, digitální diplomacie, hybridních hrozeb, zahraničního vměšování a manipulace s informacemi; konstatuje, že ESVČ v rámci své organizace opět zlepšila své schopnosti v oblasti kybernetické bezpečnosti náborem specializovaných pracovníků a že různým cílovým skupinám, mimo jiné týmu pro řízení bezpečnosti, členům delegací, nově přijatým pracovníkům i vedoucím pracovníkům, zajistila činnosti v oblasti povědomí o kybernetické bezpečnosti; </w:t>
            </w:r>
            <w:r>
              <w:rPr>
                <w:b/>
                <w:i/>
              </w:rPr>
              <w:t>žádá, aby ESVČ poskytovala všem zaměstnancům pravidelnou povinnou odbornou přípravu v oblasti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vítá zřízení partnerské mise EU v Moldavsku (EUPM Moldova);</w:t>
            </w:r>
            <w:r>
              <w:t xml:space="preserve"> </w:t>
            </w:r>
            <w:r>
              <w:rPr>
                <w:b/>
                <w:i/>
              </w:rPr>
              <w:t>zdůrazňuje zásadní úlohu této mise a vyzývá EU a její členské státy, aby prodloužily mandát mise po květnu 2025 a zároveň navýšily zdroje s cílem zvýšit její účinnost;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konstatuje, že v roce 2023 zaznamenala ESVČ prostřednictvím řízení bezpečnostních informací a událostí (SIEM) více než 29 623 kybernetických upozornění, přičemž 92 informací bylo potvrzeno coby kybernetické útoky; konstatuje, že čtyři kybernetické útoky měly dopad na činnost ESVČ a pouze jeden měl významné důsledky; konstatuje, že hlavním subjektem pro monitorování hrozeb a zjišťování slabých míst systému v reálném čase je bezpečnostní operační středisko ESVČ; vybízí ESVČ, aby nadále zohledňovala potřebu disciplíny uživatelů v oblasti kybernetické bezpečnosti a jejich povědomí o kybernetické bezpečnosti coby hlavních aspektů svého rámce kybernetické bezpečnosti;</w:t>
            </w:r>
          </w:p>
        </w:tc>
        <w:tc>
          <w:tcPr>
            <w:tcW w:w="4876" w:type="dxa"/>
            <w:tcBorders>
              <w:top w:val="nil"/>
              <w:left w:val="nil"/>
              <w:bottom w:val="nil"/>
              <w:right w:val="nil"/>
            </w:tcBorders>
          </w:tcPr>
          <w:p>
            <w:pPr>
              <w:pStyle w:val="Normal6a"/>
            </w:pPr>
            <w:r>
              <w:t>38.</w:t>
            </w:r>
            <w:r>
              <w:tab/>
            </w:r>
            <w:r>
              <w:t xml:space="preserve">konstatuje, že v roce 2023 zaznamenala ESVČ prostřednictvím řízení bezpečnostních informací a událostí (SIEM) více než 29 623 kybernetických upozornění, přičemž 92 informací bylo potvrzeno coby kybernetické útoky; konstatuje, že čtyři kybernetické útoky měly dopad na činnost ESVČ a pouze jeden měl významné důsledky; </w:t>
            </w:r>
            <w:r>
              <w:rPr>
                <w:b/>
                <w:i/>
              </w:rPr>
              <w:t>varuje, že ESVČ je velmi pravděpodobným cílem pro aktéry s dostatečnými zdroji, včetně těch, kteří jsou sponzorováni cizími státy, kteří se snaží narušit orgány Unie;</w:t>
            </w:r>
            <w:r>
              <w:t xml:space="preserve"> konstatuje, že hlavním subjektem pro monitorování hrozeb a zjišťování slabých míst systému v reálném čase je bezpečnostní operační středisko ESVČ; vybízí ESVČ, aby nadále zohledňovala potřebu disciplíny uživatelů v oblasti kybernetické bezpečnosti a jejich povědomí o kybernetické bezpečnosti coby hlavních aspektů svého rámce kybernetické bezpečnosti; </w:t>
            </w:r>
            <w:r>
              <w:rPr>
                <w:b/>
                <w:i/>
              </w:rPr>
              <w:t>zdůrazňuje, že je důležité, aby ESVČ i nadále upřednostňovala kybernetickou bezpečnost a zmírňování hybridních hrozeb a zároveň úzce spolupracovala s dalšími orgány Unie a členskými státy s cílem tyto hrozby identifikovat a bojovat proti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konstatuje, že v roce 2023 zaznamenala ESVČ prostřednictvím řízení bezpečnostních informací a událostí (SIEM) více než 29 623 kybernetických upozornění, přičemž 92 informací bylo potvrzeno coby kybernetické útoky; konstatuje, že čtyři kybernetické útoky měly dopad na činnost ESVČ a pouze jeden měl významné důsledky; konstatuje, že hlavním subjektem pro monitorování hrozeb a zjišťování slabých míst systému v reálném čase je bezpečnostní operační středisko ESVČ; </w:t>
            </w:r>
            <w:r>
              <w:rPr>
                <w:b/>
                <w:i/>
              </w:rPr>
              <w:t>vybízí</w:t>
            </w:r>
            <w:r>
              <w:t xml:space="preserve"> ESVČ, aby nadále zohledňovala potřebu disciplíny uživatelů v oblasti kybernetické bezpečnosti a jejich povědomí o kybernetické bezpečnosti coby hlavních aspektů svého rámce kybernetické bezpečnosti;</w:t>
            </w:r>
          </w:p>
        </w:tc>
        <w:tc>
          <w:tcPr>
            <w:tcW w:w="4876" w:type="dxa"/>
            <w:tcBorders>
              <w:top w:val="nil"/>
              <w:left w:val="nil"/>
              <w:bottom w:val="nil"/>
              <w:right w:val="nil"/>
            </w:tcBorders>
          </w:tcPr>
          <w:p>
            <w:pPr>
              <w:pStyle w:val="Normal6a"/>
            </w:pPr>
            <w:r>
              <w:t>38.</w:t>
            </w:r>
            <w:r>
              <w:tab/>
            </w:r>
            <w:r>
              <w:rPr>
                <w:b/>
                <w:i/>
              </w:rPr>
              <w:t>se znepokojením</w:t>
            </w:r>
            <w:r>
              <w:t xml:space="preserve"> konstatuje, že v roce 2023 zaznamenala ESVČ prostřednictvím řízení bezpečnostních informací a událostí (SIEM) více než 29 623 kybernetických upozornění, přičemž 92 informací bylo potvrzeno coby kybernetické útoky; konstatuje, že čtyři kybernetické útoky měly dopad na činnost ESVČ a pouze jeden měl významné důsledky; konstatuje, že hlavním subjektem pro monitorování hrozeb a zjišťování slabých míst systému v reálném čase je bezpečnostní operační středisko ESVČ; </w:t>
            </w:r>
            <w:r>
              <w:rPr>
                <w:b/>
                <w:i/>
              </w:rPr>
              <w:t>žádá</w:t>
            </w:r>
            <w:r>
              <w:t xml:space="preserve"> ESVČ, aby nadále zohledňovala potřebu disciplíny uživatelů v oblasti kybernetické bezpečnosti a jejich povědomí o kybernetické bezpečnosti coby hlavních aspektů svého rámce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konstatuje, že boj proti zahraniční manipulaci s informacemi a vměšování (FIMI) byl pro ESVČ prioritou i v roce 2023; vítá, že Evropská rada v prosinci 2023 schválila soubor nástrojů FIMI, jehož pilíře tvoří situační povědomí, budování odolnosti, narušování a diplomatické reakce; konstatuje, že ESVČ v roce 2023 navýšila své analytické kapacity, aby mohla shromažďovat důkazy o zahraniční manipulaci s informacemi a vměšování a reagovat na rostoucí počet incidentů a hrozeb, zejména před volbami do Evropského parlamentu v roce 2024; konstatuje, že ESVČ zahájila také nové stěžejní projekty ke zlepšení informovanosti a boji proti ruským dezinformacím, například iniciativu EUvsDisinfo, v jejímž rámci oslovila v roce 2023 přibližně 20,3 milionu osob, a k navázání udržitelných partnerství, aby mohla proti zahraniční manipulaci s informacemi a vměšování bojovat v celosvětovém měřítku;</w:t>
            </w:r>
          </w:p>
        </w:tc>
        <w:tc>
          <w:tcPr>
            <w:tcW w:w="4876" w:type="dxa"/>
            <w:tcBorders>
              <w:top w:val="nil"/>
              <w:left w:val="nil"/>
              <w:bottom w:val="nil"/>
              <w:right w:val="nil"/>
            </w:tcBorders>
          </w:tcPr>
          <w:p>
            <w:pPr>
              <w:pStyle w:val="Normal6a"/>
            </w:pPr>
            <w:r>
              <w:t>40.</w:t>
            </w:r>
            <w:r>
              <w:tab/>
            </w:r>
            <w:r>
              <w:t xml:space="preserve">konstatuje, že boj proti zahraniční manipulaci s informacemi a vměšování (FIMI) byl pro ESVČ prioritou i v roce 2023; vítá, že Evropská rada v prosinci 2023 schválila soubor nástrojů FIMI, jehož pilíře tvoří situační povědomí, budování odolnosti, narušování a diplomatické reakce; konstatuje, že ESVČ v roce 2023 navýšila své analytické kapacity, aby mohla shromažďovat důkazy o zahraniční manipulaci s informacemi a vměšování a reagovat na rostoucí počet incidentů a hrozeb, zejména před volbami do Evropského parlamentu v roce 2024; konstatuje, že ESVČ zahájila také nové stěžejní projekty ke zlepšení informovanosti a boji proti ruským dezinformacím, například iniciativu EUvsDisinfo, v jejímž rámci oslovila v roce 2023 přibližně 20,3 milionu osob, a k navázání udržitelných partnerství, aby mohla proti zahraniční manipulaci s informacemi a vměšování bojovat v celosvětovém měřítku; </w:t>
            </w:r>
            <w:r>
              <w:rPr>
                <w:b/>
                <w:i/>
              </w:rPr>
              <w:t>vyzývá ESVČ, aby společně s Komisí vyčlenila odpovídající zdroje na účinný boj proti zahraniční manipulaci s informacemi a vměšování;</w:t>
            </w:r>
            <w:r>
              <w:t xml:space="preserve"> </w:t>
            </w:r>
            <w:r>
              <w:rPr>
                <w:b/>
                <w:i/>
              </w:rPr>
              <w:t>podporuje přislíbené vytvoření „Evropského štítu pro demokracii“, který by odhaloval, sledoval a odstraňoval klamavý on-line obsah, čímž se posílí schopnost EU bojovat proti zahraniční manipulaci s informacemi a vměšování a zlepší její podpora na ochranu demokracií ve třetích zemích, zejména v zemích sousedících s EU;</w:t>
            </w:r>
            <w:r>
              <w:t xml:space="preserve"> </w:t>
            </w:r>
            <w:r>
              <w:rPr>
                <w:b/>
                <w:i/>
              </w:rPr>
              <w:t>vyzývá ESVČ a delegace EU ve třetích zemích, aby dále posílily své příslušné kapacity v boji proti dezinformacím a propagandě v souvislosti se SZBP EU a v obraně před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konstatuje, že boj proti zahraniční manipulaci s informacemi a vměšování (FIMI) byl pro ESVČ prioritou i v roce 2023; vítá, že Evropská rada v prosinci 2023 schválila soubor nástrojů FIMI, jehož pilíře tvoří situační povědomí, budování odolnosti, narušování a diplomatické reakce; konstatuje, že ESVČ v roce 2023 navýšila své analytické kapacity, aby mohla shromažďovat důkazy o zahraniční manipulaci s informacemi a vměšování a reagovat na rostoucí počet incidentů a hrozeb, zejména před volbami do Evropského parlamentu v roce 2024; konstatuje, že ESVČ zahájila také nové stěžejní projekty ke zlepšení informovanosti a boji proti ruským dezinformacím, například iniciativu EUvsDisinfo, v jejímž rámci oslovila v roce 2023 přibližně 20,3 milionu osob, a k navázání udržitelných partnerství, aby mohla proti zahraniční manipulaci s informacemi a vměšování bojovat v celosvětovém měřítku;</w:t>
            </w:r>
          </w:p>
        </w:tc>
        <w:tc>
          <w:tcPr>
            <w:tcW w:w="4876" w:type="dxa"/>
            <w:tcBorders>
              <w:top w:val="nil"/>
              <w:left w:val="nil"/>
              <w:bottom w:val="nil"/>
              <w:right w:val="nil"/>
            </w:tcBorders>
          </w:tcPr>
          <w:p>
            <w:pPr>
              <w:pStyle w:val="Normal6a"/>
            </w:pPr>
            <w:r>
              <w:t>40.</w:t>
            </w:r>
            <w:r>
              <w:tab/>
            </w:r>
            <w:r>
              <w:t xml:space="preserve">konstatuje, že boj proti zahraniční manipulaci s informacemi a vměšování (FIMI) byl pro ESVČ prioritou i v roce 2023; vítá, že Evropská rada v prosinci 2023 schválila soubor nástrojů FIMI, jehož pilíře tvoří situační povědomí, budování odolnosti, narušování a diplomatické reakce; konstatuje, že ESVČ v roce 2023 navýšila své analytické kapacity, aby mohla shromažďovat důkazy o zahraniční manipulaci s informacemi a vměšování a reagovat na rostoucí počet incidentů a hrozeb, zejména před volbami do Evropského parlamentu v roce 2024; konstatuje, že ESVČ zahájila také nové stěžejní projekty ke zlepšení informovanosti a boji proti ruským dezinformacím, například iniciativu EUvsDisinfo, v jejímž rámci oslovila v roce 2023 přibližně 20,3 milionu osob, a k navázání udržitelných partnerství, aby mohla proti zahraniční manipulaci s informacemi a vměšování bojovat v celosvětovém měřítku; </w:t>
            </w:r>
            <w:r>
              <w:rPr>
                <w:b/>
                <w:i/>
              </w:rPr>
              <w:t>vyzývá ESVČ, aby zvýšila své úsilí o posílení postavení občanů z celé EU v boji proti zahraniční manipulaci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naléhavě vyzývá ESVČ, aby posílila dohled nad Evropským mírovým nástrojem tím, že zavede závazná posouzení lidských práv pro veškerou bezpečnostní a vojenskou pomoc poskytovanou v rámci Evropského mírového nástroje a zajistí soulad s mezinárodním humanitárním právem a normami EU v oblasti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konstatuje, že rozpočtová položka 3003 pro budovy a související náklady byla v průběhu roku 2023 navýšena o 19 milionů EUR, přesto však byly odloženy důležité údržbové práce; je znepokojen nárůstem potřeb v oblasti údržby a bezpečnosti, neboť pro ESVČ představuje značné výzvy, pokud jde o způsob efektivního fungování sítě delegací a plnění povinnosti řádné péče ve vztahu k zaměstnancům v delegacích;</w:t>
            </w:r>
          </w:p>
        </w:tc>
        <w:tc>
          <w:tcPr>
            <w:tcW w:w="4876" w:type="dxa"/>
            <w:tcBorders>
              <w:top w:val="nil"/>
              <w:left w:val="nil"/>
              <w:bottom w:val="nil"/>
              <w:right w:val="nil"/>
            </w:tcBorders>
          </w:tcPr>
          <w:p>
            <w:pPr>
              <w:pStyle w:val="Normal6a"/>
            </w:pPr>
            <w:r>
              <w:t>41.</w:t>
            </w:r>
            <w:r>
              <w:tab/>
            </w:r>
            <w:r>
              <w:t xml:space="preserve">konstatuje, že rozpočtová položka 3003 pro budovy a související náklady byla v průběhu roku 2023 navýšena o 19 milionů EUR, přesto však byly odloženy důležité údržbové práce; je </w:t>
            </w:r>
            <w:r>
              <w:rPr>
                <w:b/>
                <w:i/>
              </w:rPr>
              <w:t>hluboce</w:t>
            </w:r>
            <w:r>
              <w:t xml:space="preserve"> znepokojen nárůstem potřeb v oblasti údržby a bezpečnosti, neboť pro ESVČ představuje značné výzvy, pokud jde o způsob </w:t>
            </w:r>
            <w:r>
              <w:rPr>
                <w:b/>
                <w:i/>
              </w:rPr>
              <w:t>bezpečného a</w:t>
            </w:r>
            <w:r>
              <w:t xml:space="preserve"> efektivního fungování sítě delegací a plnění povinnosti řádné péče ve vztahu k zaměstnancům v delegacích; </w:t>
            </w:r>
            <w:r>
              <w:rPr>
                <w:b/>
                <w:i/>
              </w:rPr>
              <w:t>žádá ESVČ, aby vypracovala víceleté pohotovostní plány pro údržbu a bezpečnost budov;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konstatuje, že ESVČ využívá a spravuje nemovitosti o přibližné ploše 87 618 m</w:t>
            </w:r>
            <w:r>
              <w:rPr>
                <w:vertAlign w:val="superscript"/>
              </w:rPr>
              <w:t>2</w:t>
            </w:r>
            <w:r>
              <w:t xml:space="preserve"> v ústředí ESVČ a 379 300 m</w:t>
            </w:r>
            <w:r>
              <w:rPr>
                <w:vertAlign w:val="superscript"/>
              </w:rPr>
              <w:t>2</w:t>
            </w:r>
            <w:r>
              <w:t xml:space="preserve"> po celém světě, přičemž kancelářských budov je 174 a rezidencí pro velvyslance 152; konstatuje, že ESVČ předložila v roce 2023 pracovní dokument, v němž rozpočtovému orgánu nastínila svou nákupní politiku, přičemž v současné době vlastní 22 % kancelářských budov a 20 % rezidencí pro velvyslance, a dosahuje tak efektivnosti nákladů;</w:t>
            </w:r>
          </w:p>
        </w:tc>
        <w:tc>
          <w:tcPr>
            <w:tcW w:w="4876" w:type="dxa"/>
            <w:tcBorders>
              <w:top w:val="nil"/>
              <w:left w:val="nil"/>
              <w:bottom w:val="nil"/>
              <w:right w:val="nil"/>
            </w:tcBorders>
          </w:tcPr>
          <w:p>
            <w:pPr>
              <w:pStyle w:val="Normal6a"/>
            </w:pPr>
            <w:r>
              <w:t>42.</w:t>
            </w:r>
            <w:r>
              <w:tab/>
            </w:r>
            <w:r>
              <w:t>konstatuje, že ESVČ využívá a spravuje nemovitosti o přibližné ploše 87 618 m</w:t>
            </w:r>
            <w:r>
              <w:rPr>
                <w:vertAlign w:val="superscript"/>
              </w:rPr>
              <w:t>2</w:t>
            </w:r>
            <w:r>
              <w:t xml:space="preserve"> v ústředí ESVČ a 379 300 m</w:t>
            </w:r>
            <w:r>
              <w:rPr>
                <w:vertAlign w:val="superscript"/>
              </w:rPr>
              <w:t>2</w:t>
            </w:r>
            <w:r>
              <w:t xml:space="preserve"> po celém světě, přičemž kancelářských budov je 174 a rezidencí pro velvyslance 152; konstatuje, že ESVČ předložila v roce 2023 pracovní dokument, v němž rozpočtovému orgánu nastínila svou nákupní politiku, přičemž v současné době vlastní 22 % kancelářských budov a 20 % rezidencí pro velvyslance, a dosahuje tak efektivnosti nákladů; </w:t>
            </w:r>
            <w:r>
              <w:rPr>
                <w:b/>
                <w:i/>
              </w:rPr>
              <w:t>připomíná, že v roce 2023 daňoví poplatníci zaplatili 69,3 milionu EUR za pronájem kancelářských budov delegací ESVČ a 15,1 milionu EUR za pobyty vedoucích delegací ESVČ;</w:t>
            </w:r>
            <w:r>
              <w:t xml:space="preserve"> </w:t>
            </w:r>
            <w:r>
              <w:rPr>
                <w:b/>
                <w:i/>
              </w:rPr>
              <w:t>vyzývá ESVČ, aby do roku 2035 postupně snížila počet delegací na 20 (umístěných ve 20 největších obchodních partnerských zemích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Dick Erixon, Charlie Weimers, 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konstatuje, že politika nákupu nemovitostí pro delegace Unie z dubna 2023 a pracovní dokument o politice ESVČ v oblasti nemovitostí na rok 2024 mají za cíl dosáhnout dlouhodobě nejvýhodnějšího řešení z hlediska rozpočtu Unie; zdůrazňuje, že žádný z </w:t>
            </w:r>
            <w:r>
              <w:rPr>
                <w:b/>
                <w:i/>
              </w:rPr>
              <w:t>uvedených</w:t>
            </w:r>
            <w:r>
              <w:t xml:space="preserve"> dokumentů neobsahuje </w:t>
            </w:r>
            <w:r>
              <w:rPr>
                <w:b/>
                <w:i/>
              </w:rPr>
              <w:t>žádnou zmínku o snižování</w:t>
            </w:r>
            <w:r>
              <w:t xml:space="preserve"> počtu delegací </w:t>
            </w:r>
            <w:r>
              <w:rPr>
                <w:b/>
                <w:i/>
              </w:rPr>
              <w:t>či vytvoření</w:t>
            </w:r>
            <w:r>
              <w:t xml:space="preserve"> regionálních center; naléhavě vyzývá ESVČ, aby </w:t>
            </w:r>
            <w:r>
              <w:rPr>
                <w:b/>
                <w:i/>
              </w:rPr>
              <w:t>Parlament informovala o jakémkoli případném vývoji v tomto směru do budoucna</w:t>
            </w:r>
            <w:r>
              <w:t>;</w:t>
            </w:r>
          </w:p>
        </w:tc>
        <w:tc>
          <w:tcPr>
            <w:tcW w:w="4876" w:type="dxa"/>
            <w:tcBorders>
              <w:top w:val="nil"/>
              <w:left w:val="nil"/>
              <w:bottom w:val="nil"/>
              <w:right w:val="nil"/>
            </w:tcBorders>
          </w:tcPr>
          <w:p>
            <w:pPr>
              <w:pStyle w:val="Normal6a"/>
            </w:pPr>
            <w:r>
              <w:t>43.</w:t>
            </w:r>
            <w:r>
              <w:tab/>
            </w:r>
            <w:r>
              <w:t xml:space="preserve">konstatuje, že politika nákupu nemovitostí pro delegace Unie z dubna 2023 a pracovní dokument o politice ESVČ v oblasti nemovitostí na rok 2024 mají za cíl dosáhnout dlouhodobě nejvýhodnějšího řešení z hlediska rozpočtu Unie; zdůrazňuje, že žádný z </w:t>
            </w:r>
            <w:r>
              <w:rPr>
                <w:b/>
                <w:i/>
              </w:rPr>
              <w:t>těchto</w:t>
            </w:r>
            <w:r>
              <w:t xml:space="preserve"> dokumentů neobsahuje </w:t>
            </w:r>
            <w:r>
              <w:rPr>
                <w:b/>
                <w:i/>
              </w:rPr>
              <w:t>žádné konkrétní návrhy na snížení nadměrně vysokého</w:t>
            </w:r>
            <w:r>
              <w:t xml:space="preserve"> počtu delegací</w:t>
            </w:r>
            <w:r>
              <w:rPr>
                <w:b/>
                <w:i/>
              </w:rPr>
              <w:t>, rezidencí velvyslanců nebo</w:t>
            </w:r>
            <w:r>
              <w:t xml:space="preserve"> regionálních center; naléhavě vyzývá ESVČ, aby </w:t>
            </w:r>
            <w:r>
              <w:rPr>
                <w:b/>
                <w:i/>
              </w:rPr>
              <w:t>Parlamentu urychleně předložila plán na snížení počtu delegací a rezidencí velvyslanců z více než stovky na 20 (nacházejících se společně ve 20 největších obchodních partnerských zemích EU) do roku 2035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vyzývá ESVČ, aby zachovala svou důležitou síť delegací po celém světě s dostatečným počtem zaměstnanců s cílem zlepšit svou schopnost oslovit třetí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rPr>
                <w:b/>
                <w:i/>
              </w:rPr>
              <w:t>konstatuje</w:t>
            </w:r>
            <w:r>
              <w:t>, že ESVČ i v roce 2023 uplatňovala systém pro environmentální řízení podniků a audit (EMAS/EMS), zejména tím, že vytvořila řídící výbor pro životní prostředí a přijala environmentální politiku a příslušnou komunikační strategii, jež klade důraz na závazek ESVČ k environmentální udržitelnosti při správě nemovitostí; konstatuje, že řídící výbor pro EMAS věnoval v roce 2023 pozornost novým cílům, jež mají ještě více snížit uhlíkovou stopu ESVČ do roku 2030; konstatuje, že mezi schválená opatření patří snížení využívaného zemního plynu o 35%, snížení používaného papíru, vody a produkce odpadu o polovinu, navýšení podílu letů na krátké až střední vzdálenosti v ekonomické třídě v rámci služebních cest a lepší využívání zelených veřejných zakázek;</w:t>
            </w:r>
          </w:p>
        </w:tc>
        <w:tc>
          <w:tcPr>
            <w:tcW w:w="4876" w:type="dxa"/>
            <w:tcBorders>
              <w:top w:val="nil"/>
              <w:left w:val="nil"/>
              <w:bottom w:val="nil"/>
              <w:right w:val="nil"/>
            </w:tcBorders>
          </w:tcPr>
          <w:p>
            <w:pPr>
              <w:pStyle w:val="Normal6a"/>
            </w:pPr>
            <w:r>
              <w:t>46.</w:t>
            </w:r>
            <w:r>
              <w:tab/>
            </w:r>
            <w:r>
              <w:rPr>
                <w:b/>
                <w:i/>
              </w:rPr>
              <w:t>vítá</w:t>
            </w:r>
            <w:r>
              <w:t>, že ESVČ i v roce 2023 uplatňovala systém pro environmentální řízení podniků a audit (EMAS/EMS), zejména tím, že vytvořila řídící výbor pro životní prostředí a přijala environmentální politiku a příslušnou komunikační strategii, jež klade důraz na závazek ESVČ k environmentální udržitelnosti při správě nemovitostí; konstatuje, že řídící výbor pro EMAS věnoval v roce 2023 pozornost novým cílům, jež mají ještě více snížit uhlíkovou stopu ESVČ do roku 2030; konstatuje, že mezi schválená opatření patří snížení využívaného zemního plynu o 35%, snížení používaného papíru, vody a produkce odpadu o polovinu, navýšení podílu letů na krátké až střední vzdálenosti v ekonomické třídě v rámci služebních cest a lepší využívání zelených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žádá ESVČ, aby stanovila jasné cíle pro snížení své uhlíkové stopy, včetně povinných výročních zpráv o dopadu na životní prostředí týkajících se energetické účinnosti, zelených veřejných zakázek a udržitelných cestovních politik pro služební cesty zaměstnanců a diplomatické závazky, včetně povinné doložky o udržitelnosti ve všech dohodách o společném umístění;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vyzývá tento orgán, aby posoudil, jak je možné, že regulační rámec Evropského parlamentu pro předcházení korupci a podvodům selhal a umožnil, aby poslanci Evropského parlamentu byli několik let aktivně zapojeni do sítě podobné mafii podílející se na korupci a praní peněz, aniž by byli odhaleni;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48b.</w:t>
            </w:r>
            <w:r>
              <w:tab/>
            </w:r>
            <w:r>
              <w:rPr>
                <w:b/>
                <w:i/>
              </w:rPr>
              <w:t>vyzývá SDEU, aby získané zkušenosti a závěry zohlednil ve svých vnitřních pravidlech a postupech a přihlédl i k revizi jednacího řádu a kodexu chování Parlamentu ze září 2023, doporučuje mu však, aby navrhl další ráznější způsoby, jak zintenzivnit boj proti podvodům a plně chránit finanční zájmy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48c.</w:t>
            </w:r>
            <w:r>
              <w:tab/>
            </w:r>
            <w:r>
              <w:rPr>
                <w:b/>
                <w:i/>
              </w:rPr>
              <w:t>žádá orgán, aby Evropskému parlamentu a jeho Výboru pro rozpočtovou kontrolu poskytl jednak doporučení ohledně nových způsobů boje proti pochybením a zneužívání finančních prostředků EU, a to na základě vlastních interních zkušeností a zkušeností získaných v rámci dřívějších případů, a jednak osvědčené postupy, neboť bylo prokázáno, že finanční zájmy Evropské unie nebyly v Evropském parlamentu dobře chráněny;</w:t>
            </w:r>
            <w:r>
              <w:t xml:space="preserve"> </w:t>
            </w:r>
            <w:r>
              <w:rPr>
                <w:b/>
                <w:i/>
              </w:rPr>
              <w:t>domnívá se, že jak bylo odhaleno v rámci dané trestní věci a vyšetřování, Parlament by mohl v této věci využít nový pohled a podněty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48d.</w:t>
            </w:r>
            <w:r>
              <w:tab/>
            </w:r>
            <w:r>
              <w:rPr>
                <w:b/>
                <w:i/>
              </w:rPr>
              <w:t>vyzývá ESVČ, aby zveřejňovala veškeré výsledky budoucích reforem a sdílela je s EP s cílem zajistit, aby veškeré provedené změny byly věcné a trvalé, a zajistit, aby učebnice skutečně plně splňovaly normy UNESCO podporující mír a toleranci;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vyzývá ESVČ, aby institucionalizovala strukturovanou spolupráci s Úřadem evropského veřejného žalobce (EPPO) a úřadem OLAF a zajistila systematické mechanismy odhalování podvodů ve financování vnější činnosti EU, zejména ve vysoce rizikových oblastech konfliktů a nestabilních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Csaba Molnár, Claudiu Manda,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vítá vynikající spolupráci ESVČ s úřadem OLAF, Úřadem evropského veřejného žalobce, Účetním dvorem a EIOÚ, která se odráží v pravidelných setkáních a výměně informací;</w:t>
            </w:r>
            <w:r>
              <w:t xml:space="preserve"> </w:t>
            </w:r>
            <w:r>
              <w:rPr>
                <w:b/>
                <w:i/>
              </w:rPr>
              <w:t>bere na vědomí uzavření zvláštních pracovních ujednání v červnu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w:t>
            </w:r>
          </w:p>
        </w:tc>
        <w:tc>
          <w:tcPr>
            <w:tcW w:w="4876" w:type="dxa"/>
            <w:tcBorders>
              <w:top w:val="nil"/>
              <w:left w:val="nil"/>
              <w:bottom w:val="nil"/>
              <w:right w:val="nil"/>
            </w:tcBorders>
          </w:tcPr>
          <w:p>
            <w:pPr>
              <w:pStyle w:val="Normal6a"/>
            </w:pPr>
            <w:r>
              <w:t>51.</w:t>
            </w:r>
            <w:r>
              <w:tab/>
            </w:r>
            <w:r>
              <w:t xml:space="preserve">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 </w:t>
            </w:r>
            <w:r>
              <w:rPr>
                <w:b/>
                <w:i/>
              </w:rPr>
              <w:t>podporuje tuto iniciativu jako krok k posílení soudržného a dobře vyškoleného evropského diplomatického sboru, který bude schopen účinně zastupovat a bránit hodnoty a zájmy Unie na celosvětové scéně;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w:t>
            </w:r>
          </w:p>
        </w:tc>
        <w:tc>
          <w:tcPr>
            <w:tcW w:w="4876" w:type="dxa"/>
            <w:tcBorders>
              <w:top w:val="nil"/>
              <w:left w:val="nil"/>
              <w:bottom w:val="nil"/>
              <w:right w:val="nil"/>
            </w:tcBorders>
          </w:tcPr>
          <w:p>
            <w:pPr>
              <w:pStyle w:val="Normal6a"/>
            </w:pPr>
            <w:r>
              <w:t>51.</w:t>
            </w:r>
            <w:r>
              <w:tab/>
            </w:r>
            <w:r>
              <w:t xml:space="preserve">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 </w:t>
            </w:r>
            <w:r>
              <w:rPr>
                <w:b/>
                <w:i/>
              </w:rPr>
              <w:t>zdůrazňuje, že je nezbytné zlepšit viditelnost Evropské diplomatické akademie ve všech členských státech a posílit její úlohu a kapacity;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Vlad Vasile-Voiculescu, Olivier Chastel, Michal Wiezik,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w:t>
            </w:r>
          </w:p>
        </w:tc>
        <w:tc>
          <w:tcPr>
            <w:tcW w:w="4876" w:type="dxa"/>
            <w:tcBorders>
              <w:top w:val="nil"/>
              <w:left w:val="nil"/>
              <w:bottom w:val="nil"/>
              <w:right w:val="nil"/>
            </w:tcBorders>
          </w:tcPr>
          <w:p>
            <w:pPr>
              <w:pStyle w:val="Normal6a"/>
            </w:pPr>
            <w:r>
              <w:t>51.</w:t>
            </w:r>
            <w:r>
              <w:tab/>
            </w:r>
            <w:r>
              <w:t xml:space="preserve">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 </w:t>
            </w:r>
            <w:r>
              <w:rPr>
                <w:b/>
                <w:i/>
              </w:rPr>
              <w:t>žádá, aby byly Parlamentu poskytnuty další informace o nákladech vzniklých 50 účastníkům a o nevyužitých finančních prostředcích;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konstatuje, že ESVČ ve svém rozpočtu na rok 2023 vyčlenila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w:t>
            </w:r>
          </w:p>
        </w:tc>
        <w:tc>
          <w:tcPr>
            <w:tcW w:w="4876" w:type="dxa"/>
            <w:tcBorders>
              <w:top w:val="nil"/>
              <w:left w:val="nil"/>
              <w:bottom w:val="nil"/>
              <w:right w:val="nil"/>
            </w:tcBorders>
          </w:tcPr>
          <w:p>
            <w:pPr>
              <w:pStyle w:val="Normal6a"/>
            </w:pPr>
            <w:r>
              <w:t>51.</w:t>
            </w:r>
            <w:r>
              <w:tab/>
            </w:r>
            <w:r>
              <w:t xml:space="preserve">konstatuje, že ESVČ ve svém rozpočtu na rok 2023 vyčlenila </w:t>
            </w:r>
            <w:r>
              <w:rPr>
                <w:b/>
                <w:i/>
              </w:rPr>
              <w:t>astronomickou částku</w:t>
            </w:r>
            <w:r>
              <w:t xml:space="preserve"> 990,5 milionu EUR na pilotní projekt spočívající v zahájení činnosti evropské diplomatické akademie, v jehož rámci získává odbornou přípravu v oblasti zahraniční a bezpečnostní politiky EU padesát služebně mladších diplomatů z členských států a orgánů a institucí Unie s cílem vybudovat skutečný evropský diplomatický sbor, který bude prosazovat zahraniční politiku EU a její vnější zájmy;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poukazuje na nárůst počtu případů porušování svobody náboženského vyznání na celém světě;</w:t>
            </w:r>
            <w:r>
              <w:t xml:space="preserve"> </w:t>
            </w:r>
            <w:r>
              <w:rPr>
                <w:b/>
                <w:i/>
              </w:rPr>
              <w:t>vyzývá ESVČ, aby na to odpovídajícím způsobem vybavila své zaměstnance v zemích, kde neexistuje náboženská svoboda nebo kde je náboženská svoboda pod tlakem (včetně vzdělávacích kurzů);</w:t>
            </w:r>
            <w:r>
              <w:t xml:space="preserve"> </w:t>
            </w:r>
            <w:r>
              <w:rPr>
                <w:b/>
                <w:i/>
              </w:rPr>
              <w:t>s cílem zahájit diskuse na toto téma s příslušnými orgány na všech úrovních v zemích, kde je porušována svoboda náboženského vyznání;</w:t>
            </w:r>
            <w:r>
              <w:t xml:space="preserve"> </w:t>
            </w:r>
            <w:r>
              <w:rPr>
                <w:b/>
                <w:i/>
              </w:rPr>
              <w:t>a učinit z toho hlavní zaměření své vnější činnosti;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vyzývá tento orgán, aby se zdržel propagace, šíření a podpory genderové ideologie a ideologie „woke“ a aby dodržoval Smlouvu a její ustanovení a respektoval národní identitu členských států, která vychází z jejich základních struktur, historie, náboženství a tradic;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Andrey Kovatchev, Tomáš Zdechovský,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konstatuje, že ESVČ v rámci svých komunikačních činností oslovuje širokou veřejnost na veřejných akcích, dnech otevřených dveří a přijímáním skupin návštěvníků; konstatuje, že ESVČ zahájila v roce 2023 několik tematických komunikačních kampaní napříč různými kanály týkajících se podpory pro Ukrajinu, důsledků ruské útočné války proti Ukrajině a dodržování hodnot Unie; konstatuje, že v roce 2023 ESVČ konsolidovala svou přítomnost na sociálních sítích a že vzrostl počet jejích sledujících na LinkedIn o 41,5 %, na Instagramu o 13,8 %, na Twitteru o 5,4 % a na Facebooku o 4,7 %;</w:t>
            </w:r>
          </w:p>
        </w:tc>
        <w:tc>
          <w:tcPr>
            <w:tcW w:w="4876" w:type="dxa"/>
            <w:tcBorders>
              <w:top w:val="nil"/>
              <w:left w:val="nil"/>
              <w:bottom w:val="nil"/>
              <w:right w:val="nil"/>
            </w:tcBorders>
          </w:tcPr>
          <w:p>
            <w:pPr>
              <w:pStyle w:val="Normal6a"/>
            </w:pPr>
            <w:r>
              <w:t>54.</w:t>
            </w:r>
            <w:r>
              <w:tab/>
            </w:r>
            <w:r>
              <w:t xml:space="preserve">konstatuje, že ESVČ v rámci svých komunikačních činností oslovuje širokou veřejnost na veřejných akcích, dnech otevřených dveří a přijímáním skupin návštěvníků; konstatuje, že ESVČ zahájila v roce 2023 několik tematických komunikačních kampaní napříč různými kanály týkajících se podpory pro Ukrajinu, důsledků ruské útočné války proti Ukrajině a dodržování hodnot Unie; konstatuje, že v roce 2023 ESVČ konsolidovala svou přítomnost na sociálních sítích a že vzrostl počet jejích sledujících na LinkedIn o 41,5 %, na Instagramu o 13,8 %, na Twitteru o 5,4 % a na Facebooku o 4,7 %; </w:t>
            </w:r>
            <w:r>
              <w:rPr>
                <w:b/>
                <w:i/>
              </w:rPr>
              <w:t>naléhavě vyzývá ESVČ, aby posílila svou komunikaci o politikách Unie s občany ve třetích zemích a aby posílila koordinační úsilí zaměřené na zviditelnění projektů financovaných Unií, zejména v kandidátských zemích, s cílem bojovat proti pokusům nepřátelských subjektů o oslabení úsilí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konstatuje, že ESVČ v rámci svých komunikačních činností oslovuje širokou veřejnost na veřejných akcích, dnech otevřených dveří a přijímáním skupin návštěvníků; konstatuje, že ESVČ zahájila v roce 2023 několik tematických komunikačních kampaní napříč různými kanály týkajících se podpory pro Ukrajinu, důsledků ruské útočné války proti Ukrajině a dodržování hodnot Unie; konstatuje, že v roce 2023 ESVČ konsolidovala svou přítomnost na sociálních sítích a že vzrostl počet jejích sledujících na LinkedIn o 41,5 %, na Instagramu o 13,8 %, na Twitteru o 5,4 % a na Facebooku o 4,7 %;</w:t>
            </w:r>
          </w:p>
        </w:tc>
        <w:tc>
          <w:tcPr>
            <w:tcW w:w="4876" w:type="dxa"/>
            <w:tcBorders>
              <w:top w:val="nil"/>
              <w:left w:val="nil"/>
              <w:bottom w:val="nil"/>
              <w:right w:val="nil"/>
            </w:tcBorders>
          </w:tcPr>
          <w:p>
            <w:pPr>
              <w:pStyle w:val="Normal6a"/>
            </w:pPr>
            <w:r>
              <w:t>54.</w:t>
            </w:r>
            <w:r>
              <w:tab/>
            </w:r>
            <w:r>
              <w:t xml:space="preserve">konstatuje, že ESVČ v rámci svých komunikačních činností oslovuje širokou veřejnost na veřejných akcích, dnech otevřených dveří a přijímáním skupin návštěvníků; konstatuje, že ESVČ zahájila v roce 2023 několik tematických komunikačních kampaní napříč různými kanály týkajících se podpory pro Ukrajinu, důsledků ruské útočné války proti Ukrajině a dodržování hodnot Unie; </w:t>
            </w:r>
            <w:r>
              <w:rPr>
                <w:b/>
                <w:i/>
              </w:rPr>
              <w:t>vítá skutečnost, že Ukrajina zůstala jednou z hlavních priorit ESVČ;</w:t>
            </w:r>
            <w:r>
              <w:t xml:space="preserve"> konstatuje, že v roce 2023 ESVČ konsolidovala svou přítomnost na sociálních sítích a že vzrostl počet jejích sledujících na LinkedIn o 41,5 %, na Instagramu o 13,8 %, na Twitteru o 5,4 % a na Facebooku o 4,7 %;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rPr>
                <w:b/>
                <w:i/>
              </w:rPr>
              <w:t>vítá, že se ESVČ zapojila</w:t>
            </w:r>
            <w:r>
              <w:t xml:space="preserve"> do institucionální komunikační kampaně Parlamentu pro volby do Evropského parlamentu v roce 2024, zejména do informační kampaně o možnostech hlasování, především pak prostřednictvím sítě delegací, zaměřené na 25 až 30 milionů evropských občanů žijících ve třetích zemích; konstatuje, že tato kampaň 26 videokampaněmi a více než 2000 příspěvky na sociálních sítích oslovila 11 milionů adresátů;</w:t>
            </w:r>
          </w:p>
        </w:tc>
        <w:tc>
          <w:tcPr>
            <w:tcW w:w="4876" w:type="dxa"/>
            <w:tcBorders>
              <w:top w:val="nil"/>
              <w:left w:val="nil"/>
              <w:bottom w:val="nil"/>
              <w:right w:val="nil"/>
            </w:tcBorders>
          </w:tcPr>
          <w:p>
            <w:pPr>
              <w:pStyle w:val="Normal6a"/>
            </w:pPr>
            <w:r>
              <w:t>55.</w:t>
            </w:r>
            <w:r>
              <w:tab/>
            </w:r>
            <w:r>
              <w:rPr>
                <w:b/>
                <w:i/>
              </w:rPr>
              <w:t>vyjadřuje politování nad tím, že ESVČ zasahovala</w:t>
            </w:r>
            <w:r>
              <w:t xml:space="preserve"> do institucionální komunikační kampaně Parlamentu pro volby do Evropského parlamentu v roce 2024, zejména do informační kampaně o možnostech hlasování, především pak prostřednictvím sítě delegací, zaměřené na 25 až 30 milionů evropských občanů žijících ve třetích zemích; konstatuje, že tato kampaň 26 videokampaněmi a více než 2000 příspěvky na sociálních sítích oslovila 11 milionů adresátů;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71</w:t>
    </w:r>
    <w:r>
      <w:fldChar w:fldCharType="end"/>
    </w:r>
    <w:r>
      <w:tab/>
    </w:r>
    <w:r>
      <w:rPr>
        <w:rStyle w:val="HideTWBExt"/>
      </w:rPr>
      <w:t>&lt;PathFdR&gt;</w:t>
    </w:r>
    <w:r>
      <w:t>AM\1314490CS.docx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AM\1314490CS.docx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71</w:t>
    </w:r>
    <w:r>
      <w:fldChar w:fldCharType="end"/>
    </w:r>
    <w:r>
      <w:tab/>
    </w:r>
    <w:r>
      <w:t>PE</w:t>
    </w:r>
    <w:r>
      <w:rPr>
        <w:rStyle w:val="HideTWBExt"/>
      </w:rPr>
      <w:t>&lt;NoPE&gt;</w:t>
    </w:r>
    <w:r>
      <w:t>768.138</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AM\1314490CS.docx</w:t>
    </w:r>
    <w:r>
      <w:rPr>
        <w:rStyle w:val="HideTWBExt"/>
      </w:rPr>
      <w:t>&lt;/PathFdR&gt;</w:t>
    </w:r>
    <w:r>
      <w:tab/>
    </w:r>
    <w:r>
      <w:tab/>
    </w:r>
    <w:r>
      <w:t>PE</w:t>
    </w:r>
    <w:r>
      <w:rPr>
        <w:rStyle w:val="HideTWBExt"/>
      </w:rPr>
      <w:t>&lt;NoPE&gt;</w:t>
    </w:r>
    <w:r>
      <w:t>768.138</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71</Pages>
  <Words>18733</Words>
  <Characters>109942</Characters>
  <Application>Microsoft Office Word</Application>
  <DocSecurity>0</DocSecurity>
  <Lines>1</Lines>
  <Paragraphs>1001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1314490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134021</vt:lpwstr>
  </property>
  <property fmtid="{D5CDD505-2E9C-101B-9397-08002B2CF9AE}" pid="7" name="dmxml.render.traceId">
    <vt:lpwstr>67bd912364dd052a28a5e5cffdcf048b</vt:lpwstr>
  </property>
  <property fmtid="{D5CDD505-2E9C-101B-9397-08002B2CF9AE}" pid="8" name="FooterPath">
    <vt:lpwstr>AM\1314490CS.docx</vt:lpwstr>
  </property>
  <property fmtid="{D5CDD505-2E9C-101B-9397-08002B2CF9AE}" pid="9" name="PE Number">
    <vt:lpwstr>768.138</vt:lpwstr>
  </property>
  <property fmtid="{D5CDD505-2E9C-101B-9397-08002B2CF9AE}" pid="10" name="UID">
    <vt:lpwstr>eu.europa.europarl-DIN1-2025-0000020204_01.00-cs-01.00_text-xml</vt:lpwstr>
  </property>
</Properties>
</file>