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A7442" w:rsidRPr="00B37E26" w:rsidTr="00570FBE">
        <w:trPr>
          <w:trHeight w:hRule="exact" w:val="1418"/>
        </w:trPr>
        <w:tc>
          <w:tcPr>
            <w:tcW w:w="6804" w:type="dxa"/>
            <w:shd w:val="clear" w:color="auto" w:fill="auto"/>
            <w:vAlign w:val="center"/>
          </w:tcPr>
          <w:p w:rsidR="005E5FA1" w:rsidRPr="00B37E26" w:rsidRDefault="005F200F" w:rsidP="00570FBE">
            <w:pPr>
              <w:pStyle w:val="EPName"/>
            </w:pPr>
            <w:r w:rsidRPr="00B37E26">
              <w:t>Parlamento europeo</w:t>
            </w:r>
          </w:p>
          <w:p w:rsidR="005E5FA1" w:rsidRPr="00B37E26" w:rsidRDefault="005F200F" w:rsidP="00570FBE">
            <w:pPr>
              <w:pStyle w:val="EPTerm"/>
            </w:pPr>
            <w:r w:rsidRPr="00B37E26">
              <w:t>2024-2029</w:t>
            </w:r>
          </w:p>
        </w:tc>
        <w:tc>
          <w:tcPr>
            <w:tcW w:w="2268" w:type="dxa"/>
            <w:shd w:val="clear" w:color="auto" w:fill="auto"/>
          </w:tcPr>
          <w:p w:rsidR="005E5FA1" w:rsidRPr="00B37E26" w:rsidRDefault="005F200F" w:rsidP="00570FBE">
            <w:pPr>
              <w:pStyle w:val="EPLogo"/>
            </w:pPr>
            <w:r w:rsidRPr="00B37E2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B37E26" w:rsidRDefault="00CF4E9D" w:rsidP="00CF4E9D">
      <w:pPr>
        <w:pStyle w:val="LineTop"/>
      </w:pPr>
    </w:p>
    <w:p w:rsidR="00CF4E9D" w:rsidRPr="00B37E26" w:rsidRDefault="005F200F" w:rsidP="00CF4E9D">
      <w:pPr>
        <w:pStyle w:val="EPBody"/>
      </w:pPr>
      <w:r w:rsidRPr="00B37E26">
        <w:rPr>
          <w:rStyle w:val="HideTWBExt"/>
        </w:rPr>
        <w:t>&lt;</w:t>
      </w:r>
      <w:r w:rsidRPr="00B37E26">
        <w:rPr>
          <w:rStyle w:val="HideTWBExt"/>
          <w:i w:val="0"/>
        </w:rPr>
        <w:t>Commission</w:t>
      </w:r>
      <w:r w:rsidRPr="00B37E26">
        <w:rPr>
          <w:rStyle w:val="HideTWBExt"/>
        </w:rPr>
        <w:t>&gt;</w:t>
      </w:r>
      <w:r w:rsidRPr="00B37E26">
        <w:rPr>
          <w:rStyle w:val="HideTWBInt"/>
          <w:color w:val="auto"/>
        </w:rPr>
        <w:t>{CONT}</w:t>
      </w:r>
      <w:r w:rsidRPr="00B37E26">
        <w:t>Commissione per il controllo dei bilanci</w:t>
      </w:r>
      <w:r w:rsidRPr="00B37E26">
        <w:rPr>
          <w:rStyle w:val="HideTWBExt"/>
        </w:rPr>
        <w:t>&lt;/</w:t>
      </w:r>
      <w:r w:rsidRPr="00B37E26">
        <w:rPr>
          <w:rStyle w:val="HideTWBExt"/>
          <w:i w:val="0"/>
        </w:rPr>
        <w:t>Commission</w:t>
      </w:r>
      <w:r w:rsidRPr="00B37E26">
        <w:rPr>
          <w:rStyle w:val="HideTWBExt"/>
        </w:rPr>
        <w:t>&gt;</w:t>
      </w:r>
    </w:p>
    <w:p w:rsidR="00CF4E9D" w:rsidRPr="00B37E26" w:rsidRDefault="00CF4E9D" w:rsidP="00CF4E9D">
      <w:pPr>
        <w:pStyle w:val="LineBottom"/>
      </w:pPr>
    </w:p>
    <w:p w:rsidR="00794E41" w:rsidRPr="00B37E26" w:rsidRDefault="005F200F" w:rsidP="00794E41">
      <w:pPr>
        <w:pStyle w:val="CoverReference"/>
      </w:pPr>
      <w:bookmarkStart w:id="0" w:name="_GoBack"/>
      <w:bookmarkEnd w:id="0"/>
      <w:r w:rsidRPr="00B37E26">
        <w:rPr>
          <w:rStyle w:val="HideTWBExt"/>
          <w:b w:val="0"/>
        </w:rPr>
        <w:t>&lt;RefProc&gt;</w:t>
      </w:r>
      <w:r w:rsidRPr="00B37E26">
        <w:t>2024/2030</w:t>
      </w:r>
      <w:r w:rsidRPr="00B37E26">
        <w:rPr>
          <w:rStyle w:val="HideTWBExt"/>
          <w:b w:val="0"/>
        </w:rPr>
        <w:t>&lt;/RefProc&gt;&lt;RefTypeProc&gt;</w:t>
      </w:r>
      <w:r w:rsidRPr="00B37E26">
        <w:t>(DEC)</w:t>
      </w:r>
      <w:r w:rsidRPr="00B37E26">
        <w:rPr>
          <w:rStyle w:val="HideTWBExt"/>
          <w:b w:val="0"/>
        </w:rPr>
        <w:t>&lt;/RefTypeProc&gt;</w:t>
      </w:r>
    </w:p>
    <w:p w:rsidR="00794E41" w:rsidRPr="00B37E26" w:rsidRDefault="005F200F" w:rsidP="00794E41">
      <w:pPr>
        <w:pStyle w:val="CoverDate"/>
      </w:pPr>
      <w:r w:rsidRPr="00B37E26">
        <w:rPr>
          <w:rStyle w:val="HideTWBExt"/>
        </w:rPr>
        <w:t>&lt;Date&gt;</w:t>
      </w:r>
      <w:r w:rsidRPr="00B37E26">
        <w:rPr>
          <w:rStyle w:val="HideTWBInt"/>
          <w:color w:val="auto"/>
        </w:rPr>
        <w:t>{27/02/2025}</w:t>
      </w:r>
      <w:r w:rsidRPr="00B37E26">
        <w:t>27.2.2025</w:t>
      </w:r>
      <w:r w:rsidRPr="00B37E26">
        <w:rPr>
          <w:rStyle w:val="HideTWBExt"/>
        </w:rPr>
        <w:t>&lt;/Date&gt;</w:t>
      </w:r>
    </w:p>
    <w:p w:rsidR="00794E41" w:rsidRPr="00B37E26" w:rsidRDefault="005F200F" w:rsidP="00794E41">
      <w:pPr>
        <w:pStyle w:val="CoverDocType"/>
      </w:pPr>
      <w:r w:rsidRPr="00B37E26">
        <w:rPr>
          <w:rStyle w:val="HideTWBExt"/>
          <w:b w:val="0"/>
        </w:rPr>
        <w:t>&lt;TypeAM&gt;</w:t>
      </w:r>
      <w:r w:rsidRPr="00B37E26">
        <w:t>EMENDAMENTI</w:t>
      </w:r>
      <w:r w:rsidRPr="00B37E26">
        <w:rPr>
          <w:rStyle w:val="HideTWBExt"/>
          <w:b w:val="0"/>
        </w:rPr>
        <w:t>&lt;/TypeAM&gt;</w:t>
      </w:r>
    </w:p>
    <w:p w:rsidR="00794E41" w:rsidRPr="00B37E26" w:rsidRDefault="005F200F" w:rsidP="00794E41">
      <w:pPr>
        <w:pStyle w:val="CoverDocType24a"/>
      </w:pPr>
      <w:r w:rsidRPr="00B37E26">
        <w:rPr>
          <w:rStyle w:val="HideTWBExt"/>
          <w:b w:val="0"/>
        </w:rPr>
        <w:t>&lt;RangeAM&gt;</w:t>
      </w:r>
      <w:r w:rsidRPr="00B37E26">
        <w:t>1 - 169</w:t>
      </w:r>
      <w:r w:rsidRPr="00B37E26">
        <w:rPr>
          <w:rStyle w:val="HideTWBExt"/>
          <w:b w:val="0"/>
        </w:rPr>
        <w:t>&lt;/RangeAM&gt;</w:t>
      </w:r>
    </w:p>
    <w:p w:rsidR="00794E41" w:rsidRPr="00B37E26" w:rsidRDefault="005F200F" w:rsidP="007B1846">
      <w:pPr>
        <w:pStyle w:val="CoverBold"/>
      </w:pPr>
      <w:r w:rsidRPr="00B37E26">
        <w:rPr>
          <w:rStyle w:val="HideTWBExt"/>
          <w:b w:val="0"/>
        </w:rPr>
        <w:t>&lt;TitreType&gt;</w:t>
      </w:r>
      <w:r w:rsidRPr="00B37E26">
        <w:t>Progetto di relazione</w:t>
      </w:r>
      <w:r w:rsidRPr="00B37E26">
        <w:rPr>
          <w:rStyle w:val="HideTWBExt"/>
          <w:b w:val="0"/>
        </w:rPr>
        <w:t>&lt;/TitreType&gt;</w:t>
      </w:r>
    </w:p>
    <w:p w:rsidR="00794E41" w:rsidRPr="00B37E26" w:rsidRDefault="005F200F" w:rsidP="007B1846">
      <w:pPr>
        <w:pStyle w:val="CoverBold"/>
      </w:pPr>
      <w:r w:rsidRPr="00B37E26">
        <w:rPr>
          <w:rStyle w:val="HideTWBExt"/>
          <w:b w:val="0"/>
        </w:rPr>
        <w:t>&lt;Rapporteur&gt;</w:t>
      </w:r>
      <w:r w:rsidRPr="00B37E26">
        <w:t>Erik Marquardt</w:t>
      </w:r>
      <w:r w:rsidRPr="00B37E26">
        <w:rPr>
          <w:rStyle w:val="HideTWBExt"/>
          <w:b w:val="0"/>
        </w:rPr>
        <w:t>&lt;/Rapporteur&gt;</w:t>
      </w:r>
    </w:p>
    <w:p w:rsidR="00794E41" w:rsidRPr="00B37E26" w:rsidRDefault="005F200F" w:rsidP="00794E41">
      <w:pPr>
        <w:pStyle w:val="CoverNormal24a"/>
      </w:pPr>
      <w:r w:rsidRPr="00B37E26">
        <w:rPr>
          <w:rStyle w:val="HideTWBExt"/>
        </w:rPr>
        <w:t>&lt;DocRefPE&gt;</w:t>
      </w:r>
      <w:r w:rsidRPr="00B37E26">
        <w:t>(PE765.000v01-00)</w:t>
      </w:r>
      <w:r w:rsidRPr="00B37E26">
        <w:rPr>
          <w:rStyle w:val="HideTWBExt"/>
        </w:rPr>
        <w:t>&lt;/DocRefPE&gt;</w:t>
      </w:r>
    </w:p>
    <w:p w:rsidR="00570FBE" w:rsidRPr="00B37E26" w:rsidRDefault="005F200F" w:rsidP="00570FBE">
      <w:pPr>
        <w:pStyle w:val="CoverNormal"/>
      </w:pPr>
      <w:r w:rsidRPr="00B37E26">
        <w:rPr>
          <w:rStyle w:val="HideTWBExt"/>
        </w:rPr>
        <w:t>&lt;Titre&gt;</w:t>
      </w:r>
      <w:r w:rsidRPr="00B37E26">
        <w:t>Discarico 2023: bilancio generale dell'UE – Agenzie</w:t>
      </w:r>
      <w:r w:rsidRPr="00B37E26">
        <w:rPr>
          <w:rStyle w:val="HideTWBExt"/>
        </w:rPr>
        <w:t>&lt;/Titre&gt;</w:t>
      </w:r>
    </w:p>
    <w:p w:rsidR="004A3213" w:rsidRPr="00B37E26" w:rsidRDefault="005F200F" w:rsidP="004A3213">
      <w:pPr>
        <w:pStyle w:val="CoverNormal24a"/>
      </w:pPr>
      <w:r w:rsidRPr="00B37E26">
        <w:rPr>
          <w:rStyle w:val="HideTWBExt"/>
        </w:rPr>
        <w:t>&lt;DocRef&gt;</w:t>
      </w:r>
      <w:r w:rsidRPr="00B37E26">
        <w:t>(2024/2030(DEC))</w:t>
      </w:r>
      <w:r w:rsidRPr="00B37E26">
        <w:rPr>
          <w:rStyle w:val="HideTWBExt"/>
        </w:rPr>
        <w:t>&lt;/DocRef&gt;</w:t>
      </w:r>
    </w:p>
    <w:p w:rsidR="004A3213" w:rsidRPr="00B37E26" w:rsidRDefault="004A3213" w:rsidP="004A3213">
      <w:r w:rsidRPr="00B37E26">
        <w:br w:type="page"/>
      </w:r>
      <w:r w:rsidRPr="00B37E26">
        <w:lastRenderedPageBreak/>
        <w:t>AM_Com_NonLegReport</w:t>
      </w:r>
    </w:p>
    <w:p w:rsidR="004A3213" w:rsidRPr="00B37E26" w:rsidRDefault="004A3213" w:rsidP="004A3213">
      <w:pPr>
        <w:pStyle w:val="CoverBold"/>
        <w:rPr>
          <w:b w:val="0"/>
        </w:rPr>
      </w:pPr>
    </w:p>
    <w:p w:rsidR="004A3213" w:rsidRPr="00B37E26" w:rsidRDefault="004A3213">
      <w:pPr>
        <w:widowControl/>
        <w:rPr>
          <w:b/>
        </w:rPr>
      </w:pPr>
      <w:r w:rsidRPr="00B37E26">
        <w:br w:type="page"/>
      </w:r>
    </w:p>
    <w:p w:rsidR="004A3213" w:rsidRPr="00B37E26" w:rsidRDefault="004A3213" w:rsidP="004A3213">
      <w:pPr>
        <w:pStyle w:val="AmNumberTabs"/>
      </w:pPr>
      <w:r w:rsidRPr="00B37E26">
        <w:rPr>
          <w:rStyle w:val="HideTWBExt"/>
          <w:b w:val="0"/>
        </w:rPr>
        <w:lastRenderedPageBreak/>
        <w:t>&lt;RepeatBlock-Amend&gt;</w:t>
      </w:r>
      <w:r w:rsidRPr="00B37E26">
        <w:rPr>
          <w:rStyle w:val="HideTWBExt"/>
          <w:b w:val="0"/>
        </w:rPr>
        <w:t>&lt;Amend&gt;</w:t>
      </w:r>
      <w:r w:rsidRPr="00B37E26">
        <w:t>Emendamento</w:t>
      </w:r>
      <w:r w:rsidRPr="00B37E26">
        <w:tab/>
      </w:r>
      <w:r w:rsidRPr="00B37E26">
        <w:tab/>
      </w:r>
      <w:r w:rsidRPr="00B37E26">
        <w:rPr>
          <w:rStyle w:val="HideTWBExt"/>
          <w:b w:val="0"/>
        </w:rPr>
        <w:t>&lt;NumAm&gt;</w:t>
      </w:r>
      <w:r w:rsidRPr="00B37E26">
        <w:t>1</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Erik Marquardt</w:t>
      </w:r>
      <w:r w:rsidRPr="00B37E26">
        <w:rPr>
          <w:rStyle w:val="HideTWBExt"/>
          <w:b w:val="0"/>
        </w:rPr>
        <w:t>&lt;/Members&gt;</w:t>
      </w:r>
    </w:p>
    <w:p w:rsidR="004A3213" w:rsidRPr="00B37E26" w:rsidRDefault="004A3213" w:rsidP="004A3213">
      <w:r w:rsidRPr="00B37E26">
        <w:rPr>
          <w:rStyle w:val="HideTWBExt"/>
        </w:rPr>
        <w:t>&lt;AuNomDe&gt;</w:t>
      </w:r>
      <w:r w:rsidRPr="00B37E26">
        <w:rPr>
          <w:rStyle w:val="HideTWBInt"/>
        </w:rPr>
        <w:t>{Greens/EFA}</w:t>
      </w:r>
      <w:r w:rsidRPr="00B37E26">
        <w:t>a nome del gruppo Verts/ALE</w:t>
      </w:r>
      <w:r w:rsidRPr="00B37E26">
        <w:rPr>
          <w:rStyle w:val="HideTWBExt"/>
        </w:rPr>
        <w:t>&lt;/AuNomDe&gt;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Visto 36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w:t>
            </w:r>
            <w:r w:rsidRPr="00B37E26">
              <w:tab/>
            </w:r>
            <w:r w:rsidRPr="00B37E26">
              <w:rPr>
                <w:b/>
                <w:i/>
              </w:rPr>
              <w:t>vista la risoluzione del Parlamento europeo del 14 dicembre 2023 su Frontex, sulla base dell'indagine conoscitiva condotta dal gruppo di lavoro della commissione LIBE sul controllo di Frontex</w:t>
            </w:r>
            <w:r w:rsidRPr="00B37E26">
              <w:rPr>
                <w:b/>
                <w:i/>
                <w:vertAlign w:val="superscript"/>
              </w:rPr>
              <w:t>1 bis</w:t>
            </w:r>
            <w:r w:rsidRPr="00B37E26">
              <w:rPr>
                <w:b/>
                <w:i/>
              </w:rPr>
              <w:t>,</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tc>
        <w:tc>
          <w:tcPr>
            <w:tcW w:w="4876" w:type="dxa"/>
            <w:tcBorders>
              <w:top w:val="nil"/>
              <w:left w:val="nil"/>
              <w:bottom w:val="nil"/>
              <w:right w:val="nil"/>
            </w:tcBorders>
          </w:tcPr>
          <w:p w:rsidR="004A3213" w:rsidRPr="00B37E26" w:rsidRDefault="004A3213" w:rsidP="00D97434">
            <w:pPr>
              <w:pStyle w:val="Normal6a"/>
            </w:pPr>
            <w:r w:rsidRPr="00B37E26">
              <w:rPr>
                <w:b/>
                <w:i/>
                <w:vertAlign w:val="superscript"/>
              </w:rPr>
              <w:t>1 bis</w:t>
            </w:r>
            <w:r w:rsidRPr="00B37E26">
              <w:t xml:space="preserve"> </w:t>
            </w:r>
            <w:r w:rsidRPr="00B37E26">
              <w:rPr>
                <w:b/>
                <w:i/>
              </w:rPr>
              <w:t>https://www.europarl.europa.eu/doceo/document/TA-9-2023-0483_IT.pdf</w:t>
            </w:r>
            <w:r w:rsidRPr="00B37E26">
              <w:t>.</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2</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Considerando A</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A.</w:t>
            </w:r>
            <w:r w:rsidRPr="00B37E26">
              <w:tab/>
              <w:t>considerando che le agenzie dell'UE</w:t>
            </w:r>
            <w:r w:rsidRPr="00B37E26">
              <w:rPr>
                <w:vertAlign w:val="superscript"/>
              </w:rPr>
              <w:t>1</w:t>
            </w:r>
            <w:r w:rsidRPr="00B37E26">
              <w:t xml:space="preserve"> sono entità giuridiche distinte istituite allo scopo di svolgere specifici compiti tecnici, scientifici o gestionali che sostengono le istituzioni dell'Unione nell'elaborazione e attuazione delle politiche; che si trovano in diversi Stati membri ed esercitano un'influenza significativa in settori </w:t>
            </w:r>
            <w:r w:rsidRPr="00B37E26">
              <w:rPr>
                <w:b/>
                <w:i/>
              </w:rPr>
              <w:t>di vitale importanza</w:t>
            </w:r>
            <w:r w:rsidRPr="00B37E26">
              <w:t xml:space="preserve"> per la vita quotidiana dei cittadini europei, quali la salute, la sicurezza, la protezione, la libertà e la giustizia;</w:t>
            </w:r>
          </w:p>
        </w:tc>
        <w:tc>
          <w:tcPr>
            <w:tcW w:w="4876" w:type="dxa"/>
            <w:tcBorders>
              <w:top w:val="nil"/>
              <w:left w:val="nil"/>
              <w:bottom w:val="nil"/>
              <w:right w:val="nil"/>
            </w:tcBorders>
          </w:tcPr>
          <w:p w:rsidR="004A3213" w:rsidRPr="00B37E26" w:rsidRDefault="004A3213" w:rsidP="00D97434">
            <w:pPr>
              <w:pStyle w:val="Normal6a"/>
            </w:pPr>
            <w:r w:rsidRPr="00B37E26">
              <w:t>A.</w:t>
            </w:r>
            <w:r w:rsidRPr="00B37E26">
              <w:tab/>
              <w:t>considerando che le agenzie dell'UE</w:t>
            </w:r>
            <w:r w:rsidRPr="00B37E26">
              <w:rPr>
                <w:vertAlign w:val="superscript"/>
              </w:rPr>
              <w:t>1</w:t>
            </w:r>
            <w:r w:rsidRPr="00B37E26">
              <w:t xml:space="preserve"> sono entità giuridiche distinte istituite allo scopo di svolgere specifici compiti tecnici, scientifici o gestionali che sostengono le istituzioni dell'Unione nell'elaborazione e attuazione delle politiche; che si trovano in diversi Stati membri ed esercitano un'influenza significativa in settori </w:t>
            </w:r>
            <w:r w:rsidRPr="00B37E26">
              <w:rPr>
                <w:b/>
                <w:i/>
              </w:rPr>
              <w:t>importanti</w:t>
            </w:r>
            <w:r w:rsidRPr="00B37E26">
              <w:t xml:space="preserve"> per la vita quotidiana dei cittadini europei, quali la salute, la sicurezza, la protezione, la libertà e la giustizia; </w:t>
            </w:r>
            <w:r w:rsidRPr="00B37E26">
              <w:rPr>
                <w:b/>
                <w:i/>
              </w:rPr>
              <w:t>osserva, tuttavia, che alcune di queste agenzie non operano in settori di competenza esclusiva dell'Unione, come nel caso della salute, il che è in contrasto con l'articolo 168 TFUE;</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 </w:t>
            </w:r>
            <w:r w:rsidRPr="00B37E26">
              <w:t>Esistono tre tipi di agenzie dell'UE: agenzie decentrate, agenzie esecutive e altri organismi.</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 </w:t>
            </w:r>
            <w:r w:rsidRPr="00B37E26">
              <w:t>Esistono tre tipi di agenzie dell'UE: agenzie decentrate, agenzie esecutive e altri organismi.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3</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Considerando B</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B.</w:t>
            </w:r>
            <w:r w:rsidRPr="00B37E26">
              <w:tab/>
            </w:r>
            <w:r w:rsidRPr="00B37E26">
              <w:rPr>
                <w:b/>
                <w:i/>
              </w:rPr>
              <w:t>considerando</w:t>
            </w:r>
            <w:r w:rsidRPr="00B37E26">
              <w:t xml:space="preserve"> che la presente risoluzione </w:t>
            </w:r>
            <w:r w:rsidRPr="00B37E26">
              <w:rPr>
                <w:b/>
                <w:i/>
              </w:rPr>
              <w:t>contiene</w:t>
            </w:r>
            <w:r w:rsidRPr="00B37E26">
              <w:t>, per ciascun organismo a norma dell'articolo 70 del regolamento (UE, Euratom) 2024/2509 e per l'Agenzia di approvvigionamento dell'Euratom, osservazioni trasversali che accompagnano le decisioni di discarico, conformemente all'articolo 268 del regolamento (UE, Euratom) 2024/2509 e all'articolo 3 dell'allegato V del regolamento del Parlamento</w:t>
            </w:r>
            <w:r w:rsidRPr="00B37E26">
              <w:rPr>
                <w:b/>
                <w:i/>
              </w:rPr>
              <w:t>;</w:t>
            </w:r>
          </w:p>
        </w:tc>
        <w:tc>
          <w:tcPr>
            <w:tcW w:w="4876" w:type="dxa"/>
            <w:tcBorders>
              <w:top w:val="nil"/>
              <w:left w:val="nil"/>
              <w:bottom w:val="nil"/>
              <w:right w:val="nil"/>
            </w:tcBorders>
          </w:tcPr>
          <w:p w:rsidR="004A3213" w:rsidRPr="00B37E26" w:rsidRDefault="004A3213" w:rsidP="00D97434">
            <w:pPr>
              <w:pStyle w:val="Normal6a"/>
            </w:pPr>
            <w:r w:rsidRPr="00B37E26">
              <w:t>B.</w:t>
            </w:r>
            <w:r w:rsidRPr="00B37E26">
              <w:tab/>
            </w:r>
            <w:r w:rsidRPr="00B37E26">
              <w:rPr>
                <w:b/>
                <w:i/>
              </w:rPr>
              <w:t>si rammarica del fatto</w:t>
            </w:r>
            <w:r w:rsidRPr="00B37E26">
              <w:t xml:space="preserve"> che la presente risoluzione </w:t>
            </w:r>
            <w:r w:rsidRPr="00B37E26">
              <w:rPr>
                <w:b/>
                <w:i/>
              </w:rPr>
              <w:t>contenga</w:t>
            </w:r>
            <w:r w:rsidRPr="00B37E26">
              <w:t>, per ciascun organismo a norma dell'articolo 70 del regolamento (UE, Euratom) 2024/2509 e per l'Agenzia di approvvigionamento dell'Euratom, osservazioni trasversali che accompagnano le decisioni di discarico, conformemente all'articolo 268 del regolamento (UE, Euratom) 2024/2509 e all'articolo 3 dell'allegato V del regolamento del Parlamento</w:t>
            </w:r>
            <w:r w:rsidRPr="00B37E26">
              <w:rPr>
                <w:b/>
                <w:i/>
              </w:rPr>
              <w:t>,</w:t>
            </w:r>
            <w:r w:rsidRPr="00B37E26">
              <w:t xml:space="preserve"> </w:t>
            </w:r>
            <w:r w:rsidRPr="00B37E26">
              <w:rPr>
                <w:b/>
                <w:i/>
              </w:rPr>
              <w:t>il che rende impossibile esaminare singolarmente ogni discarico e individuarne e sollevarne le problematiche specifiche o pronunciarsi in merito a ciascuno di essi, falsando così la votazione finale sulla presente risoluzione; chiede un ritorno all'esame dei singoli discarichi in seno sia alla commissione per il controllo dei bilanci sia alle commissioni competenti per parere a partire dal discarico per l'esercizio 2024;</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4</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Considerando C</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C.</w:t>
            </w:r>
            <w:r w:rsidRPr="00B37E26">
              <w:tab/>
              <w:t xml:space="preserve">considerando che le agenzie decentrate dell'Unione e l'Agenzia di approvvigionamento dell'Euratom dovrebbero concentrarsi su missioni aventi un chiaro valore aggiunto europeo e che l'organizzazione di tali missioni dovrebbe essere ottimizzata onde evitare sovrapposizioni </w:t>
            </w:r>
            <w:r w:rsidRPr="00B37E26">
              <w:rPr>
                <w:b/>
                <w:i/>
              </w:rPr>
              <w:t>nell'interesse superiore del contribuente dell'Unione</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C.</w:t>
            </w:r>
            <w:r w:rsidRPr="00B37E26">
              <w:tab/>
              <w:t>considerando che le agenzie decentrate dell'Unione e l'Agenzia di approvvigionamento dell'Euratom dovrebbero concentrarsi su missioni aventi un chiaro valore aggiunto europeo e che l'organizzazione di tali missioni dovrebbe</w:t>
            </w:r>
            <w:r w:rsidRPr="00B37E26">
              <w:rPr>
                <w:b/>
                <w:i/>
              </w:rPr>
              <w:t>, nell'interesse superiore del contribuente dell'Unione,</w:t>
            </w:r>
            <w:r w:rsidRPr="00B37E26">
              <w:t xml:space="preserve"> essere ottimizzata onde evitare sovrapposizioni</w:t>
            </w:r>
            <w:r w:rsidRPr="00B37E26">
              <w:rPr>
                <w:b/>
                <w:i/>
              </w:rPr>
              <w:t>, come già avvenuto nel settore della salute (è il caso del mandato del Centro europeo per la prevenzione e il controllo delle malattie, le cui competenze si sovrappongono a quelle all'Autorità europea per la preparazione e la risposta alle emergenze sanitarie della Commissione europea)</w:t>
            </w:r>
            <w:r w:rsidRPr="00B37E26">
              <w:t>;</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5</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Considerando C</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C.</w:t>
            </w:r>
            <w:r w:rsidRPr="00B37E26">
              <w:tab/>
              <w:t>considerando che le agenzie decentrate dell'Unione e l'Agenzia di approvvigionamento dell'Euratom dovrebbero concentrarsi su missioni aventi un chiaro valore aggiunto europeo e che l'organizzazione di tali missioni dovrebbe essere ottimizzata onde evitare sovrapposizioni nell'interesse superiore del contribuente dell'Unione;</w:t>
            </w:r>
          </w:p>
        </w:tc>
        <w:tc>
          <w:tcPr>
            <w:tcW w:w="4876" w:type="dxa"/>
            <w:tcBorders>
              <w:top w:val="nil"/>
              <w:left w:val="nil"/>
              <w:bottom w:val="nil"/>
              <w:right w:val="nil"/>
            </w:tcBorders>
          </w:tcPr>
          <w:p w:rsidR="004A3213" w:rsidRPr="00B37E26" w:rsidRDefault="004A3213" w:rsidP="00D97434">
            <w:pPr>
              <w:pStyle w:val="Normal6a"/>
            </w:pPr>
            <w:r w:rsidRPr="00B37E26">
              <w:t>C.</w:t>
            </w:r>
            <w:r w:rsidRPr="00B37E26">
              <w:tab/>
              <w:t xml:space="preserve">considerando che le agenzie decentrate dell'Unione e l'Agenzia di approvvigionamento dell'Euratom dovrebbero concentrarsi su missioni aventi un chiaro valore aggiunto europeo e che l'organizzazione di tali missioni dovrebbe essere ottimizzata onde evitare sovrapposizioni nell'interesse superiore del contribuente dell'Unione; </w:t>
            </w:r>
            <w:r w:rsidRPr="00B37E26">
              <w:rPr>
                <w:b/>
                <w:i/>
              </w:rPr>
              <w:t>che le agenzie decentrate dell'Unione dovrebbero concentrarsi esclusivamente su missioni per cui gli Stati membri non dispongono delle capacità necessarie per agire in modo indipendente, e che le ragioni della loro esistenza dovrebbero essere rivalutate periodicamente al fine di evitare ulteriori burocratizzazioni e inefficienze;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6</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Tamás Deutsch, Virginie Joron</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Considerando D</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D.</w:t>
            </w:r>
            <w:r w:rsidRPr="00B37E26">
              <w:tab/>
              <w:t>considerando che, nel contesto della procedura di discarico, l'autorità di discarico intende sottolineare l'importanza significativa di rafforzare la legittimità democratica delle istituzioni dell'Unione; che ciò implica il miglioramento della trasparenza e della responsabilità, come pure l'attuazione della programmazione di bilancio basata sulle prestazioni e la garanzia di una corretta gestione delle risorse umane;</w:t>
            </w:r>
          </w:p>
        </w:tc>
        <w:tc>
          <w:tcPr>
            <w:tcW w:w="4876" w:type="dxa"/>
            <w:tcBorders>
              <w:top w:val="nil"/>
              <w:left w:val="nil"/>
              <w:bottom w:val="nil"/>
              <w:right w:val="nil"/>
            </w:tcBorders>
          </w:tcPr>
          <w:p w:rsidR="004A3213" w:rsidRPr="00B37E26" w:rsidRDefault="004A3213" w:rsidP="00D97434">
            <w:pPr>
              <w:pStyle w:val="Normal6a"/>
            </w:pPr>
            <w:r w:rsidRPr="00B37E26">
              <w:t>D.</w:t>
            </w:r>
            <w:r w:rsidRPr="00B37E26">
              <w:tab/>
              <w:t xml:space="preserve">considerando che, nel contesto della procedura di discarico, l'autorità di discarico intende sottolineare l'importanza significativa di rafforzare la legittimità democratica delle istituzioni dell'Unione; che ciò implica il miglioramento della trasparenza e della responsabilità, come pure l'attuazione della programmazione di bilancio basata sulle prestazioni e la garanzia di una corretta gestione delle risorse umane; </w:t>
            </w:r>
            <w:r w:rsidRPr="00B37E26">
              <w:rPr>
                <w:b/>
                <w:i/>
              </w:rPr>
              <w:t>insiste sul fatto che l'Agenzia dell'Unione europea per i diritti fondamentali (FRA) non deve agire come un organo di promozione politica, ma attenersi rigorosamente il suo mandato; chiede un'indagine sulle spese sostenute dall'Agenzia nell'ambito di attività che, dietro al pretesto della tutela dei diritti umani, promuovono narrazioni politiche;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7</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Tamás Deutsch, Virginie Joron, Ondřej Knotek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Considerando E</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E.</w:t>
            </w:r>
            <w:r w:rsidRPr="00B37E26">
              <w:tab/>
              <w:t>considerando che l'azione dell'Unione nel settore del controllo di bilancio si basa su due principi: da un lato, garantire che il bilancio dell'Unione sia speso correttamente, dall'altro, tutelare gli interessi finanziari dell'Unione e lottare contro le frodi;</w:t>
            </w:r>
          </w:p>
        </w:tc>
        <w:tc>
          <w:tcPr>
            <w:tcW w:w="4876" w:type="dxa"/>
            <w:tcBorders>
              <w:top w:val="nil"/>
              <w:left w:val="nil"/>
              <w:bottom w:val="nil"/>
              <w:right w:val="nil"/>
            </w:tcBorders>
          </w:tcPr>
          <w:p w:rsidR="004A3213" w:rsidRPr="00B37E26" w:rsidRDefault="004A3213" w:rsidP="00D97434">
            <w:pPr>
              <w:pStyle w:val="Normal6a"/>
            </w:pPr>
            <w:r w:rsidRPr="00B37E26">
              <w:t>E.</w:t>
            </w:r>
            <w:r w:rsidRPr="00B37E26">
              <w:tab/>
              <w:t xml:space="preserve">considerando che l'azione dell'Unione nel settore del controllo di bilancio si basa su due principi: da un lato, garantire che il bilancio dell'Unione sia speso correttamente, dall'altro, tutelare gli interessi finanziari dell'Unione e lottare contro le frodi; </w:t>
            </w:r>
            <w:r w:rsidRPr="00B37E26">
              <w:rPr>
                <w:b/>
                <w:i/>
              </w:rPr>
              <w:t>sottolinea che le agenzie che operano nell'ambito della migrazione, come l'Agenzia europea della guardia di frontiera e costiera (Frontex) e l'Agenzia dell'Unione europea per l'asilo (EUAA), devono dare priorità alla sicurezza delle frontiere e alla protezione dei cittadini europei; è contrario a qualsiasi riorientamento dei fondi verso politiche che incoraggiano la migrazione illegale o indeboliscono i controlli alle frontiere nazionali;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8</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Jonas Sjöstedt</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Considerando E</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E.</w:t>
            </w:r>
            <w:r w:rsidRPr="00B37E26">
              <w:tab/>
              <w:t>considerando che l'azione dell'Unione nel settore del controllo di bilancio si basa su due principi: da un lato, garantire che il bilancio dell'Unione sia speso correttamente, dall'altro, tutelare gli interessi finanziari dell'Unione e lottare contro le frodi;</w:t>
            </w:r>
          </w:p>
        </w:tc>
        <w:tc>
          <w:tcPr>
            <w:tcW w:w="4876" w:type="dxa"/>
            <w:tcBorders>
              <w:top w:val="nil"/>
              <w:left w:val="nil"/>
              <w:bottom w:val="nil"/>
              <w:right w:val="nil"/>
            </w:tcBorders>
          </w:tcPr>
          <w:p w:rsidR="004A3213" w:rsidRPr="00B37E26" w:rsidRDefault="004A3213" w:rsidP="00D97434">
            <w:pPr>
              <w:pStyle w:val="Normal6a"/>
            </w:pPr>
            <w:r w:rsidRPr="00B37E26">
              <w:t>E.</w:t>
            </w:r>
            <w:r w:rsidRPr="00B37E26">
              <w:tab/>
              <w:t>considerando che l'azione dell'Unione nel settore del controllo di bilancio si basa su due principi: da un lato, garantire che il bilancio dell'Unione sia speso correttamente</w:t>
            </w:r>
            <w:r w:rsidRPr="00B37E26">
              <w:rPr>
                <w:b/>
                <w:i/>
              </w:rPr>
              <w:t xml:space="preserve"> e in modo trasparente</w:t>
            </w:r>
            <w:r w:rsidRPr="00B37E26">
              <w:t>, dall'altro, tutelare gli interessi finanziari dell'Unione e lottare contro le frodi;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9</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Tamás Deutsch, Virginie Joron</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Considerando F</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F.</w:t>
            </w:r>
            <w:r w:rsidRPr="00B37E26">
              <w:tab/>
              <w:t>considerando che nel 2012 il Parlamento europeo, il Consiglio dell'Unione europea e la Commissione europea hanno adottato una "dichiarazione congiunta"</w:t>
            </w:r>
            <w:r w:rsidRPr="00B37E26">
              <w:rPr>
                <w:vertAlign w:val="superscript"/>
              </w:rPr>
              <w:t>2</w:t>
            </w:r>
            <w:r w:rsidRPr="00B37E26">
              <w:t xml:space="preserve"> e una serie completa di principi guida – un "orientamento comune" – per rendere le agenzie più coerenti, efficaci e responsabili; che la Commissione si è impegnata a dare seguito a tale accordo, se del caso in cooperazione con le agenzie;</w:t>
            </w:r>
          </w:p>
        </w:tc>
        <w:tc>
          <w:tcPr>
            <w:tcW w:w="4876" w:type="dxa"/>
            <w:tcBorders>
              <w:top w:val="nil"/>
              <w:left w:val="nil"/>
              <w:bottom w:val="nil"/>
              <w:right w:val="nil"/>
            </w:tcBorders>
          </w:tcPr>
          <w:p w:rsidR="004A3213" w:rsidRPr="00B37E26" w:rsidRDefault="004A3213" w:rsidP="00D97434">
            <w:pPr>
              <w:pStyle w:val="Normal6a"/>
            </w:pPr>
            <w:r w:rsidRPr="00B37E26">
              <w:t>F.</w:t>
            </w:r>
            <w:r w:rsidRPr="00B37E26">
              <w:tab/>
              <w:t>considerando che nel 2012 il Parlamento europeo, il Consiglio dell'Unione europea e la Commissione europea hanno adottato una "dichiarazione congiunta"</w:t>
            </w:r>
            <w:r w:rsidRPr="00B37E26">
              <w:rPr>
                <w:vertAlign w:val="superscript"/>
              </w:rPr>
              <w:t>2</w:t>
            </w:r>
            <w:r w:rsidRPr="00B37E26">
              <w:t xml:space="preserve"> e una serie completa di principi guida – un "orientamento comune" – per rendere le agenzie più coerenti, efficaci e responsabili; che la Commissione si è impegnata a dare seguito a tale accordo, se del caso in cooperazione con le agenzie; </w:t>
            </w:r>
            <w:r w:rsidRPr="00B37E26">
              <w:rPr>
                <w:b/>
                <w:i/>
              </w:rPr>
              <w:t>che sarebbe opportuno procedere a una revisione critica delle agenzie dell'UE al fine di eliminare le ridondanze, accorpare le funzioni in sovrapposizione e razionalizzare le operazioni, garantendo che nessuna agenzia esista semplicemente per giustificare la propria burocrazia;</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2</w:t>
            </w:r>
            <w:r w:rsidRPr="00B37E26">
              <w:t xml:space="preserve"> Dichiarazione congiunta del Parlamento europeo, del Consiglio dell'UE e della Commissione europea sulle agenzie decentrate del luglio 2012.</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2</w:t>
            </w:r>
            <w:r w:rsidRPr="00B37E26">
              <w:t xml:space="preserve"> Dichiarazione congiunta del Parlamento europeo, del Consiglio dell'UE e della Commissione europea sulle agenzie decentrate del luglio 2012.</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10</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 Claudiu Manda</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Considerando G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G bis.</w:t>
            </w:r>
            <w:r w:rsidRPr="00B37E26">
              <w:tab/>
            </w:r>
            <w:r w:rsidRPr="00B37E26">
              <w:rPr>
                <w:b/>
                <w:i/>
              </w:rPr>
              <w:t>considerando che il 4 dicembre 2024, in occasione della riunione della commissione per il controllo dei bilanci, il direttore dell'EIT, intervenendo a nome della rete delle agenzie dell'UE, ha accettato di condurre un'indagine sui tipi di contratti del personale addetto alle pulizie che lavora presso le agenzie decentrate, la quale comprenderebbe anche un'analisi del rapporto tra contratti a tempo indeterminato e determinato;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11</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Tamás Deutsch, Virginie Joron</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2</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2.</w:t>
            </w:r>
            <w:r w:rsidRPr="00B37E26">
              <w:tab/>
              <w:t>ricorda che la presente risoluzione riguarda 31 delle 33 agenzie decentrate e 2 degli altri quattro organismi (EIT - Istituto europeo di innovazione e tecnologia e ESA - Agenzia di approvvigionamento dell'Euratom); sottolinea che le procedure di bilancio e di discarico per due agenzie decentrate interamente autofinanziate, vale a dire l'Ufficio comunitario delle varietà vegetali (UCVV) e l'Ufficio dell'Unione europea per la proprietà intellettuale (EUIPO), sono gestite rispettivamente dal consiglio di amministrazione dell'UCVV e dal comitato del bilancio dell'EUIPO e non costituiscono parte della presente risoluzione; osserva che, analogamente, la procedura annuale di bilancio e di discarico del Comitato di risoluzione unico è di esclusiva responsabilità del Comitato stesso;</w:t>
            </w:r>
          </w:p>
        </w:tc>
        <w:tc>
          <w:tcPr>
            <w:tcW w:w="4876" w:type="dxa"/>
            <w:tcBorders>
              <w:top w:val="nil"/>
              <w:left w:val="nil"/>
              <w:bottom w:val="nil"/>
              <w:right w:val="nil"/>
            </w:tcBorders>
          </w:tcPr>
          <w:p w:rsidR="004A3213" w:rsidRPr="00B37E26" w:rsidRDefault="004A3213" w:rsidP="00D97434">
            <w:pPr>
              <w:pStyle w:val="Normal6a"/>
            </w:pPr>
            <w:r w:rsidRPr="00B37E26">
              <w:t>2.</w:t>
            </w:r>
            <w:r w:rsidRPr="00B37E26">
              <w:tab/>
            </w:r>
            <w:r w:rsidRPr="00B37E26">
              <w:rPr>
                <w:b/>
                <w:i/>
              </w:rPr>
              <w:t>evidenzia la necessità di rafforzare la vigilanza finanziaria delle agenzie dell'UE, in modo da garantire che tutte le spese siano giustificate ed efficaci sotto il profilo dei costi e che non vadano a sovrapporsi agli sforzi nazionali; chiede una revisione dei meccanismi di finanziamento delle agenzie al fine di prevenire l'uso improprio del denaro dei contribuenti per il sostegno di progetti a sfondo politico;</w:t>
            </w:r>
            <w:r w:rsidRPr="00B37E26">
              <w:t xml:space="preserve"> ricorda che la presente risoluzione riguarda 31 delle 33 agenzie decentrate e 2 degli altri quattro organismi (EIT - Istituto europeo di innovazione e tecnologia e ESA - Agenzia di approvvigionamento dell'Euratom); sottolinea che le procedure di bilancio e di discarico per due agenzie decentrate interamente autofinanziate, vale a dire l'Ufficio comunitario delle varietà vegetali (UCVV) e l'Ufficio dell'Unione europea per la proprietà intellettuale (EUIPO), sono gestite rispettivamente dal consiglio di amministrazione dell'UCVV e dal comitato del bilancio dell'EUIPO e non costituiscono parte della presente risoluzione; osserva che, analogamente, la procedura annuale di bilancio e di discarico del Comitato di risoluzione unico è di esclusiva responsabilità del Comitato stesso;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12</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Dick Erixon, Charlie Weimers, Beatrice Timgren</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2</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2.</w:t>
            </w:r>
            <w:r w:rsidRPr="00B37E26">
              <w:tab/>
              <w:t>ricorda che la presente risoluzione riguarda 31 delle 33 agenzie decentrate e 2 degli altri quattro organismi (EIT - Istituto europeo di innovazione e tecnologia e ESA - Agenzia di approvvigionamento dell'Euratom); sottolinea che le procedure di bilancio e di discarico per due agenzie decentrate interamente autofinanziate, vale a dire l'Ufficio comunitario delle varietà vegetali (UCVV) e l'Ufficio dell'Unione europea per la proprietà intellettuale (EUIPO), sono gestite rispettivamente dal consiglio di amministrazione dell'UCVV e dal comitato del bilancio dell'EUIPO e non costituiscono parte della presente risoluzione; osserva che, analogamente, la procedura annuale di bilancio e di discarico del Comitato di risoluzione unico è di esclusiva responsabilità del Comitato stesso;</w:t>
            </w:r>
          </w:p>
        </w:tc>
        <w:tc>
          <w:tcPr>
            <w:tcW w:w="4876" w:type="dxa"/>
            <w:tcBorders>
              <w:top w:val="nil"/>
              <w:left w:val="nil"/>
              <w:bottom w:val="nil"/>
              <w:right w:val="nil"/>
            </w:tcBorders>
          </w:tcPr>
          <w:p w:rsidR="004A3213" w:rsidRPr="00B37E26" w:rsidRDefault="004A3213" w:rsidP="00D97434">
            <w:pPr>
              <w:pStyle w:val="Normal6a"/>
            </w:pPr>
            <w:r w:rsidRPr="00B37E26">
              <w:t>2.</w:t>
            </w:r>
            <w:r w:rsidRPr="00B37E26">
              <w:tab/>
              <w:t xml:space="preserve">ricorda che la presente risoluzione riguarda 31 delle 33 agenzie decentrate e 2 degli altri quattro organismi (EIT - Istituto europeo di innovazione e tecnologia e ESA - Agenzia di approvvigionamento dell'Euratom); sottolinea che le procedure di bilancio e di discarico per due agenzie decentrate interamente autofinanziate, vale a dire l'Ufficio comunitario delle varietà vegetali (UCVV) e l'Ufficio dell'Unione europea per la proprietà intellettuale (EUIPO), sono gestite rispettivamente dal consiglio di amministrazione dell'UCVV e dal comitato del bilancio dell'EUIPO e non costituiscono parte della presente risoluzione; osserva che, analogamente, la procedura annuale di bilancio e di discarico del Comitato di risoluzione unico è di esclusiva responsabilità del Comitato stesso; </w:t>
            </w:r>
            <w:r w:rsidRPr="00B37E26">
              <w:rPr>
                <w:b/>
                <w:i/>
              </w:rPr>
              <w:t>è convinto che il numero di agenzie esistenti sia troppo elevato, il che pregiudica la sussidiarietà e comporta sovrapposizioni con le competenze nazionali;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13</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Dick Erixon, Charlie Weimers, Beatrice Timgren</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2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2 bis.</w:t>
            </w:r>
            <w:r w:rsidRPr="00B37E26">
              <w:tab/>
            </w:r>
            <w:r w:rsidRPr="00B37E26">
              <w:rPr>
                <w:b/>
                <w:i/>
              </w:rPr>
              <w:t>sollecita una riduzione dei costi mediante fusioni di ampia portata e la chiusura delle agenzie decentrate non necessarie;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14</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3</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3.</w:t>
            </w:r>
            <w:r w:rsidRPr="00B37E26">
              <w:tab/>
              <w:t>sottolinea l'importanza della procedura di discarico in quanto non costituisce solo un obbligo basato sui trattati, bensì promuove e mira altresì a garantire la trasparenza, la responsabilità e un dialogo aperto sulle finanze dell'Unione; osserva che concede inoltre alle agenzie la possibilità di mostrare il loro lavoro e dimostrare il loro valore aggiunto all'Unione e ai suoi cittadini; sottolinea inoltre che le agenzie forniscono risposte ai questionari inviati dal Parlamento e sono invitate alle audizioni pubbliche dall'autorità di discarico e che ciò offre ai cittadini, alle imprese, alle ONG e ad altre parti interessate la possibilità di seguire le riunioni e di essere certi che le entrate e le spese siano in linea con i principi di una sana gestione finanziaria;</w:t>
            </w:r>
          </w:p>
        </w:tc>
        <w:tc>
          <w:tcPr>
            <w:tcW w:w="4876" w:type="dxa"/>
            <w:tcBorders>
              <w:top w:val="nil"/>
              <w:left w:val="nil"/>
              <w:bottom w:val="nil"/>
              <w:right w:val="nil"/>
            </w:tcBorders>
          </w:tcPr>
          <w:p w:rsidR="004A3213" w:rsidRPr="00B37E26" w:rsidRDefault="004A3213" w:rsidP="00D97434">
            <w:pPr>
              <w:pStyle w:val="Normal6a"/>
            </w:pPr>
            <w:r w:rsidRPr="00B37E26">
              <w:t>3.</w:t>
            </w:r>
            <w:r w:rsidRPr="00B37E26">
              <w:tab/>
              <w:t>sottolinea l'importanza della procedura di discarico in quanto non costituisce solo un obbligo basato sui trattati, bensì promuove e mira altresì a garantire la trasparenza, la responsabilità e un dialogo aperto sulle finanze dell'Unione;</w:t>
            </w:r>
            <w:r w:rsidRPr="00B37E26">
              <w:rPr>
                <w:b/>
                <w:i/>
              </w:rPr>
              <w:t xml:space="preserve"> si rammarica, a tale proposito, del fatto che i discarichi delle agenzie non siano più esaminati singolarmente – il che permetterebbe di individuare più facilmente quali aree di ogni entità presentano un buon funzionamento e quali dimostrano carenze e di pronunciarsi in merito a ciascun organismo – falsando così la votazione finale sulla presente risoluzione;</w:t>
            </w:r>
            <w:r w:rsidRPr="00B37E26">
              <w:t xml:space="preserve"> osserva che concede inoltre alle agenzie la possibilità di mostrare il loro lavoro e dimostrare il loro valore aggiunto all'Unione e ai suoi cittadini; sottolinea inoltre che le agenzie forniscono risposte ai questionari inviati dal Parlamento e sono invitate alle audizioni pubbliche dall'autorità di discarico e che ciò offre ai cittadini, alle imprese, alle ONG e ad altre parti interessate la possibilità di seguire le riunioni e di essere certi che le entrate e le spese siano in linea con i principi di una sana gestione finanziaria;</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15</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Dick Erixon, Charlie Weimers, Beatrice Timgren</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3</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3.</w:t>
            </w:r>
            <w:r w:rsidRPr="00B37E26">
              <w:tab/>
              <w:t>sottolinea l'importanza della procedura di discarico in quanto non costituisce solo un obbligo basato sui trattati, bensì promuove e mira altresì a garantire la trasparenza, la responsabilità e un dialogo aperto sulle finanze dell'Unione; osserva che concede inoltre alle agenzie la possibilità di mostrare il loro lavoro e dimostrare il loro valore aggiunto all'Unione e ai suoi cittadini; sottolinea inoltre che le agenzie forniscono risposte ai questionari inviati dal Parlamento e sono invitate alle audizioni pubbliche dall'autorità di discarico e che ciò offre ai cittadini, alle imprese, alle ONG e ad altre parti interessate la possibilità di seguire le riunioni e di essere certi che le entrate e le spese siano in linea con i principi di una sana gestione finanziaria;</w:t>
            </w:r>
          </w:p>
        </w:tc>
        <w:tc>
          <w:tcPr>
            <w:tcW w:w="4876" w:type="dxa"/>
            <w:tcBorders>
              <w:top w:val="nil"/>
              <w:left w:val="nil"/>
              <w:bottom w:val="nil"/>
              <w:right w:val="nil"/>
            </w:tcBorders>
          </w:tcPr>
          <w:p w:rsidR="004A3213" w:rsidRPr="00B37E26" w:rsidRDefault="004A3213" w:rsidP="00D97434">
            <w:pPr>
              <w:pStyle w:val="Normal6a"/>
            </w:pPr>
            <w:r w:rsidRPr="00B37E26">
              <w:t>3.</w:t>
            </w:r>
            <w:r w:rsidRPr="00B37E26">
              <w:tab/>
              <w:t xml:space="preserve">sottolinea l'importanza della procedura di discarico in quanto non costituisce solo un obbligo basato sui trattati, bensì promuove e mira altresì a garantire la trasparenza, la responsabilità e un dialogo aperto sulle finanze dell'Unione; osserva che concede inoltre alle agenzie la possibilità di mostrare il loro lavoro e dimostrare il loro valore aggiunto all'Unione e ai suoi cittadini; sottolinea inoltre che le agenzie forniscono risposte ai questionari inviati dal Parlamento e sono invitate alle audizioni pubbliche dall'autorità di discarico e che ciò offre ai cittadini, alle imprese, alle ONG e ad altre parti interessate la possibilità di seguire le riunioni e di essere certi che le entrate e le spese siano in linea con i principi di una sana gestione finanziaria; </w:t>
            </w:r>
            <w:r w:rsidRPr="00B37E26">
              <w:rPr>
                <w:b/>
                <w:i/>
              </w:rPr>
              <w:t>è indignato dal fatto che tutti i discarichi delle agenzie decentrate siano stati riuniti in un'unica relazione, il che non presenta alcun valore aggiunto;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16</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4</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4.</w:t>
            </w:r>
            <w:r w:rsidRPr="00B37E26">
              <w:tab/>
              <w:t xml:space="preserve">ritiene che il concetto di concessione del discarico da parte di un'autorità interna di discarico, come nel caso dell'EUIPO, dell'UCVV e del Comitato di risoluzione unico, potrebbe potenzialmente comportare un conflitto di interessi; ritiene che il discarico concesso dal Parlamento </w:t>
            </w:r>
            <w:r w:rsidRPr="00B37E26">
              <w:rPr>
                <w:b/>
                <w:i/>
              </w:rPr>
              <w:t>eviti</w:t>
            </w:r>
            <w:r w:rsidRPr="00B37E26">
              <w:t xml:space="preserve"> potenziali conflitti di interessi e contribuisca alla trasparenza e all'immagine pubblica delle agenzie;</w:t>
            </w:r>
          </w:p>
        </w:tc>
        <w:tc>
          <w:tcPr>
            <w:tcW w:w="4876" w:type="dxa"/>
            <w:tcBorders>
              <w:top w:val="nil"/>
              <w:left w:val="nil"/>
              <w:bottom w:val="nil"/>
              <w:right w:val="nil"/>
            </w:tcBorders>
          </w:tcPr>
          <w:p w:rsidR="004A3213" w:rsidRPr="00B37E26" w:rsidRDefault="004A3213" w:rsidP="00D97434">
            <w:pPr>
              <w:pStyle w:val="Normal6a"/>
            </w:pPr>
            <w:r w:rsidRPr="00B37E26">
              <w:t>4.</w:t>
            </w:r>
            <w:r w:rsidRPr="00B37E26">
              <w:tab/>
              <w:t xml:space="preserve">ritiene che il concetto di concessione del discarico da parte di un'autorità interna di discarico, come nel caso dell'EUIPO, dell'UCVV e del Comitato di risoluzione unico, potrebbe potenzialmente comportare un conflitto di interessi; ritiene che il discarico concesso dal Parlamento </w:t>
            </w:r>
            <w:r w:rsidRPr="00B37E26">
              <w:rPr>
                <w:b/>
                <w:i/>
              </w:rPr>
              <w:t>riduca al minimo</w:t>
            </w:r>
            <w:r w:rsidRPr="00B37E26">
              <w:t xml:space="preserve"> potenziali conflitti di interessi e contribuisca alla trasparenza e all'immagine pubblica delle agenzie;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17</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Tamás Deutsch, Ondřej Knotek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6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6 bis.</w:t>
            </w:r>
            <w:r w:rsidRPr="00B37E26">
              <w:tab/>
            </w:r>
            <w:r w:rsidRPr="00B37E26">
              <w:rPr>
                <w:b/>
                <w:i/>
              </w:rPr>
              <w:t>considera che l'attuale architettura delle agenzie dell'Unione europea presenti duplicazioni e sovrapposizioni di mandati; ritiene che l'UE debba indicare la via da seguire per giungere a una riduzione dei costi amministrativi e a una semplificazione, al fine di incentivare la competitività e razionalizzare la pubblica amministrazione dell'UE; raccomanda di valutare le possibili modalità di attuazione di un pacchetto di riforme analogo a quello del DOGE (Department of Government Efficiency – Dipartimento dell'efficienza governativa) e quali benefici questo potrebbe portare all'efficienza della governance dell'Unione europea e delle sue agenzie;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18</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7.</w:t>
            </w:r>
            <w:r w:rsidRPr="00B37E26">
              <w:tab/>
              <w:t>sottolinea che, nonostante l'istituzione o l'espansione delle agenzie dell'UE sia intesa a rafforzare le capacità dell'Unione, è fondamentale garantire che tale processo sia guidato da valutazioni approfondite, valutazioni d'impatto e una chiara dimostrazione del valore aggiunto; evidenzia che tale approccio non solo garantirebbe una migliore regolamentazione, bensì migliorerebbe anche l'efficacia, la responsabilità, la trasparenza e la coerenza del panorama istituzionale dell'Unione;</w:t>
            </w:r>
          </w:p>
        </w:tc>
        <w:tc>
          <w:tcPr>
            <w:tcW w:w="4876" w:type="dxa"/>
            <w:tcBorders>
              <w:top w:val="nil"/>
              <w:left w:val="nil"/>
              <w:bottom w:val="nil"/>
              <w:right w:val="nil"/>
            </w:tcBorders>
          </w:tcPr>
          <w:p w:rsidR="004A3213" w:rsidRPr="00B37E26" w:rsidRDefault="004A3213" w:rsidP="00D97434">
            <w:pPr>
              <w:pStyle w:val="Normal6a"/>
            </w:pPr>
            <w:r w:rsidRPr="00B37E26">
              <w:t>7.</w:t>
            </w:r>
            <w:r w:rsidRPr="00B37E26">
              <w:tab/>
              <w:t>sottolinea che, nonostante l'istituzione o l'espansione delle agenzie dell'UE sia intesa a rafforzare le capacità dell'Unione, è fondamentale garantire che tale processo sia guidato da valutazioni approfondite, valutazioni d'impatto e una chiara dimostrazione del valore aggiunto</w:t>
            </w:r>
            <w:r w:rsidRPr="00B37E26">
              <w:rPr>
                <w:b/>
                <w:i/>
              </w:rPr>
              <w:t>, in modo da poter trarre insegnamenti e, ove opportuno, prendere in considerazione la possibilità di porre fine al rispettivo mandato</w:t>
            </w:r>
            <w:r w:rsidRPr="00B37E26">
              <w:t>; evidenzia che tale approccio non solo garantirebbe una migliore regolamentazione, bensì migliorerebbe anche l'efficacia, la responsabilità, la trasparenza e la coerenza del panorama istituzionale dell'Unione;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19</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7 bis.</w:t>
            </w:r>
            <w:r w:rsidRPr="00B37E26">
              <w:tab/>
            </w:r>
            <w:r w:rsidRPr="00B37E26">
              <w:rPr>
                <w:b/>
                <w:i/>
              </w:rPr>
              <w:t>deplora il fatto che in dieci anni il bilancio generale delle agenzie (agenzie decentrate, agenzie esecutive e organismi dell'Unione) sia più che raddoppiato, raggiungendo i 4,7 miliardi di EUR nel 2023 (rispetto ai 4,5 del 2022); esprime preoccupazione per il fatto che per quattro agenzie – EIT, eu-LISA, ELA ed ENISA – il tasso di errore sia compreso tra il 3,2 e il 4,1 %, il che comporta conseguenze per oltre 28 milioni di EUR, situazione problematica in termini di onestà nell'utilizzo dei fondi pubblici, ma anche in considerazione dell'elevato numero di agenzie esistenti; osserva che, nel caso dell'EIT, sono stati individuati costi non ammissibili e chiede che non si ripetano più situazioni simili;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20</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Tamás Deutsch, Ondřej Knotek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7 bis.</w:t>
            </w:r>
            <w:r w:rsidRPr="00B37E26">
              <w:tab/>
            </w:r>
            <w:r w:rsidRPr="00B37E26">
              <w:rPr>
                <w:b/>
                <w:i/>
              </w:rPr>
              <w:t>ricorda la dichiarazione di Budapest sul nuovo patto per la competitività europea, che pone l'Europa in prima linea nell'ambito della ricerca e dell'innovazione a livello mondiale, in particolare per quanto riguarda le tecnologie di rottura, e punta a conseguire l'obiettivo di spesa del 3 % del PIL in ricerca e sviluppo entro il 2030; sollecita le agenzie a trovare soluzioni per promuovere tali obiettivi ed essere parte del cambiamento;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21</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 José Cepeda, Claudiu Manda</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7 bis.</w:t>
            </w:r>
            <w:r w:rsidRPr="00B37E26">
              <w:tab/>
            </w:r>
            <w:r w:rsidRPr="00B37E26">
              <w:rPr>
                <w:b/>
                <w:i/>
              </w:rPr>
              <w:t>ricorda che il valore aggiunto delle agenzie può essere ulteriormente incrementato, se, ove opportuno, le istituzioni dell'UE privilegiano il ricorso alle conoscenze e alle competenze delle agenzie dell'UE anziché di contraenti esterni;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22</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Tamás Deutsch, Ondřej Knotek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 ter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7 ter.</w:t>
            </w:r>
            <w:r w:rsidRPr="00B37E26">
              <w:tab/>
            </w:r>
            <w:r w:rsidRPr="00B37E26">
              <w:rPr>
                <w:b/>
                <w:i/>
              </w:rPr>
              <w:t>invita l'istituzione ad adoperarsi pienamente e a massimizzare i propri sforzi, avvalendosi di tutte le misure e i mezzi a sua disposizione, per promuovere la pace e porre fine quanto prima alla guerra in Ucraina, nonché per preservare la pace e rafforzare la sicurezza europea; è convinto che non esista una soluzione militare del conflitto e che la pace sia l'unica soluzione praticabile e sostenibile;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23</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Jonas Sjöstedt</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8</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8.</w:t>
            </w:r>
            <w:r w:rsidRPr="00B37E26">
              <w:tab/>
              <w:t>ricorda che il punto 60 dell'orientamento comune stabilisce che ogni agenzia dell'UE dovrebbe essere valutata ogni 5 anni; osserva che la Commissione dovrebbe avere il compito di organizzare tali valutazioni e, in occasione di ogni seconda valutazione, va applicata la clausola di durata massima/revisione; ribadisce la raccomandazione della Corte dei conti ("la Corte") contenuta nella relazione speciale n. 22/2020</w:t>
            </w:r>
            <w:r w:rsidRPr="00B37E26">
              <w:rPr>
                <w:vertAlign w:val="superscript"/>
              </w:rPr>
              <w:t>3</w:t>
            </w:r>
            <w:r w:rsidRPr="00B37E26">
              <w:t xml:space="preserve">, che raccomanda alla Commissione di aumentare il ricorso a valutazioni trasversali delle agenzie nel contesto dei controlli dell'adeguatezza da parte della Commissione dei diversi settori d'intervento; ribadisce inoltre, che i risultati delle valutazioni dovrebbero essere utilizzati per individuare le sinergie e i possibili cambiamenti, comprese le fusioni </w:t>
            </w:r>
            <w:r w:rsidRPr="00B37E26">
              <w:rPr>
                <w:b/>
                <w:i/>
              </w:rPr>
              <w:t>e</w:t>
            </w:r>
            <w:r w:rsidRPr="00B37E26">
              <w:t xml:space="preserve">, ove opportuno, </w:t>
            </w:r>
            <w:r w:rsidRPr="00B37E26">
              <w:rPr>
                <w:b/>
                <w:i/>
              </w:rPr>
              <w:t>per preparare le proposte legislative in risposta alle mutate necessità</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8.</w:t>
            </w:r>
            <w:r w:rsidRPr="00B37E26">
              <w:tab/>
              <w:t>ricorda che il punto 60 dell'orientamento comune stabilisce che ogni agenzia dell'UE dovrebbe essere valutata ogni 5 anni; osserva che la Commissione dovrebbe avere il compito di organizzare tali valutazioni e, in occasione di ogni seconda valutazione, va applicata la clausola di durata massima/revisione; ribadisce la raccomandazione della Corte dei conti ("la Corte") contenuta nella relazione speciale n. 22/2020</w:t>
            </w:r>
            <w:r w:rsidRPr="00B37E26">
              <w:rPr>
                <w:vertAlign w:val="superscript"/>
              </w:rPr>
              <w:t>3</w:t>
            </w:r>
            <w:r w:rsidRPr="00B37E26">
              <w:t xml:space="preserve">, che raccomanda alla Commissione di aumentare il ricorso a valutazioni trasversali delle agenzie nel contesto dei controlli dell'adeguatezza da parte della Commissione dei diversi settori d'intervento; ribadisce inoltre, che i risultati delle valutazioni dovrebbero essere utilizzati per individuare le sinergie e i possibili cambiamenti, comprese le fusioni </w:t>
            </w:r>
            <w:r w:rsidRPr="00B37E26">
              <w:rPr>
                <w:b/>
                <w:i/>
              </w:rPr>
              <w:t>di agenzie</w:t>
            </w:r>
            <w:r w:rsidRPr="00B37E26">
              <w:t xml:space="preserve">, ove opportuno, </w:t>
            </w:r>
            <w:r w:rsidRPr="00B37E26">
              <w:rPr>
                <w:b/>
                <w:i/>
              </w:rPr>
              <w:t>al fine di migliorare l'efficienza e eliminare le ridondanze</w:t>
            </w:r>
            <w:r w:rsidRPr="00B37E26">
              <w:t xml:space="preserve">; </w:t>
            </w:r>
            <w:r w:rsidRPr="00B37E26">
              <w:rPr>
                <w:b/>
                <w:i/>
              </w:rPr>
              <w:t>ritiene che, se del caso, le valutazioni dovrebbero anche esaminare modalità per rafforzare le strutture di governance, sempre assicurando l'efficacia delle agenzie;</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3</w:t>
            </w:r>
            <w:r w:rsidRPr="00B37E26">
              <w:t xml:space="preserve"> "Il futuro delle agenzie dell'UE: sono possibili una maggiore flessibilità e cooperazione", https://op.europa.eu/webpub/eca/special-reports/agencies-performance-audit-22-2020/it/index.html.</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3</w:t>
            </w:r>
            <w:r w:rsidRPr="00B37E26">
              <w:t xml:space="preserve"> "Il futuro delle agenzie dell'UE: sono possibili una maggiore flessibilità e cooperazione", https://op.europa.eu/webpub/eca/special-reports/agencies-performance-audit-22-2020/it/index.html.</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24</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8</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8.</w:t>
            </w:r>
            <w:r w:rsidRPr="00B37E26">
              <w:tab/>
              <w:t>ricorda che il punto 60 dell'orientamento comune stabilisce che ogni agenzia dell'UE dovrebbe essere valutata ogni 5 anni; osserva che la Commissione dovrebbe avere il compito di organizzare tali valutazioni e, in occasione di ogni seconda valutazione, va applicata la clausola di durata massima/revisione; ribadisce la raccomandazione della Corte dei conti ("la Corte") contenuta nella relazione speciale n. 22/2020</w:t>
            </w:r>
            <w:r w:rsidRPr="00B37E26">
              <w:rPr>
                <w:vertAlign w:val="superscript"/>
              </w:rPr>
              <w:t>3</w:t>
            </w:r>
            <w:r w:rsidRPr="00B37E26">
              <w:t>, che raccomanda alla Commissione di aumentare il ricorso a valutazioni trasversali delle agenzie nel contesto dei controlli dell'adeguatezza da parte della Commissione dei diversi settori d'intervento; ribadisce inoltre, che i risultati delle valutazioni dovrebbero essere utilizzati per individuare le sinergie e i possibili cambiamenti, comprese le fusioni e, ove opportuno, per preparare le proposte legislative in risposta alle mutate necessità;</w:t>
            </w:r>
          </w:p>
        </w:tc>
        <w:tc>
          <w:tcPr>
            <w:tcW w:w="4876" w:type="dxa"/>
            <w:tcBorders>
              <w:top w:val="nil"/>
              <w:left w:val="nil"/>
              <w:bottom w:val="nil"/>
              <w:right w:val="nil"/>
            </w:tcBorders>
          </w:tcPr>
          <w:p w:rsidR="004A3213" w:rsidRPr="00B37E26" w:rsidRDefault="004A3213" w:rsidP="00D97434">
            <w:pPr>
              <w:pStyle w:val="Normal6a"/>
            </w:pPr>
            <w:r w:rsidRPr="00B37E26">
              <w:t>8.</w:t>
            </w:r>
            <w:r w:rsidRPr="00B37E26">
              <w:tab/>
              <w:t>ricorda che il punto 60 dell'orientamento comune stabilisce che ogni agenzia dell'UE dovrebbe essere valutata ogni 5 anni; osserva che la Commissione dovrebbe avere il compito di organizzare tali valutazioni e, in occasione di ogni seconda valutazione, va applicata la clausola di durata massima/revisione; ribadisce la raccomandazione della Corte dei conti ("la Corte") contenuta nella relazione speciale n. 22/2020</w:t>
            </w:r>
            <w:r w:rsidRPr="00B37E26">
              <w:rPr>
                <w:vertAlign w:val="superscript"/>
              </w:rPr>
              <w:t>33</w:t>
            </w:r>
            <w:r w:rsidRPr="00B37E26">
              <w:t>, che raccomanda alla Commissione di aumentare il ricorso a valutazioni trasversali delle agenzie nel contesto dei controlli dell'adeguatezza da parte della Commissione dei diversi settori d'intervento; ribadisce inoltre, che i risultati delle valutazioni</w:t>
            </w:r>
            <w:r w:rsidRPr="00B37E26">
              <w:rPr>
                <w:b/>
                <w:i/>
              </w:rPr>
              <w:t>, prendendo in considerazione anche le relazioni della Corte dei conti europea,</w:t>
            </w:r>
            <w:r w:rsidRPr="00B37E26">
              <w:t xml:space="preserve"> dovrebbero essere utilizzati per individuare le sinergie e i possibili cambiamenti, comprese le fusioni e, ove opportuno, per preparare le proposte legislative in risposta alle mutate necessità </w:t>
            </w:r>
            <w:r w:rsidRPr="00B37E26">
              <w:rPr>
                <w:b/>
                <w:i/>
              </w:rPr>
              <w:t>o addirittura valutare la possibilità di porre fine al mandato di alcune agenzie</w:t>
            </w:r>
            <w:r w:rsidRPr="00B37E26">
              <w:t>;</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3 </w:t>
            </w:r>
            <w:r w:rsidRPr="00B37E26">
              <w:t>"Il futuro delle agenzie dell'UE: sono possibili una maggiore flessibilità e cooperazione", https://op.europa.eu/webpub/eca/special-reports/agencies-performance-audit-22-2020/it/index.html.</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3 </w:t>
            </w:r>
            <w:r w:rsidRPr="00B37E26">
              <w:t>"Il futuro delle agenzie dell'UE: sono possibili una maggiore flessibilità e cooperazione", https://op.europa.eu/webpub/eca/special-reports/agencies-performance-audit-22-2020/it/index.html.</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pPr>
        <w:rPr>
          <w:rStyle w:val="HideTWBExt"/>
        </w:rPr>
      </w:pPr>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25</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Tamás Deutsch, Ondřej Knotek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8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8 bis.</w:t>
            </w:r>
            <w:r w:rsidRPr="00B37E26">
              <w:tab/>
            </w:r>
            <w:r w:rsidRPr="00B37E26">
              <w:rPr>
                <w:b/>
                <w:i/>
              </w:rPr>
              <w:t>ricorda la dichiarazione di Budapest sul nuovo patto per la competitività europea, che ha avviato una rivoluzione in materia di semplificazione, garantendo un quadro normativo chiaro, semplice e intelligente per le imprese e riducendo drasticamente gli oneri amministrativi, normativi e di comunicazione, in particolare per le PMI; ritiene che la semplificazione e il miglioramento dell'efficacia delle norme esistenti potrebbero favorire e rafforzare la tutela degli interessi finanziari dell'UE e che l'applicazione di tali principi potrebbe portare benefici al lavoro e al funzionamento delle agenzie;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26</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Erik Marquardt</w:t>
      </w:r>
      <w:r w:rsidRPr="00B37E26">
        <w:rPr>
          <w:rStyle w:val="HideTWBExt"/>
          <w:b w:val="0"/>
        </w:rPr>
        <w:t>&lt;/Members&gt;</w:t>
      </w:r>
    </w:p>
    <w:p w:rsidR="004A3213" w:rsidRPr="00B37E26" w:rsidRDefault="004A3213" w:rsidP="004A3213">
      <w:r w:rsidRPr="00B37E26">
        <w:rPr>
          <w:rStyle w:val="HideTWBExt"/>
        </w:rPr>
        <w:t>&lt;AuNomDe&gt;</w:t>
      </w:r>
      <w:r w:rsidRPr="00B37E26">
        <w:rPr>
          <w:rStyle w:val="HideTWBInt"/>
        </w:rPr>
        <w:t>{Greens/EFA}</w:t>
      </w:r>
      <w:r w:rsidRPr="00B37E26">
        <w:t>a nome del gruppo Verts/ALE</w:t>
      </w:r>
      <w:r w:rsidRPr="00B37E26">
        <w:rPr>
          <w:rStyle w:val="HideTWBExt"/>
        </w:rPr>
        <w:t>&lt;/AuNomDe&gt;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8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8 bis.</w:t>
            </w:r>
            <w:r w:rsidRPr="00B37E26">
              <w:tab/>
            </w:r>
            <w:r w:rsidRPr="00B37E26">
              <w:rPr>
                <w:b/>
                <w:i/>
              </w:rPr>
              <w:t>evidenzia la crescente confusione derivante dal grande numero di casi in cui i nomi e gli acronimi delle agenzie risultano identici o quasi; invita i diversi organi a prendere in considerazione la possibilità di modificare il proprio nome per consentire una chiara distinzione tra le varie agenzie;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27</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8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8 bis.</w:t>
            </w:r>
            <w:r w:rsidRPr="00B37E26">
              <w:tab/>
            </w:r>
            <w:r w:rsidRPr="00B37E26">
              <w:rPr>
                <w:b/>
                <w:i/>
              </w:rPr>
              <w:t>ritiene che l'efficienza di bilancio sia fondamentale per il funzionamento delle agenzie e che, al fine di massimizzare gli effetti e i risparmi, dovrebbero essere esaminate nuove sinergie e la possibilità raggruppare le attività delle agenzie con attività complementari;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28</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Tamás Deutsch, Ondřej Knotek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8 ter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8 ter.</w:t>
            </w:r>
            <w:r w:rsidRPr="00B37E26">
              <w:tab/>
            </w:r>
            <w:r w:rsidRPr="00B37E26">
              <w:rPr>
                <w:b/>
                <w:i/>
              </w:rPr>
              <w:t>ricorda il trattato sull'Unione europea, secondo cui l'UE e le sue istituzioni si prefiggono di promuovere la pace, i suoi valori e il benessere dei suoi popoli, nonché di preservare la pace, prevenire i conflitti e di rafforzare la sicurezza internazionale;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29</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8 ter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8 ter.</w:t>
            </w:r>
            <w:r w:rsidRPr="00B37E26">
              <w:tab/>
            </w:r>
            <w:r w:rsidRPr="00B37E26">
              <w:rPr>
                <w:b/>
                <w:i/>
              </w:rPr>
              <w:t>ribadisce la necessità di rafforzare il mandato, sia in termini di prerogative sia di risorse, di tutte le agenzie che contribuiscono al miglioramento della sicurezza dei cittadini europei, vale a dire Frontex, Europol ed Eurojust;</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30</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8 quater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8 quater.</w:t>
            </w:r>
            <w:r w:rsidRPr="00B37E26">
              <w:tab/>
            </w:r>
            <w:r w:rsidRPr="00B37E26">
              <w:rPr>
                <w:b/>
                <w:i/>
              </w:rPr>
              <w:t>chiede che l'UE cessi di finanziare la migrazione illegale e i media progressisti di sinistra che attaccano la sovranità degli Stati membri e di promuovere la diffusione della propaganda "woke" o della propaganda bellica utilizzando il bilancio dell'UE; chiede, a tale proposito, che si ponga fine agli aiuti diretti o indiretti convogliati attraverso le ONG e che la Commissione e le sue agenzie non spendano denaro per promuovere la falsa agenda politica della Commissione europea;</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31</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Jonas Sjöstedt</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9</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9.</w:t>
            </w:r>
            <w:r w:rsidRPr="00B37E26">
              <w:tab/>
              <w:t>ricorda che l'orientamento comune</w:t>
            </w:r>
            <w:r w:rsidRPr="00B37E26">
              <w:rPr>
                <w:vertAlign w:val="superscript"/>
              </w:rPr>
              <w:t>4</w:t>
            </w:r>
            <w:r w:rsidRPr="00B37E26">
              <w:t xml:space="preserve"> fornisce una panoramica della struttura di governance delle agenzie decentrate; rammenta che l'orientamento comune suggerisce che il consiglio di amministrazione sia composto da un rappresentante per ciascuno Stato membro, due rappresentanti della Commissione, un membro designato dal Parlamento europeo (se del caso) e un numero "relativamente limitato" di rappresentanti delle parti interessate (se del caso);</w:t>
            </w:r>
          </w:p>
        </w:tc>
        <w:tc>
          <w:tcPr>
            <w:tcW w:w="4876" w:type="dxa"/>
            <w:tcBorders>
              <w:top w:val="nil"/>
              <w:left w:val="nil"/>
              <w:bottom w:val="nil"/>
              <w:right w:val="nil"/>
            </w:tcBorders>
          </w:tcPr>
          <w:p w:rsidR="004A3213" w:rsidRPr="00B37E26" w:rsidRDefault="004A3213" w:rsidP="00D97434">
            <w:pPr>
              <w:pStyle w:val="Normal6a"/>
            </w:pPr>
            <w:r w:rsidRPr="00B37E26">
              <w:t>9.</w:t>
            </w:r>
            <w:r w:rsidRPr="00B37E26">
              <w:tab/>
              <w:t>ricorda che l'orientamento comune</w:t>
            </w:r>
            <w:r w:rsidRPr="00B37E26">
              <w:rPr>
                <w:vertAlign w:val="superscript"/>
              </w:rPr>
              <w:t>4</w:t>
            </w:r>
            <w:r w:rsidRPr="00B37E26">
              <w:t xml:space="preserve"> fornisce una panoramica della struttura di governance delle agenzie decentrate; rammenta che l'orientamento comune suggerisce che il consiglio di amministrazione sia composto da un rappresentante per ciascuno Stato membro, due rappresentanti della Commissione, un membro designato dal Parlamento europeo (se del caso) e un numero "relativamente limitato" di rappresentanti delle parti interessate (se del caso); </w:t>
            </w:r>
            <w:r w:rsidRPr="00B37E26">
              <w:rPr>
                <w:b/>
                <w:i/>
              </w:rPr>
              <w:t>sottolinea l'importanza di garantire la trasparenza del processo di selezione dei rappresentanti delle parti interessate e di assicurare che questi riflettano un'ampia varietà di interessi;</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4</w:t>
            </w:r>
            <w:r w:rsidRPr="00B37E26">
              <w:t xml:space="preserve"> L'orientamento comune non è giuridicamente vincolante e le istituzioni hanno convenuto di tenerne conto al momento di adottare decisioni riguardanti le agenzie decentrate.</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4</w:t>
            </w:r>
            <w:r w:rsidRPr="00B37E26">
              <w:t xml:space="preserve"> L'orientamento comune non è giuridicamente vincolante e le istituzioni hanno convenuto di tenerne conto al momento di adottare decisioni riguardanti le agenzie decentrate.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32</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 José Cepeda, Claudiu Manda</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9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9 bis.</w:t>
            </w:r>
            <w:r w:rsidRPr="00B37E26">
              <w:tab/>
            </w:r>
            <w:r w:rsidRPr="00B37E26">
              <w:rPr>
                <w:b/>
                <w:i/>
              </w:rPr>
              <w:t>ricorda che i consigli di amministrazione di tutte le agenzie decentrate svolgono un ruolo cruciale nel garantire la buona governance e l'assunzione di responsabilità; sottolinea l'importanza di promuovere un ambiente di lavoro sicuro e rispettoso all'interno delle agenzie; insiste sul fatto che tutti i membri dei consigli di amministrazione dovrebbero seguire una formazione obbligatoria in materia di prevenzione delle molestie all'inizio del loro mandato e che tale formazione dovrebbe essere rinnovata ogni cinque anni per garantire una costante sensibilizzazione e il rispetto delle migliori pratiche, in linea con le norme delle altre istituzioni, in particolare del Parlamento europeo;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33</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Dick Erixon, Charlie Weimers, Beatrice Timgren</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10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10 bis.</w:t>
            </w:r>
            <w:r w:rsidRPr="00B37E26">
              <w:tab/>
            </w:r>
            <w:r w:rsidRPr="00B37E26">
              <w:rPr>
                <w:b/>
                <w:i/>
              </w:rPr>
              <w:t>considera il presente documento una semplice descrizione e non una relazione sul discarico;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34</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12</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12.</w:t>
            </w:r>
            <w:r w:rsidRPr="00B37E26">
              <w:tab/>
              <w:t>prende atto delle conclusioni della valutazione di Eurofound, Cedefop, ETF ed EU-OSHA in merito alla struttura di governance tripartita (Eurofound, Cedefop ed EU-OSHA); osserva che la struttura tripartita offre vantaggi quali la rappresentanza, la direzione strategica e la condivisione delle conoscenze, ma che le dimensioni e la diversità dei consigli di amministrazione pongono sfide nella ricerca di compromessi sulle decisioni aziendali e amministrative fondamentali; sottolinea che la valutazione ha preso in considerazione modelli di governance alternativi per coinvolgere le parti sociali in modo più efficiente, con particolare attenzione alla riduzione dei costi grazie a riunioni ibride; evidenzia che la valutazione ha suggerito che, sebbene le competenze delle parti interessate siano fondamentali, valutare altri modelli può offrire modalità altrettanto efficaci e più efficienti per coinvolgere le parti interessate</w:t>
            </w:r>
            <w:r w:rsidRPr="00B37E26">
              <w:rPr>
                <w:vertAlign w:val="superscript"/>
              </w:rPr>
              <w:t>7</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12.</w:t>
            </w:r>
            <w:r w:rsidRPr="00B37E26">
              <w:tab/>
              <w:t>prende atto delle conclusioni della valutazione di Eurofound, Cedefop, ETF ed EU-OSHA in merito alla struttura di governance tripartita (Eurofound, Cedefop ed EU-OSHA); osserva che la struttura tripartita offre vantaggi quali la rappresentanza, la direzione strategica e la condivisione delle conoscenze, ma che le dimensioni e la diversità dei consigli di amministrazione pongono sfide nella ricerca di compromessi sulle decisioni aziendali e amministrative fondamentali; sottolinea che la valutazione ha preso in considerazione modelli di governance alternativi per coinvolgere le parti sociali in modo più efficiente, con particolare attenzione alla riduzione dei costi grazie a riunioni ibride; evidenzia che la valutazione ha suggerito che, sebbene le competenze delle parti interessate siano fondamentali, valutare altri modelli può offrire modalità altrettanto efficaci e più efficienti per coinvolgere le parti interessate</w:t>
            </w:r>
            <w:r w:rsidRPr="00B37E26">
              <w:rPr>
                <w:vertAlign w:val="superscript"/>
              </w:rPr>
              <w:t>7</w:t>
            </w:r>
            <w:r w:rsidRPr="00B37E26">
              <w:t xml:space="preserve">; </w:t>
            </w:r>
            <w:r w:rsidRPr="00B37E26">
              <w:rPr>
                <w:b/>
                <w:i/>
              </w:rPr>
              <w:t>mette in luce l'aumento del potenziale di risparmio e di sinergie insito nelle attività di tali agenzie;</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7</w:t>
            </w:r>
            <w:r w:rsidRPr="00B37E26">
              <w:t xml:space="preserve"> Valutazione delle agenzie dell'UE: Eurofound, Cedefop, ETF e EU-OSHA SWD(2024) 222 final, pag. 66.</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7</w:t>
            </w:r>
            <w:r w:rsidRPr="00B37E26">
              <w:t xml:space="preserve"> Valutazione delle agenzie dell'UE: Eurofound, Cedefop, ETF e EU-OSHA SWD(2024) 222 final, pag. 66.</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35</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Joachim Stanisław Brudziński</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13</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13.</w:t>
            </w:r>
            <w:r w:rsidRPr="00B37E26">
              <w:tab/>
            </w:r>
            <w:r w:rsidRPr="00B37E26">
              <w:rPr>
                <w:b/>
                <w:i/>
              </w:rPr>
              <w:t>prende atto dei risultati della seconda valutazione indipendente dell'Istituto europeo per l'uguaglianza di genere (EIGE) e della successiva proposta del consiglio di amministrazione di rivedere la composizione del consiglio di amministrazione e di istituire un comitato esecutivo che rappresenti tutti gli Stati membri dell'UE nel consiglio di amministrazione dell'Agenzia, unitamente alla creazione di un comitato esecutivo del consiglio di amministrazione basato sull'attuale comitato permanente, che contribuirebbe a razionalizzare il processo decisionale in seno all'EIGE e a migliorare l'efficienza e l'efficacia</w:t>
            </w:r>
            <w:r w:rsidRPr="00B37E26">
              <w:rPr>
                <w:b/>
                <w:i/>
                <w:vertAlign w:val="superscript"/>
              </w:rPr>
              <w:t>8</w:t>
            </w:r>
            <w:r w:rsidRPr="00B37E26">
              <w:rPr>
                <w:b/>
                <w:i/>
              </w:rPr>
              <w:t>;</w:t>
            </w:r>
          </w:p>
        </w:tc>
        <w:tc>
          <w:tcPr>
            <w:tcW w:w="4876" w:type="dxa"/>
            <w:tcBorders>
              <w:top w:val="nil"/>
              <w:left w:val="nil"/>
              <w:bottom w:val="nil"/>
              <w:right w:val="nil"/>
            </w:tcBorders>
          </w:tcPr>
          <w:p w:rsidR="004A3213" w:rsidRPr="00B37E26" w:rsidRDefault="004A3213" w:rsidP="00D97434">
            <w:pPr>
              <w:pStyle w:val="Normal6a"/>
            </w:pPr>
            <w:r w:rsidRPr="00B37E26">
              <w:rPr>
                <w:b/>
                <w:i/>
              </w:rPr>
              <w:t>soppresso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vertAlign w:val="superscript"/>
              </w:rPr>
              <w:t>8</w:t>
            </w:r>
            <w:r w:rsidRPr="00B37E26">
              <w:t xml:space="preserve"> Lettera indirizzata alla DG Giustizia nel febbraio 2024.</w:t>
            </w:r>
            <w:r w:rsidRPr="00B37E26">
              <w:rPr>
                <w:b/>
                <w:i/>
              </w:rPr>
              <w:t xml:space="preserve"> Oggetto: sostegno del consiglio di amministrazione alla Commissione nel seguito dato alla seconda valutazione esterna dell'EIGE.</w:t>
            </w:r>
          </w:p>
        </w:tc>
        <w:tc>
          <w:tcPr>
            <w:tcW w:w="4876" w:type="dxa"/>
            <w:tcBorders>
              <w:top w:val="nil"/>
              <w:left w:val="nil"/>
              <w:bottom w:val="nil"/>
              <w:right w:val="nil"/>
            </w:tcBorders>
          </w:tcPr>
          <w:p w:rsidR="004A3213" w:rsidRPr="00B37E26" w:rsidRDefault="004A3213" w:rsidP="00D97434"/>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36</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 José Cepeda, Claudiu Manda</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13</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13.</w:t>
            </w:r>
            <w:r w:rsidRPr="00B37E26">
              <w:tab/>
              <w:t>prende atto dei risultati della seconda valutazione indipendente dell'Istituto europeo per l'uguaglianza di genere (EIGE) e della successiva proposta del consiglio di amministrazione di rivedere la composizione del consiglio di amministrazione e di istituire un comitato esecutivo che rappresenti tutti gli Stati membri dell'UE nel consiglio di amministrazione dell'Agenzia, unitamente alla creazione di un comitato esecutivo del consiglio di amministrazione basato sull'attuale comitato permanente, che contribuirebbe a razionalizzare il processo decisionale in seno all'EIGE e a migliorare l'efficienza e l'efficacia</w:t>
            </w:r>
            <w:r w:rsidRPr="00B37E26">
              <w:rPr>
                <w:b/>
                <w:i/>
                <w:vertAlign w:val="superscript"/>
              </w:rPr>
              <w:t>8</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13.</w:t>
            </w:r>
            <w:r w:rsidRPr="00B37E26">
              <w:tab/>
              <w:t>prende atto dei risultati della seconda valutazione indipendente dell'Istituto europeo per l'uguaglianza di genere (EIGE) e della successiva proposta del consiglio di amministrazione di rivedere la composizione del consiglio di amministrazione e di istituire un comitato esecutivo che rappresenti tutti gli Stati membri dell'UE nel consiglio di amministrazione dell'Agenzia, unitamente alla creazione di un comitato esecutivo del consiglio di amministrazione basato sull'attuale comitato permanente, che contribuirebbe a razionalizzare il processo decisionale in seno all'EIGE e a migliorare l'efficienza e l'efficacia</w:t>
            </w:r>
            <w:r w:rsidRPr="00B37E26">
              <w:rPr>
                <w:b/>
                <w:i/>
              </w:rPr>
              <w:t>, e riconosce i progressi compiuti all'interno delle agenzie verso il raggiungimento di un equilibrio di genere tra il personale</w:t>
            </w:r>
            <w:r w:rsidRPr="00B37E26">
              <w:t xml:space="preserve">; </w:t>
            </w:r>
            <w:r w:rsidRPr="00B37E26">
              <w:rPr>
                <w:b/>
                <w:i/>
              </w:rPr>
              <w:t>chiede di intensificare gli sforzi per garantire l'equilibrio di genere a livello dell'alta dirigenza e per integrare la parità di genere in modo sistematico in tutte le politiche, procedure e attività delle agenzie</w:t>
            </w:r>
            <w:r w:rsidRPr="00B37E26">
              <w:rPr>
                <w:b/>
                <w:i/>
                <w:vertAlign w:val="superscript"/>
              </w:rPr>
              <w:t>8</w:t>
            </w:r>
            <w:r w:rsidRPr="00B37E26">
              <w:rPr>
                <w:b/>
                <w:i/>
              </w:rPr>
              <w:t>;</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vertAlign w:val="superscript"/>
              </w:rPr>
              <w:t>8</w:t>
            </w:r>
            <w:r w:rsidRPr="00B37E26">
              <w:t xml:space="preserve"> </w:t>
            </w:r>
            <w:r w:rsidRPr="00B37E26">
              <w:rPr>
                <w:b/>
                <w:i/>
              </w:rPr>
              <w:t>Lettera indirizzata alla DG Giustizia nel febbraio 2024. Oggetto: sostegno del consiglio di amministrazione alla Commissione nel seguito dato alla seconda valutazione esterna dell'EIGE.</w:t>
            </w:r>
          </w:p>
        </w:tc>
        <w:tc>
          <w:tcPr>
            <w:tcW w:w="4876" w:type="dxa"/>
            <w:tcBorders>
              <w:top w:val="nil"/>
              <w:left w:val="nil"/>
              <w:bottom w:val="nil"/>
              <w:right w:val="nil"/>
            </w:tcBorders>
          </w:tcPr>
          <w:p w:rsidR="004A3213" w:rsidRPr="00B37E26" w:rsidRDefault="004A3213" w:rsidP="00D97434">
            <w:pPr>
              <w:pStyle w:val="Normal6a"/>
            </w:pPr>
            <w:r w:rsidRPr="00B37E26">
              <w:rPr>
                <w:b/>
                <w:i/>
                <w:vertAlign w:val="superscript"/>
              </w:rPr>
              <w:t>8</w:t>
            </w:r>
            <w:r w:rsidRPr="00B37E26">
              <w:t xml:space="preserve"> </w:t>
            </w:r>
            <w:r w:rsidRPr="00B37E26">
              <w:rPr>
                <w:b/>
                <w:i/>
              </w:rPr>
              <w:t>Lettera indirizzata alla DG Giustizia nel febbraio 2024. Oggetto: sostegno del consiglio di amministrazione alla Commissione nel seguito dato alla seconda valutazione esterna dell'EIGE.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37</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14 – parte introduttiva</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14.</w:t>
            </w:r>
            <w:r w:rsidRPr="00B37E26">
              <w:tab/>
              <w:t>prende atto delle conclusioni della relazione sulla valutazione del regolamento (UE) 2019/1896 relativo alla guardia di frontiera e costiera europea (Frontex) e delle sue risultanze che ritengono il regolamento idoneo allo scopo, compresa una revisione del corpo permanente pubblicato nel febbraio 2024</w:t>
            </w:r>
            <w:r w:rsidRPr="00B37E26">
              <w:rPr>
                <w:b/>
                <w:i/>
              </w:rPr>
              <w:t>, che evidenzia, per quanto riguarda la governance dell'Agenzia, i seguenti aspetti</w:t>
            </w:r>
            <w:r w:rsidRPr="00B37E26">
              <w:rPr>
                <w:b/>
                <w:i/>
                <w:vertAlign w:val="superscript"/>
              </w:rPr>
              <w:t>9</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14.</w:t>
            </w:r>
            <w:r w:rsidRPr="00B37E26">
              <w:tab/>
              <w:t>prende atto delle conclusioni della relazione sulla valutazione del regolamento (UE) 2019/1896 relativo alla guardia di frontiera e costiera europea (Frontex) e delle sue risultanze che ritengono il regolamento idoneo allo scopo, compresa una revisione del corpo permanente pubblicato nel febbraio 2024:</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vertAlign w:val="superscript"/>
              </w:rPr>
              <w:t>9</w:t>
            </w:r>
            <w:r w:rsidRPr="00B37E26">
              <w:rPr>
                <w:b/>
                <w:i/>
              </w:rPr>
              <w:t xml:space="preserve"> Fonte: relazione sulla valutazione del regolamento (UE) 2019/1896 relativo alla guardia di frontiera e costiera europea, compresa una revisione del corpo permanente. 02.02.2024.</w:t>
            </w:r>
          </w:p>
        </w:tc>
        <w:tc>
          <w:tcPr>
            <w:tcW w:w="4876" w:type="dxa"/>
            <w:tcBorders>
              <w:top w:val="nil"/>
              <w:left w:val="nil"/>
              <w:bottom w:val="nil"/>
              <w:right w:val="nil"/>
            </w:tcBorders>
          </w:tcPr>
          <w:p w:rsidR="004A3213" w:rsidRPr="00B37E26" w:rsidRDefault="004A3213" w:rsidP="00D97434"/>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38</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14 – parte introduttiva</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14.</w:t>
            </w:r>
            <w:r w:rsidRPr="00B37E26">
              <w:tab/>
              <w:t>prende atto delle conclusioni della relazione sulla valutazione del regolamento (UE) 2019/1896 relativo alla guardia di frontiera e costiera europea (Frontex) e delle sue risultanze che ritengono il regolamento idoneo allo scopo, compresa una revisione del corpo permanente pubblicato nel febbraio 2024, che evidenzia, per quanto riguarda la governance dell'Agenzia, i seguenti aspetti</w:t>
            </w:r>
            <w:r w:rsidRPr="00B37E26">
              <w:rPr>
                <w:b/>
                <w:i/>
                <w:vertAlign w:val="superscript"/>
              </w:rPr>
              <w:t>9</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14.</w:t>
            </w:r>
            <w:r w:rsidRPr="00B37E26">
              <w:tab/>
              <w:t>prende atto delle conclusioni della relazione sulla valutazione del regolamento (UE) 2019/1896 relativo alla guardia di frontiera e costiera europea (Frontex) e delle sue risultanze che ritengono il regolamento idoneo allo scopo, compresa una revisione del corpo permanente pubblicato nel febbraio 2024, che evidenzia, per quanto riguarda la governance dell'Agenzia, i seguenti aspetti:</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vertAlign w:val="superscript"/>
              </w:rPr>
              <w:t>9</w:t>
            </w:r>
            <w:r w:rsidRPr="00B37E26">
              <w:rPr>
                <w:b/>
                <w:i/>
              </w:rPr>
              <w:t xml:space="preserve"> Fonte: relazione sulla valutazione del regolamento (UE) 2019/1896 relativo alla guardia di frontiera e costiera europea, compresa una revisione del corpo permanente. 02.02.2024.</w:t>
            </w:r>
          </w:p>
        </w:tc>
        <w:tc>
          <w:tcPr>
            <w:tcW w:w="4876" w:type="dxa"/>
            <w:tcBorders>
              <w:top w:val="nil"/>
              <w:left w:val="nil"/>
              <w:bottom w:val="nil"/>
              <w:right w:val="nil"/>
            </w:tcBorders>
          </w:tcPr>
          <w:p w:rsidR="004A3213" w:rsidRPr="00B37E26" w:rsidRDefault="004A3213" w:rsidP="00D97434"/>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39</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14 – trattino 1</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w:t>
            </w:r>
            <w:r w:rsidRPr="00B37E26">
              <w:tab/>
            </w:r>
            <w:r w:rsidRPr="00B37E26">
              <w:rPr>
                <w:b/>
                <w:i/>
              </w:rPr>
              <w:t>esiste una chiara distribuzione dei compiti tra il consiglio di amministrazione e il direttore esecutivo;</w:t>
            </w:r>
          </w:p>
        </w:tc>
        <w:tc>
          <w:tcPr>
            <w:tcW w:w="4876" w:type="dxa"/>
            <w:tcBorders>
              <w:top w:val="nil"/>
              <w:left w:val="nil"/>
              <w:bottom w:val="nil"/>
              <w:right w:val="nil"/>
            </w:tcBorders>
          </w:tcPr>
          <w:p w:rsidR="004A3213" w:rsidRPr="00B37E26" w:rsidRDefault="004A3213" w:rsidP="00D97434">
            <w:pPr>
              <w:pStyle w:val="Normal6a"/>
            </w:pPr>
            <w:r w:rsidRPr="00B37E26">
              <w:rPr>
                <w:b/>
                <w:i/>
              </w:rPr>
              <w:t>soppresso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40</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14 – trattino 2</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w:t>
            </w:r>
            <w:r w:rsidRPr="00B37E26">
              <w:tab/>
            </w:r>
            <w:r w:rsidRPr="00B37E26">
              <w:rPr>
                <w:b/>
                <w:i/>
              </w:rPr>
              <w:t>la rappresentanza delle autorità responsabili dei rimpatri nel consiglio di amministrazione risulta insufficiente, in quanto i membri provengono principalmente dalle autorità nazionali di gestione delle frontiere, che spesso non sono responsabili dei rimpatri;</w:t>
            </w:r>
          </w:p>
        </w:tc>
        <w:tc>
          <w:tcPr>
            <w:tcW w:w="4876" w:type="dxa"/>
            <w:tcBorders>
              <w:top w:val="nil"/>
              <w:left w:val="nil"/>
              <w:bottom w:val="nil"/>
              <w:right w:val="nil"/>
            </w:tcBorders>
          </w:tcPr>
          <w:p w:rsidR="004A3213" w:rsidRPr="00B37E26" w:rsidRDefault="004A3213" w:rsidP="00D97434">
            <w:pPr>
              <w:pStyle w:val="Normal6a"/>
            </w:pPr>
            <w:r w:rsidRPr="00B37E26">
              <w:rPr>
                <w:b/>
                <w:i/>
              </w:rPr>
              <w:t>soppresso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41</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14 – trattino 3</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w:t>
            </w:r>
            <w:r w:rsidRPr="00B37E26">
              <w:tab/>
            </w:r>
            <w:r w:rsidRPr="00B37E26">
              <w:rPr>
                <w:b/>
                <w:i/>
              </w:rPr>
              <w:t>la governance interna di Frontex non è pienamente in grado di sostenere il suo mandato ampliato nel 2019, a causa della sovrapposizione di responsabilità e di approcci talvolta contrastanti</w:t>
            </w:r>
            <w:r w:rsidRPr="00B37E26">
              <w:rPr>
                <w:b/>
                <w:i/>
                <w:vertAlign w:val="superscript"/>
              </w:rPr>
              <w:t>10</w:t>
            </w:r>
            <w:r w:rsidRPr="00B37E26">
              <w:rPr>
                <w:b/>
                <w:i/>
              </w:rPr>
              <w:t>; osserva che l'attuazione della nuova struttura organizzativa adottata dal consiglio di amministrazione nel novembre 2023 dovrebbe affrontare tale questione; osserva che le proposte chiave comportano il consolidamento delle funzioni strategiche di comprensione e coordinamento, il decentramento della gestione allo scopo di aumentare la responsabilità e la riassegnazione efficace delle risorse;</w:t>
            </w:r>
          </w:p>
        </w:tc>
        <w:tc>
          <w:tcPr>
            <w:tcW w:w="4876" w:type="dxa"/>
            <w:tcBorders>
              <w:top w:val="nil"/>
              <w:left w:val="nil"/>
              <w:bottom w:val="nil"/>
              <w:right w:val="nil"/>
            </w:tcBorders>
          </w:tcPr>
          <w:p w:rsidR="004A3213" w:rsidRPr="00B37E26" w:rsidRDefault="004A3213" w:rsidP="00D97434">
            <w:pPr>
              <w:pStyle w:val="Normal6a"/>
            </w:pPr>
            <w:r w:rsidRPr="00B37E26">
              <w:rPr>
                <w:b/>
                <w:i/>
              </w:rPr>
              <w:t>soppresso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vertAlign w:val="superscript"/>
              </w:rPr>
              <w:t xml:space="preserve">10 </w:t>
            </w:r>
            <w:r w:rsidRPr="00B37E26">
              <w:rPr>
                <w:b/>
                <w:i/>
              </w:rPr>
              <w:t>Tra gli esempi figurano la gestione frazionata del corpo permanente in una serie di divisioni e la divisione del governo societario in due (con la creazione di un approccio frammentato e incoerenze, una divisione responsabile delle TIC, della finanza e di altre risorse umane, giuridiche e degli appalti).</w:t>
            </w:r>
          </w:p>
        </w:tc>
        <w:tc>
          <w:tcPr>
            <w:tcW w:w="4876" w:type="dxa"/>
            <w:tcBorders>
              <w:top w:val="nil"/>
              <w:left w:val="nil"/>
              <w:bottom w:val="nil"/>
              <w:right w:val="nil"/>
            </w:tcBorders>
          </w:tcPr>
          <w:p w:rsidR="004A3213" w:rsidRPr="00B37E26" w:rsidRDefault="004A3213" w:rsidP="00D97434"/>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42</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Erik Marquardt</w:t>
      </w:r>
      <w:r w:rsidRPr="00B37E26">
        <w:rPr>
          <w:rStyle w:val="HideTWBExt"/>
          <w:b w:val="0"/>
        </w:rPr>
        <w:t>&lt;/Members&gt;</w:t>
      </w:r>
    </w:p>
    <w:p w:rsidR="004A3213" w:rsidRPr="00B37E26" w:rsidRDefault="004A3213" w:rsidP="004A3213">
      <w:r w:rsidRPr="00B37E26">
        <w:rPr>
          <w:rStyle w:val="HideTWBExt"/>
        </w:rPr>
        <w:t>&lt;AuNomDe&gt;</w:t>
      </w:r>
      <w:r w:rsidRPr="00B37E26">
        <w:rPr>
          <w:rStyle w:val="HideTWBInt"/>
        </w:rPr>
        <w:t>{Greens/EFA}</w:t>
      </w:r>
      <w:r w:rsidRPr="00B37E26">
        <w:t>a nome del gruppo Verts/ALE</w:t>
      </w:r>
      <w:r w:rsidRPr="00B37E26">
        <w:rPr>
          <w:rStyle w:val="HideTWBExt"/>
        </w:rPr>
        <w:t>&lt;/AuNomDe&gt;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14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14 bis.</w:t>
            </w:r>
            <w:r w:rsidRPr="00B37E26">
              <w:tab/>
            </w:r>
            <w:r w:rsidRPr="00B37E26">
              <w:rPr>
                <w:b/>
                <w:i/>
              </w:rPr>
              <w:t>osserva con profonda preoccupazione che, nonostante le misure adottate, sono state segnalate gravi violazioni dei diritti fondamentali in diversi settori operativi in cui Frontex è attiva; ribadisce che il rispetto dei principi e dei valori dell'Unione deve essere la condizione sine qua non affinché Frontex si impegni in un'operazione congiunta con uno Stato membro, come indicato nella risoluzione del Parlamento europeo del 14 dicembre 2023 su Frontex, sulla base dell'indagine conoscitiva condotta dal gruppo di lavoro della commissione LIBE per il controllo di Frontex; esprime inoltre la necessità che la l'Agenzia adotti misure di follow-up adeguate e tragga conseguenze a seguito dei naufragi di Crotone e dell'"Adriana" del 2023, verificatisi in zone in cui Frontex esercitava una sorveglianza aerea;</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pPr>
        <w:rPr>
          <w:rStyle w:val="HideTWBExt"/>
        </w:rPr>
      </w:pPr>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43</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Gilles Boyer, Olivier Chastel, Vlad Vasile-Voiculescu, Michal Wiezik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14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14 bis.</w:t>
            </w:r>
            <w:r w:rsidRPr="00B37E26">
              <w:tab/>
            </w:r>
            <w:r w:rsidRPr="00B37E26">
              <w:rPr>
                <w:b/>
                <w:i/>
              </w:rPr>
              <w:t>osserva che l'attuazione del regolamento relativo alla guardia di frontiera e costiera europea ha creato inefficienze amministrative, come evidenziato nella relazione di valutazione del regolamento (UE) 2019/1896; riconosce che gli Stati membri devono far fronte a costi aggiuntivi e ostacoli burocratici dovuti alla complessità delle procedure di rimborso per il loro personale impiegato presso Frontex; ritiene che, dato il crescente carico di lavoro amministrativo per gli Stati membri, la Commissione dovrebbe esaminare modalità per semplificare tali processi;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44</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Erik Marquardt</w:t>
      </w:r>
      <w:r w:rsidRPr="00B37E26">
        <w:rPr>
          <w:rStyle w:val="HideTWBExt"/>
          <w:b w:val="0"/>
        </w:rPr>
        <w:t>&lt;/Members&gt;</w:t>
      </w:r>
    </w:p>
    <w:p w:rsidR="004A3213" w:rsidRPr="00B37E26" w:rsidRDefault="004A3213" w:rsidP="004A3213">
      <w:r w:rsidRPr="00B37E26">
        <w:rPr>
          <w:rStyle w:val="HideTWBExt"/>
        </w:rPr>
        <w:t>&lt;AuNomDe&gt;</w:t>
      </w:r>
      <w:r w:rsidRPr="00B37E26">
        <w:rPr>
          <w:rStyle w:val="HideTWBInt"/>
        </w:rPr>
        <w:t>{Greens/EFA}</w:t>
      </w:r>
      <w:r w:rsidRPr="00B37E26">
        <w:t>a nome del gruppo Verts/ALE</w:t>
      </w:r>
      <w:r w:rsidRPr="00B37E26">
        <w:rPr>
          <w:rStyle w:val="HideTWBExt"/>
        </w:rPr>
        <w:t>&lt;/AuNomDe&gt;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14 ter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14 ter.</w:t>
            </w:r>
            <w:r w:rsidRPr="00B37E26">
              <w:tab/>
            </w:r>
            <w:r w:rsidRPr="00B37E26">
              <w:rPr>
                <w:b/>
                <w:i/>
              </w:rPr>
              <w:t>sottolinea le raccomandazioni del responsabile dei diritti fondamentali formulate nella sua relazione annuale per il 2023, in particolare la necessità di rafforzare i diritti fondamentali e le garanzie procedurali applicabili a diversi ambiti e attività di Frontex, come lo screening, il debriefing e il pattugliamento; pone l'attenzione sui pareri del responsabile dei diritti fondamentali, in particolare in relazione alle preoccupazioni in materia di diritti fondamentali riguardanti le segnalazioni alle autorità libiche nell'ambito dei servizi di sorveglianza aerea polifunzionale forniti dall'Agenzia e il parere sul monitoraggio dell'uso della forza; esprime profonda preoccupazione per i casi in cui le autorità nazionali si sono dimostrate riluttanti a fornire l'accesso ai dati pertinenti ai fini delle indagini o dei casi di follow-up o hanno negato il coinvolgimento dei funzionari in presunte violazioni dei diritti fondamentali; sottolinea che le mancate notifiche rappresentano una preoccupazione ricorrente per il responsabile dei diritti fondamentali; esorta Frontex ad attuare tutte le raccomandazioni contenute nelle relazioni annuali del responsabile dei diritti fondamentali e a dare seguito ai relativi pareri;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45</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Gilles Boyer, Olivier Chastel, Vlad Vasile-Voiculescu, Michal Wiezik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14 ter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14 ter.</w:t>
            </w:r>
            <w:r w:rsidRPr="00B37E26">
              <w:tab/>
            </w:r>
            <w:r w:rsidRPr="00B37E26">
              <w:rPr>
                <w:b/>
                <w:i/>
              </w:rPr>
              <w:t>sottolinea che l'eccessiva burocrazia sottrae risorse che potrebbero essere utilizzate in modo più efficace; deplora che la complessità del sistema amministrativo e livelli di rimborso inadeguati rendano difficile per gli Stati membri mantenere i livelli di personale e rispondere alle esigenze nazionali in materia di gestione delle frontiere;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46</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Tomáš Zdechovský</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15</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15.</w:t>
            </w:r>
            <w:r w:rsidRPr="00B37E26">
              <w:tab/>
            </w:r>
            <w:r w:rsidRPr="00B37E26">
              <w:rPr>
                <w:b/>
                <w:i/>
              </w:rPr>
              <w:t>ribadisce la necessità di una formazione in materia di diritti fondamentali per i funzionari del corpo permanente (Frontex), garantendone la consapevolezza e il rispetto degli obblighi e delle norme pertinenti in materia di diritti fondamentali, dei diritti umani internazionali e del diritto umanitario</w:t>
            </w:r>
            <w:r w:rsidRPr="00B37E26">
              <w:rPr>
                <w:b/>
                <w:i/>
                <w:vertAlign w:val="superscript"/>
              </w:rPr>
              <w:t>11</w:t>
            </w:r>
            <w:r w:rsidRPr="00B37E26">
              <w:rPr>
                <w:b/>
                <w:i/>
              </w:rPr>
              <w:t>;</w:t>
            </w:r>
          </w:p>
        </w:tc>
        <w:tc>
          <w:tcPr>
            <w:tcW w:w="4876" w:type="dxa"/>
            <w:tcBorders>
              <w:top w:val="nil"/>
              <w:left w:val="nil"/>
              <w:bottom w:val="nil"/>
              <w:right w:val="nil"/>
            </w:tcBorders>
          </w:tcPr>
          <w:p w:rsidR="004A3213" w:rsidRPr="00B37E26" w:rsidRDefault="004A3213" w:rsidP="00D97434">
            <w:pPr>
              <w:pStyle w:val="Normal6a"/>
            </w:pPr>
            <w:r w:rsidRPr="00B37E26">
              <w:rPr>
                <w:b/>
                <w:i/>
              </w:rPr>
              <w:t>soppresso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11 </w:t>
            </w:r>
            <w:r w:rsidRPr="00B37E26">
              <w:t>https://eur-lex.europa.eu/legal-content/IT/TXT/HTML/?uri=CELEX:52024DC0075 - parte 3.</w:t>
            </w:r>
          </w:p>
        </w:tc>
        <w:tc>
          <w:tcPr>
            <w:tcW w:w="4876" w:type="dxa"/>
            <w:tcBorders>
              <w:top w:val="nil"/>
              <w:left w:val="nil"/>
              <w:bottom w:val="nil"/>
              <w:right w:val="nil"/>
            </w:tcBorders>
          </w:tcPr>
          <w:p w:rsidR="004A3213" w:rsidRPr="00B37E26" w:rsidRDefault="004A3213" w:rsidP="00D97434"/>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47</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Ondřej Knotek,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15</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15.</w:t>
            </w:r>
            <w:r w:rsidRPr="00B37E26">
              <w:tab/>
            </w:r>
            <w:r w:rsidRPr="00B37E26">
              <w:rPr>
                <w:b/>
                <w:i/>
              </w:rPr>
              <w:t>ribadisce la necessità</w:t>
            </w:r>
            <w:r w:rsidRPr="00B37E26">
              <w:t xml:space="preserve"> di </w:t>
            </w:r>
            <w:r w:rsidRPr="00B37E26">
              <w:rPr>
                <w:b/>
                <w:i/>
              </w:rPr>
              <w:t>una</w:t>
            </w:r>
            <w:r w:rsidRPr="00B37E26">
              <w:t xml:space="preserve"> formazione in materia di diritti fondamentali </w:t>
            </w:r>
            <w:r w:rsidRPr="00B37E26">
              <w:rPr>
                <w:b/>
                <w:i/>
              </w:rPr>
              <w:t>per i</w:t>
            </w:r>
            <w:r w:rsidRPr="00B37E26">
              <w:t xml:space="preserve"> funzionari del corpo permanente (Frontex), </w:t>
            </w:r>
            <w:r w:rsidRPr="00B37E26">
              <w:rPr>
                <w:b/>
                <w:i/>
              </w:rPr>
              <w:t>garantendone</w:t>
            </w:r>
            <w:r w:rsidRPr="00B37E26">
              <w:t xml:space="preserve"> la </w:t>
            </w:r>
            <w:r w:rsidRPr="00B37E26">
              <w:rPr>
                <w:b/>
                <w:i/>
              </w:rPr>
              <w:t>consapevolezza</w:t>
            </w:r>
            <w:r w:rsidRPr="00B37E26">
              <w:t xml:space="preserve"> e </w:t>
            </w:r>
            <w:r w:rsidRPr="00B37E26">
              <w:rPr>
                <w:b/>
                <w:i/>
              </w:rPr>
              <w:t>il rispetto degli obblighi</w:t>
            </w:r>
            <w:r w:rsidRPr="00B37E26">
              <w:t xml:space="preserve"> e </w:t>
            </w:r>
            <w:r w:rsidRPr="00B37E26">
              <w:rPr>
                <w:b/>
                <w:i/>
              </w:rPr>
              <w:t>delle norme pertinenti</w:t>
            </w:r>
            <w:r w:rsidRPr="00B37E26">
              <w:t xml:space="preserve"> in materia di diritti fondamentali, dei </w:t>
            </w:r>
            <w:r w:rsidRPr="00B37E26">
              <w:rPr>
                <w:b/>
                <w:i/>
              </w:rPr>
              <w:t>diritti umani internazionali</w:t>
            </w:r>
            <w:r w:rsidRPr="00B37E26">
              <w:t xml:space="preserve"> e del </w:t>
            </w:r>
            <w:r w:rsidRPr="00B37E26">
              <w:rPr>
                <w:b/>
                <w:i/>
              </w:rPr>
              <w:t>diritto umanitario</w:t>
            </w:r>
            <w:r w:rsidRPr="00B37E26">
              <w:rPr>
                <w:b/>
                <w:i/>
                <w:vertAlign w:val="superscript"/>
              </w:rPr>
              <w:t>11</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15.</w:t>
            </w:r>
            <w:r w:rsidRPr="00B37E26">
              <w:tab/>
            </w:r>
            <w:r w:rsidRPr="00B37E26">
              <w:rPr>
                <w:b/>
                <w:i/>
              </w:rPr>
              <w:t>deplora e denuncia l'ideologia intrusiva delle ONG politicamente marcate a sinistra, sostenute dalla Commissione europea, che si sono imposte negli ultimi anni, aumentando il personale incaricato</w:t>
            </w:r>
            <w:r w:rsidRPr="00B37E26">
              <w:t xml:space="preserve"> di </w:t>
            </w:r>
            <w:r w:rsidRPr="00B37E26">
              <w:rPr>
                <w:b/>
                <w:i/>
              </w:rPr>
              <w:t>monitorare i diritti fondamentali e fornendo</w:t>
            </w:r>
            <w:r w:rsidRPr="00B37E26">
              <w:t xml:space="preserve"> formazione in materia di diritti fondamentali </w:t>
            </w:r>
            <w:r w:rsidRPr="00B37E26">
              <w:rPr>
                <w:b/>
                <w:i/>
              </w:rPr>
              <w:t>ai</w:t>
            </w:r>
            <w:r w:rsidRPr="00B37E26">
              <w:t xml:space="preserve"> funzionari del corpo permanente (Frontex), </w:t>
            </w:r>
            <w:r w:rsidRPr="00B37E26">
              <w:rPr>
                <w:b/>
                <w:i/>
              </w:rPr>
              <w:t>in tal modo deviando l'agenzia Frontex dalla sua missione principale, o talvolta addirittura ostacolandola; si rammarica che nel 2023 le spese per</w:t>
            </w:r>
            <w:r w:rsidRPr="00B37E26">
              <w:t xml:space="preserve"> la </w:t>
            </w:r>
            <w:r w:rsidRPr="00B37E26">
              <w:rPr>
                <w:b/>
                <w:i/>
              </w:rPr>
              <w:t>retribuzione del personale dell'Ufficio per i diritti fondamentali (sede centrale</w:t>
            </w:r>
            <w:r w:rsidRPr="00B37E26">
              <w:t xml:space="preserve"> e </w:t>
            </w:r>
            <w:r w:rsidRPr="00B37E26">
              <w:rPr>
                <w:b/>
                <w:i/>
              </w:rPr>
              <w:t>osservatori) ammontavano all'ingente importo di 4 367 527 EUR (+ 78 % in un anno)</w:t>
            </w:r>
            <w:r w:rsidRPr="00B37E26">
              <w:t xml:space="preserve"> e </w:t>
            </w:r>
            <w:r w:rsidRPr="00B37E26">
              <w:rPr>
                <w:b/>
                <w:i/>
              </w:rPr>
              <w:t>che le spese relative alle attività</w:t>
            </w:r>
            <w:r w:rsidRPr="00B37E26">
              <w:t xml:space="preserve"> in materia di diritti fondamentali</w:t>
            </w:r>
            <w:r w:rsidRPr="00B37E26">
              <w:rPr>
                <w:b/>
                <w:i/>
              </w:rPr>
              <w:t xml:space="preserve"> ammontavano a 105 083 EUR nel 2023 (+ 21 % in un anno); ribadisce che Frontex deve dedicarsi alla sorveglianza delle frontiere dello spazio Schengen, alla lotta alla criminalità transfrontaliera e all'assistenza alle operazioni di rimpatrio, contribuendo in tal modo alla protezione dei popoli europei; chiede di riassegnare le risorse e di proseguire nell'assunzione del personale necessario in prima linea alle frontiere esterne dell'UE</w:t>
            </w:r>
            <w:r w:rsidRPr="00B37E26">
              <w:t xml:space="preserve"> e </w:t>
            </w:r>
            <w:r w:rsidRPr="00B37E26">
              <w:rPr>
                <w:b/>
                <w:i/>
              </w:rPr>
              <w:t>nei punti critici, nonché di razionalizzare il numero di posti amministrativi;</w:t>
            </w:r>
            <w:r w:rsidRPr="00B37E26">
              <w:t xml:space="preserve"> </w:t>
            </w:r>
            <w:r w:rsidRPr="00B37E26">
              <w:rPr>
                <w:b/>
                <w:i/>
              </w:rPr>
              <w:t>deplora che il tasso complessivo di rimpatrio nell'Unione europea resti al di sotto del 30 %, a dimostrazione del fatto che le iniziative attuali sono insufficienti a fronte dell'entità dei flussi migratori illegali; sottolinea la necessità per Frontex di dare maggiore priorità alle sue operazioni di rimpatrio e di lavorare a stretto contatto con gli Stati membri per rafforzare l'efficacia dei programmi di rimpatrio; sottolinea l'urgente necessità che l'EUAA assista gli Stati membri nell'adozione di misure intese a prevenire la migrazione illegale e a trattare efficacemente i rimpatri; chiede che venga vagliata la possibilità di esaminare le domande di asilo nei paesi di origine e di transito per evitare di incentivare la migrazione verso l'Unione;</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vertAlign w:val="superscript"/>
              </w:rPr>
              <w:t xml:space="preserve">11 </w:t>
            </w:r>
            <w:r w:rsidRPr="00B37E26">
              <w:rPr>
                <w:b/>
                <w:i/>
              </w:rPr>
              <w:t>https://eur-lex.europa.eu/legal-content/IT/TXT/HTML/?uri=CELEX:52024DC0075 - parte 3.</w:t>
            </w:r>
          </w:p>
        </w:tc>
        <w:tc>
          <w:tcPr>
            <w:tcW w:w="4876" w:type="dxa"/>
            <w:tcBorders>
              <w:top w:val="nil"/>
              <w:left w:val="nil"/>
              <w:bottom w:val="nil"/>
              <w:right w:val="nil"/>
            </w:tcBorders>
          </w:tcPr>
          <w:p w:rsidR="004A3213" w:rsidRPr="00B37E26" w:rsidRDefault="004A3213" w:rsidP="00D97434"/>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48</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15</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15.</w:t>
            </w:r>
            <w:r w:rsidRPr="00B37E26">
              <w:tab/>
              <w:t xml:space="preserve">ribadisce </w:t>
            </w:r>
            <w:r w:rsidRPr="00B37E26">
              <w:rPr>
                <w:b/>
                <w:i/>
              </w:rPr>
              <w:t>la necessità</w:t>
            </w:r>
            <w:r w:rsidRPr="00B37E26">
              <w:t xml:space="preserve"> di una formazione in materia di diritti fondamentali per i funzionari del corpo permanente (Frontex), garantendone la consapevolezza e il rispetto degli obblighi e delle norme pertinenti in materia di diritti fondamentali, dei diritti umani internazionali e del diritto umanitario</w:t>
            </w:r>
            <w:r w:rsidRPr="00B37E26">
              <w:rPr>
                <w:vertAlign w:val="superscript"/>
              </w:rPr>
              <w:t>11</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15.</w:t>
            </w:r>
            <w:r w:rsidRPr="00B37E26">
              <w:tab/>
              <w:t xml:space="preserve">ribadisce </w:t>
            </w:r>
            <w:r w:rsidRPr="00B37E26">
              <w:rPr>
                <w:b/>
                <w:i/>
              </w:rPr>
              <w:t>l'importanza</w:t>
            </w:r>
            <w:r w:rsidRPr="00B37E26">
              <w:t xml:space="preserve"> di una formazione</w:t>
            </w:r>
            <w:r w:rsidRPr="00B37E26">
              <w:rPr>
                <w:b/>
                <w:i/>
              </w:rPr>
              <w:t xml:space="preserve"> strutturale e continua</w:t>
            </w:r>
            <w:r w:rsidRPr="00B37E26">
              <w:t xml:space="preserve"> in materia di diritti fondamentali per i funzionari del corpo permanente (Frontex), garantendone la consapevolezza e il rispetto degli obblighi e delle norme pertinenti in materia di diritti fondamentali, dei diritti umani internazionali e del diritto umanitario</w:t>
            </w:r>
            <w:r w:rsidRPr="00B37E26">
              <w:rPr>
                <w:vertAlign w:val="superscript"/>
              </w:rPr>
              <w:t>11</w:t>
            </w:r>
            <w:r w:rsidRPr="00B37E26">
              <w:t>;</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11 </w:t>
            </w:r>
            <w:r w:rsidRPr="00B37E26">
              <w:t>https://eur-lex.europa.eu/legal-content/IT/TXT/HTML/?uri=CELEX:52024DC0075 - parte 3.</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11 </w:t>
            </w:r>
            <w:r w:rsidRPr="00B37E26">
              <w:t>https://eur-lex.europa.eu/legal-content/IT/TXT/HTML/?uri=CELEX:52024DC0075 - parte 3.</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49</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Joachim Stanisław Brudziński</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15</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15.</w:t>
            </w:r>
            <w:r w:rsidRPr="00B37E26">
              <w:tab/>
              <w:t>ribadisce la necessità di una formazione in materia di diritti fondamentali per i funzionari del corpo permanente (Frontex), garantendone la consapevolezza e il rispetto degli obblighi e delle norme pertinenti in materia di diritti fondamentali, dei diritti umani internazionali e del diritto umanitario</w:t>
            </w:r>
            <w:r w:rsidRPr="00B37E26">
              <w:rPr>
                <w:vertAlign w:val="superscript"/>
              </w:rPr>
              <w:t>11</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15.</w:t>
            </w:r>
            <w:r w:rsidRPr="00B37E26">
              <w:tab/>
              <w:t>ribadisce la necessità di una formazione in materia di diritti fondamentali per i funzionari del corpo permanente (Frontex), garantendone la consapevolezza e il rispetto degli obblighi e delle norme pertinenti in materia di diritti fondamentali, dei diritti umani internazionali e del diritto umanitario</w:t>
            </w:r>
            <w:r w:rsidRPr="00B37E26">
              <w:rPr>
                <w:vertAlign w:val="superscript"/>
              </w:rPr>
              <w:t>11</w:t>
            </w:r>
            <w:r w:rsidRPr="00B37E26">
              <w:t xml:space="preserve">; </w:t>
            </w:r>
            <w:r w:rsidRPr="00B37E26">
              <w:rPr>
                <w:b/>
                <w:i/>
              </w:rPr>
              <w:t>sottolinea l'importanza di rafforzare le tecniche e le capacità operative in modo da individuare più efficacemente gli attraversamenti irregolari e mettere in atto procedure di rimpatrio tempestive e sostenibili, dal momento che solo il 24,3 % degli ordini di lasciare il territorio dell'UE è stato effettivamente eseguito</w:t>
            </w:r>
            <w:r w:rsidRPr="00B37E26">
              <w:rPr>
                <w:b/>
                <w:i/>
                <w:vertAlign w:val="superscript"/>
              </w:rPr>
              <w:t>1 bis</w:t>
            </w:r>
            <w:r w:rsidRPr="00B37E26">
              <w:rPr>
                <w:b/>
                <w:i/>
              </w:rPr>
              <w:t>; sottolinea che un approccio equilibrato, che combini controlli efficaci alle frontiere e rimpatri rapidi con solide garanzie in materia di diritti fondamentali, è fondamentale per mantenere la sicurezza dello spazio Schengen e un quadro credibile dell'UE in materia di gestione della migrazione;</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tc>
        <w:tc>
          <w:tcPr>
            <w:tcW w:w="4876" w:type="dxa"/>
            <w:tcBorders>
              <w:top w:val="nil"/>
              <w:left w:val="nil"/>
              <w:bottom w:val="nil"/>
              <w:right w:val="nil"/>
            </w:tcBorders>
          </w:tcPr>
          <w:p w:rsidR="004A3213" w:rsidRPr="00B37E26" w:rsidRDefault="004A3213" w:rsidP="00D97434">
            <w:pPr>
              <w:pStyle w:val="Normal6a"/>
            </w:pPr>
            <w:r w:rsidRPr="00B37E26">
              <w:rPr>
                <w:b/>
                <w:i/>
                <w:vertAlign w:val="superscript"/>
              </w:rPr>
              <w:t>1 bis</w:t>
            </w:r>
            <w:r w:rsidRPr="00B37E26">
              <w:t xml:space="preserve"> </w:t>
            </w:r>
            <w:r w:rsidRPr="00B37E26">
              <w:rPr>
                <w:b/>
                <w:i/>
              </w:rPr>
              <w:t>https://www.europarl.europa.eu/RegData/etudes/BRIE/2024/762470/EPRS_BRI(2024)762470_EN.pdf</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11 </w:t>
            </w:r>
            <w:r w:rsidRPr="00B37E26">
              <w:t>https://eur-lex.europa.eu/legal-content/IT/TXT/HTML/?uri=CELEX:52024DC0075 - parte 3.</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11 </w:t>
            </w:r>
            <w:r w:rsidRPr="00B37E26">
              <w:t>https://eur-lex.europa.eu/legal-content/IT/TXT/HTML/?uri=CELEX:52024DC0075 - parte 3.</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50</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Jonas Sjöstedt</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15</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15.</w:t>
            </w:r>
            <w:r w:rsidRPr="00B37E26">
              <w:tab/>
              <w:t>ribadisce la necessità di una formazione in materia di diritti fondamentali per i funzionari del corpo permanente (Frontex), garantendone la consapevolezza e il rispetto degli obblighi e delle norme pertinenti in materia di diritti fondamentali, dei diritti umani internazionali e del diritto umanitario</w:t>
            </w:r>
            <w:r w:rsidRPr="00B37E26">
              <w:rPr>
                <w:vertAlign w:val="superscript"/>
              </w:rPr>
              <w:t>11</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15.</w:t>
            </w:r>
            <w:r w:rsidRPr="00B37E26">
              <w:tab/>
              <w:t>ribadisce la necessità di una formazione in materia di diritti fondamentali per i funzionari del corpo permanente (Frontex), garantendone la consapevolezza e il rispetto degli obblighi e delle norme pertinenti in materia di diritti fondamentali, dei diritti umani internazionali e del diritto umanitario</w:t>
            </w:r>
            <w:r w:rsidRPr="00B37E26">
              <w:rPr>
                <w:vertAlign w:val="superscript"/>
              </w:rPr>
              <w:t>11</w:t>
            </w:r>
            <w:r w:rsidRPr="00B37E26">
              <w:t xml:space="preserve">; </w:t>
            </w:r>
            <w:r w:rsidRPr="00B37E26">
              <w:rPr>
                <w:b/>
                <w:i/>
              </w:rPr>
              <w:t>sottolinea l'importanza di accertare le responsabilità qualora la formazione in materia di diritti fondamentali non sia garantita, nonché di notificare le violazioni dei diritti fondamentali mediante la segnalazione di incidenti gravi quando si assiste a tali violazioni; </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11 </w:t>
            </w:r>
            <w:r w:rsidRPr="00B37E26">
              <w:t>https://eur-lex.europa.eu/legal-content/IT/TXT/HTML/?uri=CELEX:52024DC0075 - parte 3.</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11 </w:t>
            </w:r>
            <w:r w:rsidRPr="00B37E26">
              <w:t>https://eur-lex.europa.eu/legal-content/IT/TXT/HTML/?uri=CELEX:52024DC0075 - parte 3.</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51</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Jonas Sjöstedt</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15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15 bis.</w:t>
            </w:r>
            <w:r w:rsidRPr="00B37E26">
              <w:tab/>
            </w:r>
            <w:r w:rsidRPr="00B37E26">
              <w:rPr>
                <w:b/>
                <w:i/>
              </w:rPr>
              <w:t>sottolinea l'importanza di salvaguardare l'indipendenza delle agenzie dell'UE da indebite influenze del settore onde mantenere la fiducia del pubblico nel loro processo decisionale; esprime preoccupazione per le carenze normative e i potenziali conflitti di interesse all'interno di talune agenzie; pone in evidenza le questioni relative agli stretti legami con il settore e alle segnalazioni di influenze indebite, in particolare attraverso le "porte girevoli" tra istituzioni pubbliche e imprese private; sottolinea la necessità di una maggiore trasparenza, di meccanismi di controllo più solidi e di un fermo impegno a dare priorità alla salute e alla sicurezza pubbliche piuttosto che agli interessi finanziari;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52</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15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15 bis.</w:t>
            </w:r>
            <w:r w:rsidRPr="00B37E26">
              <w:tab/>
            </w:r>
            <w:r w:rsidRPr="00B37E26">
              <w:rPr>
                <w:b/>
                <w:i/>
              </w:rPr>
              <w:t>sottolinea i progressi positivi compiuti nell'attuazione degli obiettivi in materia di diritti fondamentali, tra cui l'esecuzione in corso del piano d'azione per i diritti fondamentali e la valutazione indipendente della conformità dell'Agenzia al quadro dei diritti fondamentali, in linea con il regolamento relativo alla guardia di frontiera e costiera europea; accoglie con favore il seguito proattivo dato da Frontex alle denunce relative ai diritti fondamentali, la maggior parte delle quali sono state respinte in quanto irricevibili; accoglie con favore il rafforzamento dell'impegno di Frontex a favore della trasparenza e della responsabilità;</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53</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15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15 bis.</w:t>
            </w:r>
            <w:r w:rsidRPr="00B37E26">
              <w:tab/>
            </w:r>
            <w:r w:rsidRPr="00B37E26">
              <w:rPr>
                <w:b/>
                <w:i/>
              </w:rPr>
              <w:t>deplora il fatto che la FRA tenti costantemente di interferire nel lavoro delle istituzioni e delle agenzie, in particolare quelle dotate di personale interno che si occupa dei diritti fondamentali; respinge la sua richiesta di maggiori finanziamenti;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54</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15 ter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15 ter.</w:t>
            </w:r>
            <w:r w:rsidRPr="00B37E26">
              <w:tab/>
            </w:r>
            <w:r w:rsidRPr="00B37E26">
              <w:rPr>
                <w:b/>
                <w:i/>
              </w:rPr>
              <w:t>si rammarica del fatto che l'EUAA abbia adottato solo di recente misure per porre termine ai suoi contratti di locazione dei locali a Lesbo e a Roma, che erano stati identificati come irregolari dalla Corte dei conti europea dal 2014 e il cui costo, solo per l'esercizio 2023, ammontava ancora a 123 800 EUR; si rammarica, a fronte del costante aumento dei flussi migratori irregolari sul territorio europeo, che l'EUAA stia valutando la possibilità di creare un maggior numero di posti per gli osservatori dei diritti fondamentali, piuttosto che combattere l'immigrazione illegale;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55</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15 ter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15 ter.</w:t>
            </w:r>
            <w:r w:rsidRPr="00B37E26">
              <w:tab/>
            </w:r>
            <w:r w:rsidRPr="00B37E26">
              <w:rPr>
                <w:b/>
                <w:i/>
              </w:rPr>
              <w:t>osserva con preoccupazione, alla luce del suo ampio mandato, che Frontex incontra tuttora difficoltà a raggiungere il numero di dipendenti richiesto, quale stabilito nella sua tabella dell'organico, e che tale difficoltà risale almeno al 2018;</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56</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Tomáš Zdechovský</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17</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17.</w:t>
            </w:r>
            <w:r w:rsidRPr="00B37E26">
              <w:tab/>
              <w:t>sottolinea che l'aumento delle entrate dal 2022 al 2023 è stato significativo in alcune agenzie, rappresentando il 54,59 % per l'Agenzia europea di approvvigionamento (ESA), il 20,86 % per Eurojust, il 19,65 % per Frontex e il 19,15 % per l'ACER;</w:t>
            </w:r>
          </w:p>
        </w:tc>
        <w:tc>
          <w:tcPr>
            <w:tcW w:w="4876" w:type="dxa"/>
            <w:tcBorders>
              <w:top w:val="nil"/>
              <w:left w:val="nil"/>
              <w:bottom w:val="nil"/>
              <w:right w:val="nil"/>
            </w:tcBorders>
          </w:tcPr>
          <w:p w:rsidR="004A3213" w:rsidRPr="00B37E26" w:rsidRDefault="004A3213" w:rsidP="00D97434">
            <w:pPr>
              <w:pStyle w:val="Normal6a"/>
            </w:pPr>
            <w:r w:rsidRPr="00B37E26">
              <w:t>17.</w:t>
            </w:r>
            <w:r w:rsidRPr="00B37E26">
              <w:tab/>
              <w:t xml:space="preserve">sottolinea che l'aumento delle entrate dal 2022 al 2023 è stato significativo in alcune agenzie, rappresentando il 54,59 % per l'Agenzia europea di approvvigionamento (ESA), il 20,86 % per Eurojust, il 19,65 % per Frontex e il 19,15 % per l'ACER; </w:t>
            </w:r>
            <w:r w:rsidRPr="00B37E26">
              <w:rPr>
                <w:b/>
                <w:i/>
              </w:rPr>
              <w:t>accoglie con favore l'aumento dei finanziamenti destinati alle agenzie incaricate dell'applicazione della legge;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57</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18</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18.</w:t>
            </w:r>
            <w:r w:rsidRPr="00B37E26">
              <w:tab/>
              <w:t>osserva che in seno all'ESA l'aumento è dovuto principalmente al continuo sviluppo del sistema informatico dell'osservatorio nucleare e della gestione delle informazioni dell'ESA (NOEMI) e alla fornitura di servizi contabili all'agenzia; osserva che l'aumento nel quadro dell'Eurojust è dovuto principalmente alle risorse aggiuntive necessarie per svolgere i compiti che si sono aggiunti a seguito delle tre proposte di regolamento della Commissione e all'impatto particolarmente grave dell'inflazione</w:t>
            </w:r>
            <w:r w:rsidRPr="00B37E26">
              <w:rPr>
                <w:vertAlign w:val="superscript"/>
              </w:rPr>
              <w:t>15</w:t>
            </w:r>
            <w:r w:rsidRPr="00B37E26">
              <w:t>; osserva che l'aumento del bilancio in Frontex mira a portare avanti la costituzione del corpo permanente delle guardie di frontiera, comprese le attrezzature</w:t>
            </w:r>
            <w:r w:rsidRPr="00B37E26">
              <w:rPr>
                <w:vertAlign w:val="superscript"/>
              </w:rPr>
              <w:t>16</w:t>
            </w:r>
            <w:r w:rsidRPr="00B37E26">
              <w:t>; osserva che, nel caso dell'ACER, l'aumento è dovuto principalmente ai compiti aggiuntivi delegati nei regolamenti riveduti pianificati in materia di infrastrutture energetiche e riduzione delle emissioni di metano</w:t>
            </w:r>
            <w:r w:rsidRPr="00B37E26">
              <w:rPr>
                <w:vertAlign w:val="superscript"/>
              </w:rPr>
              <w:t>17</w:t>
            </w:r>
            <w:r w:rsidRPr="00B37E26">
              <w:t>, alla relativa indicizzazione annuale delle retribuzioni, all'aumento delle spese legali e a una dotazione di bilancio più elevata derivante dalle tariffe per progetti specifici;</w:t>
            </w:r>
          </w:p>
        </w:tc>
        <w:tc>
          <w:tcPr>
            <w:tcW w:w="4876" w:type="dxa"/>
            <w:tcBorders>
              <w:top w:val="nil"/>
              <w:left w:val="nil"/>
              <w:bottom w:val="nil"/>
              <w:right w:val="nil"/>
            </w:tcBorders>
          </w:tcPr>
          <w:p w:rsidR="004A3213" w:rsidRPr="00B37E26" w:rsidRDefault="004A3213" w:rsidP="00D97434">
            <w:pPr>
              <w:pStyle w:val="Normal6a"/>
            </w:pPr>
            <w:r w:rsidRPr="00B37E26">
              <w:t>18.</w:t>
            </w:r>
            <w:r w:rsidRPr="00B37E26">
              <w:tab/>
              <w:t>osserva che in seno all'ESA l'aumento è dovuto principalmente al continuo sviluppo del sistema informatico dell'osservatorio nucleare e della gestione delle informazioni dell'ESA (NOEMI) e alla fornitura di servizi contabili all'agenzia; osserva che l'aumento nel quadro dell'Eurojust è dovuto principalmente alle risorse aggiuntive necessarie per svolgere i compiti che si sono aggiunti a seguito delle tre proposte di regolamento della Commissione e all'impatto particolarmente grave dell'inflazione</w:t>
            </w:r>
            <w:r w:rsidRPr="00B37E26">
              <w:rPr>
                <w:vertAlign w:val="superscript"/>
              </w:rPr>
              <w:t>15</w:t>
            </w:r>
            <w:r w:rsidRPr="00B37E26">
              <w:t>; osserva che l'aumento del bilancio in Frontex mira a portare avanti la costituzione del corpo permanente delle guardie di frontiera, comprese le attrezzature</w:t>
            </w:r>
            <w:r w:rsidRPr="00B37E26">
              <w:rPr>
                <w:vertAlign w:val="superscript"/>
              </w:rPr>
              <w:t>16</w:t>
            </w:r>
            <w:r w:rsidRPr="00B37E26">
              <w:t>; osserva che, nel caso dell'ACER, l'aumento è dovuto principalmente ai compiti aggiuntivi delegati nei regolamenti riveduti pianificati in materia di infrastrutture energetiche e riduzione delle emissioni di metano</w:t>
            </w:r>
            <w:r w:rsidRPr="00B37E26">
              <w:rPr>
                <w:vertAlign w:val="superscript"/>
              </w:rPr>
              <w:t>17</w:t>
            </w:r>
            <w:r w:rsidRPr="00B37E26">
              <w:t xml:space="preserve">, alla relativa indicizzazione annuale delle retribuzioni, all'aumento delle spese legali e a una dotazione di bilancio più elevata derivante dalle tariffe per progetti specifici; </w:t>
            </w:r>
            <w:r w:rsidRPr="00B37E26">
              <w:rPr>
                <w:b/>
                <w:i/>
              </w:rPr>
              <w:t>deplora tale aumento per l'ACER, vista la sua inefficienza o persino il suo effetto controproducente nel 2023, e in particolare la riapertura delle centrali a carbone, che per definizione sono inquinanti, al fine di garantire una stabilità minima dell'approvvigionamento energetico in Europa; deplora che la risposta sia stata inadeguata e si sia tradotta nell'aumento dei costi dell'energia, il cui sistema di fissazione non tutela gli interessi dei consumatori;</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15 </w:t>
            </w:r>
            <w:r w:rsidRPr="00B37E26">
              <w:t>Documento di lavoro III - Progetto di bilancio 2023, pag. 24.</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15 </w:t>
            </w:r>
            <w:r w:rsidRPr="00B37E26">
              <w:t>Documento di lavoro III - Progetto di bilancio 2023, pag. 24.</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16 </w:t>
            </w:r>
            <w:r w:rsidRPr="00B37E26">
              <w:t>Documento di lavoro III - Progetto di bilancio 2023, pag. 26.</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16 </w:t>
            </w:r>
            <w:r w:rsidRPr="00B37E26">
              <w:t>Documento di lavoro III - Progetto di bilancio 2023, pag. 26.</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17 </w:t>
            </w:r>
            <w:r w:rsidRPr="00B37E26">
              <w:t>Documento di lavoro III - Progetto di bilancio 2023, pag. 21.</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17 </w:t>
            </w:r>
            <w:r w:rsidRPr="00B37E26">
              <w:t>Documento di lavoro III - Progetto di bilancio 2023, pag. 21.</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58</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Jonas Sjöstedt</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18</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18.</w:t>
            </w:r>
            <w:r w:rsidRPr="00B37E26">
              <w:tab/>
              <w:t>osserva che in seno all'ESA l'aumento è dovuto principalmente al continuo sviluppo del sistema informatico dell'osservatorio nucleare e della gestione delle informazioni dell'ESA (NOEMI) e alla fornitura di servizi contabili all'agenzia; osserva che l'aumento nel quadro dell'Eurojust è dovuto principalmente alle risorse aggiuntive necessarie per svolgere i compiti che si sono aggiunti a seguito delle tre proposte di regolamento della Commissione e all'impatto particolarmente grave dell'inflazione</w:t>
            </w:r>
            <w:r w:rsidRPr="00B37E26">
              <w:rPr>
                <w:vertAlign w:val="superscript"/>
              </w:rPr>
              <w:t>15</w:t>
            </w:r>
            <w:r w:rsidRPr="00B37E26">
              <w:t>; osserva che l'aumento del bilancio in Frontex mira a portare avanti la costituzione del corpo permanente delle guardie di frontiera, comprese le attrezzature</w:t>
            </w:r>
            <w:r w:rsidRPr="00B37E26">
              <w:rPr>
                <w:vertAlign w:val="superscript"/>
              </w:rPr>
              <w:t>16</w:t>
            </w:r>
            <w:r w:rsidRPr="00B37E26">
              <w:t>; osserva che, nel caso dell'ACER, l'aumento è dovuto principalmente ai compiti aggiuntivi delegati nei regolamenti riveduti pianificati in materia di infrastrutture energetiche e riduzione delle emissioni di metano</w:t>
            </w:r>
            <w:r w:rsidRPr="00B37E26">
              <w:rPr>
                <w:vertAlign w:val="superscript"/>
              </w:rPr>
              <w:t>17</w:t>
            </w:r>
            <w:r w:rsidRPr="00B37E26">
              <w:t>, alla relativa indicizzazione annuale delle retribuzioni, all'aumento delle spese legali e a una dotazione di bilancio più elevata derivante dalle tariffe per progetti specifici;</w:t>
            </w:r>
          </w:p>
        </w:tc>
        <w:tc>
          <w:tcPr>
            <w:tcW w:w="4876" w:type="dxa"/>
            <w:tcBorders>
              <w:top w:val="nil"/>
              <w:left w:val="nil"/>
              <w:bottom w:val="nil"/>
              <w:right w:val="nil"/>
            </w:tcBorders>
          </w:tcPr>
          <w:p w:rsidR="004A3213" w:rsidRPr="00B37E26" w:rsidRDefault="004A3213" w:rsidP="00D97434">
            <w:pPr>
              <w:pStyle w:val="Normal6a"/>
            </w:pPr>
            <w:r w:rsidRPr="00B37E26">
              <w:t>18.</w:t>
            </w:r>
            <w:r w:rsidRPr="00B37E26">
              <w:tab/>
              <w:t>osserva che in seno all'ESA l'aumento è dovuto principalmente al continuo sviluppo del sistema informatico dell'osservatorio nucleare e della gestione delle informazioni dell'ESA (NOEMI) e alla fornitura di servizi contabili all'agenzia; osserva che l'aumento nel quadro dell'Eurojust è dovuto principalmente alle risorse aggiuntive necessarie per svolgere i compiti che si sono aggiunti a seguito delle tre proposte di regolamento della Commissione e all'impatto particolarmente grave dell'inflazione</w:t>
            </w:r>
            <w:r w:rsidRPr="00B37E26">
              <w:rPr>
                <w:vertAlign w:val="superscript"/>
              </w:rPr>
              <w:t>15</w:t>
            </w:r>
            <w:r w:rsidRPr="00B37E26">
              <w:t>; osserva che l'aumento del bilancio in Frontex mira a portare avanti la costituzione del corpo permanente delle guardie di frontiera, comprese le attrezzature</w:t>
            </w:r>
            <w:r w:rsidRPr="00B37E26">
              <w:rPr>
                <w:vertAlign w:val="superscript"/>
              </w:rPr>
              <w:t>16</w:t>
            </w:r>
            <w:r w:rsidRPr="00B37E26">
              <w:t>;</w:t>
            </w:r>
            <w:r w:rsidRPr="00B37E26">
              <w:rPr>
                <w:b/>
                <w:i/>
              </w:rPr>
              <w:t xml:space="preserve"> sottolinea, tuttavia, che le risorse potrebbero essere meglio distribuite per garantire una formazione completa in materia di diritti fondamentali, migliorando le operazioni di ricerca e soccorso e fornendo percorsi sicuri e legali per coloro che chiedono protezione;</w:t>
            </w:r>
            <w:r w:rsidRPr="00B37E26">
              <w:t xml:space="preserve"> osserva che, nel caso dell'ACER, l'aumento è dovuto principalmente ai compiti aggiuntivi delegati nei regolamenti riveduti pianificati in materia di infrastrutture energetiche e riduzione delle emissioni di metano</w:t>
            </w:r>
            <w:r w:rsidRPr="00B37E26">
              <w:rPr>
                <w:vertAlign w:val="superscript"/>
              </w:rPr>
              <w:t>17</w:t>
            </w:r>
            <w:r w:rsidRPr="00B37E26">
              <w:t>, alla relativa indicizzazione annuale delle retribuzioni, all'aumento delle spese legali e a una dotazione di bilancio più elevata derivante dalle tariffe per progetti specifici;</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15 </w:t>
            </w:r>
            <w:r w:rsidRPr="00B37E26">
              <w:t>Documento di lavoro III - Progetto di bilancio 2023, pag. 24.</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15 </w:t>
            </w:r>
            <w:r w:rsidRPr="00B37E26">
              <w:t>Documento di lavoro III - Progetto di bilancio 2023, pag. 24.</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16 </w:t>
            </w:r>
            <w:r w:rsidRPr="00B37E26">
              <w:t>Documento di lavoro III - Progetto di bilancio 2023, pag. 26.</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16 </w:t>
            </w:r>
            <w:r w:rsidRPr="00B37E26">
              <w:t>Documento di lavoro III - Progetto di bilancio 2023, pag. 26.</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17 </w:t>
            </w:r>
            <w:r w:rsidRPr="00B37E26">
              <w:t>Documento di lavoro III - Progetto di bilancio 2023, pag. 21.</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17 </w:t>
            </w:r>
            <w:r w:rsidRPr="00B37E26">
              <w:t>Documento di lavoro III - Progetto di bilancio 2023, pag. 21.</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59</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Tomáš Zdechovský</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19</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19.</w:t>
            </w:r>
            <w:r w:rsidRPr="00B37E26">
              <w:tab/>
            </w:r>
            <w:r w:rsidRPr="00B37E26">
              <w:rPr>
                <w:b/>
                <w:i/>
              </w:rPr>
              <w:t>è del parere che, considerando il tasso medio di crescita del 32 % nel bilancio di Frontex, da 364 milioni di EUR a 829 milioni di EUR dal 2020 al 2023, insieme ai livelli elevati e ricorrenti di riporti (45 % nel 2023), ulteriori aumenti del bilancio di Frontex dovrebbero essere riconsiderati e rivalutati dalla Commissione nell'ambito della procedura di bilancio annuale, fino a quando la capacità di assorbimento del bilancio non sarà migliorata, in particolare mediante l'assunzione di personale e altre spese operative;</w:t>
            </w:r>
          </w:p>
        </w:tc>
        <w:tc>
          <w:tcPr>
            <w:tcW w:w="4876" w:type="dxa"/>
            <w:tcBorders>
              <w:top w:val="nil"/>
              <w:left w:val="nil"/>
              <w:bottom w:val="nil"/>
              <w:right w:val="nil"/>
            </w:tcBorders>
          </w:tcPr>
          <w:p w:rsidR="004A3213" w:rsidRPr="00B37E26" w:rsidRDefault="004A3213" w:rsidP="00D97434">
            <w:pPr>
              <w:pStyle w:val="Normal6a"/>
            </w:pPr>
            <w:r w:rsidRPr="00B37E26">
              <w:rPr>
                <w:b/>
                <w:i/>
              </w:rPr>
              <w:t>soppresso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60</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19</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19.</w:t>
            </w:r>
            <w:r w:rsidRPr="00B37E26">
              <w:tab/>
              <w:t>è del parere che</w:t>
            </w:r>
            <w:r w:rsidRPr="00B37E26">
              <w:rPr>
                <w:b/>
                <w:i/>
              </w:rPr>
              <w:t>, considerando</w:t>
            </w:r>
            <w:r w:rsidRPr="00B37E26">
              <w:t xml:space="preserve"> il tasso medio di crescita del 32 % nel bilancio di Frontex</w:t>
            </w:r>
            <w:r w:rsidRPr="00B37E26">
              <w:rPr>
                <w:b/>
                <w:i/>
              </w:rPr>
              <w:t>, da 364 milioni di EUR a 829 milioni di EUR dal 2020 al 2023</w:t>
            </w:r>
            <w:r w:rsidRPr="00B37E26">
              <w:t xml:space="preserve">, </w:t>
            </w:r>
            <w:r w:rsidRPr="00B37E26">
              <w:rPr>
                <w:b/>
                <w:i/>
              </w:rPr>
              <w:t xml:space="preserve">insieme ai livelli elevati e ricorrenti di riporti (45 % nel 2023), </w:t>
            </w:r>
            <w:r w:rsidRPr="00B37E26">
              <w:t xml:space="preserve">ulteriori aumenti del bilancio di Frontex </w:t>
            </w:r>
            <w:r w:rsidRPr="00B37E26">
              <w:rPr>
                <w:b/>
                <w:i/>
              </w:rPr>
              <w:t>dovrebbero essere riconsiderati</w:t>
            </w:r>
            <w:r w:rsidRPr="00B37E26">
              <w:t xml:space="preserve"> e </w:t>
            </w:r>
            <w:r w:rsidRPr="00B37E26">
              <w:rPr>
                <w:b/>
                <w:i/>
              </w:rPr>
              <w:t>rivalutati dalla Commissione nell'ambito della procedura di bilancio annuale, fino a quando la capacità di assorbimento</w:t>
            </w:r>
            <w:r w:rsidRPr="00B37E26">
              <w:t xml:space="preserve"> del bilancio </w:t>
            </w:r>
            <w:r w:rsidRPr="00B37E26">
              <w:rPr>
                <w:b/>
                <w:i/>
              </w:rPr>
              <w:t xml:space="preserve">non sarà migliorata, in particolare mediante l'assunzione </w:t>
            </w:r>
            <w:r w:rsidRPr="00B37E26">
              <w:t xml:space="preserve">di </w:t>
            </w:r>
            <w:r w:rsidRPr="00B37E26">
              <w:rPr>
                <w:b/>
                <w:i/>
              </w:rPr>
              <w:t>personale e altre spese operative</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19.</w:t>
            </w:r>
            <w:r w:rsidRPr="00B37E26">
              <w:tab/>
              <w:t>è del parere che il tasso medio di crescita del 32 % nel bilancio di Frontex</w:t>
            </w:r>
            <w:r w:rsidRPr="00B37E26">
              <w:rPr>
                <w:b/>
                <w:i/>
              </w:rPr>
              <w:t xml:space="preserve"> sia pienamente in linea con le priorità politiche della Commissione</w:t>
            </w:r>
            <w:r w:rsidRPr="00B37E26">
              <w:t xml:space="preserve">, </w:t>
            </w:r>
            <w:r w:rsidRPr="00B37E26">
              <w:rPr>
                <w:b/>
                <w:i/>
              </w:rPr>
              <w:t>le sfide emergenti che l'UE si trova ad affrontare e le aspettative dei cittadini dell'UE concernenti una maggiore sicurezza</w:t>
            </w:r>
            <w:r w:rsidRPr="00B37E26">
              <w:t xml:space="preserve"> e </w:t>
            </w:r>
            <w:r w:rsidRPr="00B37E26">
              <w:rPr>
                <w:b/>
                <w:i/>
              </w:rPr>
              <w:t>il contrasto alla migrazione illegale; chiede</w:t>
            </w:r>
            <w:r w:rsidRPr="00B37E26">
              <w:t xml:space="preserve"> ulteriori aumenti del bilancio di Frontex;</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61</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Gilles Boyer, Olivier Chastel, Vlad Vasile-Voiculescu, Michal Wiezik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19</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19.</w:t>
            </w:r>
            <w:r w:rsidRPr="00B37E26">
              <w:tab/>
            </w:r>
            <w:r w:rsidRPr="00B37E26">
              <w:rPr>
                <w:b/>
                <w:i/>
              </w:rPr>
              <w:t>è del parere che, considerando</w:t>
            </w:r>
            <w:r w:rsidRPr="00B37E26">
              <w:t xml:space="preserve"> il tasso medio di crescita del 32 % nel bilancio di Frontex, da 364 milioni di EUR a 829 milioni di EUR dal 2020 al 2023, insieme ai livelli elevati e ricorrenti di riporti (45 % nel 2023)</w:t>
            </w:r>
            <w:r w:rsidRPr="00B37E26">
              <w:rPr>
                <w:b/>
                <w:i/>
              </w:rPr>
              <w:t>, ulteriori aumenti del bilancio</w:t>
            </w:r>
            <w:r w:rsidRPr="00B37E26">
              <w:t xml:space="preserve"> di Frontex </w:t>
            </w:r>
            <w:r w:rsidRPr="00B37E26">
              <w:rPr>
                <w:b/>
                <w:i/>
              </w:rPr>
              <w:t>dovrebbero essere riconsiderati</w:t>
            </w:r>
            <w:r w:rsidRPr="00B37E26">
              <w:t xml:space="preserve"> e </w:t>
            </w:r>
            <w:r w:rsidRPr="00B37E26">
              <w:rPr>
                <w:b/>
                <w:i/>
              </w:rPr>
              <w:t>rivalutati dalla Commissione nell'ambito della procedura di bilancio annuale, fino a quando la capacità</w:t>
            </w:r>
            <w:r w:rsidRPr="00B37E26">
              <w:t xml:space="preserve"> di </w:t>
            </w:r>
            <w:r w:rsidRPr="00B37E26">
              <w:rPr>
                <w:b/>
                <w:i/>
              </w:rPr>
              <w:t>assorbimento del bilancio non sarà migliorata, in particolare mediante l'assunzione</w:t>
            </w:r>
            <w:r w:rsidRPr="00B37E26">
              <w:t xml:space="preserve"> di </w:t>
            </w:r>
            <w:r w:rsidRPr="00B37E26">
              <w:rPr>
                <w:b/>
                <w:i/>
              </w:rPr>
              <w:t>personale</w:t>
            </w:r>
            <w:r w:rsidRPr="00B37E26">
              <w:t xml:space="preserve"> e </w:t>
            </w:r>
            <w:r w:rsidRPr="00B37E26">
              <w:rPr>
                <w:b/>
                <w:i/>
              </w:rPr>
              <w:t>altre spese operative</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19.</w:t>
            </w:r>
            <w:r w:rsidRPr="00B37E26">
              <w:tab/>
            </w:r>
            <w:r w:rsidRPr="00B37E26">
              <w:rPr>
                <w:b/>
                <w:i/>
              </w:rPr>
              <w:t>sottolinea</w:t>
            </w:r>
            <w:r w:rsidRPr="00B37E26">
              <w:t xml:space="preserve"> il tasso medio di crescita del 32 % nel bilancio di Frontex, da 364 milioni di EUR a 829 milioni di EUR dal 2020 al 2023, insieme ai livelli elevati e ricorrenti di riporti (45 % nel 2023)</w:t>
            </w:r>
            <w:r w:rsidRPr="00B37E26">
              <w:rPr>
                <w:b/>
                <w:i/>
              </w:rPr>
              <w:t>; prende atto della risposta all'interrogazione scritta secondo cui i riporti</w:t>
            </w:r>
            <w:r w:rsidRPr="00B37E26">
              <w:t xml:space="preserve"> di Frontex </w:t>
            </w:r>
            <w:r w:rsidRPr="00B37E26">
              <w:rPr>
                <w:b/>
                <w:i/>
              </w:rPr>
              <w:t>sono legati al suo ciclo operativo, che non segue l'anno civile</w:t>
            </w:r>
            <w:r w:rsidRPr="00B37E26">
              <w:t xml:space="preserve"> e </w:t>
            </w:r>
            <w:r w:rsidRPr="00B37E26">
              <w:rPr>
                <w:b/>
                <w:i/>
              </w:rPr>
              <w:t>non può essere facilmente adeguato in quanto coinvolge tutti gli Stati membri;</w:t>
            </w:r>
            <w:r w:rsidRPr="00B37E26">
              <w:t xml:space="preserve"> </w:t>
            </w:r>
            <w:r w:rsidRPr="00B37E26">
              <w:rPr>
                <w:b/>
                <w:i/>
              </w:rPr>
              <w:t>sottolinea l'importanza di tenere conto delle specificità di ciascuna agenzia nel valutare le soglie di riporto; invita l'EUAN a collaborare con le agenzie e la Corte dei conti europea per sviluppare una presentazione standardizzata dei riporti che sia maggiormente in linea con il principio di annualità del regolamento finanziario;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62</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Joachim Stanisław Brudziński</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19</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19.</w:t>
            </w:r>
            <w:r w:rsidRPr="00B37E26">
              <w:tab/>
            </w:r>
            <w:r w:rsidRPr="00B37E26">
              <w:rPr>
                <w:b/>
                <w:i/>
              </w:rPr>
              <w:t>è</w:t>
            </w:r>
            <w:r w:rsidRPr="00B37E26">
              <w:t xml:space="preserve"> del</w:t>
            </w:r>
            <w:r w:rsidRPr="00B37E26">
              <w:rPr>
                <w:b/>
                <w:i/>
              </w:rPr>
              <w:t xml:space="preserve"> parere che, considerando il</w:t>
            </w:r>
            <w:r w:rsidRPr="00B37E26">
              <w:t xml:space="preserve"> tasso medio di crescita del 32 % nel bilancio di Frontex, da 364 milioni di EUR a 829 milioni di EUR dal 2020 al 2023, insieme ai livelli elevati e ricorrenti di riporti (45 % nel 2023)</w:t>
            </w:r>
            <w:r w:rsidRPr="00B37E26">
              <w:rPr>
                <w:b/>
                <w:i/>
              </w:rPr>
              <w:t>, ulteriori aumenti del bilancio di Frontex dovrebbero essere riconsiderati e rivalutati dalla Commissione nell'ambito della procedura di bilancio annuale, fino a quando la capacità di assorbimento del bilancio non sarà migliorata, in particolare mediante l'assunzione di personale e altre spese operative</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19.</w:t>
            </w:r>
            <w:r w:rsidRPr="00B37E26">
              <w:tab/>
            </w:r>
            <w:r w:rsidRPr="00B37E26">
              <w:rPr>
                <w:b/>
                <w:i/>
              </w:rPr>
              <w:t>prende atto</w:t>
            </w:r>
            <w:r w:rsidRPr="00B37E26">
              <w:t xml:space="preserve"> del tasso medio di crescita del 32 % nel bilancio di Frontex, da 364 milioni di EUR a 829 milioni di EUR dal 2020 al 2023, insieme ai livelli elevati e ricorrenti di riporti (45 % nel 2023);</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63</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Jonas Sjöstedt</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19</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19.</w:t>
            </w:r>
            <w:r w:rsidRPr="00B37E26">
              <w:tab/>
              <w:t>è del parere che, considerando il tasso medio di crescita del 32 % nel bilancio di Frontex, da 364 milioni di EUR a 829 milioni di EUR dal 2020 al 2023, insieme ai livelli elevati e ricorrenti di riporti (45 % nel 2023), ulteriori aumenti del bilancio di Frontex dovrebbero essere riconsiderati</w:t>
            </w:r>
            <w:r w:rsidRPr="00B37E26">
              <w:rPr>
                <w:b/>
                <w:i/>
              </w:rPr>
              <w:t xml:space="preserve"> e rivalutati dalla</w:t>
            </w:r>
            <w:r w:rsidRPr="00B37E26">
              <w:t xml:space="preserve"> Commissione nell'ambito della procedura di bilancio annuale, </w:t>
            </w:r>
            <w:r w:rsidRPr="00B37E26">
              <w:rPr>
                <w:b/>
                <w:i/>
              </w:rPr>
              <w:t>fino</w:t>
            </w:r>
            <w:r w:rsidRPr="00B37E26">
              <w:t xml:space="preserve"> a </w:t>
            </w:r>
            <w:r w:rsidRPr="00B37E26">
              <w:rPr>
                <w:b/>
                <w:i/>
              </w:rPr>
              <w:t>quando la capacità</w:t>
            </w:r>
            <w:r w:rsidRPr="00B37E26">
              <w:t xml:space="preserve"> di </w:t>
            </w:r>
            <w:r w:rsidRPr="00B37E26">
              <w:rPr>
                <w:b/>
                <w:i/>
              </w:rPr>
              <w:t>assorbimento</w:t>
            </w:r>
            <w:r w:rsidRPr="00B37E26">
              <w:t xml:space="preserve"> del bilancio </w:t>
            </w:r>
            <w:r w:rsidRPr="00B37E26">
              <w:rPr>
                <w:b/>
                <w:i/>
              </w:rPr>
              <w:t>non sarà migliorata</w:t>
            </w:r>
            <w:r w:rsidRPr="00B37E26">
              <w:t xml:space="preserve">, in particolare mediante </w:t>
            </w:r>
            <w:r w:rsidRPr="00B37E26">
              <w:rPr>
                <w:b/>
                <w:i/>
              </w:rPr>
              <w:t>l'assunzione</w:t>
            </w:r>
            <w:r w:rsidRPr="00B37E26">
              <w:t xml:space="preserve"> di personale e </w:t>
            </w:r>
            <w:r w:rsidRPr="00B37E26">
              <w:rPr>
                <w:b/>
                <w:i/>
              </w:rPr>
              <w:t>altre</w:t>
            </w:r>
            <w:r w:rsidRPr="00B37E26">
              <w:t xml:space="preserve"> spese operative;</w:t>
            </w:r>
          </w:p>
        </w:tc>
        <w:tc>
          <w:tcPr>
            <w:tcW w:w="4876" w:type="dxa"/>
            <w:tcBorders>
              <w:top w:val="nil"/>
              <w:left w:val="nil"/>
              <w:bottom w:val="nil"/>
              <w:right w:val="nil"/>
            </w:tcBorders>
          </w:tcPr>
          <w:p w:rsidR="004A3213" w:rsidRPr="00B37E26" w:rsidRDefault="004A3213" w:rsidP="00D97434">
            <w:pPr>
              <w:pStyle w:val="Normal6a"/>
            </w:pPr>
            <w:r w:rsidRPr="00B37E26">
              <w:t>19.</w:t>
            </w:r>
            <w:r w:rsidRPr="00B37E26">
              <w:tab/>
              <w:t xml:space="preserve">è del parere che, considerando il tasso medio di crescita del 32 % nel bilancio di Frontex, da 364 milioni di EUR a 829 milioni di EUR dal 2020 al 2023, insieme ai livelli elevati e ricorrenti di riporti (45 % nel 2023), ulteriori aumenti del bilancio di Frontex </w:t>
            </w:r>
            <w:r w:rsidRPr="00B37E26">
              <w:rPr>
                <w:b/>
                <w:i/>
              </w:rPr>
              <w:t xml:space="preserve">non solo </w:t>
            </w:r>
            <w:r w:rsidRPr="00B37E26">
              <w:t>dovrebbero essere riconsiderati</w:t>
            </w:r>
            <w:r w:rsidRPr="00B37E26">
              <w:rPr>
                <w:b/>
                <w:i/>
              </w:rPr>
              <w:t>, ma si dovrebbe piuttosto valutare la possibilità di ridurre il bilancio di Frontex; osserva che i problemi dovuti all'elevato tasso di crescita del bilancio avrebbero potuto essere evitati con una diversa distribuzione dei fondi all'interno del bilancio dell'Unione; invita la</w:t>
            </w:r>
            <w:r w:rsidRPr="00B37E26">
              <w:t xml:space="preserve"> Commissione </w:t>
            </w:r>
            <w:r w:rsidRPr="00B37E26">
              <w:rPr>
                <w:b/>
                <w:i/>
              </w:rPr>
              <w:t xml:space="preserve">a rivalutare il bilancio di Frontex </w:t>
            </w:r>
            <w:r w:rsidRPr="00B37E26">
              <w:t xml:space="preserve">nell'ambito della procedura di bilancio annuale, </w:t>
            </w:r>
            <w:r w:rsidRPr="00B37E26">
              <w:rPr>
                <w:b/>
                <w:i/>
              </w:rPr>
              <w:t>conferendo priorità</w:t>
            </w:r>
            <w:r w:rsidRPr="00B37E26">
              <w:t xml:space="preserve"> a </w:t>
            </w:r>
            <w:r w:rsidRPr="00B37E26">
              <w:rPr>
                <w:b/>
                <w:i/>
              </w:rPr>
              <w:t>una ridistribuzione delle risorse che vada a favore della formazione in materia</w:t>
            </w:r>
            <w:r w:rsidRPr="00B37E26">
              <w:t xml:space="preserve"> di </w:t>
            </w:r>
            <w:r w:rsidRPr="00B37E26">
              <w:rPr>
                <w:b/>
                <w:i/>
              </w:rPr>
              <w:t>diritti fondamentali, di meccanismi di responsabilità rafforzati e</w:t>
            </w:r>
            <w:r w:rsidRPr="00B37E26">
              <w:t xml:space="preserve"> del </w:t>
            </w:r>
            <w:r w:rsidRPr="00B37E26">
              <w:rPr>
                <w:b/>
                <w:i/>
              </w:rPr>
              <w:t xml:space="preserve">miglioramento delle operazioni di asilo e di ricerca e soccorso, piuttosto che a un'espansione incontrollata delle capacità di gestione delle frontiere; sottolinea che tutti i futuri stanziamenti di </w:t>
            </w:r>
            <w:r w:rsidRPr="00B37E26">
              <w:t xml:space="preserve">bilancio </w:t>
            </w:r>
            <w:r w:rsidRPr="00B37E26">
              <w:rPr>
                <w:b/>
                <w:i/>
              </w:rPr>
              <w:t>dovrebbero essere subordinati a evidenti miglioramenti nella capacità di assorbimento del bilancio</w:t>
            </w:r>
            <w:r w:rsidRPr="00B37E26">
              <w:t xml:space="preserve">, in particolare mediante </w:t>
            </w:r>
            <w:r w:rsidRPr="00B37E26">
              <w:rPr>
                <w:b/>
                <w:i/>
              </w:rPr>
              <w:t>l'efficace assunzione</w:t>
            </w:r>
            <w:r w:rsidRPr="00B37E26">
              <w:t xml:space="preserve"> di personale e </w:t>
            </w:r>
            <w:r w:rsidRPr="00B37E26">
              <w:rPr>
                <w:b/>
                <w:i/>
              </w:rPr>
              <w:t>la pianificazione delle</w:t>
            </w:r>
            <w:r w:rsidRPr="00B37E26">
              <w:t xml:space="preserve"> spese operative;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64</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Ondřej Knotek,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19</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19.</w:t>
            </w:r>
            <w:r w:rsidRPr="00B37E26">
              <w:tab/>
              <w:t>è del parere che, considerando il tasso medio di crescita del 32 % nel bilancio di Frontex, da 364 milioni di EUR a 829 milioni di EUR dal 2020 al 2023, insieme ai livelli elevati e ricorrenti di riporti (45 % nel 2023), ulteriori aumenti del bilancio di Frontex dovrebbero essere riconsiderati e rivalutati dalla Commissione nell'ambito della procedura di bilancio annuale, fino a quando la capacità di assorbimento del bilancio non sarà migliorata, in particolare mediante l'assunzione di personale e altre spese operative;</w:t>
            </w:r>
          </w:p>
        </w:tc>
        <w:tc>
          <w:tcPr>
            <w:tcW w:w="4876" w:type="dxa"/>
            <w:tcBorders>
              <w:top w:val="nil"/>
              <w:left w:val="nil"/>
              <w:bottom w:val="nil"/>
              <w:right w:val="nil"/>
            </w:tcBorders>
          </w:tcPr>
          <w:p w:rsidR="004A3213" w:rsidRPr="00B37E26" w:rsidRDefault="004A3213" w:rsidP="00D97434">
            <w:pPr>
              <w:pStyle w:val="Normal6a"/>
            </w:pPr>
            <w:r w:rsidRPr="00B37E26">
              <w:t>19.</w:t>
            </w:r>
            <w:r w:rsidRPr="00B37E26">
              <w:tab/>
              <w:t xml:space="preserve">è del parere che, considerando il tasso medio di crescita del 32 % nel bilancio di Frontex, da 364 milioni di EUR a 829 milioni di EUR dal 2020 al 2023, insieme ai livelli elevati e ricorrenti di riporti (45 % nel 2023), ulteriori aumenti del bilancio di Frontex dovrebbero essere riconsiderati e rivalutati dalla Commissione nell'ambito della procedura di bilancio annuale, fino a quando la capacità di assorbimento del bilancio non sarà migliorata, in particolare mediante l'assunzione di personale </w:t>
            </w:r>
            <w:r w:rsidRPr="00B37E26">
              <w:rPr>
                <w:b/>
                <w:i/>
              </w:rPr>
              <w:t xml:space="preserve">di guardia di frontiera e costiera </w:t>
            </w:r>
            <w:r w:rsidRPr="00B37E26">
              <w:t>e altre spese operative;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65</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Tamás Deutsch, Virginie Joron, Ondřej Knotek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20</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20.</w:t>
            </w:r>
            <w:r w:rsidRPr="00B37E26">
              <w:tab/>
              <w:t>rammenta che la maggior parte delle agenzie dell'Unione riceve i propri finanziamenti interamente dai contributi del bilancio dell'UE; osserva, tuttavia, che talune agenzie sono finanziate in tutto o in parte attraverso fonti alternative di entrate, tra cui certificati, autorizzazioni, registrazione di sostanze, contributi, raccolta di dati, vigilanza del mercato, supervisione e altri servizi quali la traduzione e la terminologia forniti dal Centro di traduzione degli organismi dell'Unione europea (CdT);</w:t>
            </w:r>
          </w:p>
        </w:tc>
        <w:tc>
          <w:tcPr>
            <w:tcW w:w="4876" w:type="dxa"/>
            <w:tcBorders>
              <w:top w:val="nil"/>
              <w:left w:val="nil"/>
              <w:bottom w:val="nil"/>
              <w:right w:val="nil"/>
            </w:tcBorders>
          </w:tcPr>
          <w:p w:rsidR="004A3213" w:rsidRPr="00B37E26" w:rsidRDefault="004A3213" w:rsidP="00D97434">
            <w:pPr>
              <w:pStyle w:val="Normal6a"/>
            </w:pPr>
            <w:r w:rsidRPr="00B37E26">
              <w:t>20.</w:t>
            </w:r>
            <w:r w:rsidRPr="00B37E26">
              <w:tab/>
            </w:r>
            <w:r w:rsidRPr="00B37E26">
              <w:rPr>
                <w:b/>
                <w:i/>
              </w:rPr>
              <w:t>ribadisce che il bilancio dell'Agenzia europea della guardia di frontiera e costiera (Frontex) deve essere destinato esclusivamente al rafforzamento dei controlli alle frontiere esterne e non può essere utilizzato per attività che non riguardano le frontiere o per il finanziamento di ONG esterne coinvolte nell'agevolazione della migrazione;</w:t>
            </w:r>
            <w:r w:rsidRPr="00B37E26">
              <w:t xml:space="preserve"> rammenta che la maggior parte delle agenzie dell'Unione riceve i propri finanziamenti interamente dai contributi del bilancio dell'UE; osserva, tuttavia, che talune agenzie sono finanziate in tutto o in parte attraverso fonti alternative di entrate, tra cui certificati, autorizzazioni, registrazione di sostanze, contributi, raccolta di dati, vigilanza del mercato, supervisione e altri servizi quali la traduzione e la terminologia forniti dal Centro di traduzione degli organismi dell'Unione europea (CdT);</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66</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Dick Erixon, Charlie Weimers, Beatrice Timgren</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20</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20.</w:t>
            </w:r>
            <w:r w:rsidRPr="00B37E26">
              <w:tab/>
              <w:t>rammenta che la maggior parte delle agenzie dell'Unione riceve i propri finanziamenti interamente dai contributi del bilancio dell'UE; osserva, tuttavia, che talune agenzie sono finanziate in tutto o in parte attraverso fonti alternative di entrate, tra cui certificati, autorizzazioni, registrazione di sostanze, contributi, raccolta di dati, vigilanza del mercato, supervisione e altri servizi quali la traduzione e la terminologia forniti dal Centro di traduzione degli organismi dell'Unione europea (CdT);</w:t>
            </w:r>
          </w:p>
        </w:tc>
        <w:tc>
          <w:tcPr>
            <w:tcW w:w="4876" w:type="dxa"/>
            <w:tcBorders>
              <w:top w:val="nil"/>
              <w:left w:val="nil"/>
              <w:bottom w:val="nil"/>
              <w:right w:val="nil"/>
            </w:tcBorders>
          </w:tcPr>
          <w:p w:rsidR="004A3213" w:rsidRPr="00B37E26" w:rsidRDefault="004A3213" w:rsidP="00D97434">
            <w:pPr>
              <w:pStyle w:val="Normal6a"/>
            </w:pPr>
            <w:r w:rsidRPr="00B37E26">
              <w:t>20.</w:t>
            </w:r>
            <w:r w:rsidRPr="00B37E26">
              <w:tab/>
              <w:t xml:space="preserve">rammenta che la maggior parte delle agenzie dell'Unione riceve i propri finanziamenti interamente dai contributi del bilancio dell'UE; osserva, tuttavia, che talune agenzie sono finanziate in tutto o in parte attraverso fonti alternative di entrate, tra cui certificati, autorizzazioni, registrazione di sostanze, contributi, raccolta di dati, vigilanza del mercato, supervisione e altri servizi quali la traduzione e la terminologia forniti dal Centro di traduzione degli organismi dell'Unione europea (CdT); </w:t>
            </w:r>
            <w:r w:rsidRPr="00B37E26">
              <w:rPr>
                <w:b/>
                <w:i/>
              </w:rPr>
              <w:t>è convinto che la percentuale di autofinanziamento delle agenzie debba essere più elevata;</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67</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26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26 bis.</w:t>
            </w:r>
            <w:r w:rsidRPr="00B37E26">
              <w:tab/>
            </w:r>
            <w:r w:rsidRPr="00B37E26">
              <w:rPr>
                <w:b/>
                <w:i/>
              </w:rPr>
              <w:t>ritiene che la procedura di discarico dovrebbe essere sospesa fino a quando tutti i contratti tra le agenzie dell'UE e le ONG non saranno resi pubblici e fino alla conclusione di un audit completo e indipendente su tutti i finanziamenti alle ONG da parte delle agenzie;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68</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27</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27.</w:t>
            </w:r>
            <w:r w:rsidRPr="00B37E26">
              <w:tab/>
              <w:t xml:space="preserve">sottolinea che nell'ultimo decennio il CdT ha registrato 7 anni di disavanzo pubblico e 6 anni di perdite contabili a causa del calo dei volumi di attività; prende atto del fatto che, per far fronte al calo dei volumi di attività, il CdT ha attinto a una riserva speciale istituita nel 2011 per garantire la stabilità del bilancio e dei prezzi; osserva che tale riserva ha raggiunto un picco di 15,6 milioni di EUR nel 2014, per poi scendere a 10,3 milioni di EUR nel 2022 e a 8,9 milioni di EUR nel 2023; </w:t>
            </w:r>
            <w:r w:rsidRPr="00B37E26">
              <w:rPr>
                <w:b/>
                <w:i/>
              </w:rPr>
              <w:t>è consapevole del fatto</w:t>
            </w:r>
            <w:r w:rsidRPr="00B37E26">
              <w:t xml:space="preserve"> che, una volta esaurita la riserva, eventuali ulteriori disavanzi dovrebbero essere coperti da sovvenzioni del bilancio dell'UE, come previsto dal regolamento istitutivo del CdT; invita il CdT a riferire all'autorità di discarico in merito ai suoi piani per attenuare i rischi in termini di continuità operativa;</w:t>
            </w:r>
          </w:p>
        </w:tc>
        <w:tc>
          <w:tcPr>
            <w:tcW w:w="4876" w:type="dxa"/>
            <w:tcBorders>
              <w:top w:val="nil"/>
              <w:left w:val="nil"/>
              <w:bottom w:val="nil"/>
              <w:right w:val="nil"/>
            </w:tcBorders>
          </w:tcPr>
          <w:p w:rsidR="004A3213" w:rsidRPr="00B37E26" w:rsidRDefault="004A3213" w:rsidP="00D97434">
            <w:pPr>
              <w:pStyle w:val="Normal6a"/>
            </w:pPr>
            <w:r w:rsidRPr="00B37E26">
              <w:t>27.</w:t>
            </w:r>
            <w:r w:rsidRPr="00B37E26">
              <w:tab/>
              <w:t xml:space="preserve">sottolinea che nell'ultimo decennio il CdT ha registrato 7 anni di disavanzo pubblico e 6 anni di perdite contabili a causa del calo dei volumi di attività; prende atto del fatto che, per far fronte al calo dei volumi di attività, il CdT ha attinto a una riserva speciale istituita nel 2011 per garantire la stabilità del bilancio e dei prezzi; osserva che tale riserva ha raggiunto un picco di 15,6 milioni di EUR nel 2014, per poi scendere a 10,3 milioni di EUR nel 2022 e a 8,9 milioni di EUR nel 2023; </w:t>
            </w:r>
            <w:r w:rsidRPr="00B37E26">
              <w:rPr>
                <w:b/>
                <w:i/>
              </w:rPr>
              <w:t>deplora il fatto</w:t>
            </w:r>
            <w:r w:rsidRPr="00B37E26">
              <w:t xml:space="preserve"> che, una volta esaurita la riserva, eventuali ulteriori disavanzi dovrebbero essere coperti da sovvenzioni del bilancio dell'UE, come previsto dal regolamento istitutivo del CdT; invita il CdT a riferire all'autorità di discarico in merito ai suoi piani per attenuare i rischi in termini di continuità operativa</w:t>
            </w:r>
            <w:r w:rsidRPr="00B37E26">
              <w:rPr>
                <w:b/>
                <w:i/>
              </w:rPr>
              <w:t xml:space="preserve"> e a rivedere e ripensare la sua attività in linea con lo sviluppo delle nuove tecnologie che hanno un impatto su di essa</w:t>
            </w:r>
            <w:r w:rsidRPr="00B37E26">
              <w:t>;</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69</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28</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28.</w:t>
            </w:r>
            <w:r w:rsidRPr="00B37E26">
              <w:tab/>
              <w:t>prende atto della conclusione della Corte dei conti europea (la "Corte") nella sua relazione annuale sulle agenzie dell'Unione per l'esercizio 2023 (la "relazione della Corte"), secondo cui l'audit della Corte ha prodotto risultati simili a quelli dell'esercizio precedente (2022), con carenze nelle procedure di appalto pubblico che sono rimaste la principale fonte di pagamenti irregolari;</w:t>
            </w:r>
          </w:p>
        </w:tc>
        <w:tc>
          <w:tcPr>
            <w:tcW w:w="4876" w:type="dxa"/>
            <w:tcBorders>
              <w:top w:val="nil"/>
              <w:left w:val="nil"/>
              <w:bottom w:val="nil"/>
              <w:right w:val="nil"/>
            </w:tcBorders>
          </w:tcPr>
          <w:p w:rsidR="004A3213" w:rsidRPr="00B37E26" w:rsidRDefault="004A3213" w:rsidP="00D97434">
            <w:pPr>
              <w:pStyle w:val="Normal6a"/>
            </w:pPr>
            <w:r w:rsidRPr="00B37E26">
              <w:t>28.</w:t>
            </w:r>
            <w:r w:rsidRPr="00B37E26">
              <w:tab/>
              <w:t xml:space="preserve">prende atto della conclusione della Corte dei conti europea (la "Corte") nella sua relazione annuale sulle agenzie dell'Unione per l'esercizio 2023 (la "relazione della Corte"), secondo cui l'audit della Corte ha prodotto risultati simili a quelli dell'esercizio precedente (2022), con carenze nelle procedure di appalto pubblico che sono rimaste la principale fonte di pagamenti irregolari; </w:t>
            </w:r>
            <w:r w:rsidRPr="00B37E26">
              <w:rPr>
                <w:b/>
                <w:i/>
              </w:rPr>
              <w:t>esprime preoccupazione per il ripetersi di tali carenze, in particolare in talune agenzie che non sembrano pertanto essere in grado o disposte a porre fine a tale situazione;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70</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32</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32.</w:t>
            </w:r>
            <w:r w:rsidRPr="00B37E26">
              <w:tab/>
              <w:t>osserva che la Corte, per il sesto anno consecutivo, ritiene che il rischio per la sana gestione finanziaria sia medio e associato principalmente alle procedure di appalto pubblico che non hanno garantito il raggiungimento del miglior rapporto qualità-prezzo possibile;</w:t>
            </w:r>
          </w:p>
        </w:tc>
        <w:tc>
          <w:tcPr>
            <w:tcW w:w="4876" w:type="dxa"/>
            <w:tcBorders>
              <w:top w:val="nil"/>
              <w:left w:val="nil"/>
              <w:bottom w:val="nil"/>
              <w:right w:val="nil"/>
            </w:tcBorders>
          </w:tcPr>
          <w:p w:rsidR="004A3213" w:rsidRPr="00B37E26" w:rsidRDefault="004A3213" w:rsidP="00D97434">
            <w:pPr>
              <w:pStyle w:val="Normal6a"/>
            </w:pPr>
            <w:r w:rsidRPr="00B37E26">
              <w:t>32.</w:t>
            </w:r>
            <w:r w:rsidRPr="00B37E26">
              <w:tab/>
              <w:t xml:space="preserve">osserva </w:t>
            </w:r>
            <w:r w:rsidRPr="00B37E26">
              <w:rPr>
                <w:b/>
                <w:i/>
              </w:rPr>
              <w:t xml:space="preserve">con preoccupazione </w:t>
            </w:r>
            <w:r w:rsidRPr="00B37E26">
              <w:t>che la Corte, per il sesto anno consecutivo, ritiene che il rischio per la sana gestione finanziaria sia medio e associato principalmente alle procedure di appalto pubblico che non hanno garantito il raggiungimento del miglior rapporto qualità-prezzo possibile;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71</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34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34 bis.</w:t>
            </w:r>
            <w:r w:rsidRPr="00B37E26">
              <w:tab/>
            </w:r>
            <w:r w:rsidRPr="00B37E26">
              <w:rPr>
                <w:b/>
                <w:i/>
              </w:rPr>
              <w:t>invita Frontex a dare priorità alla piena attuazione di tutte le raccomandazioni pendenti degli organismi europei di audit e di controllo, in particolare quelle del gruppo di lavoro del Parlamento europeo per il controllo di Frontex, del Mediatore europeo, della Corte e del gruppo di lavoro di Frontex sui diritti fondamentali e gli aspetti operativi di natura giuridica delle operazioni (WG FRaLO);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72</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Joachim Stanisław Brudziński</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37</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37.</w:t>
            </w:r>
            <w:r w:rsidRPr="00B37E26">
              <w:tab/>
            </w:r>
            <w:r w:rsidRPr="00B37E26">
              <w:rPr>
                <w:b/>
                <w:i/>
              </w:rPr>
              <w:t>riconosce</w:t>
            </w:r>
            <w:r w:rsidRPr="00B37E26">
              <w:t xml:space="preserve"> che, per l'ELA, la riserva </w:t>
            </w:r>
            <w:r w:rsidRPr="00B37E26">
              <w:rPr>
                <w:b/>
                <w:i/>
              </w:rPr>
              <w:t>riguarda</w:t>
            </w:r>
            <w:r w:rsidRPr="00B37E26">
              <w:t xml:space="preserve"> pagamenti pari a 1,6 milioni di EUR effettuati nel 2023, che rappresentano il 3,8 % degli stanziamenti di pagamento totali disponibili; osserva che tale importo comprende 1,3 milioni di EUR relativi a un contratto ritenuto irregolare nella relazione di audit 2022 a causa del valore aggiudicato che supera il limite massimo stabilito per il contratto e 0,3 milioni di EUR associati a carenze nei controlli ex ante sull'esecuzione del contratto; prende atto della risposta dell'ELA che spiega che il contratto irregolare è terminato nel febbraio 2024 ed è stato sostituito da un nuovo accordo quadro istituito nel novembre 2023; è consapevole della decisione dell'ELA riguardo alla prosecuzione temporanea del contratto irregolare per attenuare i rischi, proteggere la propria reputazione e garantire l'erogazione ininterrotta dei servizi, consentendole di mantenere operazioni coerenti e di svolgere le attività pianificate fino all'entrata in vigore del nuovo accordo;</w:t>
            </w:r>
          </w:p>
        </w:tc>
        <w:tc>
          <w:tcPr>
            <w:tcW w:w="4876" w:type="dxa"/>
            <w:tcBorders>
              <w:top w:val="nil"/>
              <w:left w:val="nil"/>
              <w:bottom w:val="nil"/>
              <w:right w:val="nil"/>
            </w:tcBorders>
          </w:tcPr>
          <w:p w:rsidR="004A3213" w:rsidRPr="00B37E26" w:rsidRDefault="004A3213" w:rsidP="00D97434">
            <w:pPr>
              <w:pStyle w:val="Normal6a"/>
            </w:pPr>
            <w:r w:rsidRPr="00B37E26">
              <w:t>37.</w:t>
            </w:r>
            <w:r w:rsidRPr="00B37E26">
              <w:tab/>
            </w:r>
            <w:r w:rsidRPr="00B37E26">
              <w:rPr>
                <w:b/>
                <w:i/>
              </w:rPr>
              <w:t>si rammarica del fatto</w:t>
            </w:r>
            <w:r w:rsidRPr="00B37E26">
              <w:t xml:space="preserve"> che, per l'ELA, la riserva </w:t>
            </w:r>
            <w:r w:rsidRPr="00B37E26">
              <w:rPr>
                <w:b/>
                <w:i/>
              </w:rPr>
              <w:t>riguardi</w:t>
            </w:r>
            <w:r w:rsidRPr="00B37E26">
              <w:t xml:space="preserve"> pagamenti pari a 1,6 milioni di EUR effettuati nel 2023, che rappresentano il 3,8 % degli stanziamenti di pagamento totali disponibili; osserva che tale importo comprende 1,3 milioni di EUR relativi a un contratto ritenuto irregolare nella relazione di audit 2022 a causa del valore aggiudicato che supera il limite massimo stabilito per il contratto e 0,3 milioni di EUR associati a carenze nei controlli ex ante sull'esecuzione del contratto; prende atto della risposta dell'ELA che spiega che il contratto irregolare è terminato nel febbraio 2024 ed è stato sostituito da un nuovo accordo quadro istituito nel novembre 2023; è consapevole della decisione dell'ELA riguardo alla prosecuzione temporanea del contratto irregolare per attenuare i rischi, proteggere la propria reputazione e garantire l'erogazione ininterrotta dei servizi, consentendole di mantenere operazioni coerenti e di svolgere le attività pianificate fino all'entrata in vigore del nuovo accordo;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73</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Jonas Sjöstedt</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37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37 bis.</w:t>
            </w:r>
            <w:r w:rsidRPr="00B37E26">
              <w:tab/>
            </w:r>
            <w:r w:rsidRPr="00B37E26">
              <w:rPr>
                <w:b/>
                <w:i/>
              </w:rPr>
              <w:t>sottolinea che il mancato rispetto degli obblighi in materia di diritti fondamentali, in particolare in agenzie come Frontex, dovrebbe comportare conseguenze finanziarie e un controllo esterno per garantire l'attuazione di misure correttive, e che le agenzie che hanno commesso ripetute violazioni procedurali, quali irregolarità in materia di appalti, conflitti di interesse e carenze per quanto riguarda la trasparenza, dovrebbero confrontarsi con stanziamenti di bilancio condizionati, piani d'azione correttivi obbligatori e audit esterni più rigorosi;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74</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40</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40.</w:t>
            </w:r>
            <w:r w:rsidRPr="00B37E26">
              <w:tab/>
              <w:t xml:space="preserve">prende atto </w:t>
            </w:r>
            <w:r w:rsidRPr="00B37E26">
              <w:rPr>
                <w:b/>
                <w:i/>
              </w:rPr>
              <w:t xml:space="preserve">con preoccupazione </w:t>
            </w:r>
            <w:r w:rsidRPr="00B37E26">
              <w:t>della reiterazione di un parere con riserve sulla legittimità e regolarità dei pagamenti di eu-LISA, che riflette le questioni persistenti sollevate dalla Corte in precedenti relazioni sin dal 2020; prende atto dell'osservazione della Corte secondo cui la maggior parte dei contratti inficiati da errori è scaduta o è stata risolta da eu-LISA nel 2023;</w:t>
            </w:r>
          </w:p>
        </w:tc>
        <w:tc>
          <w:tcPr>
            <w:tcW w:w="4876" w:type="dxa"/>
            <w:tcBorders>
              <w:top w:val="nil"/>
              <w:left w:val="nil"/>
              <w:bottom w:val="nil"/>
              <w:right w:val="nil"/>
            </w:tcBorders>
          </w:tcPr>
          <w:p w:rsidR="004A3213" w:rsidRPr="00B37E26" w:rsidRDefault="004A3213" w:rsidP="00D97434">
            <w:pPr>
              <w:pStyle w:val="Normal6a"/>
            </w:pPr>
            <w:r w:rsidRPr="00B37E26">
              <w:t>40.</w:t>
            </w:r>
            <w:r w:rsidRPr="00B37E26">
              <w:tab/>
              <w:t>prende atto della reiterazione di un parere con riserve sulla legittimità e regolarità dei pagamenti di eu-LISA, che riflette le questioni persistenti sollevate dalla Corte in precedenti relazioni sin dal 2020; prende atto dell'osservazione della Corte secondo cui la maggior parte dei contratti inficiati da errori è scaduta o è stata risolta da eu-LISA nel 2023;</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75</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41 – parte introduttiva</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41.</w:t>
            </w:r>
            <w:r w:rsidRPr="00B37E26">
              <w:tab/>
              <w:t xml:space="preserve">osserva che la base per un parere con riserve (eu-LISA) nel 2023 comprendeva le </w:t>
            </w:r>
            <w:r w:rsidRPr="00B37E26">
              <w:rPr>
                <w:b/>
                <w:i/>
              </w:rPr>
              <w:t>seguenti irregolarità:</w:t>
            </w:r>
          </w:p>
        </w:tc>
        <w:tc>
          <w:tcPr>
            <w:tcW w:w="4876" w:type="dxa"/>
            <w:tcBorders>
              <w:top w:val="nil"/>
              <w:left w:val="nil"/>
              <w:bottom w:val="nil"/>
              <w:right w:val="nil"/>
            </w:tcBorders>
          </w:tcPr>
          <w:p w:rsidR="004A3213" w:rsidRPr="00B37E26" w:rsidRDefault="004A3213" w:rsidP="00D97434">
            <w:pPr>
              <w:pStyle w:val="Normal6a"/>
            </w:pPr>
            <w:r w:rsidRPr="00B37E26">
              <w:t>41.</w:t>
            </w:r>
            <w:r w:rsidRPr="00B37E26">
              <w:tab/>
              <w:t xml:space="preserve">osserva che la base per un parere con riserve (eu-LISA) nel 2023 comprendeva </w:t>
            </w:r>
            <w:r w:rsidRPr="00B37E26">
              <w:rPr>
                <w:b/>
                <w:i/>
              </w:rPr>
              <w:t xml:space="preserve">irregolarità concernenti il contratto quadro, la procedura negoziata, la clausola aggiuntiva e </w:t>
            </w:r>
            <w:r w:rsidRPr="00B37E26">
              <w:t xml:space="preserve">le </w:t>
            </w:r>
            <w:r w:rsidRPr="00B37E26">
              <w:rPr>
                <w:b/>
                <w:i/>
              </w:rPr>
              <w:t>condizioni del contratto quadro;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76</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41 – trattino 1</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w:t>
            </w:r>
            <w:r w:rsidRPr="00B37E26">
              <w:tab/>
            </w:r>
            <w:r w:rsidRPr="00B37E26">
              <w:rPr>
                <w:b/>
                <w:i/>
              </w:rPr>
              <w:t>irregolarità del contratto quadro: osserva che l'eu-LISA ha apportato modifiche significative ad alcuni elementi tariffari delle offerte finanziarie di due offerenti, andando oltre le rettifiche consentite a norma dell'articolo 151 del regolamento finanziario, incidendo direttamente sull'esito dell'offerta, con relativi pagamenti per un totale di 2,7 milioni di EUR nel 2023;</w:t>
            </w:r>
          </w:p>
        </w:tc>
        <w:tc>
          <w:tcPr>
            <w:tcW w:w="4876" w:type="dxa"/>
            <w:tcBorders>
              <w:top w:val="nil"/>
              <w:left w:val="nil"/>
              <w:bottom w:val="nil"/>
              <w:right w:val="nil"/>
            </w:tcBorders>
          </w:tcPr>
          <w:p w:rsidR="004A3213" w:rsidRPr="00B37E26" w:rsidRDefault="004A3213" w:rsidP="00D97434">
            <w:pPr>
              <w:pStyle w:val="Normal6a"/>
            </w:pPr>
            <w:r w:rsidRPr="00B37E26">
              <w:rPr>
                <w:b/>
                <w:i/>
              </w:rPr>
              <w:t>soppresso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77</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41 – trattino 2</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w:t>
            </w:r>
            <w:r w:rsidRPr="00B37E26">
              <w:tab/>
            </w:r>
            <w:r w:rsidRPr="00B37E26">
              <w:rPr>
                <w:b/>
                <w:i/>
              </w:rPr>
              <w:t>procedura negoziata ingiustificata: prende atto inoltre del pagamento irregolare di 7,7 milioni di EUR connesso a un contratto quadro aggiudicato mediante procedura negoziata senza un'adeguata motivazione, in violazione delle norme in materia di appalti;</w:t>
            </w:r>
          </w:p>
        </w:tc>
        <w:tc>
          <w:tcPr>
            <w:tcW w:w="4876" w:type="dxa"/>
            <w:tcBorders>
              <w:top w:val="nil"/>
              <w:left w:val="nil"/>
              <w:bottom w:val="nil"/>
              <w:right w:val="nil"/>
            </w:tcBorders>
          </w:tcPr>
          <w:p w:rsidR="004A3213" w:rsidRPr="00B37E26" w:rsidRDefault="004A3213" w:rsidP="00D97434">
            <w:pPr>
              <w:pStyle w:val="Normal6a"/>
            </w:pPr>
            <w:r w:rsidRPr="00B37E26">
              <w:rPr>
                <w:b/>
                <w:i/>
              </w:rPr>
              <w:t>soppresso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78</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41 – trattino 3</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w:t>
            </w:r>
            <w:r w:rsidRPr="00B37E26">
              <w:tab/>
            </w:r>
            <w:r w:rsidRPr="00B37E26">
              <w:rPr>
                <w:b/>
                <w:i/>
              </w:rPr>
              <w:t>modifica contrattuale non autorizzata: osserva che pagamenti per un importo di 1,8 milioni di EUR sono stati classificati come irregolari a seguito di una modifica non autorizzata che ha incrementato il valore di un contratto a prezzo fisso di 3,6 milioni di EUR;</w:t>
            </w:r>
          </w:p>
        </w:tc>
        <w:tc>
          <w:tcPr>
            <w:tcW w:w="4876" w:type="dxa"/>
            <w:tcBorders>
              <w:top w:val="nil"/>
              <w:left w:val="nil"/>
              <w:bottom w:val="nil"/>
              <w:right w:val="nil"/>
            </w:tcBorders>
          </w:tcPr>
          <w:p w:rsidR="004A3213" w:rsidRPr="00B37E26" w:rsidRDefault="004A3213" w:rsidP="00D97434">
            <w:pPr>
              <w:pStyle w:val="Normal6a"/>
            </w:pPr>
            <w:r w:rsidRPr="00B37E26">
              <w:rPr>
                <w:b/>
                <w:i/>
              </w:rPr>
              <w:t>soppresso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79</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41 – trattino 4</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w:t>
            </w:r>
            <w:r w:rsidRPr="00B37E26">
              <w:tab/>
            </w:r>
            <w:r w:rsidRPr="00B37E26">
              <w:rPr>
                <w:b/>
                <w:i/>
              </w:rPr>
              <w:t>inosservanza delle condizioni del contratto quadro: osserva con preoccupazione che i pagamenti del contratto quadro per la manutenzione delle infrastrutture condivise per un totale di 0,4 milioni di EUR sono stati irregolari, in quanto il contratto specifico si è discostato dal contratto quadro;</w:t>
            </w:r>
          </w:p>
        </w:tc>
        <w:tc>
          <w:tcPr>
            <w:tcW w:w="4876" w:type="dxa"/>
            <w:tcBorders>
              <w:top w:val="nil"/>
              <w:left w:val="nil"/>
              <w:bottom w:val="nil"/>
              <w:right w:val="nil"/>
            </w:tcBorders>
          </w:tcPr>
          <w:p w:rsidR="004A3213" w:rsidRPr="00B37E26" w:rsidRDefault="004A3213" w:rsidP="00D97434">
            <w:pPr>
              <w:pStyle w:val="Normal6a"/>
            </w:pPr>
            <w:r w:rsidRPr="00B37E26">
              <w:rPr>
                <w:b/>
                <w:i/>
              </w:rPr>
              <w:t>soppresso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80</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42</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42.</w:t>
            </w:r>
            <w:r w:rsidRPr="00B37E26">
              <w:tab/>
              <w:t xml:space="preserve">esprime </w:t>
            </w:r>
            <w:r w:rsidRPr="00B37E26">
              <w:rPr>
                <w:b/>
                <w:i/>
              </w:rPr>
              <w:t xml:space="preserve">profonda </w:t>
            </w:r>
            <w:r w:rsidRPr="00B37E26">
              <w:t>preoccupazione per il ripetersi di questioni relative agli appalti che si traducono in un parere con riserve per il quarto anno consecutivo ed esorta eu-LISA ad adottare misure correttive immediate per affrontare e prevenire detti problemi nelle future pratiche di gestione finanziaria e di appalto, garantendo il pieno rispetto del regolamento finanziario;</w:t>
            </w:r>
          </w:p>
        </w:tc>
        <w:tc>
          <w:tcPr>
            <w:tcW w:w="4876" w:type="dxa"/>
            <w:tcBorders>
              <w:top w:val="nil"/>
              <w:left w:val="nil"/>
              <w:bottom w:val="nil"/>
              <w:right w:val="nil"/>
            </w:tcBorders>
          </w:tcPr>
          <w:p w:rsidR="004A3213" w:rsidRPr="00B37E26" w:rsidRDefault="004A3213" w:rsidP="00D97434">
            <w:pPr>
              <w:pStyle w:val="Normal6a"/>
            </w:pPr>
            <w:r w:rsidRPr="00B37E26">
              <w:t>42.</w:t>
            </w:r>
            <w:r w:rsidRPr="00B37E26">
              <w:tab/>
              <w:t>esprime preoccupazione per il ripetersi di questioni relative agli appalti che si traducono in un parere con riserve per il quarto anno consecutivo ed esorta eu-LISA ad adottare misure correttive immediate per affrontare e prevenire detti problemi nelle future pratiche di gestione finanziaria e di appalto, garantendo il pieno rispetto del regolamento finanziario;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81</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Joachim Stanisław Brudziński</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42</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42.</w:t>
            </w:r>
            <w:r w:rsidRPr="00B37E26">
              <w:tab/>
              <w:t>esprime profonda preoccupazione per il ripetersi di questioni relative agli appalti che si traducono in un parere con riserve per il quarto anno consecutivo ed esorta eu-LISA ad adottare misure correttive immediate per affrontare e prevenire detti problemi nelle future pratiche di gestione finanziaria e di appalto, garantendo il pieno rispetto del regolamento finanziario;</w:t>
            </w:r>
          </w:p>
        </w:tc>
        <w:tc>
          <w:tcPr>
            <w:tcW w:w="4876" w:type="dxa"/>
            <w:tcBorders>
              <w:top w:val="nil"/>
              <w:left w:val="nil"/>
              <w:bottom w:val="nil"/>
              <w:right w:val="nil"/>
            </w:tcBorders>
          </w:tcPr>
          <w:p w:rsidR="004A3213" w:rsidRPr="00B37E26" w:rsidRDefault="004A3213" w:rsidP="00D97434">
            <w:pPr>
              <w:pStyle w:val="Normal6a"/>
            </w:pPr>
            <w:r w:rsidRPr="00B37E26">
              <w:t>42.</w:t>
            </w:r>
            <w:r w:rsidRPr="00B37E26">
              <w:tab/>
              <w:t xml:space="preserve">esprime profonda preoccupazione per il ripetersi di questioni relative agli appalti che si traducono in un parere con riserve per il quarto anno consecutivo ed esorta eu-LISA ad adottare misure correttive immediate per affrontare e prevenire detti problemi nelle future pratiche di gestione finanziaria e di appalto, garantendo il pieno rispetto del regolamento finanziario; </w:t>
            </w:r>
            <w:r w:rsidRPr="00B37E26">
              <w:rPr>
                <w:b/>
                <w:i/>
              </w:rPr>
              <w:t>chiede che il Parlamento europeo sia informato sui progressi compiuti al riguardo entro il 30 giugno 2025;</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82</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43</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43.</w:t>
            </w:r>
            <w:r w:rsidRPr="00B37E26">
              <w:tab/>
            </w:r>
            <w:r w:rsidRPr="00B37E26">
              <w:rPr>
                <w:b/>
                <w:i/>
              </w:rPr>
              <w:t>osserva</w:t>
            </w:r>
            <w:r w:rsidRPr="00B37E26">
              <w:t xml:space="preserve"> che la Corte, durante l'audizione</w:t>
            </w:r>
            <w:r w:rsidRPr="00B37E26">
              <w:rPr>
                <w:vertAlign w:val="superscript"/>
              </w:rPr>
              <w:t>18</w:t>
            </w:r>
            <w:r w:rsidRPr="00B37E26">
              <w:t xml:space="preserve">, </w:t>
            </w:r>
            <w:r w:rsidRPr="00B37E26">
              <w:rPr>
                <w:b/>
                <w:i/>
              </w:rPr>
              <w:t>ha</w:t>
            </w:r>
            <w:r w:rsidRPr="00B37E26">
              <w:t xml:space="preserve"> riconosciuto che, nonostante il parere espresso per il 2023 (eu-LISA), le carenze individuate sono state affrontate e sono stati rilevati miglioramenti;</w:t>
            </w:r>
          </w:p>
        </w:tc>
        <w:tc>
          <w:tcPr>
            <w:tcW w:w="4876" w:type="dxa"/>
            <w:tcBorders>
              <w:top w:val="nil"/>
              <w:left w:val="nil"/>
              <w:bottom w:val="nil"/>
              <w:right w:val="nil"/>
            </w:tcBorders>
          </w:tcPr>
          <w:p w:rsidR="004A3213" w:rsidRPr="00B37E26" w:rsidRDefault="004A3213" w:rsidP="00D97434">
            <w:pPr>
              <w:pStyle w:val="Normal6a"/>
            </w:pPr>
            <w:r w:rsidRPr="00B37E26">
              <w:t>43.</w:t>
            </w:r>
            <w:r w:rsidRPr="00B37E26">
              <w:tab/>
            </w:r>
            <w:r w:rsidRPr="00B37E26">
              <w:rPr>
                <w:b/>
                <w:i/>
              </w:rPr>
              <w:t>si compiace del fatto</w:t>
            </w:r>
            <w:r w:rsidRPr="00B37E26">
              <w:t xml:space="preserve"> che la Corte, durante l'audizione</w:t>
            </w:r>
            <w:r w:rsidRPr="00B37E26">
              <w:rPr>
                <w:vertAlign w:val="superscript"/>
              </w:rPr>
              <w:t>18</w:t>
            </w:r>
            <w:r w:rsidRPr="00B37E26">
              <w:t xml:space="preserve">, </w:t>
            </w:r>
            <w:r w:rsidRPr="00B37E26">
              <w:rPr>
                <w:b/>
                <w:i/>
              </w:rPr>
              <w:t>abbia</w:t>
            </w:r>
            <w:r w:rsidRPr="00B37E26">
              <w:t xml:space="preserve"> riconosciuto che, nonostante il parere espresso per il 2023 (eu-LISA), le carenze individuate sono state affrontate e sono stati rilevati miglioramenti;</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18 </w:t>
            </w:r>
            <w:r w:rsidRPr="00B37E26">
              <w:t>Riunione della commissione CONT, 4 dicembre 2023.</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18 </w:t>
            </w:r>
            <w:r w:rsidRPr="00B37E26">
              <w:t>Riunione della commissione CONT, 4 dicembre 2023.</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83</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Claudiu Manda</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44</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44.</w:t>
            </w:r>
            <w:r w:rsidRPr="00B37E26">
              <w:tab/>
              <w:t>ribadisce che, nonostante il regolamento finanziario non fissi massimali per i riporti, ricorrenti tassi elevati di riporti pregiudicano il principio dell'annualità del bilancio e rivelano problemi strutturali nel ciclo di trattamento ed esecuzione del bilancio; osserva che in 14 agenzie (ENISA, Eurofound, EIGE, eu-LISA, EMA, EUSPA, ELA, FRA, EFCA, ECDC, EU-OSHA, ACER, Frontex ed ESA) il livello complessivo dei riporti che interessano tutti i titoli di bilancio è superiore al 15 %; osserva che, nel caso di Frontex e dell'ESA, i riporti raggiungono rispettivamente oltre il 40 % e il 50 %;</w:t>
            </w:r>
          </w:p>
        </w:tc>
        <w:tc>
          <w:tcPr>
            <w:tcW w:w="4876" w:type="dxa"/>
            <w:tcBorders>
              <w:top w:val="nil"/>
              <w:left w:val="nil"/>
              <w:bottom w:val="nil"/>
              <w:right w:val="nil"/>
            </w:tcBorders>
          </w:tcPr>
          <w:p w:rsidR="004A3213" w:rsidRPr="00B37E26" w:rsidRDefault="004A3213" w:rsidP="00D97434">
            <w:pPr>
              <w:pStyle w:val="Normal6a"/>
            </w:pPr>
            <w:r w:rsidRPr="00B37E26">
              <w:t>44.</w:t>
            </w:r>
            <w:r w:rsidRPr="00B37E26">
              <w:tab/>
              <w:t xml:space="preserve">ribadisce che, nonostante il regolamento finanziario non fissi massimali per i riporti, ricorrenti tassi elevati di riporti </w:t>
            </w:r>
            <w:r w:rsidRPr="00B37E26">
              <w:rPr>
                <w:b/>
                <w:i/>
              </w:rPr>
              <w:t xml:space="preserve">non programmati </w:t>
            </w:r>
            <w:r w:rsidRPr="00B37E26">
              <w:t>pregiudicano il principio dell'annualità del bilancio e rivelano problemi strutturali nel ciclo di trattamento ed esecuzione del bilancio; osserva che in 14 agenzie (ENISA, Eurofound, EIGE, eu-LISA, EMA, EUSPA, ELA, FRA, EFCA, ECDC, EU-OSHA, ACER, Frontex ed ESA) il livello complessivo dei riporti che interessano tutti i titoli di bilancio è superiore al 15 %; osserva che, nel caso di Frontex e dell'ESA, i riporti raggiungono rispettivamente oltre il 40 % e il 50 %;</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84</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Tomáš Zdechovský</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45</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45.</w:t>
            </w:r>
            <w:r w:rsidRPr="00B37E26">
              <w:tab/>
              <w:t xml:space="preserve">rammenta che il quadro normativo impone alle agenzie di effettuare i pagamenti entro termini specifici; osserva che il mancato rispetto di tali termini può far sì che i creditori abbiano diritto agli interessi di mora; </w:t>
            </w:r>
            <w:r w:rsidRPr="00B37E26">
              <w:rPr>
                <w:b/>
                <w:i/>
              </w:rPr>
              <w:t>osserva</w:t>
            </w:r>
            <w:r w:rsidRPr="00B37E26">
              <w:t xml:space="preserve"> che, per l'anno 2023, la Corte riferisce che, sebbene l'importo totale degli interessi di mora sostenuti sia stato considerato irrilevante, è degno di nota il fatto che </w:t>
            </w:r>
            <w:r w:rsidRPr="00B37E26">
              <w:rPr>
                <w:b/>
                <w:i/>
              </w:rPr>
              <w:t>nove</w:t>
            </w:r>
            <w:r w:rsidRPr="00B37E26">
              <w:t xml:space="preserve"> agenzie </w:t>
            </w:r>
            <w:r w:rsidRPr="00B37E26">
              <w:rPr>
                <w:b/>
                <w:i/>
              </w:rPr>
              <w:t xml:space="preserve">(ACER, ECDC, SEE, EUDA, ENISA, ERA, EU-OSHA, Eurojust e Frontex) sovente </w:t>
            </w:r>
            <w:r w:rsidRPr="00B37E26">
              <w:t xml:space="preserve">non abbiano rispettato i termini di pagamento; </w:t>
            </w:r>
            <w:r w:rsidRPr="00B37E26">
              <w:rPr>
                <w:b/>
                <w:i/>
              </w:rPr>
              <w:t>chiede alle agenzie di garantire l'osservanza dei termini legali per i pagamenti; sottolinea che, nonostante l'importo degli interessi di mora sia stato modesto, l'elevata frequenza dei ritardi di pagamento può incidere negativamente sulla reputazione delle agenzie;</w:t>
            </w:r>
          </w:p>
        </w:tc>
        <w:tc>
          <w:tcPr>
            <w:tcW w:w="4876" w:type="dxa"/>
            <w:tcBorders>
              <w:top w:val="nil"/>
              <w:left w:val="nil"/>
              <w:bottom w:val="nil"/>
              <w:right w:val="nil"/>
            </w:tcBorders>
          </w:tcPr>
          <w:p w:rsidR="004A3213" w:rsidRPr="00B37E26" w:rsidRDefault="004A3213" w:rsidP="00D97434">
            <w:pPr>
              <w:pStyle w:val="Normal6a"/>
            </w:pPr>
            <w:r w:rsidRPr="00B37E26">
              <w:t>45.</w:t>
            </w:r>
            <w:r w:rsidRPr="00B37E26">
              <w:tab/>
              <w:t xml:space="preserve">rammenta che il quadro normativo impone alle agenzie di effettuare i pagamenti entro termini specifici; osserva che il mancato rispetto di tali termini può far sì che i creditori abbiano diritto agli interessi di mora; </w:t>
            </w:r>
            <w:r w:rsidRPr="00B37E26">
              <w:rPr>
                <w:b/>
                <w:i/>
              </w:rPr>
              <w:t>tiene presente</w:t>
            </w:r>
            <w:r w:rsidRPr="00B37E26">
              <w:t xml:space="preserve"> che, per l'anno 2023, la Corte riferisce che, sebbene l'importo totale degli interessi di mora sostenuti sia stato considerato irrilevante, è degno di nota il fatto che </w:t>
            </w:r>
            <w:r w:rsidRPr="00B37E26">
              <w:rPr>
                <w:b/>
                <w:i/>
              </w:rPr>
              <w:t>alcune</w:t>
            </w:r>
            <w:r w:rsidRPr="00B37E26">
              <w:t xml:space="preserve"> agenzie non abbiano rispettato i termini di pagamento;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85</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48</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48.</w:t>
            </w:r>
            <w:r w:rsidRPr="00B37E26">
              <w:tab/>
              <w:t>richiama l'attenzione sulle informazioni contenute nei conti annuali dell'ERA e di Eurojust per quanto riguarda l'attuazione di SUMMA</w:t>
            </w:r>
            <w:r w:rsidRPr="00B37E26">
              <w:rPr>
                <w:vertAlign w:val="superscript"/>
              </w:rPr>
              <w:t>19</w:t>
            </w:r>
            <w:r w:rsidRPr="00B37E26">
              <w:t>;</w:t>
            </w:r>
            <w:r w:rsidRPr="00B37E26">
              <w:rPr>
                <w:b/>
                <w:i/>
              </w:rPr>
              <w:t xml:space="preserve"> osserva</w:t>
            </w:r>
            <w:r w:rsidRPr="00B37E26">
              <w:t xml:space="preserve"> che, nel corso del 2023, le questioni tecniche </w:t>
            </w:r>
            <w:r w:rsidRPr="00B37E26">
              <w:rPr>
                <w:b/>
                <w:i/>
              </w:rPr>
              <w:t>hanno</w:t>
            </w:r>
            <w:r w:rsidRPr="00B37E26">
              <w:t xml:space="preserve"> continuato a contribuire a un aumento dei ritardi di pagamento (50 % nel 2023) e dei casi di non conformità in Eurojust; osserva che l'ERA ha riscontrato problemi tecnici durante il primo trimestre, sebbene siano stati apportati miglioramenti sostanziali rispetto al 2022;</w:t>
            </w:r>
          </w:p>
        </w:tc>
        <w:tc>
          <w:tcPr>
            <w:tcW w:w="4876" w:type="dxa"/>
            <w:tcBorders>
              <w:top w:val="nil"/>
              <w:left w:val="nil"/>
              <w:bottom w:val="nil"/>
              <w:right w:val="nil"/>
            </w:tcBorders>
          </w:tcPr>
          <w:p w:rsidR="004A3213" w:rsidRPr="00B37E26" w:rsidRDefault="004A3213" w:rsidP="00D97434">
            <w:pPr>
              <w:pStyle w:val="Normal6a"/>
            </w:pPr>
            <w:r w:rsidRPr="00B37E26">
              <w:t>48.</w:t>
            </w:r>
            <w:r w:rsidRPr="00B37E26">
              <w:tab/>
              <w:t>richiama l'attenzione sulle informazioni contenute nei conti annuali dell'ERA e di Eurojust per quanto riguarda l'attuazione di SUMMA</w:t>
            </w:r>
            <w:r w:rsidRPr="00B37E26">
              <w:rPr>
                <w:vertAlign w:val="superscript"/>
              </w:rPr>
              <w:t>19</w:t>
            </w:r>
            <w:r w:rsidRPr="00B37E26">
              <w:rPr>
                <w:b/>
                <w:i/>
              </w:rPr>
              <w:t>, piattaforma finanziaria della Commissione europea che sembra altamente mal funzionante</w:t>
            </w:r>
            <w:r w:rsidRPr="00B37E26">
              <w:t>;</w:t>
            </w:r>
            <w:r w:rsidRPr="00B37E26">
              <w:rPr>
                <w:b/>
                <w:i/>
              </w:rPr>
              <w:t xml:space="preserve"> deplora</w:t>
            </w:r>
            <w:r w:rsidRPr="00B37E26">
              <w:t xml:space="preserve"> che, nel corso del 2023, le questioni tecniche </w:t>
            </w:r>
            <w:r w:rsidRPr="00B37E26">
              <w:rPr>
                <w:b/>
                <w:i/>
              </w:rPr>
              <w:t>abbiano</w:t>
            </w:r>
            <w:r w:rsidRPr="00B37E26">
              <w:t xml:space="preserve"> continuato a contribuire a un aumento dei ritardi di pagamento (50 % nel 2023) e dei casi di non conformità in Eurojust; osserva che l'ERA ha riscontrato problemi tecnici durante il primo trimestre, sebbene siano stati apportati miglioramenti sostanziali rispetto al 2022;</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19 </w:t>
            </w:r>
            <w:r w:rsidRPr="00B37E26">
              <w:t>Il nuovo sistema di bilancio, contabile e finanziario ha preso il via come progetto pilota nel 2022.</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19 </w:t>
            </w:r>
            <w:r w:rsidRPr="00B37E26">
              <w:t>Il nuovo sistema di bilancio, contabile e finanziario ha preso il via come progetto pilota nel 2022.</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86</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Gilles Boyer, Olivier Chastel, Vlad Vasile-Voiculescu, Michal Wiezik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52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52 bis.</w:t>
            </w:r>
            <w:r w:rsidRPr="00B37E26">
              <w:tab/>
            </w:r>
            <w:r w:rsidRPr="00B37E26">
              <w:rPr>
                <w:b/>
                <w:i/>
              </w:rPr>
              <w:t>sottolinea la necessità di risorse sufficienti per garantire che le agenzie siano in grado di svolgere i nuovi compiti loro richiesti dalla nuova legislazione;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87</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54</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54.</w:t>
            </w:r>
            <w:r w:rsidRPr="00B37E26">
              <w:tab/>
              <w:t xml:space="preserve">osserva che l'EMA fornisce informazioni significative nei suoi conti annuali relative alla sua ex sede di Londra e alle incertezze dovute al fatto che la società capogruppo del subaffittuario ha presentato istanza di fallimento; osserva con preoccupazione che l'EMA potrebbe essere ritenuta responsabile dell'intero importo residuo dovuto nell'ambito del contratto di locazione principale; </w:t>
            </w:r>
            <w:r w:rsidRPr="00B37E26">
              <w:rPr>
                <w:b/>
                <w:i/>
              </w:rPr>
              <w:t>è consapevole del</w:t>
            </w:r>
            <w:r w:rsidRPr="00B37E26">
              <w:t xml:space="preserve"> fatto che l'importo massimo, comprensivo di un debito d'imposta comunale, che l'EMA dovrà pagare se i locali rimarranno vacanti per il resto del contratto di locazione, è pari a 550 milioni di EUR; osserva che l'EMA sta attualmente rinegoziando le condizioni di sublocazione con la filiale britannica del gruppo e, nell'ambito di tali rinegoziazioni, l'EMA ha accettato il rinvio del pagamento dei canoni di locazione per i primi due trimestri del 2024 e la riduzione dei canoni di locazione da parte del subaffittuario a partire dal 1° gennaio 2024; osserva che, a tale proposito, l'EMA ha previsto un contratto oneroso per un importo di 131,4 milioni di EUR; prende atto del fatto che il subaffittuario dell'Agenzia ha rispettato i suoi obblighi contrattuali per l'anno 2023, con canoni di locazione che coprono il periodo fino al 31 dicembre 2023;</w:t>
            </w:r>
          </w:p>
        </w:tc>
        <w:tc>
          <w:tcPr>
            <w:tcW w:w="4876" w:type="dxa"/>
            <w:tcBorders>
              <w:top w:val="nil"/>
              <w:left w:val="nil"/>
              <w:bottom w:val="nil"/>
              <w:right w:val="nil"/>
            </w:tcBorders>
          </w:tcPr>
          <w:p w:rsidR="004A3213" w:rsidRPr="00B37E26" w:rsidRDefault="004A3213" w:rsidP="00D97434">
            <w:pPr>
              <w:pStyle w:val="Normal6a"/>
            </w:pPr>
            <w:r w:rsidRPr="00B37E26">
              <w:t>54.</w:t>
            </w:r>
            <w:r w:rsidRPr="00B37E26">
              <w:tab/>
              <w:t xml:space="preserve">osserva che l'EMA fornisce informazioni significative nei suoi conti annuali relative alla sua ex sede di Londra e alle incertezze dovute al fatto che la società capogruppo del subaffittuario ha presentato istanza di fallimento; osserva con preoccupazione che l'EMA potrebbe essere ritenuta responsabile dell'intero importo residuo dovuto nell'ambito del contratto di locazione principale; </w:t>
            </w:r>
            <w:r w:rsidRPr="00B37E26">
              <w:rPr>
                <w:b/>
                <w:i/>
              </w:rPr>
              <w:t>esprime profonda preoccupazione per il</w:t>
            </w:r>
            <w:r w:rsidRPr="00B37E26">
              <w:t xml:space="preserve"> fatto che l'importo massimo, comprensivo di un debito d'imposta comunale, che l'EMA dovrà pagare se i locali rimarranno vacanti per il resto del contratto di locazione, è pari a 550 milioni di EUR</w:t>
            </w:r>
            <w:r w:rsidRPr="00B37E26">
              <w:rPr>
                <w:b/>
                <w:i/>
              </w:rPr>
              <w:t>; deplora che al momento della conclusione del contratto di locazione non siano state prese in considerazione clausole in grado di anticipare questo tipo di situazione; invita tutte le entità europee a trarne insegnamenti e a inserire tali clausole in tutti i loro contratti, siano essi nuovi o in caso di un loro rinnovo, al fine di non dilapidare più il denaro dei cittadini europei in tal modo;</w:t>
            </w:r>
            <w:r w:rsidRPr="00B37E26">
              <w:t xml:space="preserve"> osserva che l'EMA sta attualmente rinegoziando le condizioni di sublocazione con la filiale britannica del gruppo e, nell'ambito di tali rinegoziazioni, l'EMA ha accettato il rinvio del pagamento dei canoni di locazione per i primi due trimestri del 2024 e la riduzione dei canoni di locazione da parte del subaffittuario a partire dal 1° gennaio 2024; osserva che, a tale proposito, l'EMA ha previsto un contratto oneroso per un importo di 131,4 milioni di EUR; prende atto del fatto che il subaffittuario dell'Agenzia ha rispettato i suoi obblighi contrattuali per l'anno 2023, con canoni di locazione che coprono il periodo fino al 31 dicembre 2023;</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88</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 Claudiu Manda</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54</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54.</w:t>
            </w:r>
            <w:r w:rsidRPr="00B37E26">
              <w:tab/>
              <w:t>osserva che l'EMA fornisce informazioni significative nei suoi conti annuali relative alla sua ex sede di Londra e alle incertezze dovute al fatto che la società capogruppo del subaffittuario ha presentato istanza di fallimento; osserva con preoccupazione che l'EMA potrebbe essere ritenuta responsabile dell'intero importo residuo dovuto nell'ambito del contratto di locazione principale; è consapevole del fatto che l'importo massimo, comprensivo di un debito d'imposta comunale, che l'EMA dovrà pagare se i locali rimarranno vacanti per il resto del contratto di locazione, è pari a 550 milioni di EUR; osserva che l'EMA sta attualmente rinegoziando le condizioni di sublocazione con la filiale britannica del gruppo e, nell'ambito di tali rinegoziazioni, l'EMA ha accettato il rinvio del pagamento dei canoni di locazione per i primi due trimestri del 2024 e la riduzione dei canoni di locazione da parte del subaffittuario a partire dal 1° gennaio 2024; osserva che, a tale proposito, l'EMA ha previsto un contratto oneroso per un importo di 131,4 milioni di EUR; prende atto del fatto che il subaffittuario dell'Agenzia ha rispettato i suoi obblighi contrattuali per l'anno 2023, con canoni di locazione che coprono il periodo fino al 31 dicembre 2023;</w:t>
            </w:r>
          </w:p>
        </w:tc>
        <w:tc>
          <w:tcPr>
            <w:tcW w:w="4876" w:type="dxa"/>
            <w:tcBorders>
              <w:top w:val="nil"/>
              <w:left w:val="nil"/>
              <w:bottom w:val="nil"/>
              <w:right w:val="nil"/>
            </w:tcBorders>
          </w:tcPr>
          <w:p w:rsidR="004A3213" w:rsidRPr="00B37E26" w:rsidRDefault="004A3213" w:rsidP="00D97434">
            <w:pPr>
              <w:pStyle w:val="Normal6a"/>
            </w:pPr>
            <w:r w:rsidRPr="00B37E26">
              <w:t>54.</w:t>
            </w:r>
            <w:r w:rsidRPr="00B37E26">
              <w:tab/>
              <w:t>osserva che l'EMA fornisce informazioni significative nei suoi conti annuali relative alla sua ex sede di Londra e alle incertezze dovute al fatto che la società capogruppo del subaffittuario ha presentato istanza di fallimento; osserva con preoccupazione che l'EMA potrebbe essere ritenuta responsabile dell'intero importo residuo dovuto nell'ambito del contratto di locazione principale; è consapevole del fatto che l'importo massimo, comprensivo di un debito d'imposta comunale, che l'EMA dovrà pagare se i locali rimarranno vacanti per il resto del contratto di locazione, è pari a 550 milioni di EUR; osserva che l'EMA sta attualmente rinegoziando le condizioni di sublocazione con la filiale britannica del gruppo e, nell'ambito di tali rinegoziazioni, l'EMA ha accettato il rinvio del pagamento dei canoni di locazione per i primi due trimestri del 2024 e la riduzione dei canoni di locazione da parte del subaffittuario a partire dal 1° gennaio 2024; osserva che, a tale proposito, l'EMA ha previsto un contratto oneroso per un importo di 131,4 milioni di EUR; prende atto del fatto che il subaffittuario dell'Agenzia ha rispettato i suoi obblighi contrattuali per l'anno 2023, con canoni di locazione che coprono il periodo fino al 31 dicembre 2023</w:t>
            </w:r>
            <w:r w:rsidRPr="00B37E26">
              <w:rPr>
                <w:b/>
                <w:i/>
              </w:rPr>
              <w:t>, ed esorta l'EMA e la Commissione a trovare una soluzione sostenibile per risolvere il contratto e tutti gli obblighi associati prima della prossima procedura di discarico nel 2024</w:t>
            </w:r>
            <w:r w:rsidRPr="00B37E26">
              <w:t>;</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89</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Gilles Boyer, Olivier Chastel, Vlad Vasile-Voiculescu, Michal Wiezik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59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59 bis.</w:t>
            </w:r>
            <w:r w:rsidRPr="00B37E26">
              <w:tab/>
            </w:r>
            <w:r w:rsidRPr="00B37E26">
              <w:rPr>
                <w:b/>
                <w:i/>
              </w:rPr>
              <w:t>raccomanda alle agenzie di adottare misure per soddisfare gli indicatori in sospeso o in ritardo e di adeguare regolarmente i loro indicatori chiave di performance per migliorare le prestazioni;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90</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Erik Marquardt</w:t>
      </w:r>
      <w:r w:rsidRPr="00B37E26">
        <w:rPr>
          <w:rStyle w:val="HideTWBExt"/>
          <w:b w:val="0"/>
        </w:rPr>
        <w:t>&lt;/Members&gt;</w:t>
      </w:r>
    </w:p>
    <w:p w:rsidR="004A3213" w:rsidRPr="00B37E26" w:rsidRDefault="004A3213" w:rsidP="004A3213">
      <w:r w:rsidRPr="00B37E26">
        <w:rPr>
          <w:rStyle w:val="HideTWBExt"/>
        </w:rPr>
        <w:t>&lt;AuNomDe&gt;</w:t>
      </w:r>
      <w:r w:rsidRPr="00B37E26">
        <w:rPr>
          <w:rStyle w:val="HideTWBInt"/>
        </w:rPr>
        <w:t>{Greens/EFA}</w:t>
      </w:r>
      <w:r w:rsidRPr="00B37E26">
        <w:t>a nome del gruppo Verts/ALE</w:t>
      </w:r>
      <w:r w:rsidRPr="00B37E26">
        <w:rPr>
          <w:rStyle w:val="HideTWBExt"/>
        </w:rPr>
        <w:t>&lt;/AuNomDe&gt;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61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61 bis.</w:t>
            </w:r>
            <w:r w:rsidRPr="00B37E26">
              <w:tab/>
            </w:r>
            <w:r w:rsidRPr="00B37E26">
              <w:rPr>
                <w:b/>
                <w:i/>
              </w:rPr>
              <w:t>chiede un riesame indipendente delle prestazioni di tutte le agenzie al fine di valutare se le loro attività si allineano efficacemente alle priorità strategiche dell'UE e producono risultati tangibili; insiste sull'introduzione di una programmazione di bilancio basata sulla performance e di parametri di riferimento per l'efficienza per garantire un'assegnazione ottimale delle risorse e una governance basata sull'impatto;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91</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Dick Erixon, Charlie Weimers, Beatrice Timgren</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62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62 bis.</w:t>
            </w:r>
            <w:r w:rsidRPr="00B37E26">
              <w:tab/>
            </w:r>
            <w:r w:rsidRPr="00B37E26">
              <w:rPr>
                <w:b/>
                <w:i/>
              </w:rPr>
              <w:t>mette in discussione l'assenza di riferimenti alle relazioni annuali di attività delle agenzie; si interroga sui risultati concreti conseguiti dalle agenzie nel 2023;</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92</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63</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63.</w:t>
            </w:r>
            <w:r w:rsidRPr="00B37E26">
              <w:tab/>
              <w:t xml:space="preserve">osserva che gli sforzi in materia di controllo di bilancio intrapresi durante l'esercizio 2023 si sono tradotti in un tasso di esecuzione del bilancio degli stanziamenti d'impegno dell'esercizio in corso in media superiore al 97 %, ad eccezione del CdT e dell'ELA, che hanno registrato tassi rispettivamente dell'89,55 % e del 93,72 %; </w:t>
            </w:r>
            <w:r w:rsidRPr="00B37E26">
              <w:rPr>
                <w:b/>
                <w:i/>
              </w:rPr>
              <w:t>osserva che le agenzie che presentano il tasso di esecuzione più basso degli stanziamenti di pagamento dell'esercizio in corso sono le seguenti, elencate in ordine crescente assieme alle rispettive percentuali: l'ESA 47,61 %, Frontex 55,37 %, l'EU-OSHA 68,83 %, l'ACER 70,69 % e l'ECDC 71,79 %;</w:t>
            </w:r>
          </w:p>
        </w:tc>
        <w:tc>
          <w:tcPr>
            <w:tcW w:w="4876" w:type="dxa"/>
            <w:tcBorders>
              <w:top w:val="nil"/>
              <w:left w:val="nil"/>
              <w:bottom w:val="nil"/>
              <w:right w:val="nil"/>
            </w:tcBorders>
          </w:tcPr>
          <w:p w:rsidR="004A3213" w:rsidRPr="00B37E26" w:rsidRDefault="004A3213" w:rsidP="00D97434">
            <w:pPr>
              <w:pStyle w:val="Normal6a"/>
            </w:pPr>
            <w:r w:rsidRPr="00B37E26">
              <w:t>63.</w:t>
            </w:r>
            <w:r w:rsidRPr="00B37E26">
              <w:tab/>
              <w:t>osserva che gli sforzi in materia di controllo di bilancio intrapresi durante l'esercizio 2023 si sono tradotti in un tasso di esecuzione del bilancio degli stanziamenti d'impegno dell'esercizio in corso in media superiore al 97 %, ad eccezione del CdT e dell'ELA, che hanno registrato tassi rispettivamente dell'89,55 % e del 93,72 %;</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93</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Erik Marquardt</w:t>
      </w:r>
      <w:r w:rsidRPr="00B37E26">
        <w:rPr>
          <w:rStyle w:val="HideTWBExt"/>
          <w:b w:val="0"/>
        </w:rPr>
        <w:t>&lt;/Members&gt;</w:t>
      </w:r>
    </w:p>
    <w:p w:rsidR="004A3213" w:rsidRPr="00B37E26" w:rsidRDefault="004A3213" w:rsidP="004A3213">
      <w:r w:rsidRPr="00B37E26">
        <w:rPr>
          <w:rStyle w:val="HideTWBExt"/>
        </w:rPr>
        <w:t>&lt;AuNomDe&gt;</w:t>
      </w:r>
      <w:r w:rsidRPr="00B37E26">
        <w:rPr>
          <w:rStyle w:val="HideTWBInt"/>
        </w:rPr>
        <w:t>{Greens/EFA}</w:t>
      </w:r>
      <w:r w:rsidRPr="00B37E26">
        <w:t>a nome del gruppo Verts/ALE</w:t>
      </w:r>
      <w:r w:rsidRPr="00B37E26">
        <w:rPr>
          <w:rStyle w:val="HideTWBExt"/>
        </w:rPr>
        <w:t>&lt;/AuNomDe&gt;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63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63 bis.</w:t>
            </w:r>
            <w:r w:rsidRPr="00B37E26">
              <w:tab/>
            </w:r>
            <w:r w:rsidRPr="00B37E26">
              <w:rPr>
                <w:b/>
                <w:i/>
              </w:rPr>
              <w:t>deplora che nel 2023 il bilancio della FRA sia approssimativamente lo stesso del 2022, così come i suoi livelli di organico; ribadisce la propria preoccupazione che l'Agenzia continui a risentire di vincoli in termini di risorse umane e finanziarie e che ciò possa influire sulla qualità del lavoro svolto dall'Agenzia, che si è rivelato estremamente prezioso per la politica dell'UE; ritiene che la differenza significativa e crescente di risorse assegnate alle agenzie GAI sia una tendenza allarmante;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94</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Erik Marquardt</w:t>
      </w:r>
      <w:r w:rsidRPr="00B37E26">
        <w:rPr>
          <w:rStyle w:val="HideTWBExt"/>
          <w:b w:val="0"/>
        </w:rPr>
        <w:t>&lt;/Members&gt;</w:t>
      </w:r>
    </w:p>
    <w:p w:rsidR="004A3213" w:rsidRPr="00B37E26" w:rsidRDefault="004A3213" w:rsidP="004A3213">
      <w:r w:rsidRPr="00B37E26">
        <w:rPr>
          <w:rStyle w:val="HideTWBExt"/>
        </w:rPr>
        <w:t>&lt;AuNomDe&gt;</w:t>
      </w:r>
      <w:r w:rsidRPr="00B37E26">
        <w:rPr>
          <w:rStyle w:val="HideTWBInt"/>
        </w:rPr>
        <w:t>{Greens/EFA}</w:t>
      </w:r>
      <w:r w:rsidRPr="00B37E26">
        <w:t>a nome del gruppo Verts/ALE</w:t>
      </w:r>
      <w:r w:rsidRPr="00B37E26">
        <w:rPr>
          <w:rStyle w:val="HideTWBExt"/>
        </w:rPr>
        <w:t>&lt;/AuNomDe&gt;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63 ter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63 ter.</w:t>
            </w:r>
            <w:r w:rsidRPr="00B37E26">
              <w:tab/>
            </w:r>
            <w:r w:rsidRPr="00B37E26">
              <w:rPr>
                <w:b/>
                <w:i/>
              </w:rPr>
              <w:t>prende atto dell'aumento del bilancio dell'EUAA nel 2023 da 168 a 170 milioni di EUR (+0,77 %) e del suo personale da 519 a 529 persone (+2 %); ribadisce l'importante ruolo dell'Agenzia dell'Unione europea per l'asilo nel sostenere gli Stati membri nell'attuazione del sistema europeo comune di asilo e nel monitorarne la corretta attuazione; ricorda che, nella sua relazione sul discarico per il 2022 relativa all'Agenzia dell'Unione europea per l'asilo, l'autorità di discarico ha evidenziato preoccupazioni in merito alla gestione e alle procedure interne dell'Agenzia, rilevando che l'OLAF aveva avviato un'indagine, adesso conclusa, che avrebbe riguardato il nepotismo e altre questioni che incidono sulla sua gestione finanziaria; si rammarica che la direttrice esecutiva dell'Agenzia abbia evitato di fornire risposte durante l'audizione preparatoria sul discarico in seno alla commissione CONT; è allarmato dal rifiuto del consiglio di amministrazione dell'Agenzia di divulgare all'autorità di discarico il contenuto e la raccomandazione di detta relazione dell'OLAF; invita l'Agenzia a rendere immediatamente disponibili i risultati della relazione;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95</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Erik Marquardt</w:t>
      </w:r>
      <w:r w:rsidRPr="00B37E26">
        <w:rPr>
          <w:rStyle w:val="HideTWBExt"/>
          <w:b w:val="0"/>
        </w:rPr>
        <w:t>&lt;/Members&gt;</w:t>
      </w:r>
    </w:p>
    <w:p w:rsidR="004A3213" w:rsidRPr="00B37E26" w:rsidRDefault="004A3213" w:rsidP="004A3213">
      <w:r w:rsidRPr="00B37E26">
        <w:rPr>
          <w:rStyle w:val="HideTWBExt"/>
        </w:rPr>
        <w:t>&lt;AuNomDe&gt;</w:t>
      </w:r>
      <w:r w:rsidRPr="00B37E26">
        <w:rPr>
          <w:rStyle w:val="HideTWBInt"/>
        </w:rPr>
        <w:t>{Greens/EFA}</w:t>
      </w:r>
      <w:r w:rsidRPr="00B37E26">
        <w:t>a nome del gruppo Verts/ALE</w:t>
      </w:r>
      <w:r w:rsidRPr="00B37E26">
        <w:rPr>
          <w:rStyle w:val="HideTWBExt"/>
        </w:rPr>
        <w:t>&lt;/AuNomDe&gt;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63 quater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63 quater.</w:t>
            </w:r>
            <w:r w:rsidRPr="00B37E26">
              <w:tab/>
            </w:r>
            <w:r w:rsidRPr="00B37E26">
              <w:rPr>
                <w:b/>
                <w:i/>
              </w:rPr>
              <w:t>prende atto della nuova tabella di marcia per l'interoperabilità; riconosce che il nuovo calendario per l'introduzione e l'interoperabilità dei sistemi di informazione dell'UE è stato necessario a causa dei ritardi nello sviluppo del sistema di ingressi/uscite (EES), del sistema europeo di informazione e autorizzazione ai viaggi (ETIAS) e del sistema europeo di informazione sui casellari giudiziali riguardo ai cittadini di paesi terzi (ECRIS-TCN); sottolinea che uno scambio di informazioni rapido, efficace e affidabile, in conformità della normativa vigente, è fondamentale per sostenere e rafforzare lo spazio di libertà, sicurezza e giustizia dell'Unione; riconosce a tale proposito il lavoro e i miglioramenti conseguiti da eu-LISA;</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96</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Gilles Boyer, Olivier Chastel, Vlad Vasile-Voiculescu, Michal Wiezik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64</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64.</w:t>
            </w:r>
            <w:r w:rsidRPr="00B37E26">
              <w:tab/>
              <w:t>osserva con preoccupazione che le debolezze nelle procedure di appalto pubblico restano la principale fonte di pagamenti irregolari; sottolinea che la Corte ha formulato 38 osservazioni sulle debolezze nelle procedure di appalto pubblico nel 2023 (rispetto alle 41 del 2022 e alle 28 del 2021)</w:t>
            </w:r>
            <w:r w:rsidRPr="00B37E26">
              <w:rPr>
                <w:vertAlign w:val="superscript"/>
              </w:rPr>
              <w:t>28</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64.</w:t>
            </w:r>
            <w:r w:rsidRPr="00B37E26">
              <w:tab/>
              <w:t>osserva con preoccupazione che le debolezze nelle procedure di appalto pubblico restano la principale fonte di pagamenti irregolari; sottolinea che la Corte ha formulato 38 osservazioni sulle debolezze nelle procedure di appalto pubblico nel 2023 (rispetto alle 41 del 2022 e alle 28 del 2021)</w:t>
            </w:r>
            <w:r w:rsidRPr="00B37E26">
              <w:rPr>
                <w:vertAlign w:val="superscript"/>
              </w:rPr>
              <w:t>28</w:t>
            </w:r>
            <w:r w:rsidRPr="00B37E26">
              <w:t xml:space="preserve">; </w:t>
            </w:r>
            <w:r w:rsidRPr="00B37E26">
              <w:rPr>
                <w:b/>
                <w:i/>
              </w:rPr>
              <w:t>esorta le agenzie a introdurre misure volte a garantire il rigoroso rispetto delle norme in materia di appalti e dei principi di trasparenza, concorrenza ed efficacia in termini di costi; ricorda la necessità di programmi di formazione periodici per il personale sulla gestione finanziaria, le norme in materia di appalti e la prevenzione delle frodi; chiede misure più rigorose in materia di responsabilità per garantire che eventuali carenze persistenti sfocino in azioni correttive mirate e in conseguenze in caso di ripetute inadempienze;</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28 </w:t>
            </w:r>
            <w:r w:rsidRPr="00B37E26">
              <w:t>Relazione della Corte dei conti europea, pag. 37. Solamente le osservazioni che fanno riferimento alle agenzie oggetto della presente risoluzione.</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28 </w:t>
            </w:r>
            <w:r w:rsidRPr="00B37E26">
              <w:t>Relazione della Corte dei conti europea, pag. 37. Solamente le osservazioni che fanno riferimento alle agenzie oggetto della presente risoluzione.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97</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Jonas Sjöstedt</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69</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69.</w:t>
            </w:r>
            <w:r w:rsidRPr="00B37E26">
              <w:tab/>
              <w:t xml:space="preserve">ricorda che è importante che tutte le procedure di appalto garantiscano la leale concorrenza tra gli offerenti e consentano la fornitura </w:t>
            </w:r>
            <w:r w:rsidRPr="00B37E26">
              <w:rPr>
                <w:b/>
                <w:i/>
              </w:rPr>
              <w:t>di</w:t>
            </w:r>
            <w:r w:rsidRPr="00B37E26">
              <w:t xml:space="preserve"> beni e servizi </w:t>
            </w:r>
            <w:r w:rsidRPr="00B37E26">
              <w:rPr>
                <w:b/>
                <w:i/>
              </w:rPr>
              <w:t>al miglior prezzo</w:t>
            </w:r>
            <w:r w:rsidRPr="00B37E26">
              <w:t>, nel rispetto dei princìpi di trasparenza, proporzionalità, pari trattamento e non discriminazione;</w:t>
            </w:r>
          </w:p>
        </w:tc>
        <w:tc>
          <w:tcPr>
            <w:tcW w:w="4876" w:type="dxa"/>
            <w:tcBorders>
              <w:top w:val="nil"/>
              <w:left w:val="nil"/>
              <w:bottom w:val="nil"/>
              <w:right w:val="nil"/>
            </w:tcBorders>
          </w:tcPr>
          <w:p w:rsidR="004A3213" w:rsidRPr="00B37E26" w:rsidRDefault="004A3213" w:rsidP="00D97434">
            <w:pPr>
              <w:pStyle w:val="Normal6a"/>
            </w:pPr>
            <w:r w:rsidRPr="00B37E26">
              <w:t>69.</w:t>
            </w:r>
            <w:r w:rsidRPr="00B37E26">
              <w:tab/>
              <w:t xml:space="preserve">ricorda che è importante che tutte le procedure di appalto garantiscano </w:t>
            </w:r>
            <w:r w:rsidRPr="00B37E26">
              <w:rPr>
                <w:b/>
                <w:i/>
              </w:rPr>
              <w:t xml:space="preserve">beni e servizi di qualità e </w:t>
            </w:r>
            <w:r w:rsidRPr="00B37E26">
              <w:t xml:space="preserve">la leale concorrenza tra gli offerenti e consentano la fornitura </w:t>
            </w:r>
            <w:r w:rsidRPr="00B37E26">
              <w:rPr>
                <w:b/>
                <w:i/>
              </w:rPr>
              <w:t>dei</w:t>
            </w:r>
            <w:r w:rsidRPr="00B37E26">
              <w:t xml:space="preserve"> beni e servizi </w:t>
            </w:r>
            <w:r w:rsidRPr="00B37E26">
              <w:rPr>
                <w:b/>
                <w:i/>
              </w:rPr>
              <w:t>economicamente più vantaggiosi</w:t>
            </w:r>
            <w:r w:rsidRPr="00B37E26">
              <w:t>, nel rispetto dei princìpi di trasparenza, proporzionalità, pari trattamento e non discriminazione;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98</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69</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69.</w:t>
            </w:r>
            <w:r w:rsidRPr="00B37E26">
              <w:tab/>
              <w:t>ricorda che è importante che tutte le procedure di appalto garantiscano la leale concorrenza tra gli offerenti e consentano la fornitura di beni e servizi al miglior prezzo, nel rispetto dei princìpi di trasparenza, proporzionalità, pari trattamento e non discriminazione;</w:t>
            </w:r>
          </w:p>
        </w:tc>
        <w:tc>
          <w:tcPr>
            <w:tcW w:w="4876" w:type="dxa"/>
            <w:tcBorders>
              <w:top w:val="nil"/>
              <w:left w:val="nil"/>
              <w:bottom w:val="nil"/>
              <w:right w:val="nil"/>
            </w:tcBorders>
          </w:tcPr>
          <w:p w:rsidR="004A3213" w:rsidRPr="00B37E26" w:rsidRDefault="004A3213" w:rsidP="00D97434">
            <w:pPr>
              <w:pStyle w:val="Normal6a"/>
            </w:pPr>
            <w:r w:rsidRPr="00B37E26">
              <w:t>69.</w:t>
            </w:r>
            <w:r w:rsidRPr="00B37E26">
              <w:tab/>
              <w:t xml:space="preserve">ricorda che è importante che tutte le procedure di appalto garantiscano la leale concorrenza tra gli offerenti e consentano la fornitura di beni e servizi al miglior prezzo, </w:t>
            </w:r>
            <w:r w:rsidRPr="00B37E26">
              <w:rPr>
                <w:b/>
                <w:i/>
              </w:rPr>
              <w:t xml:space="preserve">privilegiando le imprese europee a quelle dei paesi terzi, </w:t>
            </w:r>
            <w:r w:rsidRPr="00B37E26">
              <w:t>nel rispetto dei princìpi di trasparenza, proporzionalità, pari trattamento e non discriminazione;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99</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Jonas Sjöstedt</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69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69 bis.</w:t>
            </w:r>
            <w:r w:rsidRPr="00B37E26">
              <w:tab/>
            </w:r>
            <w:r w:rsidRPr="00B37E26">
              <w:rPr>
                <w:b/>
                <w:i/>
              </w:rPr>
              <w:t>sottolinea che, nel contesto del miglior rapporto qualità/prezzo, le amministrazioni aggiudicatrici dovrebbero essere incoraggiate a scegliere criteri di aggiudicazione che consentano loro di ottenere lavori, forniture e servizi di alta qualità che rispondano in modo ottimale alle loro esigenze attraverso criteri di aggiudicazione possibili, compresi aspetti ambientali e sociali; </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100</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Gilles Boyer, Olivier Chastel, Vlad Vasile-Voiculescu, Michal Wiezik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70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70 bis.</w:t>
            </w:r>
            <w:r w:rsidRPr="00B37E26">
              <w:tab/>
            </w:r>
            <w:r w:rsidRPr="00B37E26">
              <w:rPr>
                <w:b/>
                <w:i/>
              </w:rPr>
              <w:t>sottolinea l'importanza di rafforzare la digitalizzazione all'interno delle agenzie, sia per le operazioni interne che per la gestione e per accelerare la digitalizzazione procedurale; sottolinea la necessità di rimanere proattivi per prevenire un divario digitale tra le agenzie;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101</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71</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71.</w:t>
            </w:r>
            <w:r w:rsidRPr="00B37E26">
              <w:tab/>
              <w:t>rileva che nel 2023 le 33 agenzie decentrate hanno comunicato di avere un organico di 10 580 unità (rispetto alle 10 146 del 2022), tra cui funzionari, agenti temporanei, agenti contrattuali ed esperti nazionali distaccati, il che rappresenta un aumento del 4,27 % rispetto al 2022;</w:t>
            </w:r>
          </w:p>
        </w:tc>
        <w:tc>
          <w:tcPr>
            <w:tcW w:w="4876" w:type="dxa"/>
            <w:tcBorders>
              <w:top w:val="nil"/>
              <w:left w:val="nil"/>
              <w:bottom w:val="nil"/>
              <w:right w:val="nil"/>
            </w:tcBorders>
          </w:tcPr>
          <w:p w:rsidR="004A3213" w:rsidRPr="00B37E26" w:rsidRDefault="004A3213" w:rsidP="00D97434">
            <w:pPr>
              <w:pStyle w:val="Normal6a"/>
            </w:pPr>
            <w:r w:rsidRPr="00B37E26">
              <w:t>71.</w:t>
            </w:r>
            <w:r w:rsidRPr="00B37E26">
              <w:tab/>
              <w:t xml:space="preserve">rileva che nel 2023 le 33 agenzie decentrate hanno comunicato di avere un organico di 10 580 unità (rispetto alle 10 146 del 2022), tra cui funzionari, agenti temporanei, agenti contrattuali ed esperti nazionali distaccati, il che rappresenta un aumento del 4,27 % rispetto al 2022; </w:t>
            </w:r>
            <w:r w:rsidRPr="00B37E26">
              <w:rPr>
                <w:b/>
                <w:i/>
              </w:rPr>
              <w:t>deplora tale aumento significativo, che si traduce in costi aggiuntivi per il personale, in un contesto in cui gli europei sono duramente colpiti dall'inflazione e dal carovita;</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102</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 José Cepeda, Claudiu Manda</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71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71 bis.</w:t>
            </w:r>
            <w:r w:rsidRPr="00B37E26">
              <w:tab/>
            </w:r>
            <w:r w:rsidRPr="00B37E26">
              <w:rPr>
                <w:b/>
                <w:i/>
              </w:rPr>
              <w:t>ricorda l'importanza di sviluppare una politica a lungo termine in materia di risorse umane che garantisca un approccio globale all'equilibrio tra vita professionale e vita privata, comprese disposizioni per il telelavoro, il diritto alla disconnessione e lo sviluppo della carriera; chiede ulteriori sforzi per migliorare l'equilibrio geografico al fine di garantire un'adeguata rappresentanza di tutti gli Stati membri e rafforzare l'assunzione, l'integrazione e la parità di trattamento delle persone con disabilità, promuovendo la loro piena partecipazione e la loro crescita professionale all'interno delle agenzie;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103</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 José Cepeda, Claudiu Manda</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72</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72.</w:t>
            </w:r>
            <w:r w:rsidRPr="00B37E26">
              <w:tab/>
              <w:t xml:space="preserve">osserva che sono stati registrati casi di burnout (in totale 25) in sei agenzie, vale a dire l'AESA (cinque casi), l'AEA (quattro casi), l'EFCA (un caso), l'EFSA (due casi), l'EMA (dieci casi) ed Europol (tre casi); osserva tuttavia che non tutte le agenzie, tra cui l'ECDC, l'ECHA, l'EMSA, l'ENISA, l'ERA, la FRA e Frontex, raccolgono dati relativi ai casi di burnout a causa della protezione dei dati; esprime preoccupazione per la mancata raccolta di dati medici, importanti per tenere traccia del benessere psicofisico del personale delle agenzie; </w:t>
            </w:r>
            <w:r w:rsidRPr="00B37E26">
              <w:rPr>
                <w:b/>
                <w:i/>
              </w:rPr>
              <w:t>esorta</w:t>
            </w:r>
            <w:r w:rsidRPr="00B37E26">
              <w:t xml:space="preserve"> le agenzie </w:t>
            </w:r>
            <w:r w:rsidRPr="00B37E26">
              <w:rPr>
                <w:b/>
                <w:i/>
              </w:rPr>
              <w:t>ad adottare ulteriori misure per prevenire i casi di burnout</w:t>
            </w:r>
            <w:r w:rsidRPr="00B37E26">
              <w:t>; osserva che nel 2022 diversi dipendenti hanno effettuato straordinari in 19 agenzie (13 nel 2021); osserva, in particolare, che un numero elevato di dipendenti ha effettuato straordinari presso l'EFSA (81 % del personale) ed Eurofound (97 % del personale);</w:t>
            </w:r>
          </w:p>
        </w:tc>
        <w:tc>
          <w:tcPr>
            <w:tcW w:w="4876" w:type="dxa"/>
            <w:tcBorders>
              <w:top w:val="nil"/>
              <w:left w:val="nil"/>
              <w:bottom w:val="nil"/>
              <w:right w:val="nil"/>
            </w:tcBorders>
          </w:tcPr>
          <w:p w:rsidR="004A3213" w:rsidRPr="00B37E26" w:rsidRDefault="004A3213" w:rsidP="00D97434">
            <w:pPr>
              <w:pStyle w:val="Normal6a"/>
            </w:pPr>
            <w:r w:rsidRPr="00B37E26">
              <w:t>72.</w:t>
            </w:r>
            <w:r w:rsidRPr="00B37E26">
              <w:tab/>
              <w:t>osserva che sono stati registrati casi di burnout (in totale 25) in sei agenzie, vale a dire l'AESA (cinque casi), l'AEA (quattro casi), l'EFCA (un caso), l'EFSA (due casi), l'EMA (dieci casi) ed Europol (tre casi);</w:t>
            </w:r>
            <w:r w:rsidRPr="00B37E26">
              <w:rPr>
                <w:b/>
                <w:i/>
              </w:rPr>
              <w:t xml:space="preserve"> esorta le agenzie decentrate ad adottare misure immediate per affrontare il crescente numero di casi di burnout tra il personale;</w:t>
            </w:r>
            <w:r w:rsidRPr="00B37E26">
              <w:t xml:space="preserve"> osserva tuttavia che non tutte le agenzie, tra cui l'ECDC, l'ECHA, l'EMSA, l'ENISA, l'ERA, la FRA e Frontex, raccolgono dati relativi ai casi di burnout a causa della protezione dei dati; esprime preoccupazione per la mancata raccolta di dati medici, importanti per tenere traccia del benessere psicofisico del personale delle agenzie; </w:t>
            </w:r>
            <w:r w:rsidRPr="00B37E26">
              <w:rPr>
                <w:b/>
                <w:i/>
              </w:rPr>
              <w:t xml:space="preserve">sottolinea che il diritto alla disconnessione è un pilastro fondamentale per salvaguardare la salute mentale e il benessere del personale e dà seguito alla proposta della Commissione sul diritto alla disconnessione; </w:t>
            </w:r>
            <w:r w:rsidRPr="00B37E26">
              <w:rPr>
                <w:b/>
                <w:bCs/>
                <w:i/>
                <w:iCs/>
              </w:rPr>
              <w:t>invita</w:t>
            </w:r>
            <w:r w:rsidRPr="00B37E26">
              <w:t xml:space="preserve"> le agenzie </w:t>
            </w:r>
            <w:r w:rsidRPr="00B37E26">
              <w:rPr>
                <w:b/>
                <w:bCs/>
                <w:i/>
                <w:iCs/>
              </w:rPr>
              <w:t>decentrate ad attuare strutture obbligatorie di sostegno alla salute mentale</w:t>
            </w:r>
            <w:r w:rsidRPr="00B37E26">
              <w:t>; osserva che nel 2022 diversi dipendenti hanno effettuato straordinari in 19 agenzie (13 nel 2021); osserva, in particolare, che un numero elevato di dipendenti ha effettuato straordinari presso l'EFSA (81 % del personale) ed Eurofound (97 % del personale);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104</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72</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72.</w:t>
            </w:r>
            <w:r w:rsidRPr="00B37E26">
              <w:tab/>
              <w:t>osserva che sono stati registrati casi di burnout (in totale 25) in sei agenzie, vale a dire l'AESA (cinque casi), l'AEA (quattro casi), l'EFCA (un caso), l'EFSA (due casi), l'EMA (dieci casi) ed Europol (tre casi); osserva tuttavia che non tutte le agenzie</w:t>
            </w:r>
            <w:r w:rsidRPr="00B37E26">
              <w:rPr>
                <w:b/>
                <w:i/>
              </w:rPr>
              <w:t>, tra cui l'ECDC, l'ECHA, l'EMSA, l'ENISA, l'ERA, la FRA e Frontex,</w:t>
            </w:r>
            <w:r w:rsidRPr="00B37E26">
              <w:t xml:space="preserve"> raccolgono dati relativi ai casi di burnout a causa della protezione dei dati; esprime preoccupazione per la mancata raccolta di dati medici, importanti per tenere traccia del benessere psicofisico del personale delle agenzie; esorta le agenzie ad adottare ulteriori misure per prevenire i casi di burnout; osserva che nel 2022 diversi dipendenti hanno effettuato straordinari in 19 agenzie (13 nel 2021); osserva, in particolare, che un numero elevato di dipendenti ha effettuato straordinari presso l'EFSA (81 % del personale) ed Eurofound (97 % del personale);</w:t>
            </w:r>
          </w:p>
        </w:tc>
        <w:tc>
          <w:tcPr>
            <w:tcW w:w="4876" w:type="dxa"/>
            <w:tcBorders>
              <w:top w:val="nil"/>
              <w:left w:val="nil"/>
              <w:bottom w:val="nil"/>
              <w:right w:val="nil"/>
            </w:tcBorders>
          </w:tcPr>
          <w:p w:rsidR="004A3213" w:rsidRPr="00B37E26" w:rsidRDefault="004A3213" w:rsidP="00D97434">
            <w:pPr>
              <w:pStyle w:val="Normal6a"/>
            </w:pPr>
            <w:r w:rsidRPr="00B37E26">
              <w:t>72.</w:t>
            </w:r>
            <w:r w:rsidRPr="00B37E26">
              <w:tab/>
              <w:t>osserva che sono stati registrati casi di burnout (in totale 25) in sei agenzie, vale a dire l'AESA (cinque casi), l'AEA (quattro casi), l'EFCA (un caso), l'EFSA (due casi), l'EMA (dieci casi) ed Europol (tre casi); osserva tuttavia che non tutte le agenzie raccolgono dati relativi ai casi di burnout a causa della protezione dei dati; esprime preoccupazione per la mancata raccolta di dati medici, importanti per tenere traccia del benessere psicofisico del personale delle agenzie; esorta le agenzie ad adottare ulteriori misure per prevenire i casi di burnout; osserva che nel 2022 diversi dipendenti hanno effettuato straordinari in 19 agenzie (13 nel 2021); osserva, in particolare, che un numero elevato di dipendenti ha effettuato straordinari presso l'EFSA (81 % del personale) ed Eurofound (97 % del personale);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105</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Jonas Sjöstedt</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72</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72.</w:t>
            </w:r>
            <w:r w:rsidRPr="00B37E26">
              <w:tab/>
              <w:t>osserva che sono stati registrati casi di burnout (in totale 25) in sei agenzie, vale a dire l'AESA (cinque casi), l'AEA (quattro casi), l'EFCA (un caso), l'EFSA (due casi), l'EMA (dieci casi) ed Europol (tre casi); osserva tuttavia che non tutte le agenzie, tra cui l'ECDC, l'ECHA, l'EMSA, l'ENISA, l'ERA, la FRA e Frontex, raccolgono dati relativi ai casi di burnout a causa della protezione dei dati; esprime preoccupazione per la mancata raccolta di dati medici, importanti per tenere traccia del benessere psicofisico del personale delle agenzie; esorta le agenzie ad adottare ulteriori misure per prevenire i casi di burnout; osserva che nel 2022 diversi dipendenti hanno effettuato straordinari in 19 agenzie (13 nel 2021); osserva, in particolare, che un numero elevato di dipendenti ha effettuato straordinari presso l'EFSA (81 % del personale) ed Eurofound (97 % del personale);</w:t>
            </w:r>
          </w:p>
        </w:tc>
        <w:tc>
          <w:tcPr>
            <w:tcW w:w="4876" w:type="dxa"/>
            <w:tcBorders>
              <w:top w:val="nil"/>
              <w:left w:val="nil"/>
              <w:bottom w:val="nil"/>
              <w:right w:val="nil"/>
            </w:tcBorders>
          </w:tcPr>
          <w:p w:rsidR="004A3213" w:rsidRPr="00B37E26" w:rsidRDefault="004A3213" w:rsidP="00D97434">
            <w:pPr>
              <w:pStyle w:val="Normal6a"/>
            </w:pPr>
            <w:r w:rsidRPr="00B37E26">
              <w:t>72.</w:t>
            </w:r>
            <w:r w:rsidRPr="00B37E26">
              <w:tab/>
              <w:t xml:space="preserve">osserva che sono stati registrati casi di burnout (in totale 25) in sei agenzie, vale a dire l'AESA (cinque casi), l'AEA (quattro casi), l'EFCA (un caso), l'EFSA (due casi), l'EMA (dieci casi) ed Europol (tre casi); osserva tuttavia che non tutte le agenzie, tra cui l'ECDC, l'ECHA, l'EMSA, l'ENISA, l'ERA, la FRA e Frontex, raccolgono dati relativi ai casi di burnout a causa della protezione dei dati; esprime preoccupazione per la mancata raccolta di dati medici, importanti per tenere traccia del benessere psicofisico del personale delle agenzie; esorta le agenzie ad adottare ulteriori misure per prevenire i casi di burnout; osserva che nel 2022 diversi dipendenti hanno effettuato straordinari in 19 agenzie (13 nel 2021); osserva, in particolare, che un numero elevato di dipendenti ha effettuato straordinari presso l'EFSA (81 % del personale) ed Eurofound (97 % del personale); </w:t>
            </w:r>
            <w:r w:rsidRPr="00B37E26">
              <w:rPr>
                <w:b/>
                <w:i/>
              </w:rPr>
              <w:t>sottolinea l'importanza di garantire un sano equilibrio tra vita professionale e vita privata per tutti, non da ultimo i membri del personale che sono genitori, e di lavorare costantemente per migliorare la salute e il benessere dei lavoratori; </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106</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Tomáš Zdechovský</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73</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73.</w:t>
            </w:r>
            <w:r w:rsidRPr="00B37E26">
              <w:tab/>
              <w:t xml:space="preserve">osserva </w:t>
            </w:r>
            <w:r w:rsidRPr="00B37E26">
              <w:rPr>
                <w:b/>
                <w:i/>
              </w:rPr>
              <w:t xml:space="preserve">con preoccupazione </w:t>
            </w:r>
            <w:r w:rsidRPr="00B37E26">
              <w:t>che, nel 2023, il tasso di avvicendamento del personale è stato superiore al 5 % in 18 agenzie su 33 (ossia Cedefop, CEPOL, ABE, EFCA, EIGE, EIOPA, EIT, ELA, EUDA, ETF, EUAA, eu-LISA, Eurofound, Eurojust, Europol, EUSPA) e che tre di esse hanno superato il tasso del 10 % (ossia BEREC, CdT, Eurojust); elogia le agenzie che hanno adottato misure mirate per evitare tassi di avvicendamento del personale elevati; sottolinea quanto sia importante che tutte le agenzie adottino misure volte a migliorare la gestione e la fidelizzazione dei talenti; fa affidamento sull'EUAN affinché agisca da forum per le sue agenzie associate per quanto riguarda lo scambio di buone pratiche e, ove possibile, per unire le forze al riguardo;</w:t>
            </w:r>
          </w:p>
        </w:tc>
        <w:tc>
          <w:tcPr>
            <w:tcW w:w="4876" w:type="dxa"/>
            <w:tcBorders>
              <w:top w:val="nil"/>
              <w:left w:val="nil"/>
              <w:bottom w:val="nil"/>
              <w:right w:val="nil"/>
            </w:tcBorders>
          </w:tcPr>
          <w:p w:rsidR="004A3213" w:rsidRPr="00B37E26" w:rsidRDefault="004A3213" w:rsidP="00D97434">
            <w:pPr>
              <w:pStyle w:val="Normal6a"/>
            </w:pPr>
            <w:r w:rsidRPr="00B37E26">
              <w:t>73.</w:t>
            </w:r>
            <w:r w:rsidRPr="00B37E26">
              <w:tab/>
              <w:t>osserva che, nel 2023, il tasso di avvicendamento del personale è stato superiore al 5 % in 18 agenzie su 33 (ossia Cedefop, CEPOL, ABE, EFCA, EIGE, EIOPA, EIT, ELA, EUDA, ETF, EUAA, eu-LISA, Eurofound, Eurojust, Europol, EUSPA) e che tre di esse hanno superato il tasso del 10 % (ossia BEREC, CdT, Eurojust); elogia le agenzie che hanno adottato misure mirate per evitare tassi di avvicendamento del personale elevati; sottolinea quanto sia importante che tutte le agenzie adottino misure volte a migliorare la gestione e la fidelizzazione dei talenti; fa affidamento sull'EUAN affinché agisca da forum per le sue agenzie associate per quanto riguarda lo scambio di buone pratiche e, ove possibile, per unire le forze al riguardo;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107</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Jonas Sjöstedt</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73</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73.</w:t>
            </w:r>
            <w:r w:rsidRPr="00B37E26">
              <w:tab/>
              <w:t>osserva con preoccupazione che, nel 2023, il tasso di avvicendamento del personale è stato superiore al 5 % in 18 agenzie su 33 (ossia Cedefop, CEPOL, ABE, EFCA, EIGE, EIOPA, EIT, ELA, EUDA, ETF, EUAA, eu-LISA, Eurofound, Eurojust, Europol, EUSPA) e che tre di esse hanno superato il tasso del 10 % (ossia BEREC, CdT, Eurojust); elogia le agenzie che hanno adottato misure mirate per evitare tassi di avvicendamento del personale elevati; sottolinea quanto sia importante che tutte le agenzie adottino misure volte a migliorare la gestione e la fidelizzazione dei talenti; fa affidamento sull'EUAN affinché agisca da forum per le sue agenzie associate per quanto riguarda lo scambio di buone pratiche e, ove possibile, per unire le forze al riguardo;</w:t>
            </w:r>
          </w:p>
        </w:tc>
        <w:tc>
          <w:tcPr>
            <w:tcW w:w="4876" w:type="dxa"/>
            <w:tcBorders>
              <w:top w:val="nil"/>
              <w:left w:val="nil"/>
              <w:bottom w:val="nil"/>
              <w:right w:val="nil"/>
            </w:tcBorders>
          </w:tcPr>
          <w:p w:rsidR="004A3213" w:rsidRPr="00B37E26" w:rsidRDefault="004A3213" w:rsidP="00D97434">
            <w:pPr>
              <w:pStyle w:val="Normal6a"/>
            </w:pPr>
            <w:r w:rsidRPr="00B37E26">
              <w:t>73.</w:t>
            </w:r>
            <w:r w:rsidRPr="00B37E26">
              <w:tab/>
              <w:t xml:space="preserve">osserva con preoccupazione che, nel 2023, il tasso di avvicendamento del personale è stato superiore al 5 % in 18 agenzie su 33 (ossia Cedefop, CEPOL, ABE, EFCA, EIGE, EIOPA, EIT, ELA, EUDA, ETF, EUAA, eu-LISA, Eurofound, Eurojust, Europol, EUSPA) e che tre di esse hanno superato il tasso del 10 % (ossia BEREC, CdT, Eurojust); elogia le agenzie che hanno adottato misure mirate per evitare tassi di avvicendamento del personale elevati; sottolinea quanto sia importante che tutte le agenzie adottino misure volte a migliorare la gestione e la fidelizzazione dei talenti; fa affidamento sull'EUAN affinché agisca da forum per le sue agenzie associate per quanto riguarda lo scambio di buone pratiche e, ove possibile, per unire le forze al riguardo; </w:t>
            </w:r>
            <w:r w:rsidRPr="00B37E26">
              <w:rPr>
                <w:b/>
                <w:i/>
              </w:rPr>
              <w:t>invita la Commissione a sostenere attivamente le agenzie affinché assumano personale con le competenze necessarie ad adempiere ai rispettivi mandati, incoraggiando una più stretta cooperazione con le università e le altre istituzioni pertinenti; </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108</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74</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74.</w:t>
            </w:r>
            <w:r w:rsidRPr="00B37E26">
              <w:tab/>
              <w:t>sottolinea che l'equilibrio geografico rappresenta ancora una sfida per diverse agenzie, per le quali una percentuale considerevole del personale complessivo è costituita da cittadini dello Stato membro in cui hanno sede le agenzie;</w:t>
            </w:r>
          </w:p>
        </w:tc>
        <w:tc>
          <w:tcPr>
            <w:tcW w:w="4876" w:type="dxa"/>
            <w:tcBorders>
              <w:top w:val="nil"/>
              <w:left w:val="nil"/>
              <w:bottom w:val="nil"/>
              <w:right w:val="nil"/>
            </w:tcBorders>
          </w:tcPr>
          <w:p w:rsidR="004A3213" w:rsidRPr="00B37E26" w:rsidRDefault="004A3213" w:rsidP="00D97434">
            <w:pPr>
              <w:pStyle w:val="Normal6a"/>
            </w:pPr>
            <w:r w:rsidRPr="00B37E26">
              <w:t>74.</w:t>
            </w:r>
            <w:r w:rsidRPr="00B37E26">
              <w:tab/>
              <w:t xml:space="preserve">sottolinea che l'equilibrio geografico rappresenta ancora una sfida per diverse agenzie, per le quali una percentuale considerevole del personale complessivo è costituita da cittadini dello Stato membro in cui hanno sede le agenzie; </w:t>
            </w:r>
            <w:r w:rsidRPr="00B37E26">
              <w:rPr>
                <w:b/>
                <w:i/>
              </w:rPr>
              <w:t>ritiene, tuttavia, che tale equilibrio non debba essere ricercato ciecamente a scapito della qualità delle candidature, criterio che dovrebbe prevalere nella procedura di selezione del personale;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109</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Tomáš Zdechovský</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75</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75.</w:t>
            </w:r>
            <w:r w:rsidRPr="00B37E26">
              <w:tab/>
              <w:t>ricorda che le agenzie situate in paesi con coefficienti correttori relativamente bassi si trovano ad affrontare continue sfide nell'attrarre personale qualificato e geograficamente diversificato;</w:t>
            </w:r>
          </w:p>
        </w:tc>
        <w:tc>
          <w:tcPr>
            <w:tcW w:w="4876" w:type="dxa"/>
            <w:tcBorders>
              <w:top w:val="nil"/>
              <w:left w:val="nil"/>
              <w:bottom w:val="nil"/>
              <w:right w:val="nil"/>
            </w:tcBorders>
          </w:tcPr>
          <w:p w:rsidR="004A3213" w:rsidRPr="00B37E26" w:rsidRDefault="004A3213" w:rsidP="00D97434">
            <w:pPr>
              <w:pStyle w:val="Normal6a"/>
            </w:pPr>
            <w:r w:rsidRPr="00B37E26">
              <w:t>75.</w:t>
            </w:r>
            <w:r w:rsidRPr="00B37E26">
              <w:tab/>
              <w:t xml:space="preserve">ricorda che le agenzie situate in paesi con coefficienti correttori relativamente bassi si trovano ad affrontare continue sfide nell'attrarre personale qualificato e geograficamente diversificato; </w:t>
            </w:r>
            <w:r w:rsidRPr="00B37E26">
              <w:rPr>
                <w:b/>
                <w:i/>
              </w:rPr>
              <w:t>chiede incentivi economici sistemici da parte delle regioni geograficamente sottorappresentate;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110</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75</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75.</w:t>
            </w:r>
            <w:r w:rsidRPr="00B37E26">
              <w:tab/>
              <w:t>ricorda che le agenzie situate in paesi con coefficienti correttori relativamente bassi si trovano ad affrontare continue sfide nell'attrarre personale qualificato e geograficamente diversificato;</w:t>
            </w:r>
          </w:p>
        </w:tc>
        <w:tc>
          <w:tcPr>
            <w:tcW w:w="4876" w:type="dxa"/>
            <w:tcBorders>
              <w:top w:val="nil"/>
              <w:left w:val="nil"/>
              <w:bottom w:val="nil"/>
              <w:right w:val="nil"/>
            </w:tcBorders>
          </w:tcPr>
          <w:p w:rsidR="004A3213" w:rsidRPr="00B37E26" w:rsidRDefault="004A3213" w:rsidP="00D97434">
            <w:pPr>
              <w:pStyle w:val="Normal6a"/>
            </w:pPr>
            <w:r w:rsidRPr="00B37E26">
              <w:t>75.</w:t>
            </w:r>
            <w:r w:rsidRPr="00B37E26">
              <w:tab/>
              <w:t>ricorda che le agenzie situate in paesi con coefficienti correttori relativamente bassi si trovano ad affrontare continue sfide nell'attrarre personale qualificato e geograficamente diversificato</w:t>
            </w:r>
            <w:r w:rsidRPr="00B37E26">
              <w:rPr>
                <w:b/>
                <w:i/>
              </w:rPr>
              <w:t xml:space="preserve"> e invita la Commissione a trattare con urgenza la situazione</w:t>
            </w:r>
            <w:r w:rsidRPr="00B37E26">
              <w:t>;</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111</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75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75 bis.</w:t>
            </w:r>
            <w:r w:rsidRPr="00B37E26">
              <w:tab/>
            </w:r>
            <w:r w:rsidRPr="00B37E26">
              <w:rPr>
                <w:b/>
                <w:i/>
              </w:rPr>
              <w:t>invita le agenzie ad astenersi dal promuovere, diffondere e sostenere ideologie di genere e woke e a rispettare il trattato e le sue disposizioni, nonché a rispettare le identità nazionali degli Stati membri, insite nelle loro strutture fondamentali, nella loro storia, nella loro religione e nelle loro tradizioni;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112</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76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76 bis.</w:t>
            </w:r>
            <w:r w:rsidRPr="00B37E26">
              <w:tab/>
            </w:r>
            <w:r w:rsidRPr="00B37E26">
              <w:rPr>
                <w:b/>
                <w:i/>
              </w:rPr>
              <w:t>osserva che, sulla base delle risposte scritte all'autorità di discarico, le agenzie si avvalgono di consulenti esterni principalmente nel settore delle TIC; osserva inoltre che alcune agenzie ricorrono in larga misura a consulenti esterni, dai quali sono fortemente dipendenti anche nei settori delle loro competenze fondamentali, e che tali consulenze esterne rappresentano una parte significativa del loro bilancio operativo (ad esempio ACER, ETF, ELA, ecc.);</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113</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76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76 bis.</w:t>
            </w:r>
            <w:r w:rsidRPr="00B37E26">
              <w:tab/>
            </w:r>
            <w:r w:rsidRPr="00B37E26">
              <w:rPr>
                <w:b/>
                <w:i/>
              </w:rPr>
              <w:t>ricorda il trattato sull'Unione europea, in virtù del quale l'UE e le sue istituzioni promuovono la solidarietà e la parità tra donne e uomini;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114</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 Claudiu Manda</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77</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77.</w:t>
            </w:r>
            <w:r w:rsidRPr="00B37E26">
              <w:tab/>
              <w:t>invita tutte le agenzie a privilegiare il personale permanente rispetto ai consulenti esterni e al personale a contratto, onde garantire condizioni di lavoro di qualità ed evitare la perdita di sapere ed esperienza;</w:t>
            </w:r>
          </w:p>
        </w:tc>
        <w:tc>
          <w:tcPr>
            <w:tcW w:w="4876" w:type="dxa"/>
            <w:tcBorders>
              <w:top w:val="nil"/>
              <w:left w:val="nil"/>
              <w:bottom w:val="nil"/>
              <w:right w:val="nil"/>
            </w:tcBorders>
          </w:tcPr>
          <w:p w:rsidR="004A3213" w:rsidRPr="00B37E26" w:rsidRDefault="004A3213" w:rsidP="00D97434">
            <w:pPr>
              <w:pStyle w:val="Normal6a"/>
            </w:pPr>
            <w:r w:rsidRPr="00B37E26">
              <w:t>77.</w:t>
            </w:r>
            <w:r w:rsidRPr="00B37E26">
              <w:tab/>
              <w:t xml:space="preserve">invita tutte le agenzie a privilegiare il personale permanente rispetto ai consulenti esterni e al personale a contratto, </w:t>
            </w:r>
            <w:r w:rsidRPr="00B37E26">
              <w:rPr>
                <w:b/>
                <w:i/>
              </w:rPr>
              <w:t xml:space="preserve">assegnando la priorità all'occupazione a lungo termine e tenendo nel contempo conto dell'inflazione, </w:t>
            </w:r>
            <w:r w:rsidRPr="00B37E26">
              <w:t xml:space="preserve">onde garantire condizioni di lavoro di qualità ed evitare la perdita di sapere ed esperienza; </w:t>
            </w:r>
            <w:r w:rsidRPr="00B37E26">
              <w:rPr>
                <w:b/>
                <w:i/>
              </w:rPr>
              <w:t>ricorda che i compiti delle agenzie evolvono in linea con le priorità strategiche e sottolinea che le nuove responsabilità devono essere accompagnate da risorse adeguate; chiede flessibilità per consentire alle agenzie di convertire i posti di esperti nazionali distaccati in posti di agenti temporanei, al fine di garantire una migliore conservazione delle competenze e la funzionalità e la continuità operative;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115</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77</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77.</w:t>
            </w:r>
            <w:r w:rsidRPr="00B37E26">
              <w:tab/>
              <w:t>invita tutte le agenzie a privilegiare il personale permanente rispetto ai consulenti esterni e al personale a contratto, onde garantire condizioni di lavoro di qualità ed evitare la perdita di sapere ed esperienza;</w:t>
            </w:r>
          </w:p>
        </w:tc>
        <w:tc>
          <w:tcPr>
            <w:tcW w:w="4876" w:type="dxa"/>
            <w:tcBorders>
              <w:top w:val="nil"/>
              <w:left w:val="nil"/>
              <w:bottom w:val="nil"/>
              <w:right w:val="nil"/>
            </w:tcBorders>
          </w:tcPr>
          <w:p w:rsidR="004A3213" w:rsidRPr="00B37E26" w:rsidRDefault="004A3213" w:rsidP="00D97434">
            <w:pPr>
              <w:pStyle w:val="Normal6a"/>
            </w:pPr>
            <w:r w:rsidRPr="00B37E26">
              <w:t>77.</w:t>
            </w:r>
            <w:r w:rsidRPr="00B37E26">
              <w:tab/>
              <w:t xml:space="preserve">invita tutte le agenzie a privilegiare il personale permanente rispetto ai consulenti esterni e al personale a contratto, onde garantire condizioni di lavoro di qualità ed evitare la perdita di sapere ed esperienza; </w:t>
            </w:r>
            <w:r w:rsidRPr="00B37E26">
              <w:rPr>
                <w:b/>
                <w:i/>
              </w:rPr>
              <w:t>chiede, a tale proposito, di prevedere flessibilità per consentire alle agenzie con un'elevata percentuale di esperti nazionali distaccati nella tabella dell'organico di convertire i posti di END in posti di agenti temporanei, al fine di garantire una migliore conservazione delle competenze e la funzionalità e la continuità operative; insiste inoltre sulla necessità di evitare l'esternalizzazione dei compiti alle società di consulenza quando le competenze disponibili possono essere reperite internamente;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116</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Jonas Sjöstedt</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77</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77.</w:t>
            </w:r>
            <w:r w:rsidRPr="00B37E26">
              <w:tab/>
              <w:t>invita tutte le agenzie a privilegiare il personale permanente rispetto ai consulenti esterni e al personale a contratto, onde garantire condizioni di lavoro di qualità ed evitare la perdita di sapere ed esperienza;</w:t>
            </w:r>
          </w:p>
        </w:tc>
        <w:tc>
          <w:tcPr>
            <w:tcW w:w="4876" w:type="dxa"/>
            <w:tcBorders>
              <w:top w:val="nil"/>
              <w:left w:val="nil"/>
              <w:bottom w:val="nil"/>
              <w:right w:val="nil"/>
            </w:tcBorders>
          </w:tcPr>
          <w:p w:rsidR="004A3213" w:rsidRPr="00B37E26" w:rsidRDefault="004A3213" w:rsidP="00D97434">
            <w:pPr>
              <w:pStyle w:val="Normal6a"/>
            </w:pPr>
            <w:r w:rsidRPr="00B37E26">
              <w:t>77.</w:t>
            </w:r>
            <w:r w:rsidRPr="00B37E26">
              <w:tab/>
              <w:t xml:space="preserve">invita tutte le agenzie a privilegiare il personale permanente rispetto ai consulenti esterni e al personale a contratto, onde garantire condizioni di lavoro di qualità ed evitare la perdita di sapere ed esperienza; </w:t>
            </w:r>
            <w:r w:rsidRPr="00B37E26">
              <w:rPr>
                <w:b/>
                <w:i/>
              </w:rPr>
              <w:t>sottolinea che l'incertezza occupazionale dovuta ai contratti a breve termine dovrebbe essere evitata; </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117</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78</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78.</w:t>
            </w:r>
            <w:r w:rsidRPr="00B37E26">
              <w:tab/>
              <w:t>prende atto di un lieve miglioramento della distribuzione di genere nel 2023 rispetto al 2022 a livello di alta e media dirigenza</w:t>
            </w:r>
            <w:r w:rsidRPr="00B37E26">
              <w:rPr>
                <w:b/>
                <w:i/>
              </w:rPr>
              <w:t>, con il 64 % di uomini e il 36 % di donne (rispettivamente 67 % e 33 % nel 2022),</w:t>
            </w:r>
            <w:r w:rsidRPr="00B37E26">
              <w:t xml:space="preserve"> e dei membri del consiglio di amministrazione</w:t>
            </w:r>
            <w:r w:rsidRPr="00B37E26">
              <w:rPr>
                <w:b/>
                <w:i/>
              </w:rPr>
              <w:t>, con il 58 % di uomini e il 42 % di donne (rispettivamente 60 % e 40 % nel 2022)</w:t>
            </w:r>
            <w:r w:rsidRPr="00B37E26">
              <w:t>; osserva che l'equilibrio di genere riferito al personale nel suo complesso non è cambiato</w:t>
            </w:r>
            <w:r w:rsidRPr="00B37E26">
              <w:rPr>
                <w:b/>
                <w:i/>
              </w:rPr>
              <w:t>, con il 54 % di uomini e il 46 % di donne (rispettivamente il 54 % e il 46 % nel 2022)</w:t>
            </w:r>
            <w:r w:rsidRPr="00B37E26">
              <w:t>; invita le agenzie ad adoperarsi per migliorare ulteriormente l'equilibrio di genere a livello di alta dirigenza;</w:t>
            </w:r>
            <w:r w:rsidRPr="00B37E26">
              <w:rPr>
                <w:b/>
                <w:i/>
              </w:rPr>
              <w:t xml:space="preserve"> invita in particolare le seguenti agenzie a incoraggiare e sostenere le donne a candidarsi a posizioni dirigenziali poiché si ravvisa una distribuzione di genere non equilibrata: ACER, Ufficio BEREC, Cedefop, ECDC, ECHA, EFSA, EIOPA, OEDT, EMSA, ENISA, ERA, eu-LISA, ELA, Europol, EUAA, EUSPA, Frontex;</w:t>
            </w:r>
            <w:r w:rsidRPr="00B37E26">
              <w:t xml:space="preserve"> ribadisce il suo invito alla Commissione e agli Stati membri a rispettare l'equilibrio di genere al momento della designazione e della nomina dei membri della dirigenza o dei consigli di amministrazione; ricorda l'ambizione delle agenzie di allinearsi alla Commissione per raggiungere un equilibrio di genere pari al 50 % a tutti i livelli dirigenziali entro la fine del 2025;</w:t>
            </w:r>
          </w:p>
        </w:tc>
        <w:tc>
          <w:tcPr>
            <w:tcW w:w="4876" w:type="dxa"/>
            <w:tcBorders>
              <w:top w:val="nil"/>
              <w:left w:val="nil"/>
              <w:bottom w:val="nil"/>
              <w:right w:val="nil"/>
            </w:tcBorders>
          </w:tcPr>
          <w:p w:rsidR="004A3213" w:rsidRPr="00B37E26" w:rsidRDefault="004A3213" w:rsidP="00D97434">
            <w:pPr>
              <w:pStyle w:val="Normal6a"/>
            </w:pPr>
            <w:r w:rsidRPr="00B37E26">
              <w:t>78.</w:t>
            </w:r>
            <w:r w:rsidRPr="00B37E26">
              <w:tab/>
              <w:t>prende atto di un lieve miglioramento della distribuzione di genere nel 2023 rispetto al 2022 a livello di alta e media dirigenza e dei membri del consiglio di amministrazione; osserva che l'equilibrio di genere riferito al personale nel suo complesso non è cambiato; invita le agenzie ad adoperarsi per migliorare ulteriormente l'equilibrio di genere a livello di alta dirigenza</w:t>
            </w:r>
            <w:r w:rsidRPr="00B37E26">
              <w:rPr>
                <w:b/>
                <w:i/>
              </w:rPr>
              <w:t>, tenendo anche conto dell'attività specifica di ciascuna agenzia</w:t>
            </w:r>
            <w:r w:rsidRPr="00B37E26">
              <w:t>; ribadisce il suo invito alla Commissione e agli Stati membri a rispettare l'equilibrio di genere al momento della designazione e della nomina dei membri della dirigenza o dei consigli di amministrazione; ricorda l'ambizione delle agenzie di allinearsi alla Commissione per raggiungere un equilibrio di genere pari al 50 % a tutti i livelli dirigenziali entro la fine del 2025;</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118</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Gilles Boyer, Olivier Chastel, Vlad Vasile-Voiculescu, Michal Wiezik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78</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78.</w:t>
            </w:r>
            <w:r w:rsidRPr="00B37E26">
              <w:tab/>
              <w:t>prende atto di un lieve miglioramento della distribuzione di genere nel 2023 rispetto al 2022 a livello di alta e media dirigenza, con il 64 % di uomini e il 36 % di donne (rispettivamente 67 % e 33 % nel 2022), e dei membri del consiglio di amministrazione, con il 58 % di uomini e il 42 % di donne (rispettivamente 60 % e 40 % nel 2022); osserva che l'equilibrio di genere riferito al personale nel suo complesso non è cambiato, con il 54 % di uomini e il 46 % di donne (rispettivamente il 54 % e il 46 % nel 2022); invita le agenzie ad adoperarsi per migliorare ulteriormente l'equilibrio di genere a livello di alta dirigenza; invita in particolare le seguenti agenzie a incoraggiare e sostenere le donne a candidarsi a posizioni dirigenziali poiché si ravvisa una distribuzione di genere non equilibrata: ACER, Ufficio BEREC, Cedefop, ECDC, ECHA, EFSA, EIOPA, OEDT, EMSA, ENISA, ERA, eu-LISA, ELA, Europol, EUAA, EUSPA, Frontex; ribadisce il suo invito alla Commissione e agli Stati membri a rispettare l'equilibrio di genere al momento della designazione e della nomina dei membri della dirigenza o dei consigli di amministrazione; ricorda l'ambizione delle agenzie di allinearsi alla Commissione per raggiungere un equilibrio di genere pari al 50 % a tutti i livelli dirigenziali entro la fine del 2025;</w:t>
            </w:r>
          </w:p>
        </w:tc>
        <w:tc>
          <w:tcPr>
            <w:tcW w:w="4876" w:type="dxa"/>
            <w:tcBorders>
              <w:top w:val="nil"/>
              <w:left w:val="nil"/>
              <w:bottom w:val="nil"/>
              <w:right w:val="nil"/>
            </w:tcBorders>
          </w:tcPr>
          <w:p w:rsidR="004A3213" w:rsidRPr="00B37E26" w:rsidRDefault="004A3213" w:rsidP="00D97434">
            <w:pPr>
              <w:pStyle w:val="Normal6a"/>
            </w:pPr>
            <w:r w:rsidRPr="00B37E26">
              <w:t>78.</w:t>
            </w:r>
            <w:r w:rsidRPr="00B37E26">
              <w:tab/>
              <w:t xml:space="preserve">prende atto di un lieve miglioramento della distribuzione di genere nel 2023 rispetto al 2022 a livello di alta e media dirigenza, con il 64 % di uomini e il 36 % di donne (rispettivamente 67 % e 33 % nel 2022), e dei membri del consiglio di amministrazione, con il 58 % di uomini e il 42 % di donne (rispettivamente 60 % e 40 % nel 2022); osserva che l'equilibrio di genere riferito al personale nel suo complesso non è cambiato, con il 54 % di uomini e il 46 % di donne (rispettivamente il 54 % e il 46 % nel 2022); invita le agenzie ad adoperarsi per migliorare ulteriormente l'equilibrio di genere a livello di alta dirigenza; invita in particolare le seguenti agenzie a incoraggiare e sostenere le donne a candidarsi a posizioni dirigenziali poiché si ravvisa una distribuzione di genere non equilibrata: ACER, Ufficio BEREC, Cedefop, ECDC, ECHA, EFSA, EIOPA, OEDT, EMSA, ENISA, ERA, eu-LISA, ELA, Europol, EUAA, EUSPA, Frontex; ribadisce il suo invito alla Commissione e agli Stati membri a rispettare l'equilibrio di genere al momento della designazione e della nomina dei membri della dirigenza o dei consigli di amministrazione; ricorda l'ambizione delle agenzie di allinearsi alla Commissione per raggiungere un equilibrio di genere pari al 50 % a tutti i livelli dirigenziali entro la fine del 2025; </w:t>
            </w:r>
            <w:r w:rsidRPr="00B37E26">
              <w:rPr>
                <w:b/>
                <w:i/>
              </w:rPr>
              <w:t>invita le agenzie a continuare a tenere conto di tali aspetti per tutte le future assunzioni di nuovo personale e nelle nomine degli alti dirigenti;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119</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 Claudiu Manda, José Cepeda</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78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78 bis.</w:t>
            </w:r>
            <w:r w:rsidRPr="00B37E26">
              <w:tab/>
            </w:r>
            <w:r w:rsidRPr="00B37E26">
              <w:rPr>
                <w:b/>
                <w:i/>
              </w:rPr>
              <w:t>esorta le agenzie decentrate a rafforzare le politiche in materia di parità di genere a tutti i livelli, garantendo pari opportunità in materia di assunzione, avanzamento di carriera e condizioni di lavoro per tutto il personale; invita le agenzie a sviluppare strategie globali in materia di diversità e inclusione che promuovano l'equità e l'equilibrio nella valutazione dei progressi e dei settori da migliorare; sottolinea che entro la fine del 2025 le agenzie devono affrontare il divario retributivo di genere per allinearsi agli obiettivi dell'UE in materia di parità di genere;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120</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Erik Marquardt</w:t>
      </w:r>
      <w:r w:rsidRPr="00B37E26">
        <w:rPr>
          <w:rStyle w:val="HideTWBExt"/>
          <w:b w:val="0"/>
        </w:rPr>
        <w:t>&lt;/Members&gt;</w:t>
      </w:r>
    </w:p>
    <w:p w:rsidR="004A3213" w:rsidRPr="00B37E26" w:rsidRDefault="004A3213" w:rsidP="004A3213">
      <w:r w:rsidRPr="00B37E26">
        <w:rPr>
          <w:rStyle w:val="HideTWBExt"/>
        </w:rPr>
        <w:t>&lt;AuNomDe&gt;</w:t>
      </w:r>
      <w:r w:rsidRPr="00B37E26">
        <w:rPr>
          <w:rStyle w:val="HideTWBInt"/>
        </w:rPr>
        <w:t>{Greens/EFA}</w:t>
      </w:r>
      <w:r w:rsidRPr="00B37E26">
        <w:t>a nome del gruppo Verts/ALE</w:t>
      </w:r>
      <w:r w:rsidRPr="00B37E26">
        <w:rPr>
          <w:rStyle w:val="HideTWBExt"/>
        </w:rPr>
        <w:t>&lt;/AuNomDe&gt;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78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78 bis.</w:t>
            </w:r>
            <w:r w:rsidRPr="00B37E26">
              <w:tab/>
            </w:r>
            <w:r w:rsidRPr="00B37E26">
              <w:rPr>
                <w:b/>
                <w:i/>
              </w:rPr>
              <w:t>incoraggia tutte le agenzie ad adottare e attuare solide strategie in materia di diversità e inclusione, garantendo pari opportunità e rappresentanza delle donne e delle minoranze nelle posizioni dirigenziali; invita le agenzie a pubblicare una relazione annuale sul divario retributivo di genere e ad adottare misure concrete per colmare eventuali divari individuati; esorta la Commissione a valutare il rispetto di tali principi nel processo annuale di discarico;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121</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Gilles Boyer, Olivier Chastel, Vlad Vasile-Voiculescu, Michal Wiezik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79</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79.</w:t>
            </w:r>
            <w:r w:rsidRPr="00B37E26">
              <w:tab/>
              <w:t>osserva che tutte le agenzie hanno messo in atto misure per migliorare il benessere del personale sul posto di lavoro e l'equilibrio tra lavoro e vita privata; rileva che il numero e l'impatto di tali misure variano ampiamente da un'agenzia all'altra e che non sembra esistere un quadro di riferimento comune tra le agenzie; invita l'EUAN a coordinare gli sforzi per lo sviluppo di un quadro comune di riferimento al riguardo; prende atto con soddisfazione che la grande maggioranza delle agenzie ha messo in atto misure per l'integrazione delle persone con disabilità; incoraggia le agenzie a mantenere buone pratiche di inclusione e benessere del personale; invita le agenzie a fornire formazioni pertinenti e regolari al loro personale;</w:t>
            </w:r>
          </w:p>
        </w:tc>
        <w:tc>
          <w:tcPr>
            <w:tcW w:w="4876" w:type="dxa"/>
            <w:tcBorders>
              <w:top w:val="nil"/>
              <w:left w:val="nil"/>
              <w:bottom w:val="nil"/>
              <w:right w:val="nil"/>
            </w:tcBorders>
          </w:tcPr>
          <w:p w:rsidR="004A3213" w:rsidRPr="00B37E26" w:rsidRDefault="004A3213" w:rsidP="00D97434">
            <w:pPr>
              <w:pStyle w:val="Normal6a"/>
            </w:pPr>
            <w:r w:rsidRPr="00B37E26">
              <w:t>79.</w:t>
            </w:r>
            <w:r w:rsidRPr="00B37E26">
              <w:tab/>
              <w:t>osserva che tutte le agenzie hanno messo in atto misure per migliorare il benessere del personale sul posto di lavoro e l'equilibrio tra lavoro e vita privata; rileva che il numero e l'impatto di tali misure variano ampiamente da un'agenzia all'altra e che non sembra esistere un quadro di riferimento comune tra le agenzie; invita l'EUAN a coordinare gli sforzi per lo sviluppo di un quadro comune di riferimento al riguardo; prende atto con soddisfazione che la grande maggioranza delle agenzie ha messo in atto misure per l'integrazione delle persone con disabilità; incoraggia le agenzie a mantenere buone pratiche di inclusione e benessere del personale</w:t>
            </w:r>
            <w:r w:rsidRPr="00B37E26">
              <w:rPr>
                <w:b/>
                <w:i/>
              </w:rPr>
              <w:t xml:space="preserve"> e più in generale a perseguire lo sviluppo di un quadro a lungo termine per le politiche in materia di risorse umane che continui ad affrontare l'equilibrio tra vita professionale e vita privata, l'apprendimento permanente e lo sviluppo della carriera, l'equilibrio di genere, il telelavoro, l'equilibrio geografico e l'assunzione e l'integrazione delle persone con disabilità; sottolinea il ruolo utile che lo scambio delle migliori pratiche può svolgere in questo ambito</w:t>
            </w:r>
            <w:r w:rsidRPr="00B37E26">
              <w:t>; invita le agenzie a fornire formazioni pertinenti e regolari al loro personale;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122</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Jonas Sjöstedt</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79</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79.</w:t>
            </w:r>
            <w:r w:rsidRPr="00B37E26">
              <w:tab/>
              <w:t>osserva che tutte le agenzie hanno messo in atto misure per migliorare il benessere del personale sul posto di lavoro e l'equilibrio tra lavoro e vita privata; rileva che il numero e l'impatto di tali misure variano ampiamente da un'agenzia all'altra e che non sembra esistere un quadro di riferimento comune tra le agenzie; invita l'EUAN a coordinare gli sforzi per lo sviluppo di un quadro comune di riferimento al riguardo; prende atto con soddisfazione che la grande maggioranza delle agenzie ha messo in atto misure per l'integrazione delle persone con disabilità; incoraggia le agenzie a mantenere buone pratiche di inclusione e benessere del personale; invita le agenzie a fornire formazioni pertinenti e regolari al loro personale;</w:t>
            </w:r>
          </w:p>
        </w:tc>
        <w:tc>
          <w:tcPr>
            <w:tcW w:w="4876" w:type="dxa"/>
            <w:tcBorders>
              <w:top w:val="nil"/>
              <w:left w:val="nil"/>
              <w:bottom w:val="nil"/>
              <w:right w:val="nil"/>
            </w:tcBorders>
          </w:tcPr>
          <w:p w:rsidR="004A3213" w:rsidRPr="00B37E26" w:rsidRDefault="004A3213" w:rsidP="00D97434">
            <w:pPr>
              <w:pStyle w:val="Normal6a"/>
            </w:pPr>
            <w:r w:rsidRPr="00B37E26">
              <w:t>79.</w:t>
            </w:r>
            <w:r w:rsidRPr="00B37E26">
              <w:tab/>
              <w:t xml:space="preserve">osserva che tutte le agenzie hanno messo in atto misure per migliorare il benessere del personale sul posto di lavoro e l'equilibrio tra lavoro e vita privata; rileva che il numero e l'impatto di tali misure variano ampiamente da un'agenzia all'altra e che non sembra esistere un quadro di riferimento comune tra le agenzie; invita l'EUAN a coordinare gli sforzi per lo sviluppo di un quadro comune di riferimento al riguardo; prende atto con soddisfazione che la grande maggioranza delle agenzie ha messo in atto misure per l'integrazione delle persone con disabilità; incoraggia le agenzie </w:t>
            </w:r>
            <w:r w:rsidRPr="00B37E26">
              <w:rPr>
                <w:b/>
                <w:i/>
              </w:rPr>
              <w:t xml:space="preserve">che ancora non lo hanno fatto a mettere in atto tali misure; incoraggia le agenzie </w:t>
            </w:r>
            <w:r w:rsidRPr="00B37E26">
              <w:t xml:space="preserve">a mantenere buone pratiche di inclusione e benessere del personale; invita le agenzie a fornire formazioni pertinenti e regolari al loro personale; </w:t>
            </w:r>
            <w:r w:rsidRPr="00B37E26">
              <w:rPr>
                <w:b/>
                <w:i/>
              </w:rPr>
              <w:t>sottolinea l'importanza di intensificare gli sforzi per conseguire l'equilibrio geografico e di genere tra il personale istituzionale e a livello di alta dirigenza; ricorda alle agenzie a tale riguardo l'importanza di tutelare l'equilibrio tra vita professionale e vita privata; </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123</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Gilles Boyer, Olivier Chastel, Vlad Vasile-Voiculescu, Michal Wiezik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79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79 bis.</w:t>
            </w:r>
            <w:r w:rsidRPr="00B37E26">
              <w:tab/>
            </w:r>
            <w:r w:rsidRPr="00B37E26">
              <w:rPr>
                <w:b/>
                <w:i/>
              </w:rPr>
              <w:t>incoraggia tutte le agenzie ad attuare una politica volta a salvaguardare la dignità personale e a prevenire le molestie psicologiche e sessuali, così come a partecipare alla task force interagenzie di consulenti di fiducia; chiede relazioni periodiche sulle loro azioni e sui progressi compiuti in tale ambito;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124</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Tomáš Zdechovský</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80</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80.</w:t>
            </w:r>
            <w:r w:rsidRPr="00B37E26">
              <w:tab/>
            </w:r>
            <w:r w:rsidRPr="00B37E26">
              <w:rPr>
                <w:b/>
                <w:i/>
              </w:rPr>
              <w:t>sottolinea</w:t>
            </w:r>
            <w:r w:rsidRPr="00B37E26">
              <w:t xml:space="preserve"> che il conflitto di interessi percepito può costituire un rischio di discredito per l'agenzia, anche se risulta infondato; </w:t>
            </w:r>
            <w:r w:rsidRPr="00B37E26">
              <w:rPr>
                <w:b/>
                <w:i/>
              </w:rPr>
              <w:t>ritiene pertanto, pur tenendo in debita considerazione la proporzionalità, che il rischio di un conflitto di interessi percepito debba essere trattato come un conflitto effettivo;</w:t>
            </w:r>
          </w:p>
        </w:tc>
        <w:tc>
          <w:tcPr>
            <w:tcW w:w="4876" w:type="dxa"/>
            <w:tcBorders>
              <w:top w:val="nil"/>
              <w:left w:val="nil"/>
              <w:bottom w:val="nil"/>
              <w:right w:val="nil"/>
            </w:tcBorders>
          </w:tcPr>
          <w:p w:rsidR="004A3213" w:rsidRPr="00B37E26" w:rsidRDefault="004A3213" w:rsidP="00D97434">
            <w:pPr>
              <w:pStyle w:val="Normal6a"/>
            </w:pPr>
            <w:r w:rsidRPr="00B37E26">
              <w:t>80.</w:t>
            </w:r>
            <w:r w:rsidRPr="00B37E26">
              <w:tab/>
            </w:r>
            <w:r w:rsidRPr="00B37E26">
              <w:rPr>
                <w:b/>
                <w:i/>
              </w:rPr>
              <w:t>osserva</w:t>
            </w:r>
            <w:r w:rsidRPr="00B37E26">
              <w:t xml:space="preserve"> che il conflitto di interessi percepito può costituire un rischio di discredito per l'agenzia, anche se risulta infondato;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125</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80</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80.</w:t>
            </w:r>
            <w:r w:rsidRPr="00B37E26">
              <w:tab/>
              <w:t>sottolinea che il conflitto di interessi percepito può costituire un rischio di discredito per l'agenzia, anche se risulta infondato; ritiene pertanto, pur tenendo in debita considerazione la proporzionalità, che il rischio di un conflitto di interessi percepito</w:t>
            </w:r>
            <w:r w:rsidRPr="00B37E26">
              <w:rPr>
                <w:b/>
                <w:i/>
              </w:rPr>
              <w:t xml:space="preserve"> debba essere trattato come un conflitto effettivo</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80.</w:t>
            </w:r>
            <w:r w:rsidRPr="00B37E26">
              <w:tab/>
              <w:t xml:space="preserve">sottolinea che il conflitto di interessi percepito può costituire un rischio di discredito per l'agenzia, anche se risulta infondato; ritiene pertanto, pur tenendo in debita considerazione la proporzionalità, che </w:t>
            </w:r>
            <w:r w:rsidRPr="00B37E26">
              <w:rPr>
                <w:b/>
                <w:bCs/>
                <w:i/>
                <w:iCs/>
              </w:rPr>
              <w:t>occorra affrontare anche</w:t>
            </w:r>
            <w:r w:rsidRPr="00B37E26">
              <w:t xml:space="preserve"> il rischio di un conflitto di interessi percepito;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126</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80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80 bis.</w:t>
            </w:r>
            <w:r w:rsidRPr="00B37E26">
              <w:tab/>
            </w:r>
            <w:r w:rsidRPr="00B37E26">
              <w:rPr>
                <w:b/>
                <w:i/>
              </w:rPr>
              <w:t>sottolinea che è stato dimostrato che gli interessi finanziari dell'Unione europea non sono stati adeguatamente tutelati in seno al Parlamento europeo e alla Commissione europea, rilevando il numero senza precedenti di scandali di vasta portata in tali istituzioni, e sottolinea la necessità di rafforzare e rivedere ulteriormente le norme anticorruzione e in materia di trasparenza delle agenzie, nonché di applicare gli insegnamenti tratti;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127</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81</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81.</w:t>
            </w:r>
            <w:r w:rsidRPr="00B37E26">
              <w:tab/>
              <w:t>osserva che, per il 2023, la Corte non ha segnalato casi gravi di conflitto di interessi</w:t>
            </w:r>
            <w:r w:rsidRPr="00B37E26">
              <w:rPr>
                <w:b/>
                <w:i/>
              </w:rPr>
              <w:t>, ad eccezione di Frontex e dell'OEDT</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81.</w:t>
            </w:r>
            <w:r w:rsidRPr="00B37E26">
              <w:tab/>
              <w:t>osserva che, per il 2023, la Corte non ha segnalato casi gravi di conflitto di interessi;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128</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82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82 bis.</w:t>
            </w:r>
            <w:r w:rsidRPr="00B37E26">
              <w:tab/>
            </w:r>
            <w:r w:rsidRPr="00B37E26">
              <w:rPr>
                <w:b/>
                <w:i/>
              </w:rPr>
              <w:t>sottolinea che le norme della Commissione europea volte a tutelare gli interessi finanziari dell'UE e a garantire la trasparenza ed evitare condotte illecite non hanno adempiuto alle loro funzioni, in quanto è emerso che gli ex membri della Commissione sono attualmente interrogati e indagati per uso improprio dei fondi dell'UE, condotta illecita e riciclaggio di denaro; chiede alle agenzie di trarre conclusioni dai casi in corso per rafforzare la propria architettura antifrode;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129</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 José Cepeda, Claudiu Manda</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82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82 bis.</w:t>
            </w:r>
            <w:r w:rsidRPr="00B37E26">
              <w:tab/>
            </w:r>
            <w:r w:rsidRPr="00B37E26">
              <w:rPr>
                <w:b/>
                <w:i/>
              </w:rPr>
              <w:t>esorta la rete delle agenzie dell'UE a condurre senza indugio uno studio sui contratti di lavoro del personale addetto alle pulizie nelle agenzie decentrate, compresa la percentuale di contratti a lungo e a breve termine;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130</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 José Cepeda, Claudiu Manda</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82 ter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82 ter.</w:t>
            </w:r>
            <w:r w:rsidRPr="00B37E26">
              <w:tab/>
            </w:r>
            <w:r w:rsidRPr="00B37E26">
              <w:rPr>
                <w:b/>
                <w:i/>
              </w:rPr>
              <w:t>chiede l'introduzione, per tutti i dipendenti delle agenzie, di una formazione obbligatoria sulla prevenzione delle molestie nei primi sei mesi successivi alla firma del contratto, che dovrebbe essere aggiornata ogni cinque anni;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131</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82 quater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82 quater.</w:t>
            </w:r>
            <w:r w:rsidRPr="00B37E26">
              <w:tab/>
            </w:r>
            <w:r w:rsidRPr="00B37E26">
              <w:rPr>
                <w:b/>
                <w:i/>
              </w:rPr>
              <w:t>sostiene i costanti sforzi di Frontex volti a rafforzare il suo responsabile dei diritti fondamentali, prendendo atto dell'assunzione di 46 osservatori dei diritti fondamentali nel 2023; sottolinea l'importanza di garantire che tutti gli osservatori dei diritti fondamentali siano assunti nel grado AD, al fine di rafforzarne ulteriormente la capacità e l'indipendenza; riconosce che Frontex ha compiuto passi significativi nel rispondere ai pareri del responsabile dei diritti fondamentali, in particolare su questioni quali l'integrazione della dimensione di genere e la tratta di esseri umani;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132</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87</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87.</w:t>
            </w:r>
            <w:r w:rsidRPr="00B37E26">
              <w:tab/>
              <w:t xml:space="preserve">esprime preoccupazione per il fatto che la seconda osservazione della Corte sull'EIT fa riferimento alla transizione dell'agenzia a una struttura pluriennale delle convenzioni di sovvenzione, tuttavia le procedure e gli orientamenti per i controlli ex post dei pagamenti delle sovvenzioni non sono stati aggiornati per tenere conto delle implicazioni; </w:t>
            </w:r>
            <w:r w:rsidRPr="00B37E26">
              <w:rPr>
                <w:b/>
                <w:i/>
              </w:rPr>
              <w:t>osserva</w:t>
            </w:r>
            <w:r w:rsidRPr="00B37E26">
              <w:t xml:space="preserve"> che l'EIT sta già aggiornando il suo meccanismo di controllo ex post per affrontare dette implicazioni;</w:t>
            </w:r>
          </w:p>
        </w:tc>
        <w:tc>
          <w:tcPr>
            <w:tcW w:w="4876" w:type="dxa"/>
            <w:tcBorders>
              <w:top w:val="nil"/>
              <w:left w:val="nil"/>
              <w:bottom w:val="nil"/>
              <w:right w:val="nil"/>
            </w:tcBorders>
          </w:tcPr>
          <w:p w:rsidR="004A3213" w:rsidRPr="00B37E26" w:rsidRDefault="004A3213" w:rsidP="00D97434">
            <w:pPr>
              <w:pStyle w:val="Normal6a"/>
            </w:pPr>
            <w:r w:rsidRPr="00B37E26">
              <w:t>87.</w:t>
            </w:r>
            <w:r w:rsidRPr="00B37E26">
              <w:tab/>
              <w:t xml:space="preserve">esprime preoccupazione per il fatto che la seconda osservazione della Corte sull'EIT fa riferimento alla transizione dell'agenzia a una struttura pluriennale delle convenzioni di sovvenzione, tuttavia le procedure e gli orientamenti per i controlli ex post dei pagamenti delle sovvenzioni non sono stati aggiornati per tenere conto delle implicazioni; </w:t>
            </w:r>
            <w:r w:rsidRPr="00B37E26">
              <w:rPr>
                <w:b/>
                <w:i/>
              </w:rPr>
              <w:t>si compiace del fatto</w:t>
            </w:r>
            <w:r w:rsidRPr="00B37E26">
              <w:t xml:space="preserve"> che l'EIT sta già aggiornando il suo meccanismo di controllo ex post per affrontare dette implicazioni;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133</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90</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90.</w:t>
            </w:r>
            <w:r w:rsidRPr="00B37E26">
              <w:tab/>
              <w:t>osserva che, nel 2023, Eurojust ha osservato un aumento delle operazioni non ordinarie classificate come eccezioni o eventi di non conformità, il cui numero è passato da 43 a 71 e l'importo totale interessato è passato da 294 000 EUR a 566 400 EUR rispetto al 2022; prende atto della risposta di Eurojust all'osservazione che attribuisce la maggior parte degli eventi di non conformità totali nel 2023 a un singolo evento per una sovvenzione della squadra investigativa comune; prende atto che, secondo l'Agenzia, l'aumento è dovuto principalmente alla carenza di risorse umane e alle inefficienze dei processi interni che Eurojust ha affrontato rivedendo l'attuale procedura di registrazione e segnalazione degli eventi di non conformità nel 2024;</w:t>
            </w:r>
          </w:p>
        </w:tc>
        <w:tc>
          <w:tcPr>
            <w:tcW w:w="4876" w:type="dxa"/>
            <w:tcBorders>
              <w:top w:val="nil"/>
              <w:left w:val="nil"/>
              <w:bottom w:val="nil"/>
              <w:right w:val="nil"/>
            </w:tcBorders>
          </w:tcPr>
          <w:p w:rsidR="004A3213" w:rsidRPr="00B37E26" w:rsidRDefault="004A3213" w:rsidP="00D97434">
            <w:pPr>
              <w:pStyle w:val="Normal6a"/>
            </w:pPr>
            <w:r w:rsidRPr="00B37E26">
              <w:t>90.</w:t>
            </w:r>
            <w:r w:rsidRPr="00B37E26">
              <w:tab/>
              <w:t>osserva che, nel 2023, Eurojust ha osservato un aumento delle operazioni non ordinarie classificate come eccezioni o eventi di non conformità, il cui numero è passato da 43 a 71 e l'importo totale interessato è passato da 294 000 EUR a 566 400 EUR rispetto al 2022; prende atto della risposta di Eurojust all'osservazione che attribuisce la maggior parte degli eventi di non conformità totali nel 2023 a un singolo evento per una sovvenzione della squadra investigativa comune; prende atto che, secondo l'Agenzia, l'aumento è dovuto principalmente alla carenza di risorse umane e alle inefficienze dei processi interni</w:t>
            </w:r>
            <w:r w:rsidRPr="00B37E26">
              <w:rPr>
                <w:b/>
                <w:i/>
              </w:rPr>
              <w:t>, e si compiace del fatto</w:t>
            </w:r>
            <w:r w:rsidRPr="00B37E26">
              <w:t xml:space="preserve"> che Eurojust ha affrontato</w:t>
            </w:r>
            <w:r w:rsidRPr="00B37E26">
              <w:rPr>
                <w:b/>
                <w:i/>
              </w:rPr>
              <w:t xml:space="preserve"> la questione</w:t>
            </w:r>
            <w:r w:rsidRPr="00B37E26">
              <w:t xml:space="preserve"> rivedendo l'attuale procedura di registrazione e segnalazione degli eventi di non conformità nel 2024;</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134</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Tomáš Zdechovský</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91</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91.</w:t>
            </w:r>
            <w:r w:rsidRPr="00B37E26">
              <w:tab/>
              <w:t xml:space="preserve">osserva che il direttore esecutivo dell'EUSPA aveva confermato l'avvio anticipato delle attività di monitoraggio prima della firma di una convenzione di sovvenzione, che si sono tradotte in attività svolte senza un impegno di bilancio; </w:t>
            </w:r>
            <w:r w:rsidRPr="00B37E26">
              <w:rPr>
                <w:b/>
                <w:i/>
              </w:rPr>
              <w:t>sottolinea</w:t>
            </w:r>
            <w:r w:rsidRPr="00B37E26">
              <w:t xml:space="preserve"> che ciò non è stato segnalato nel registro delle eccezioni o nella relazione annuale di attività, in violazione del regolamento finanziario; osserva che l'EUSPA sostiene che non fosse necessario registrare l'avvio anticipato delle attività senza un impegno di bilancio nel registro delle eccezioni, ma riconosce che il caso non è stato segnalato nella relazione annuale di attività come richiesto;</w:t>
            </w:r>
          </w:p>
        </w:tc>
        <w:tc>
          <w:tcPr>
            <w:tcW w:w="4876" w:type="dxa"/>
            <w:tcBorders>
              <w:top w:val="nil"/>
              <w:left w:val="nil"/>
              <w:bottom w:val="nil"/>
              <w:right w:val="nil"/>
            </w:tcBorders>
          </w:tcPr>
          <w:p w:rsidR="004A3213" w:rsidRPr="00B37E26" w:rsidRDefault="004A3213" w:rsidP="00D97434">
            <w:pPr>
              <w:pStyle w:val="Normal6a"/>
            </w:pPr>
            <w:r w:rsidRPr="00B37E26">
              <w:t>91.</w:t>
            </w:r>
            <w:r w:rsidRPr="00B37E26">
              <w:tab/>
              <w:t xml:space="preserve">osserva che il direttore esecutivo dell'EUSPA aveva confermato l'avvio anticipato delle attività di monitoraggio prima della firma di una convenzione di sovvenzione, che si sono tradotte in attività svolte senza un impegno di bilancio; </w:t>
            </w:r>
            <w:r w:rsidRPr="00B37E26">
              <w:rPr>
                <w:b/>
                <w:i/>
              </w:rPr>
              <w:t>rileva</w:t>
            </w:r>
            <w:r w:rsidRPr="00B37E26">
              <w:t xml:space="preserve"> che ciò non è stato segnalato nel registro delle eccezioni o nella relazione annuale di attività, in violazione del regolamento finanziario; osserva che l'EUSPA sostiene che non fosse necessario registrare l'avvio anticipato delle attività senza un impegno di bilancio nel registro delle eccezioni, ma riconosce che il caso non è stato segnalato nella relazione annuale di attività come richiesto;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135</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Tomáš Zdechovský</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91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91 bis.</w:t>
            </w:r>
            <w:r w:rsidRPr="00B37E26">
              <w:tab/>
            </w:r>
            <w:r w:rsidRPr="00B37E26">
              <w:rPr>
                <w:b/>
                <w:i/>
              </w:rPr>
              <w:t>invita l'EUSPA a continuare a contribuire in maniera determinante all'attuazione del programma spaziale dell'UE, attraverso il rafforzamento della base industriale, della competitività e dell'innovazione dell'UE; incoraggia a dare priorità agli appalti europei, in particolare nei settori critici per la resilienza, l'autonomia strategica e la sovranità dell'UE; sottolinea il ruolo fondamentale di Galileo e del suo servizio pubblico regolamentato per la sicurezza e la difesa dell'Unione, unitamente ai benefici a breve termine di GOVSATCOM e al valore strategico a lungo termine di IRIS</w:t>
            </w:r>
            <w:r w:rsidRPr="00B37E26">
              <w:rPr>
                <w:b/>
                <w:i/>
                <w:vertAlign w:val="superscript"/>
              </w:rPr>
              <w:t>2</w:t>
            </w:r>
            <w:r w:rsidRPr="00B37E26">
              <w:rPr>
                <w:b/>
                <w:i/>
              </w:rPr>
              <w:t>; sottolinea che le iniziative dell'UE in materia di capacità di difesa e sicurezza dovrebbero sfruttare le competenze e le infrastrutture del settore spaziale dell'UE per evitare inutili duplicazioni;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136</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Joachim Stanisław Brudziński</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93</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93.</w:t>
            </w:r>
            <w:r w:rsidRPr="00B37E26">
              <w:tab/>
            </w:r>
            <w:r w:rsidRPr="00B37E26">
              <w:rPr>
                <w:b/>
                <w:i/>
              </w:rPr>
              <w:t>osserva</w:t>
            </w:r>
            <w:r w:rsidRPr="00B37E26">
              <w:t xml:space="preserve"> che nel settembre 2023 il direttore esecutivo dell'ENISA </w:t>
            </w:r>
            <w:r w:rsidRPr="00B37E26">
              <w:rPr>
                <w:b/>
                <w:i/>
              </w:rPr>
              <w:t>ha</w:t>
            </w:r>
            <w:r w:rsidRPr="00B37E26">
              <w:t xml:space="preserve"> consentito a 15 membri del personale interinale di assumere ruoli nel circuito finanziario senza previa approvazione, in violazione dei regolamenti; è consapevole del fatto che, secondo la risposta dell'agenzia, l'ENISA si è avvalsa di agenti interinali ed esperti nazionali distaccati a causa delle esigenze delle imprese e della carenza di risorse e cercherà di derogare alle norme finanziarie laddove la carenza di risorse persista;</w:t>
            </w:r>
          </w:p>
        </w:tc>
        <w:tc>
          <w:tcPr>
            <w:tcW w:w="4876" w:type="dxa"/>
            <w:tcBorders>
              <w:top w:val="nil"/>
              <w:left w:val="nil"/>
              <w:bottom w:val="nil"/>
              <w:right w:val="nil"/>
            </w:tcBorders>
          </w:tcPr>
          <w:p w:rsidR="004A3213" w:rsidRPr="00B37E26" w:rsidRDefault="004A3213" w:rsidP="00D97434">
            <w:pPr>
              <w:pStyle w:val="Normal6a"/>
            </w:pPr>
            <w:r w:rsidRPr="00B37E26">
              <w:t>93.</w:t>
            </w:r>
            <w:r w:rsidRPr="00B37E26">
              <w:tab/>
            </w:r>
            <w:r w:rsidRPr="00B37E26">
              <w:rPr>
                <w:b/>
                <w:i/>
              </w:rPr>
              <w:t>deplora</w:t>
            </w:r>
            <w:r w:rsidRPr="00B37E26">
              <w:t xml:space="preserve"> che nel settembre 2023 il direttore esecutivo dell'ENISA </w:t>
            </w:r>
            <w:r w:rsidRPr="00B37E26">
              <w:rPr>
                <w:b/>
                <w:i/>
              </w:rPr>
              <w:t>abbia</w:t>
            </w:r>
            <w:r w:rsidRPr="00B37E26">
              <w:t xml:space="preserve"> consentito a 15 membri del personale interinale di assumere ruoli nel circuito finanziario senza previa approvazione, in violazione dei regolamenti; è consapevole del fatto che, secondo la risposta dell'agenzia, l'ENISA si è avvalsa di agenti interinali ed esperti nazionali distaccati a causa delle esigenze delle imprese e della carenza di risorse e cercherà di derogare alle norme finanziarie laddove la carenza di risorse persista;</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137</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Joachim Stanisław Brudziński</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94</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94.</w:t>
            </w:r>
            <w:r w:rsidRPr="00B37E26">
              <w:tab/>
              <w:t>osserva inoltre che il contabile dell'ENISA è stato nominato anche coordinatore del controllo interno, in violazione dei regolamenti che prevedono la separazione delle funzioni; prende atto del riconoscimento dell'osservazione da parte dell'ENISA, ma ritiene che i ruoli di coordinatore del controllo interno e di contabile non siano necessariamente incompatibili, in quanto l'ordinatore non ha delegato alcun potere al coordinatore del controllo interno; accoglie con favore il fatto che l'ENISA chiarirà i ruoli e le responsabilità del coordinatore del controllo interno nell'ambito dei suoi processi interni;</w:t>
            </w:r>
          </w:p>
        </w:tc>
        <w:tc>
          <w:tcPr>
            <w:tcW w:w="4876" w:type="dxa"/>
            <w:tcBorders>
              <w:top w:val="nil"/>
              <w:left w:val="nil"/>
              <w:bottom w:val="nil"/>
              <w:right w:val="nil"/>
            </w:tcBorders>
          </w:tcPr>
          <w:p w:rsidR="004A3213" w:rsidRPr="00B37E26" w:rsidRDefault="004A3213" w:rsidP="00D97434">
            <w:pPr>
              <w:pStyle w:val="Normal6a"/>
            </w:pPr>
            <w:r w:rsidRPr="00B37E26">
              <w:t>94.</w:t>
            </w:r>
            <w:r w:rsidRPr="00B37E26">
              <w:tab/>
              <w:t xml:space="preserve">osserva inoltre che il contabile dell'ENISA è stato nominato anche coordinatore del controllo interno, in violazione dei regolamenti che prevedono la separazione delle funzioni; prende atto del riconoscimento dell'osservazione da parte dell'ENISA, ma ritiene che i ruoli di coordinatore del controllo interno e di contabile non siano necessariamente incompatibili, in quanto l'ordinatore non ha delegato alcun potere al coordinatore del controllo interno; accoglie con favore il fatto che l'ENISA chiarirà i ruoli e le responsabilità del coordinatore del controllo interno nell'ambito dei suoi processi interni; </w:t>
            </w:r>
            <w:r w:rsidRPr="00B37E26">
              <w:rPr>
                <w:b/>
                <w:i/>
              </w:rPr>
              <w:t>chiede che il Parlamento europeo sia informato sui progressi compiuti al riguardo entro il 30 giugno 2025;</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138</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Gilles Boyer, Olivier Chastel, Vlad Vasile-Voiculescu, Michal Wiezik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97</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97.</w:t>
            </w:r>
            <w:r w:rsidRPr="00B37E26">
              <w:tab/>
              <w:t xml:space="preserve">invita le agenzie a dare </w:t>
            </w:r>
            <w:r w:rsidRPr="00B37E26">
              <w:rPr>
                <w:b/>
                <w:i/>
              </w:rPr>
              <w:t>diligentemente</w:t>
            </w:r>
            <w:r w:rsidRPr="00B37E26">
              <w:t xml:space="preserve"> attuazione alle osservazioni formulate dalla Corte e </w:t>
            </w:r>
            <w:r w:rsidRPr="00B37E26">
              <w:rPr>
                <w:b/>
                <w:i/>
              </w:rPr>
              <w:t>a migliorare ulteriormente i</w:t>
            </w:r>
            <w:r w:rsidRPr="00B37E26">
              <w:t xml:space="preserve"> loro </w:t>
            </w:r>
            <w:r w:rsidRPr="00B37E26">
              <w:rPr>
                <w:b/>
                <w:i/>
              </w:rPr>
              <w:t>quadri</w:t>
            </w:r>
            <w:r w:rsidRPr="00B37E26">
              <w:t xml:space="preserve"> di controllo interno;</w:t>
            </w:r>
          </w:p>
        </w:tc>
        <w:tc>
          <w:tcPr>
            <w:tcW w:w="4876" w:type="dxa"/>
            <w:tcBorders>
              <w:top w:val="nil"/>
              <w:left w:val="nil"/>
              <w:bottom w:val="nil"/>
              <w:right w:val="nil"/>
            </w:tcBorders>
          </w:tcPr>
          <w:p w:rsidR="004A3213" w:rsidRPr="00B37E26" w:rsidRDefault="004A3213" w:rsidP="00D97434">
            <w:pPr>
              <w:pStyle w:val="Normal6a"/>
            </w:pPr>
            <w:r w:rsidRPr="00B37E26">
              <w:t>97.</w:t>
            </w:r>
            <w:r w:rsidRPr="00B37E26">
              <w:tab/>
              <w:t xml:space="preserve">invita le agenzie a dare </w:t>
            </w:r>
            <w:r w:rsidRPr="00B37E26">
              <w:rPr>
                <w:b/>
                <w:i/>
              </w:rPr>
              <w:t>prontamente e sistematicamente</w:t>
            </w:r>
            <w:r w:rsidRPr="00B37E26">
              <w:t xml:space="preserve"> attuazione alle osservazioni formulate dalla Corte e </w:t>
            </w:r>
            <w:r w:rsidRPr="00B37E26">
              <w:rPr>
                <w:b/>
                <w:i/>
              </w:rPr>
              <w:t>ad adottare misure correttive concrete per affrontare le carenze individuate nel</w:t>
            </w:r>
            <w:r w:rsidRPr="00B37E26">
              <w:t xml:space="preserve"> loro </w:t>
            </w:r>
            <w:r w:rsidRPr="00B37E26">
              <w:rPr>
                <w:b/>
                <w:i/>
              </w:rPr>
              <w:t>quadro</w:t>
            </w:r>
            <w:r w:rsidRPr="00B37E26">
              <w:t xml:space="preserve"> di controllo interno; </w:t>
            </w:r>
            <w:r w:rsidRPr="00B37E26">
              <w:rPr>
                <w:b/>
                <w:i/>
              </w:rPr>
              <w:t>sollecita l'istituzione di misure più rigorose in materia di responsabilità per garantire che eventuali carenze persistenti sfocino in azioni correttive mirate e in conseguenze in caso di ripetute inadempienze;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139</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Tomáš Zdechovský</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97</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97.</w:t>
            </w:r>
            <w:r w:rsidRPr="00B37E26">
              <w:tab/>
              <w:t>invita le agenzie a dare diligentemente attuazione alle osservazioni formulate dalla Corte e a migliorare ulteriormente i loro quadri di controllo interno;</w:t>
            </w:r>
          </w:p>
        </w:tc>
        <w:tc>
          <w:tcPr>
            <w:tcW w:w="4876" w:type="dxa"/>
            <w:tcBorders>
              <w:top w:val="nil"/>
              <w:left w:val="nil"/>
              <w:bottom w:val="nil"/>
              <w:right w:val="nil"/>
            </w:tcBorders>
          </w:tcPr>
          <w:p w:rsidR="004A3213" w:rsidRPr="00B37E26" w:rsidRDefault="004A3213" w:rsidP="00D97434">
            <w:pPr>
              <w:pStyle w:val="Normal6a"/>
            </w:pPr>
            <w:r w:rsidRPr="00B37E26">
              <w:t>97.</w:t>
            </w:r>
            <w:r w:rsidRPr="00B37E26">
              <w:tab/>
              <w:t xml:space="preserve">invita </w:t>
            </w:r>
            <w:r w:rsidRPr="00B37E26">
              <w:rPr>
                <w:b/>
                <w:i/>
              </w:rPr>
              <w:t xml:space="preserve">tutte </w:t>
            </w:r>
            <w:r w:rsidRPr="00B37E26">
              <w:t>le agenzie a dare diligentemente attuazione alle osservazioni formulate dalla Corte e a migliorare ulteriormente i loro quadri di controllo interno;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140</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Erik Marquardt</w:t>
      </w:r>
      <w:r w:rsidRPr="00B37E26">
        <w:rPr>
          <w:rStyle w:val="HideTWBExt"/>
          <w:b w:val="0"/>
        </w:rPr>
        <w:t>&lt;/Members&gt;</w:t>
      </w:r>
    </w:p>
    <w:p w:rsidR="004A3213" w:rsidRPr="00B37E26" w:rsidRDefault="004A3213" w:rsidP="004A3213">
      <w:r w:rsidRPr="00B37E26">
        <w:rPr>
          <w:rStyle w:val="HideTWBExt"/>
        </w:rPr>
        <w:t>&lt;AuNomDe&gt;</w:t>
      </w:r>
      <w:r w:rsidRPr="00B37E26">
        <w:rPr>
          <w:rStyle w:val="HideTWBInt"/>
        </w:rPr>
        <w:t>{Greens/EFA}</w:t>
      </w:r>
      <w:r w:rsidRPr="00B37E26">
        <w:t>a nome del gruppo Verts/ALE</w:t>
      </w:r>
      <w:r w:rsidRPr="00B37E26">
        <w:rPr>
          <w:rStyle w:val="HideTWBExt"/>
        </w:rPr>
        <w:t>&lt;/AuNomDe&gt;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97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97 bis.</w:t>
            </w:r>
            <w:r w:rsidRPr="00B37E26">
              <w:tab/>
            </w:r>
            <w:r w:rsidRPr="00B37E26">
              <w:rPr>
                <w:b/>
                <w:i/>
              </w:rPr>
              <w:t>rileva la necessità che le agenzie migliorino l'informativa finanziaria e i meccanismi di controllo interno; invita le agenzie a fornire annualmente una ripartizione dettagliata delle spese, compresi dati disaggregati su appalti esterni, servizi di consulenza e subappaltatori; insiste sulla necessità di strumenti di rendicontazione digitale in tempo reale che migliorino il controllo finanziario e la responsabilità nei confronti del Parlamento europeo e del pubblico; incoraggia ulteriori progressi nell'attuazione delle raccomandazioni di audit;</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141</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Claudiu Manda</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97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97 bis.</w:t>
            </w:r>
            <w:r w:rsidRPr="00B37E26">
              <w:tab/>
            </w:r>
            <w:r w:rsidRPr="00B37E26">
              <w:rPr>
                <w:b/>
                <w:i/>
              </w:rPr>
              <w:t>accoglie con favore il fatto che l'ECHA, in collaborazione con l'Autorità europea per la sicurezza alimentare (EFSA), ha adottato misure per promuovere il principio "una sostanza - una valutazione" al fine di garantire una maggiore coerenza nella valutazione dei pericoli e dei rischi delle sostanze attive; invita le agenzie a continuare a promuovere la cooperazione con altre agenzie dell'Unione e organizzazioni internazionali e a favorire il dialogo con le parti interessate e i cittadini;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142</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97 ter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97 ter.</w:t>
            </w:r>
            <w:r w:rsidRPr="00B37E26">
              <w:tab/>
            </w:r>
            <w:r w:rsidRPr="00B37E26">
              <w:rPr>
                <w:b/>
                <w:i/>
              </w:rPr>
              <w:t>ricorda l'approccio di "tolleranza zero" dell'Unione nei confronti della pesca illegale, non dichiarata e non regolamentata (INN) e il contributo fondamentale dell'Agenzia europea di controllo della pesca (EFCA) all'attuazione della politica comune della pesca (PCP), in particolare in termini di controllo della pesca e di lotta contro la pesca INN;</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143</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97 quater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97 quater.</w:t>
            </w:r>
            <w:r w:rsidRPr="00B37E26">
              <w:tab/>
            </w:r>
            <w:r w:rsidRPr="00B37E26">
              <w:rPr>
                <w:b/>
                <w:i/>
              </w:rPr>
              <w:t>sottolinea la responsabilità primaria degli Stati membri in relazione al controllo delle attività di pesca, mentre le funzioni dell'Agenzia sono limitate ad attività di sostegno, coordinamento, nonché assistenza nei loro confronti in tale settore; invita l'Agenzia a sostenere gli Stati membri nel monitorare e individuare violazioni gravi concernenti il lavoro forzato, nonché nel fornire agli ispettori una formazione adeguata in merito a tali importanti violazioni;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144</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97 quinquies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97 quinquies.</w:t>
            </w:r>
            <w:r w:rsidRPr="00B37E26">
              <w:tab/>
            </w:r>
            <w:r w:rsidRPr="00B37E26">
              <w:rPr>
                <w:b/>
                <w:i/>
              </w:rPr>
              <w:t>rileva con soddisfazione la continua cooperazione dell'Agenzia con l'Agenzia europea della guardia di frontiera e costiera (FRONTEX) e con l'Agenzia europea per la sicurezza marittima (EMSA) nelle funzioni di guardia costiera; ritiene opportuno aumentare la cooperazione tra l'EFCA e altre agenzie, in particolare l'Agenzia europea dell'ambiente (AEA) e l'Agenzia spaziale europea (ESA);</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145</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Jonas Sjöstedt</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98</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98.</w:t>
            </w:r>
            <w:r w:rsidRPr="00B37E26">
              <w:tab/>
              <w:t>osserva che le agenzie decentrate dell'Unione europea hanno istituito vari meccanismi per affrontare la questione della trasparenza e le attività di lobbying nei rispettivi settori politici; sottolinea, tuttavia, che, secondo la Corte, le agenzie non sempre riescono a conseguire livelli soddisfacenti di trasparenza e di rapporto qualità/prezzo nelle gare d'appalto con norme e procedure complesse in materia di appalti</w:t>
            </w:r>
            <w:r w:rsidRPr="00B37E26">
              <w:rPr>
                <w:vertAlign w:val="superscript"/>
              </w:rPr>
              <w:t>31</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98.</w:t>
            </w:r>
            <w:r w:rsidRPr="00B37E26">
              <w:tab/>
              <w:t>osserva che le agenzie decentrate dell'Unione europea hanno istituito vari meccanismi per affrontare la questione della trasparenza e le attività di lobbying nei rispettivi settori politici; sottolinea, tuttavia, che, secondo la Corte, le agenzie non sempre riescono a conseguire livelli soddisfacenti di trasparenza e di rapporto qualità/prezzo nelle gare d'appalto con norme e procedure complesse in materia di appalti</w:t>
            </w:r>
            <w:r w:rsidRPr="00B37E26">
              <w:rPr>
                <w:vertAlign w:val="superscript"/>
              </w:rPr>
              <w:t>31</w:t>
            </w:r>
            <w:r w:rsidRPr="00B37E26">
              <w:t xml:space="preserve">; </w:t>
            </w:r>
            <w:r w:rsidRPr="00B37E26">
              <w:rPr>
                <w:b/>
                <w:i/>
              </w:rPr>
              <w:t>prende atto con preoccupazione delle rimanenti questioni in materia di trasparenza, che a loro volta incidono sulla coerenza, l'efficacia e soprattutto la rendicontabilità; </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31 </w:t>
            </w:r>
            <w:r w:rsidRPr="00B37E26">
              <w:t>Esempio: Autorità bancaria europea (ABE) - Corte dei conti europea, pag. 97; Agenzia europea per la sicurezza marittima (EMSA) - Corte dei conti europea, pag. 122; Osservatorio europeo delle droghe e delle tossicodipendenze (OEDT) Corte dei conti europea, pag. 287.</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31 </w:t>
            </w:r>
            <w:r w:rsidRPr="00B37E26">
              <w:t>Esempio: Autorità bancaria europea (ABE) - Corte dei conti europea, pag. 97; Agenzia europea per la sicurezza marittima (EMSA) - Corte dei conti europea, pag. 122; Osservatorio europeo delle droghe e delle tossicodipendenze (OEDT) Corte dei conti europea, pag. 287.</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146</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Gilles Boyer, Olivier Chastel, Vlad Vasile-Voiculescu, Michal Wiezik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98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98 bis.</w:t>
            </w:r>
            <w:r w:rsidRPr="00B37E26">
              <w:tab/>
            </w:r>
            <w:r w:rsidRPr="00B37E26">
              <w:rPr>
                <w:b/>
                <w:i/>
              </w:rPr>
              <w:t>sottolinea l'importanza che le agenzie rafforzino la loro presenza nei media, su Internet e sui social media, al fine di sensibilizzare il pubblico in merito al loro lavoro;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147</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Erik Marquardt</w:t>
      </w:r>
      <w:r w:rsidRPr="00B37E26">
        <w:rPr>
          <w:rStyle w:val="HideTWBExt"/>
          <w:b w:val="0"/>
        </w:rPr>
        <w:t>&lt;/Members&gt;</w:t>
      </w:r>
    </w:p>
    <w:p w:rsidR="004A3213" w:rsidRPr="00B37E26" w:rsidRDefault="004A3213" w:rsidP="004A3213">
      <w:r w:rsidRPr="00B37E26">
        <w:rPr>
          <w:rStyle w:val="HideTWBExt"/>
        </w:rPr>
        <w:t>&lt;AuNomDe&gt;</w:t>
      </w:r>
      <w:r w:rsidRPr="00B37E26">
        <w:rPr>
          <w:rStyle w:val="HideTWBInt"/>
        </w:rPr>
        <w:t>{Greens/EFA}</w:t>
      </w:r>
      <w:r w:rsidRPr="00B37E26">
        <w:t>a nome del gruppo Verts/ALE</w:t>
      </w:r>
      <w:r w:rsidRPr="00B37E26">
        <w:rPr>
          <w:rStyle w:val="HideTWBExt"/>
        </w:rPr>
        <w:t>&lt;/AuNomDe&gt;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99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99 bis.</w:t>
            </w:r>
            <w:r w:rsidRPr="00B37E26">
              <w:tab/>
            </w:r>
            <w:r w:rsidRPr="00B37E26">
              <w:rPr>
                <w:b/>
                <w:i/>
              </w:rPr>
              <w:t>riconosce la crescente importanza della trasformazione digitale per le agenzie e sostiene ulteriori investimenti negli strumenti digitali e nell'innovazione; sottolinea l'importanza di rafforzare le misure di cibersicurezza in tutte le agenzie a fronte dei crescenti rischi di minacce informatiche e violazioni dei dati; chiede ulteriori investimenti in infrastrutture informatiche sicure e nella formazione in materia di cibersicurezza per il personale delle agenzie; esorta le agenzie a presentare una relazione annuale di valutazione dei rischi di cibersicurezza al Parlamento europeo e alla Corte dei conti europea;</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148</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100</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100.</w:t>
            </w:r>
            <w:r w:rsidRPr="00B37E26">
              <w:tab/>
            </w:r>
            <w:r w:rsidRPr="00B37E26">
              <w:rPr>
                <w:b/>
                <w:i/>
              </w:rPr>
              <w:t>ricorda che, nel 2022, la Mediatrice ha avviato un'indagine di propria iniziativa nel caso OI/4/2022/PB per esaminare il modo in cui Frontex tratta le richieste di accesso del pubblico ai documenti e ha riscontrato problemi con due pratiche impiegate da Frontex: rinviare la registrazione delle richieste per impedire l'avvio dei termini di legge e sospendere i termini a causa di richieste imprecise; osserva che la Mediatrice ha ritenuto che ciò costituiva una cattiva amministrazione e ha raccomandato a Frontex di interrompere le pratiche; rileva che Frontex non ha accettato la raccomandazione e la Mediatrice ha archiviato l'indagine nel 2024, confermando le sue conclusioni di cattiva amministrazione; ricorda che nel discarico 2022 il Parlamento ha invitato l'Agenzia a trattare in via prioritaria l'accesso del pubblico ai documenti in modo più rapido e trasparente;</w:t>
            </w:r>
          </w:p>
        </w:tc>
        <w:tc>
          <w:tcPr>
            <w:tcW w:w="4876" w:type="dxa"/>
            <w:tcBorders>
              <w:top w:val="nil"/>
              <w:left w:val="nil"/>
              <w:bottom w:val="nil"/>
              <w:right w:val="nil"/>
            </w:tcBorders>
          </w:tcPr>
          <w:p w:rsidR="004A3213" w:rsidRPr="00B37E26" w:rsidRDefault="004A3213" w:rsidP="00D97434">
            <w:pPr>
              <w:pStyle w:val="Normal6a"/>
            </w:pPr>
            <w:r w:rsidRPr="00B37E26">
              <w:rPr>
                <w:b/>
                <w:i/>
              </w:rPr>
              <w:t>soppresso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149</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Jonas Sjöstedt</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100</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100.</w:t>
            </w:r>
            <w:r w:rsidRPr="00B37E26">
              <w:tab/>
              <w:t xml:space="preserve">ricorda che, nel 2022, la Mediatrice ha avviato un'indagine di propria iniziativa nel caso OI/4/2022/PB per esaminare il modo in cui Frontex tratta le richieste di accesso del pubblico ai documenti e ha riscontrato problemi con due pratiche impiegate da Frontex: rinviare la registrazione delle richieste per impedire l'avvio dei termini di legge e sospendere i termini a causa di richieste imprecise; osserva che la Mediatrice ha ritenuto che ciò costituiva una cattiva amministrazione e ha raccomandato a Frontex di interrompere le pratiche; rileva che Frontex non ha accettato la raccomandazione e la Mediatrice ha archiviato l'indagine nel 2024, confermando le sue conclusioni di cattiva amministrazione; </w:t>
            </w:r>
            <w:r w:rsidRPr="00B37E26">
              <w:rPr>
                <w:b/>
                <w:i/>
              </w:rPr>
              <w:t>ricorda che</w:t>
            </w:r>
            <w:r w:rsidRPr="00B37E26">
              <w:t xml:space="preserve"> nel discarico 2022</w:t>
            </w:r>
            <w:r w:rsidRPr="00B37E26">
              <w:rPr>
                <w:b/>
                <w:i/>
              </w:rPr>
              <w:t xml:space="preserve"> il Parlamento ha invitato l'Agenzia</w:t>
            </w:r>
            <w:r w:rsidRPr="00B37E26">
              <w:t xml:space="preserve"> a trattare in via prioritaria l'accesso del pubblico ai documenti in modo più rapido e trasparente;</w:t>
            </w:r>
          </w:p>
        </w:tc>
        <w:tc>
          <w:tcPr>
            <w:tcW w:w="4876" w:type="dxa"/>
            <w:tcBorders>
              <w:top w:val="nil"/>
              <w:left w:val="nil"/>
              <w:bottom w:val="nil"/>
              <w:right w:val="nil"/>
            </w:tcBorders>
          </w:tcPr>
          <w:p w:rsidR="004A3213" w:rsidRPr="00B37E26" w:rsidRDefault="004A3213" w:rsidP="00D97434">
            <w:pPr>
              <w:pStyle w:val="Normal6a"/>
            </w:pPr>
            <w:r w:rsidRPr="00B37E26">
              <w:t>100.</w:t>
            </w:r>
            <w:r w:rsidRPr="00B37E26">
              <w:tab/>
              <w:t xml:space="preserve">ricorda che, nel 2022, la Mediatrice ha avviato un'indagine di propria iniziativa nel caso OI/4/2022/PB per esaminare il modo in cui Frontex tratta le richieste di accesso del pubblico ai documenti e ha riscontrato problemi con due pratiche impiegate da Frontex: rinviare la registrazione delle richieste per impedire l'avvio dei termini di legge e sospendere i termini a causa di richieste imprecise; osserva che la Mediatrice ha ritenuto che ciò costituiva una cattiva amministrazione e ha raccomandato a Frontex di interrompere le pratiche; rileva che Frontex non ha accettato la raccomandazione e la Mediatrice ha archiviato l'indagine nel 2024, confermando le sue conclusioni di cattiva amministrazione; </w:t>
            </w:r>
            <w:r w:rsidRPr="00B37E26">
              <w:rPr>
                <w:b/>
                <w:i/>
              </w:rPr>
              <w:t>ribadisce l'invito rivolto all'Agenzia</w:t>
            </w:r>
            <w:r w:rsidRPr="00B37E26">
              <w:t xml:space="preserve"> nel discarico 2022 a trattare in via prioritaria l'accesso del pubblico ai documenti in modo più rapido e trasparente;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150</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101</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101.</w:t>
            </w:r>
            <w:r w:rsidRPr="00B37E26">
              <w:tab/>
              <w:t>osserva inoltre che nel 2023 Frontex ha rifiutato di concedere l'accesso pubblico a una relazione del suo responsabile dei diritti fondamentali relativa a un'operazione Frontex in Albania (caso 652/2023/VB), il che ha portato a un'indagine della Mediatrice; rileva che la Mediatrice ha ritenuto che Frontex avrebbe dovuto concedere l'accesso ad alcune parti della relazione e Frontex ha accettato la proposta di soluzione della Mediatrice;</w:t>
            </w:r>
          </w:p>
        </w:tc>
        <w:tc>
          <w:tcPr>
            <w:tcW w:w="4876" w:type="dxa"/>
            <w:tcBorders>
              <w:top w:val="nil"/>
              <w:left w:val="nil"/>
              <w:bottom w:val="nil"/>
              <w:right w:val="nil"/>
            </w:tcBorders>
          </w:tcPr>
          <w:p w:rsidR="004A3213" w:rsidRPr="00B37E26" w:rsidRDefault="004A3213" w:rsidP="00D97434">
            <w:pPr>
              <w:pStyle w:val="Normal6a"/>
            </w:pPr>
            <w:r w:rsidRPr="00B37E26">
              <w:t>101.</w:t>
            </w:r>
            <w:r w:rsidRPr="00B37E26">
              <w:tab/>
              <w:t xml:space="preserve">osserva inoltre che nel 2023 Frontex ha rifiutato di concedere l'accesso pubblico a una relazione del suo responsabile dei diritti fondamentali relativa a un'operazione Frontex in Albania (caso 652/2023/VB), il che ha portato a un'indagine della Mediatrice; rileva che la Mediatrice ha ritenuto che Frontex avrebbe dovuto concedere l'accesso ad alcune parti della relazione e </w:t>
            </w:r>
            <w:r w:rsidRPr="00B37E26">
              <w:rPr>
                <w:b/>
                <w:i/>
              </w:rPr>
              <w:t xml:space="preserve">apprezza il fatto che </w:t>
            </w:r>
            <w:r w:rsidRPr="00B37E26">
              <w:t>Frontex ha accettato la proposta di soluzione della Mediatrice;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151</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 José Cepeda, Claudiu Manda</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103</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103.</w:t>
            </w:r>
            <w:r w:rsidRPr="00B37E26">
              <w:tab/>
              <w:t>sottolinea che l'uso del registro per la trasparenza è promosso e incoraggiato dai firmatari dell'accordo interistituzionale;</w:t>
            </w:r>
          </w:p>
        </w:tc>
        <w:tc>
          <w:tcPr>
            <w:tcW w:w="4876" w:type="dxa"/>
            <w:tcBorders>
              <w:top w:val="nil"/>
              <w:left w:val="nil"/>
              <w:bottom w:val="nil"/>
              <w:right w:val="nil"/>
            </w:tcBorders>
          </w:tcPr>
          <w:p w:rsidR="004A3213" w:rsidRPr="00B37E26" w:rsidRDefault="004A3213" w:rsidP="00D97434">
            <w:pPr>
              <w:pStyle w:val="Normal6a"/>
            </w:pPr>
            <w:r w:rsidRPr="00B37E26">
              <w:t>103.</w:t>
            </w:r>
            <w:r w:rsidRPr="00B37E26">
              <w:tab/>
              <w:t xml:space="preserve">sottolinea che l'uso del registro per la trasparenza è promosso e incoraggiato dai firmatari dell'accordo interistituzionale; </w:t>
            </w:r>
            <w:r w:rsidRPr="00B37E26">
              <w:rPr>
                <w:b/>
                <w:i/>
              </w:rPr>
              <w:t>ribadisce il suo fermo invito affinché tutte le agenzie decentrate utilizzino appieno il registro;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152</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104</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104.</w:t>
            </w:r>
            <w:r w:rsidRPr="00B37E26">
              <w:tab/>
            </w:r>
            <w:r w:rsidRPr="00B37E26">
              <w:rPr>
                <w:b/>
                <w:i/>
              </w:rPr>
              <w:t>osserva che attualmente solo</w:t>
            </w:r>
            <w:r w:rsidRPr="00B37E26">
              <w:t xml:space="preserve"> due agenzie richiedono l'iscrizione di contatti esterni nel registro per la trasparenza</w:t>
            </w:r>
            <w:r w:rsidRPr="00B37E26">
              <w:rPr>
                <w:b/>
                <w:i/>
              </w:rPr>
              <w:t>, ossia eu-LISA e Frontex</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104.</w:t>
            </w:r>
            <w:r w:rsidRPr="00B37E26">
              <w:tab/>
            </w:r>
            <w:r w:rsidRPr="00B37E26">
              <w:rPr>
                <w:b/>
                <w:i/>
              </w:rPr>
              <w:t>incoraggia tutte le Agenzie a seguire l'esempio di eu-LISA e Frontex, le uniche</w:t>
            </w:r>
            <w:r w:rsidRPr="00B37E26">
              <w:t xml:space="preserve"> due agenzie </w:t>
            </w:r>
            <w:r w:rsidRPr="00B37E26">
              <w:rPr>
                <w:b/>
                <w:i/>
              </w:rPr>
              <w:t xml:space="preserve">che </w:t>
            </w:r>
            <w:r w:rsidRPr="00B37E26">
              <w:t xml:space="preserve">richiedono l'iscrizione di contatti esterni </w:t>
            </w:r>
            <w:r w:rsidRPr="00B37E26">
              <w:rPr>
                <w:b/>
                <w:i/>
              </w:rPr>
              <w:t xml:space="preserve">terzi </w:t>
            </w:r>
            <w:r w:rsidRPr="00B37E26">
              <w:t>nel registro per la trasparenza;</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153</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Gilles Boyer, Olivier Chastel, Vlad Vasile-Voiculescu, Michal Wiezik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104</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104.</w:t>
            </w:r>
            <w:r w:rsidRPr="00B37E26">
              <w:tab/>
              <w:t>osserva che attualmente solo due agenzie richiedono l'iscrizione di contatti esterni nel registro per la trasparenza, ossia eu-LISA e Frontex;</w:t>
            </w:r>
          </w:p>
        </w:tc>
        <w:tc>
          <w:tcPr>
            <w:tcW w:w="4876" w:type="dxa"/>
            <w:tcBorders>
              <w:top w:val="nil"/>
              <w:left w:val="nil"/>
              <w:bottom w:val="nil"/>
              <w:right w:val="nil"/>
            </w:tcBorders>
          </w:tcPr>
          <w:p w:rsidR="004A3213" w:rsidRPr="00B37E26" w:rsidRDefault="004A3213" w:rsidP="00D97434">
            <w:pPr>
              <w:pStyle w:val="Normal6a"/>
            </w:pPr>
            <w:r w:rsidRPr="00B37E26">
              <w:t>104.</w:t>
            </w:r>
            <w:r w:rsidRPr="00B37E26">
              <w:tab/>
              <w:t xml:space="preserve">osserva che attualmente solo due agenzie richiedono l'iscrizione di contatti esterni nel registro per la trasparenza, ossia eu-LISA e Frontex; </w:t>
            </w:r>
            <w:r w:rsidRPr="00B37E26">
              <w:rPr>
                <w:b/>
                <w:i/>
              </w:rPr>
              <w:t>incoraggia altre agenzie ad avvalersi di tale possibilità volontaria di utilizzare il registro per la trasparenza;</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154</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Jonas Sjöstedt</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104</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104.</w:t>
            </w:r>
            <w:r w:rsidRPr="00B37E26">
              <w:tab/>
              <w:t>osserva che attualmente solo due agenzie richiedono l'iscrizione di contatti esterni nel registro per la trasparenza, ossia eu-LISA e Frontex;</w:t>
            </w:r>
          </w:p>
        </w:tc>
        <w:tc>
          <w:tcPr>
            <w:tcW w:w="4876" w:type="dxa"/>
            <w:tcBorders>
              <w:top w:val="nil"/>
              <w:left w:val="nil"/>
              <w:bottom w:val="nil"/>
              <w:right w:val="nil"/>
            </w:tcBorders>
          </w:tcPr>
          <w:p w:rsidR="004A3213" w:rsidRPr="00B37E26" w:rsidRDefault="004A3213" w:rsidP="00D97434">
            <w:pPr>
              <w:pStyle w:val="Normal6a"/>
            </w:pPr>
            <w:r w:rsidRPr="00B37E26">
              <w:t>104.</w:t>
            </w:r>
            <w:r w:rsidRPr="00B37E26">
              <w:tab/>
              <w:t xml:space="preserve">osserva </w:t>
            </w:r>
            <w:r w:rsidRPr="00B37E26">
              <w:rPr>
                <w:b/>
                <w:i/>
              </w:rPr>
              <w:t xml:space="preserve">con preoccupazione </w:t>
            </w:r>
            <w:r w:rsidRPr="00B37E26">
              <w:t>che attualmente solo due agenzie richiedono l'iscrizione di contatti esterni nel registro per la trasparenza, ossia eu-LISA e Frontex;</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155</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Tomáš Zdechovský</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105</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105.</w:t>
            </w:r>
            <w:r w:rsidRPr="00B37E26">
              <w:tab/>
              <w:t>osserva che eu-LISA si è concentrata sulla cibersicurezza e sulla lotta alle minacce nel settore informatico, in particolare compiendo i preparativi necessari per gli obblighi derivanti dai nuovi regolamenti dell'Unione in materia di sicurezza delle informazioni e cibersicurezza; sottolinea che eu-LISA gestisce e mantiene una piattaforma per il monitoraggio della sicurezza, un piano per gli incidenti di cibersicurezza, protocolli operativi e un sistema di permanenza 24/7 per garantire l'identificazione tempestiva delle minacce informatiche e la risposta alle stesse; si compiace del ruolo svolto da eu-LISA nel supportare le esercitazioni di cibersicurezza tra le agenzie in cooperazione con la rete delle agenzie per la giustizia e gli affari interni</w:t>
            </w:r>
            <w:r w:rsidRPr="00B37E26">
              <w:rPr>
                <w:vertAlign w:val="superscript"/>
              </w:rPr>
              <w:t>33</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105.</w:t>
            </w:r>
            <w:r w:rsidRPr="00B37E26">
              <w:tab/>
              <w:t>osserva che eu-LISA si è concentrata sulla cibersicurezza e sulla lotta alle minacce nel settore informatico, in particolare compiendo i preparativi necessari per gli obblighi derivanti dai nuovi regolamenti dell'Unione in materia di sicurezza delle informazioni e cibersicurezza; sottolinea che eu-LISA gestisce e mantiene una piattaforma per il monitoraggio della sicurezza, un piano per gli incidenti di cibersicurezza, protocolli operativi e un sistema di permanenza 24/7 per garantire l'identificazione tempestiva delle minacce informatiche e la risposta alle stesse; si compiace del ruolo svolto da eu-LISA nel supportare le esercitazioni di cibersicurezza tra le agenzie in cooperazione con la rete delle agenzie per la giustizia e gli affari interni</w:t>
            </w:r>
            <w:r w:rsidRPr="00B37E26">
              <w:rPr>
                <w:vertAlign w:val="superscript"/>
              </w:rPr>
              <w:t>33</w:t>
            </w:r>
            <w:r w:rsidRPr="00B37E26">
              <w:t xml:space="preserve">; </w:t>
            </w:r>
            <w:r w:rsidRPr="00B37E26">
              <w:rPr>
                <w:b/>
                <w:i/>
              </w:rPr>
              <w:t>suggerisce di sviluppare ulteriormente la cooperazione tra eu-LISA e le altre agenzie che potrebbero utilizzare il know-how in materia di cibersicurezza, come l'EUSPA;</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33 </w:t>
            </w:r>
            <w:r w:rsidRPr="00B37E26">
              <w:t>Rete delle agenzie per la giustizia e gli affari interni (GAI) - la rete comprende nove agenzie: CEPOL, EASO, EIGE, OEDT, eu-LISA, Eurojust, Europol, FRA e Frontex.</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33 </w:t>
            </w:r>
            <w:r w:rsidRPr="00B37E26">
              <w:t>Rete delle agenzie per la giustizia e gli affari interni (GAI) - la rete comprende nove agenzie: CEPOL, EASO, EIGE, OEDT, eu-LISA, Eurojust, Europol, FRA e Frontex.</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156</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José Cepeda, Claudiu Manda</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105</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105.</w:t>
            </w:r>
            <w:r w:rsidRPr="00B37E26">
              <w:tab/>
              <w:t>osserva che eu-LISA si è concentrata sulla cibersicurezza e sulla lotta alle minacce nel settore informatico, in particolare compiendo i preparativi necessari per gli obblighi derivanti dai nuovi regolamenti dell'Unione in materia di sicurezza delle informazioni e cibersicurezza; sottolinea che eu-LISA gestisce e mantiene una piattaforma per il monitoraggio della sicurezza, un piano per gli incidenti di cibersicurezza, protocolli operativi e un sistema di permanenza 24/7 per garantire l'identificazione tempestiva delle minacce informatiche e la risposta alle stesse; si compiace del ruolo svolto da eu-LISA nel supportare le esercitazioni di cibersicurezza tra le agenzie in cooperazione con la rete delle agenzie per la giustizia e gli affari interni</w:t>
            </w:r>
            <w:r w:rsidRPr="00B37E26">
              <w:rPr>
                <w:vertAlign w:val="superscript"/>
              </w:rPr>
              <w:t>33</w:t>
            </w:r>
            <w:r w:rsidRPr="00B37E26">
              <w:t>;</w:t>
            </w:r>
          </w:p>
        </w:tc>
        <w:tc>
          <w:tcPr>
            <w:tcW w:w="4876" w:type="dxa"/>
            <w:tcBorders>
              <w:top w:val="nil"/>
              <w:left w:val="nil"/>
              <w:bottom w:val="nil"/>
              <w:right w:val="nil"/>
            </w:tcBorders>
          </w:tcPr>
          <w:p w:rsidR="004A3213" w:rsidRPr="00B37E26" w:rsidRDefault="004A3213" w:rsidP="00D97434">
            <w:pPr>
              <w:pStyle w:val="Normal6a"/>
            </w:pPr>
            <w:r w:rsidRPr="00B37E26">
              <w:t>105.</w:t>
            </w:r>
            <w:r w:rsidRPr="00B37E26">
              <w:tab/>
              <w:t>osserva che eu-LISA si è concentrata sulla cibersicurezza e sulla lotta alle minacce nel settore informatico, in particolare compiendo i preparativi necessari per gli obblighi derivanti dai nuovi regolamenti dell'Unione in materia di sicurezza delle informazioni e cibersicurezza; sottolinea che eu-LISA gestisce e mantiene una piattaforma per il monitoraggio della sicurezza, un piano per gli incidenti di cibersicurezza, protocolli operativi e un sistema di permanenza 24/7 per garantire l'identificazione tempestiva delle minacce informatiche e la risposta alle stesse; si compiace del ruolo svolto da eu-LISA nel supportare le esercitazioni di cibersicurezza tra le agenzie in cooperazione con la rete delle agenzie per la giustizia e gli affari interni</w:t>
            </w:r>
            <w:r w:rsidRPr="00B37E26">
              <w:rPr>
                <w:vertAlign w:val="superscript"/>
              </w:rPr>
              <w:t>33</w:t>
            </w:r>
            <w:r w:rsidRPr="00B37E26">
              <w:t xml:space="preserve">; </w:t>
            </w:r>
            <w:r w:rsidRPr="00B37E26">
              <w:rPr>
                <w:b/>
                <w:i/>
              </w:rPr>
              <w:t>sottolinea l'importanza del fatto che le agenzie decentrate siano pienamente in grado di difendersi dagli attacchi informatici di attori stranieri;</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33 </w:t>
            </w:r>
            <w:r w:rsidRPr="00B37E26">
              <w:t>Rete delle agenzie per la giustizia e gli affari interni (GAI) - la rete comprende nove agenzie: CEPOL, EASO, EIGE, OEDT, eu-LISA, Eurojust, Europol, FRA e Frontex.</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33 </w:t>
            </w:r>
            <w:r w:rsidRPr="00B37E26">
              <w:t>Rete delle agenzie per la giustizia e gli affari interni (GAI) - la rete comprende nove agenzie: CEPOL, EASO, EIGE, OEDT, eu-LISA, Eurojust, Europol, FRA e Frontex.</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157</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Gilles Boyer, Olivier Chastel, Vlad Vasile-Voiculescu, Michal Wiezik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105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105 bis.</w:t>
            </w:r>
            <w:r w:rsidRPr="00B37E26">
              <w:tab/>
            </w:r>
            <w:r w:rsidRPr="00B37E26">
              <w:rPr>
                <w:b/>
                <w:i/>
              </w:rPr>
              <w:t>richiama l'attenzione sulla necessità di adottare tutte le misure di sicurezza necessarie per salvaguardare l'integrità online delle informazioni trattate; insiste sulla necessità di rafforzare la resilienza delle agenzie nei confronti degli attacchi informatici e dei tentativi di infiltrazione, provenienti in particolare dalla Russia o da altri paesi terzi; sottolinea che gli appalti congiunti in questo settore tra le agenzie potrebbero tradursi in una riduzione dei costi finanziari e in risultati migliori;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158</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 José Cepeda, Claudiu Manda</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105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105 bis.</w:t>
            </w:r>
            <w:r w:rsidRPr="00B37E26">
              <w:tab/>
            </w:r>
            <w:r w:rsidRPr="00B37E26">
              <w:rPr>
                <w:b/>
                <w:i/>
              </w:rPr>
              <w:t>osserva che tutte le agenzie dispongono di una politica per gli informatori; invita tutte le agenzie a garantire che dispongano di canali di segnalazione specifici, sicuri ed efficaci, in linea con i pertinenti requisiti della direttiva (UE) 2019/1937 del Parlamento europeo e del Consiglio sulla protezione degli informatori;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159</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Gilles Boyer, Olivier Chastel, Vlad Vasile-Voiculescu, Michal Wiezik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105 ter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105 ter.</w:t>
            </w:r>
            <w:r w:rsidRPr="00B37E26">
              <w:tab/>
            </w:r>
            <w:r w:rsidRPr="00B37E26">
              <w:rPr>
                <w:b/>
                <w:i/>
              </w:rPr>
              <w:t>sostiene l'inclusione sistematica di valutazioni dei rischi specifiche per l'IA negli audit interni delle agenzie, garantendo il rispetto degli orientamenti etici e delle norme dell'UE in materia di cibersicurezza; chiede l'estensione del mandato dell'ENISA per includervi la vigilanza specifica sui rischi connessi all'uso dell'intelligenza artificiale all'interno delle agenzie dell'UE;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160</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Sottotitolo 11</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 xml:space="preserve">Sostenibilità, impatto ambientale e </w:t>
            </w:r>
            <w:r w:rsidRPr="00B37E26">
              <w:rPr>
                <w:b/>
                <w:i/>
              </w:rPr>
              <w:t>inclusione sociale</w:t>
            </w:r>
          </w:p>
        </w:tc>
        <w:tc>
          <w:tcPr>
            <w:tcW w:w="4876" w:type="dxa"/>
            <w:tcBorders>
              <w:top w:val="nil"/>
              <w:left w:val="nil"/>
              <w:bottom w:val="nil"/>
              <w:right w:val="nil"/>
            </w:tcBorders>
          </w:tcPr>
          <w:p w:rsidR="004A3213" w:rsidRPr="00B37E26" w:rsidRDefault="004A3213" w:rsidP="00D97434">
            <w:pPr>
              <w:pStyle w:val="Normal6a"/>
            </w:pPr>
            <w:r w:rsidRPr="00B37E26">
              <w:t xml:space="preserve">Sostenibilità, impatto ambientale e </w:t>
            </w:r>
            <w:r w:rsidRPr="00B37E26">
              <w:rPr>
                <w:b/>
                <w:i/>
              </w:rPr>
              <w:t>temi sociali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161</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Tomáš Zdechovský</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106</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106.</w:t>
            </w:r>
            <w:r w:rsidRPr="00B37E26">
              <w:tab/>
              <w:t>osserva che complessivamente 11</w:t>
            </w:r>
            <w:r w:rsidRPr="00B37E26">
              <w:rPr>
                <w:vertAlign w:val="superscript"/>
              </w:rPr>
              <w:t>34</w:t>
            </w:r>
            <w:r w:rsidRPr="00B37E26">
              <w:t xml:space="preserve"> delle 33 agenzie dell'UE (33 %) hanno già attuato il sistema di ecogestione e audit dell'UE (EMAS); prende atto con soddisfazione delle misure proattive adottate da diverse agenzie per ottenere la certificazione EMAS nel prossimo futuro</w:t>
            </w:r>
            <w:r w:rsidRPr="00B37E26">
              <w:rPr>
                <w:vertAlign w:val="superscript"/>
              </w:rPr>
              <w:t>35</w:t>
            </w:r>
            <w:r w:rsidRPr="00B37E26">
              <w:t>; deplora che alcune delle agenzie</w:t>
            </w:r>
            <w:r w:rsidRPr="00B37E26">
              <w:rPr>
                <w:vertAlign w:val="superscript"/>
              </w:rPr>
              <w:t>36</w:t>
            </w:r>
            <w:r w:rsidRPr="00B37E26">
              <w:t xml:space="preserve"> con un bilancio più elevato non abbiano comunicato i loro piani di attuazione di EMAS a breve termine;</w:t>
            </w:r>
          </w:p>
        </w:tc>
        <w:tc>
          <w:tcPr>
            <w:tcW w:w="4876" w:type="dxa"/>
            <w:tcBorders>
              <w:top w:val="nil"/>
              <w:left w:val="nil"/>
              <w:bottom w:val="nil"/>
              <w:right w:val="nil"/>
            </w:tcBorders>
          </w:tcPr>
          <w:p w:rsidR="004A3213" w:rsidRPr="00B37E26" w:rsidRDefault="004A3213" w:rsidP="00D97434">
            <w:pPr>
              <w:pStyle w:val="Normal6a"/>
            </w:pPr>
            <w:r w:rsidRPr="00B37E26">
              <w:t>106.</w:t>
            </w:r>
            <w:r w:rsidRPr="00B37E26">
              <w:tab/>
              <w:t>osserva che complessivamente 11</w:t>
            </w:r>
            <w:r w:rsidRPr="00B37E26">
              <w:rPr>
                <w:vertAlign w:val="superscript"/>
              </w:rPr>
              <w:t>34</w:t>
            </w:r>
            <w:r w:rsidRPr="00B37E26">
              <w:t xml:space="preserve"> delle 33 agenzie dell'UE (33 %) hanno già attuato il sistema di ecogestione e audit dell'UE (EMAS); prende atto con soddisfazione delle misure proattive adottate da diverse agenzie per ottenere la certificazione EMAS nel prossimo futuro</w:t>
            </w:r>
            <w:r w:rsidRPr="00B37E26">
              <w:rPr>
                <w:vertAlign w:val="superscript"/>
              </w:rPr>
              <w:t>35</w:t>
            </w:r>
            <w:r w:rsidRPr="00B37E26">
              <w:t>; rileva che alcune delle agenzie</w:t>
            </w:r>
            <w:r w:rsidRPr="00B37E26">
              <w:rPr>
                <w:vertAlign w:val="superscript"/>
              </w:rPr>
              <w:t>36</w:t>
            </w:r>
            <w:r w:rsidRPr="00B37E26">
              <w:t xml:space="preserve"> con un bilancio più elevato non hanno comunicato i loro piani di attuazione di EMAS a breve termine; </w:t>
            </w:r>
            <w:r w:rsidRPr="00B37E26">
              <w:rPr>
                <w:b/>
                <w:i/>
              </w:rPr>
              <w:t>prende atto del fatto che l'AESA sta attualmente valutando gli strumenti per il miglioramento sistematico e costante delle prestazioni ambientali, incluso l'EMAS, e fornirà un aggiornamento all'autorità di discarico entro la fine dell'anno;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c>
          <w:tcPr>
            <w:tcW w:w="4876" w:type="dxa"/>
            <w:tcBorders>
              <w:top w:val="nil"/>
              <w:left w:val="nil"/>
              <w:bottom w:val="nil"/>
              <w:right w:val="nil"/>
            </w:tcBorders>
          </w:tcPr>
          <w:p w:rsidR="004A3213" w:rsidRPr="00B37E26" w:rsidRDefault="004A3213" w:rsidP="00D97434">
            <w:pPr>
              <w:pStyle w:val="Normal6a"/>
            </w:pPr>
            <w:r w:rsidRPr="00B37E26">
              <w:rPr>
                <w:b/>
                <w:i/>
              </w:rPr>
              <w:t>_________________</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34 </w:t>
            </w:r>
            <w:r w:rsidRPr="00B37E26">
              <w:t>ABE, ECDC, ECHA, AEA, EFSA, EOIPA, EMSA, Europol, Eurofound, ETF ed ESMA.</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34 </w:t>
            </w:r>
            <w:r w:rsidRPr="00B37E26">
              <w:t>ABE, ECDC, ECHA, AEA, EFSA, EOIPA, EMSA, Europol, Eurofound, ETF ed ESMA.</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35 </w:t>
            </w:r>
            <w:r w:rsidRPr="00B37E26">
              <w:t>BEREC, Cedefop, eu-LISA, EUSPA ed EMA.</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35 </w:t>
            </w:r>
            <w:r w:rsidRPr="00B37E26">
              <w:t>BEREC, Cedefop, eu-LISA, EUSPA ed EMA.</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36 </w:t>
            </w:r>
            <w:r w:rsidRPr="00B37E26">
              <w:t>EIT, Frontex, EUAA ed AESA.</w:t>
            </w:r>
          </w:p>
        </w:tc>
        <w:tc>
          <w:tcPr>
            <w:tcW w:w="4876" w:type="dxa"/>
            <w:tcBorders>
              <w:top w:val="nil"/>
              <w:left w:val="nil"/>
              <w:bottom w:val="nil"/>
              <w:right w:val="nil"/>
            </w:tcBorders>
          </w:tcPr>
          <w:p w:rsidR="004A3213" w:rsidRPr="00B37E26" w:rsidRDefault="004A3213" w:rsidP="00D97434">
            <w:pPr>
              <w:pStyle w:val="Normal6a"/>
            </w:pPr>
            <w:r w:rsidRPr="00B37E26">
              <w:rPr>
                <w:vertAlign w:val="superscript"/>
              </w:rPr>
              <w:t xml:space="preserve">36 </w:t>
            </w:r>
            <w:r w:rsidRPr="00B37E26">
              <w:t>EIT, Frontex, EUAA ed AESA.</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162</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Erik Marquardt</w:t>
      </w:r>
      <w:r w:rsidRPr="00B37E26">
        <w:rPr>
          <w:rStyle w:val="HideTWBExt"/>
          <w:b w:val="0"/>
        </w:rPr>
        <w:t>&lt;/Members&gt;</w:t>
      </w:r>
    </w:p>
    <w:p w:rsidR="004A3213" w:rsidRPr="00B37E26" w:rsidRDefault="004A3213" w:rsidP="004A3213">
      <w:r w:rsidRPr="00B37E26">
        <w:rPr>
          <w:rStyle w:val="HideTWBExt"/>
        </w:rPr>
        <w:t>&lt;AuNomDe&gt;</w:t>
      </w:r>
      <w:r w:rsidRPr="00B37E26">
        <w:rPr>
          <w:rStyle w:val="HideTWBInt"/>
        </w:rPr>
        <w:t>{Greens/EFA}</w:t>
      </w:r>
      <w:r w:rsidRPr="00B37E26">
        <w:t>a nome del gruppo Verts/ALE</w:t>
      </w:r>
      <w:r w:rsidRPr="00B37E26">
        <w:rPr>
          <w:rStyle w:val="HideTWBExt"/>
        </w:rPr>
        <w:t>&lt;/AuNomDe&gt;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106 bis (nuovo)</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p>
        </w:tc>
        <w:tc>
          <w:tcPr>
            <w:tcW w:w="4876" w:type="dxa"/>
            <w:tcBorders>
              <w:top w:val="nil"/>
              <w:left w:val="nil"/>
              <w:bottom w:val="nil"/>
              <w:right w:val="nil"/>
            </w:tcBorders>
          </w:tcPr>
          <w:p w:rsidR="004A3213" w:rsidRPr="00B37E26" w:rsidRDefault="004A3213" w:rsidP="00D97434">
            <w:pPr>
              <w:pStyle w:val="Normal6a"/>
            </w:pPr>
            <w:r w:rsidRPr="00B37E26">
              <w:rPr>
                <w:b/>
                <w:i/>
              </w:rPr>
              <w:t>106 bis.</w:t>
            </w:r>
            <w:r w:rsidRPr="00B37E26">
              <w:tab/>
            </w:r>
            <w:r w:rsidRPr="00B37E26">
              <w:rPr>
                <w:b/>
                <w:i/>
              </w:rPr>
              <w:t>invita tutte le agenzie a integrare misure di sostenibilità ed efficienza energetica nelle loro strategie operative, in linea con il Green Deal europeo; esorta le agenzie a ridurre la loro impronta di carbonio attuando politiche in materia di appalti verdi, dando priorità alle fonti energetiche rinnovabili e promuovendo opzioni di mobilità sostenibile per il personale; chiede a ciascuna agenzia l'elaborazione di una relazione annuale sull'impatto ambientale, che comprenda indicatori chiari sul consumo energetico, sulla riduzione dei rifiuti e sulle emissioni di gas a effetto serra;</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163</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 José Cepeda, Claudiu Manda</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107</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107.</w:t>
            </w:r>
            <w:r w:rsidRPr="00B37E26">
              <w:tab/>
              <w:t>ricorda che la relazione (orizzontale) sul discarico 2022 ha indicato che 14 agenzie non dispongono ancora dei piani aziendali di sostenibilità; osserva che per l'esercizio finanziario 2023 la relazione della Corte non ha fornito dati aggiornati sulla questione; ribadisce l'importanza che tutte le agenzie dispongano dei piani aziendali di sostenibilità;</w:t>
            </w:r>
          </w:p>
        </w:tc>
        <w:tc>
          <w:tcPr>
            <w:tcW w:w="4876" w:type="dxa"/>
            <w:tcBorders>
              <w:top w:val="nil"/>
              <w:left w:val="nil"/>
              <w:bottom w:val="nil"/>
              <w:right w:val="nil"/>
            </w:tcBorders>
          </w:tcPr>
          <w:p w:rsidR="004A3213" w:rsidRPr="00B37E26" w:rsidRDefault="004A3213" w:rsidP="00D97434">
            <w:pPr>
              <w:pStyle w:val="Normal6a"/>
            </w:pPr>
            <w:r w:rsidRPr="00B37E26">
              <w:t>107.</w:t>
            </w:r>
            <w:r w:rsidRPr="00B37E26">
              <w:tab/>
              <w:t xml:space="preserve">ricorda che la relazione (orizzontale) sul discarico 2022 ha indicato che 14 agenzie non dispongono ancora dei piani aziendali di sostenibilità; osserva che per l'esercizio finanziario 2023 la relazione della Corte non ha fornito dati aggiornati sulla questione; ribadisce l'importanza che tutte le agenzie dispongano dei piani aziendali di sostenibilità; </w:t>
            </w:r>
            <w:r w:rsidRPr="00B37E26">
              <w:rPr>
                <w:b/>
                <w:i/>
              </w:rPr>
              <w:t>esorta le agenzie a riferire alla Commissione in merito alla prestazione energetica dei loro edifici;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164</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Marit Maij, Csaba Molnár, Claudiu Manda</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109</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109.</w:t>
            </w:r>
            <w:r w:rsidRPr="00B37E26">
              <w:tab/>
              <w:t xml:space="preserve">osserva che nell'esercizio finanziario 2023 le agenzie hanno dimostrato un crescente impegno a favore degli obiettivi ambientali e di sostenibilità; rileva che l'Agenzia europea dell'ambiente (AEA) ha svolto un ruolo fondamentale nel monitoraggio e nella comunicazione dei cambiamenti climatici e delle prestazioni ambientali in tutta l'Unione; osserva che agenzie come la CINEA e </w:t>
            </w:r>
            <w:r w:rsidRPr="00B37E26">
              <w:rPr>
                <w:b/>
                <w:i/>
              </w:rPr>
              <w:t>l'AEA</w:t>
            </w:r>
            <w:r w:rsidRPr="00B37E26">
              <w:t xml:space="preserve"> hanno guidato l'attuazione di programmi relativi alla sostenibilità, contribuendo a iniziative a livello dell'UE intese a ridurre </w:t>
            </w:r>
            <w:r w:rsidRPr="00B37E26">
              <w:rPr>
                <w:b/>
                <w:i/>
              </w:rPr>
              <w:t>l'impronta</w:t>
            </w:r>
            <w:r w:rsidRPr="00B37E26">
              <w:t xml:space="preserve"> di </w:t>
            </w:r>
            <w:r w:rsidRPr="00B37E26">
              <w:rPr>
                <w:b/>
                <w:i/>
              </w:rPr>
              <w:t>carbonio e</w:t>
            </w:r>
            <w:r w:rsidRPr="00B37E26">
              <w:t xml:space="preserve"> a promuovere le energie rinnovabili;</w:t>
            </w:r>
          </w:p>
        </w:tc>
        <w:tc>
          <w:tcPr>
            <w:tcW w:w="4876" w:type="dxa"/>
            <w:tcBorders>
              <w:top w:val="nil"/>
              <w:left w:val="nil"/>
              <w:bottom w:val="nil"/>
              <w:right w:val="nil"/>
            </w:tcBorders>
          </w:tcPr>
          <w:p w:rsidR="004A3213" w:rsidRPr="00B37E26" w:rsidRDefault="004A3213" w:rsidP="00D97434">
            <w:pPr>
              <w:pStyle w:val="Normal6a"/>
            </w:pPr>
            <w:r w:rsidRPr="00B37E26">
              <w:t>109.</w:t>
            </w:r>
            <w:r w:rsidRPr="00B37E26">
              <w:tab/>
              <w:t>osserva che nell'esercizio finanziario 2023 le agenzie hanno dimostrato un crescente impegno a favore degli obiettivi ambientali e di sostenibilità; rileva che l'Agenzia europea dell'ambiente (AEA) ha svolto un ruolo fondamentale nel monitoraggio e nella comunicazione dei cambiamenti climatici e delle prestazioni ambientali in tutta l'Unione; osserva che agenzie come la CINEA</w:t>
            </w:r>
            <w:r w:rsidRPr="00B37E26">
              <w:rPr>
                <w:b/>
                <w:i/>
              </w:rPr>
              <w:t>, l'AEA</w:t>
            </w:r>
            <w:r w:rsidRPr="00B37E26">
              <w:t xml:space="preserve"> e </w:t>
            </w:r>
            <w:r w:rsidRPr="00B37E26">
              <w:rPr>
                <w:b/>
                <w:i/>
              </w:rPr>
              <w:t>l'ECHA</w:t>
            </w:r>
            <w:r w:rsidRPr="00B37E26">
              <w:t xml:space="preserve"> hanno guidato l'attuazione di programmi relativi alla sostenibilità, contribuendo a iniziative a livello dell'UE intese a ridurre </w:t>
            </w:r>
            <w:r w:rsidRPr="00B37E26">
              <w:rPr>
                <w:b/>
                <w:i/>
              </w:rPr>
              <w:t>le emissioni</w:t>
            </w:r>
            <w:r w:rsidRPr="00B37E26">
              <w:t xml:space="preserve"> di </w:t>
            </w:r>
            <w:r w:rsidRPr="00B37E26">
              <w:rPr>
                <w:b/>
                <w:i/>
              </w:rPr>
              <w:t>gas a effetto serra,</w:t>
            </w:r>
            <w:r w:rsidRPr="00B37E26">
              <w:t xml:space="preserve"> a promuovere le energie rinnovabili</w:t>
            </w:r>
            <w:r w:rsidRPr="00B37E26">
              <w:rPr>
                <w:b/>
                <w:i/>
              </w:rPr>
              <w:t xml:space="preserve"> e a proteggere la salute umana e l'ambiente;</w:t>
            </w:r>
            <w:r w:rsidRPr="00B37E26">
              <w:t xml:space="preserve"> </w:t>
            </w:r>
            <w:r w:rsidRPr="00B37E26">
              <w:rPr>
                <w:b/>
                <w:i/>
              </w:rPr>
              <w:t>invita l'Agenzia europea per le sostanze chimiche, per quanto riguarda l'eccellenza scientifica, a svolgere i propri lavori in linea con il principio di precauzione che sottende al regolamento REACH (regolamento (CE) n. 1907/2006) e con la necessità di proteggere in linea prioritaria la salute umana e l'ambiente da sostanze chimiche pericolose;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165</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109</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109.</w:t>
            </w:r>
            <w:r w:rsidRPr="00B37E26">
              <w:tab/>
              <w:t xml:space="preserve">osserva che nell'esercizio finanziario 2023 le agenzie hanno dimostrato un crescente impegno a favore degli obiettivi ambientali e di sostenibilità; rileva che l'Agenzia europea dell'ambiente (AEA) ha </w:t>
            </w:r>
            <w:r w:rsidRPr="00B37E26">
              <w:rPr>
                <w:b/>
                <w:i/>
              </w:rPr>
              <w:t>svolto</w:t>
            </w:r>
            <w:r w:rsidRPr="00B37E26">
              <w:t xml:space="preserve"> un ruolo</w:t>
            </w:r>
            <w:r w:rsidRPr="00B37E26">
              <w:rPr>
                <w:b/>
                <w:i/>
              </w:rPr>
              <w:t xml:space="preserve"> fondamentale</w:t>
            </w:r>
            <w:r w:rsidRPr="00B37E26">
              <w:t xml:space="preserve"> nel monitoraggio e nella comunicazione dei cambiamenti climatici e delle prestazioni ambientali in tutta l'Unione; osserva che agenzie come la CINEA e l'AEA hanno </w:t>
            </w:r>
            <w:r w:rsidRPr="00B37E26">
              <w:rPr>
                <w:b/>
                <w:i/>
              </w:rPr>
              <w:t>guidato l'</w:t>
            </w:r>
            <w:r w:rsidRPr="00B37E26">
              <w:t>attuazione di programmi relativi alla sostenibilità, contribuendo a iniziative a livello dell'UE intese a ridurre l'impronta di carbonio e a promuovere le energie rinnovabili;</w:t>
            </w:r>
          </w:p>
        </w:tc>
        <w:tc>
          <w:tcPr>
            <w:tcW w:w="4876" w:type="dxa"/>
            <w:tcBorders>
              <w:top w:val="nil"/>
              <w:left w:val="nil"/>
              <w:bottom w:val="nil"/>
              <w:right w:val="nil"/>
            </w:tcBorders>
          </w:tcPr>
          <w:p w:rsidR="004A3213" w:rsidRPr="00B37E26" w:rsidRDefault="004A3213" w:rsidP="00D97434">
            <w:pPr>
              <w:pStyle w:val="Normal6a"/>
            </w:pPr>
            <w:r w:rsidRPr="00B37E26">
              <w:t>109.</w:t>
            </w:r>
            <w:r w:rsidRPr="00B37E26">
              <w:tab/>
              <w:t xml:space="preserve">osserva che nell'esercizio finanziario 2023 le agenzie hanno dimostrato un crescente impegno a favore degli obiettivi ambientali e di sostenibilità; rileva che l'Agenzia europea dell'ambiente (AEA) ha </w:t>
            </w:r>
            <w:r w:rsidRPr="00B37E26">
              <w:rPr>
                <w:b/>
                <w:i/>
              </w:rPr>
              <w:t>avuto</w:t>
            </w:r>
            <w:r w:rsidRPr="00B37E26">
              <w:t xml:space="preserve"> un ruolo nel monitoraggio e nella comunicazione dei cambiamenti climatici e delle prestazioni ambientali in tutta l'Unione; osserva che agenzie come la CINEA e l'AEA hanno </w:t>
            </w:r>
            <w:r w:rsidRPr="00B37E26">
              <w:rPr>
                <w:b/>
                <w:i/>
              </w:rPr>
              <w:t>contribuito all'</w:t>
            </w:r>
            <w:r w:rsidRPr="00B37E26">
              <w:t>attuazione di programmi relativi alla sostenibilità, contribuendo a iniziative a livello dell'UE intese a ridurre l'impronta di carbonio e a promuovere le energie rinnovabili;</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166</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112</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112.</w:t>
            </w:r>
            <w:r w:rsidRPr="00B37E26">
              <w:tab/>
              <w:t>osserva che su un totale di 115 osservazioni formulate dalla Corte corrispondenti agli anni precedenti delle agenzie oggetto della presente risoluzione, sono state archiviate nel corso del 2023 un totale di 57, mentre 53 risultano ancora in sospeso e cinque parzialmente archiviate; rileva che il numero di osservazioni in corso varia tra le agenzie, alcune delle quali non hanno osservazioni aperte, come nel caso del BEREC, dell'ABE, dell'ECHA, dell'AEA, dell'EMSA, dell'ENISA, dell'EU-OSHA, dell'EUSPA e di Eurofound</w:t>
            </w:r>
            <w:r w:rsidRPr="00B37E26">
              <w:rPr>
                <w:b/>
                <w:i/>
              </w:rPr>
              <w:t>, mentre il numero più elevato di osservazioni in sospeso riguarda eu-LISA, Frontex ed ELA, rispettivamente con otto, sette e cinque</w:t>
            </w:r>
            <w:r w:rsidRPr="00B37E26">
              <w:t xml:space="preserve">; chiede a </w:t>
            </w:r>
            <w:r w:rsidRPr="00B37E26">
              <w:rPr>
                <w:b/>
                <w:i/>
              </w:rPr>
              <w:t>tali</w:t>
            </w:r>
            <w:r w:rsidRPr="00B37E26">
              <w:t xml:space="preserve"> agenzie di adottare misure proattive allo scopo di risolvere </w:t>
            </w:r>
            <w:r w:rsidRPr="00B37E26">
              <w:rPr>
                <w:b/>
                <w:i/>
              </w:rPr>
              <w:t>tali</w:t>
            </w:r>
            <w:r w:rsidRPr="00B37E26">
              <w:t xml:space="preserve"> questioni in sospeso;</w:t>
            </w:r>
          </w:p>
        </w:tc>
        <w:tc>
          <w:tcPr>
            <w:tcW w:w="4876" w:type="dxa"/>
            <w:tcBorders>
              <w:top w:val="nil"/>
              <w:left w:val="nil"/>
              <w:bottom w:val="nil"/>
              <w:right w:val="nil"/>
            </w:tcBorders>
          </w:tcPr>
          <w:p w:rsidR="004A3213" w:rsidRPr="00B37E26" w:rsidRDefault="004A3213" w:rsidP="00D97434">
            <w:pPr>
              <w:pStyle w:val="Normal6a"/>
            </w:pPr>
            <w:r w:rsidRPr="00B37E26">
              <w:t>112.</w:t>
            </w:r>
            <w:r w:rsidRPr="00B37E26">
              <w:tab/>
              <w:t xml:space="preserve">osserva che su un totale di 115 osservazioni formulate dalla Corte corrispondenti agli anni precedenti delle agenzie oggetto della presente risoluzione, sono state archiviate nel corso del 2023 un totale di 57, mentre 53 risultano ancora in sospeso e cinque parzialmente archiviate; rileva che il numero di osservazioni in corso varia tra le agenzie, alcune delle quali non hanno osservazioni aperte, come nel caso del BEREC, dell'ABE, dell'ECHA, dell'AEA, dell'EMSA, dell'ENISA, dell'EU-OSHA, dell'EUSPA e di Eurofound; chiede a </w:t>
            </w:r>
            <w:r w:rsidRPr="00B37E26">
              <w:rPr>
                <w:b/>
                <w:i/>
              </w:rPr>
              <w:t>tutte le</w:t>
            </w:r>
            <w:r w:rsidRPr="00B37E26">
              <w:t xml:space="preserve"> agenzie di adottare misure proattive allo scopo di risolvere </w:t>
            </w:r>
            <w:r w:rsidRPr="00B37E26">
              <w:rPr>
                <w:b/>
                <w:i/>
              </w:rPr>
              <w:t>le</w:t>
            </w:r>
            <w:r w:rsidRPr="00B37E26">
              <w:t xml:space="preserve"> questioni in sospeso;</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167</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Tomáš Zdechovský</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113</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113.</w:t>
            </w:r>
            <w:r w:rsidRPr="00B37E26">
              <w:tab/>
              <w:t xml:space="preserve">prende atto che sei delle 53 osservazioni in sospeso segnalano a un elevato livello di riporti (ACER, ELA, EFCA, eu-LISA, FRA, Frontex); </w:t>
            </w:r>
            <w:r w:rsidRPr="00B37E26">
              <w:rPr>
                <w:b/>
                <w:i/>
              </w:rPr>
              <w:t>esprime particolare preoccupazione per il fatto che, nel caso di Frontex, tale osservazione sia in sospeso dal 2018;</w:t>
            </w:r>
          </w:p>
        </w:tc>
        <w:tc>
          <w:tcPr>
            <w:tcW w:w="4876" w:type="dxa"/>
            <w:tcBorders>
              <w:top w:val="nil"/>
              <w:left w:val="nil"/>
              <w:bottom w:val="nil"/>
              <w:right w:val="nil"/>
            </w:tcBorders>
          </w:tcPr>
          <w:p w:rsidR="004A3213" w:rsidRPr="00B37E26" w:rsidRDefault="004A3213" w:rsidP="00D97434">
            <w:pPr>
              <w:pStyle w:val="Normal6a"/>
            </w:pPr>
            <w:r w:rsidRPr="00B37E26">
              <w:t>113.</w:t>
            </w:r>
            <w:r w:rsidRPr="00B37E26">
              <w:tab/>
              <w:t>prende atto che sei delle 53 osservazioni in sospeso segnalano a un elevato livello di riporti (ACER, ELA, EFCA, eu-LISA, FRA, Frontex);</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168</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Dirk Gotink</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113</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113.</w:t>
            </w:r>
            <w:r w:rsidRPr="00B37E26">
              <w:tab/>
              <w:t xml:space="preserve">prende atto che sei delle 53 osservazioni in sospeso segnalano a un elevato livello di riporti (ACER, ELA, EFCA, eu-LISA, FRA, Frontex); </w:t>
            </w:r>
            <w:r w:rsidRPr="00B37E26">
              <w:rPr>
                <w:b/>
                <w:i/>
              </w:rPr>
              <w:t>esprime particolare preoccupazione per il fatto che, nel caso di Frontex, tale osservazione sia in sospeso dal 2018;</w:t>
            </w:r>
          </w:p>
        </w:tc>
        <w:tc>
          <w:tcPr>
            <w:tcW w:w="4876" w:type="dxa"/>
            <w:tcBorders>
              <w:top w:val="nil"/>
              <w:left w:val="nil"/>
              <w:bottom w:val="nil"/>
              <w:right w:val="nil"/>
            </w:tcBorders>
          </w:tcPr>
          <w:p w:rsidR="004A3213" w:rsidRPr="00B37E26" w:rsidRDefault="004A3213" w:rsidP="00D97434">
            <w:pPr>
              <w:pStyle w:val="Normal6a"/>
            </w:pPr>
            <w:r w:rsidRPr="00B37E26">
              <w:t>113.</w:t>
            </w:r>
            <w:r w:rsidRPr="00B37E26">
              <w:tab/>
              <w:t>prende atto che sei delle 53 osservazioni in sospeso segnalano a un elevato livello di riporti (ACER, ELA, EFCA, eu-LISA, FRA, Frontex);</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{EN}</w:t>
      </w:r>
      <w:r w:rsidRPr="00B37E26">
        <w:t>en</w:t>
      </w:r>
      <w:r w:rsidRPr="00B37E26">
        <w:rPr>
          <w:rStyle w:val="HideTWBExt"/>
        </w:rPr>
        <w:t>&lt;/Original&gt;</w:t>
      </w:r>
    </w:p>
    <w:p w:rsidR="004A3213" w:rsidRPr="00B37E26" w:rsidRDefault="004A3213" w:rsidP="004A3213">
      <w:r w:rsidRPr="00B37E26">
        <w:rPr>
          <w:rStyle w:val="HideTWBExt"/>
        </w:rPr>
        <w:t>&lt;/Amend&gt;</w:t>
      </w:r>
    </w:p>
    <w:p w:rsidR="004A3213" w:rsidRPr="00B37E26" w:rsidRDefault="004A3213" w:rsidP="004A3213">
      <w:pPr>
        <w:pStyle w:val="AmNumberTabs"/>
      </w:pPr>
      <w:r w:rsidRPr="00B37E26">
        <w:rPr>
          <w:rStyle w:val="HideTWBExt"/>
          <w:b w:val="0"/>
        </w:rPr>
        <w:t>&lt;Amend&gt;</w:t>
      </w:r>
      <w:r w:rsidRPr="00B37E26">
        <w:t>Emendamento</w:t>
      </w:r>
      <w:r w:rsidRPr="00B37E26">
        <w:tab/>
      </w:r>
      <w:r w:rsidRPr="00B37E26">
        <w:tab/>
      </w:r>
      <w:r w:rsidRPr="00B37E26">
        <w:rPr>
          <w:rStyle w:val="HideTWBExt"/>
          <w:b w:val="0"/>
        </w:rPr>
        <w:t>&lt;NumAm&gt;</w:t>
      </w:r>
      <w:r w:rsidRPr="00B37E26">
        <w:t>169</w:t>
      </w:r>
      <w:r w:rsidRPr="00B37E26">
        <w:rPr>
          <w:rStyle w:val="HideTWBExt"/>
          <w:b w:val="0"/>
        </w:rPr>
        <w:t>&lt;/NumAm&gt;</w:t>
      </w:r>
    </w:p>
    <w:p w:rsidR="004A3213" w:rsidRPr="00B37E26" w:rsidRDefault="004A3213" w:rsidP="004A3213">
      <w:pPr>
        <w:pStyle w:val="NormalBold"/>
      </w:pPr>
      <w:r w:rsidRPr="00B37E26">
        <w:rPr>
          <w:rStyle w:val="HideTWBExt"/>
          <w:b w:val="0"/>
        </w:rPr>
        <w:t>&lt;RepeatBlock-By&gt;&lt;Members&gt;</w:t>
      </w:r>
      <w:r w:rsidRPr="00B37E26">
        <w:t>Julien Sanchez, Virginie Joron, Tamás Deutsch</w:t>
      </w:r>
      <w:r w:rsidRPr="00B37E26">
        <w:rPr>
          <w:rStyle w:val="HideTWBExt"/>
          <w:b w:val="0"/>
        </w:rPr>
        <w:t>&lt;/Members&gt;</w:t>
      </w:r>
    </w:p>
    <w:p w:rsidR="004A3213" w:rsidRPr="00B37E26" w:rsidRDefault="004A3213" w:rsidP="004A3213">
      <w:pPr>
        <w:pStyle w:val="NormalBold"/>
      </w:pPr>
      <w:r w:rsidRPr="00B37E26">
        <w:rPr>
          <w:rStyle w:val="HideTWBExt"/>
          <w:b w:val="0"/>
        </w:rPr>
        <w:t>&lt;/RepeatBlock-By&gt;</w:t>
      </w:r>
    </w:p>
    <w:p w:rsidR="004A3213" w:rsidRPr="00B37E26" w:rsidRDefault="004A3213" w:rsidP="004A3213">
      <w:pPr>
        <w:pStyle w:val="NormalBold"/>
      </w:pPr>
      <w:r w:rsidRPr="00B37E26">
        <w:rPr>
          <w:rStyle w:val="HideTWBExt"/>
          <w:b w:val="0"/>
        </w:rPr>
        <w:t>&lt;DocAmend&gt;</w:t>
      </w:r>
      <w:r w:rsidRPr="00B37E26">
        <w:t>Proposta di risoluzione</w:t>
      </w:r>
      <w:r w:rsidRPr="00B37E26">
        <w:rPr>
          <w:rStyle w:val="HideTWBExt"/>
          <w:b w:val="0"/>
        </w:rPr>
        <w:t>&lt;/DocAmend&gt;</w:t>
      </w:r>
    </w:p>
    <w:p w:rsidR="004A3213" w:rsidRPr="00B37E26" w:rsidRDefault="004A3213" w:rsidP="004A3213">
      <w:pPr>
        <w:pStyle w:val="NormalBold"/>
      </w:pPr>
      <w:r w:rsidRPr="00B37E26">
        <w:rPr>
          <w:rStyle w:val="HideTWBExt"/>
          <w:b w:val="0"/>
        </w:rPr>
        <w:t>&lt;Article&gt;</w:t>
      </w:r>
      <w:r w:rsidRPr="00B37E26">
        <w:t>Paragrafo 116</w:t>
      </w:r>
      <w:r w:rsidRPr="00B37E2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3213" w:rsidRPr="00B37E26" w:rsidTr="00D97434">
        <w:trPr>
          <w:trHeight w:hRule="exact" w:val="240"/>
          <w:jc w:val="center"/>
        </w:trPr>
        <w:tc>
          <w:tcPr>
            <w:tcW w:w="9752" w:type="dxa"/>
            <w:gridSpan w:val="2"/>
            <w:tcBorders>
              <w:top w:val="nil"/>
              <w:left w:val="nil"/>
              <w:bottom w:val="nil"/>
              <w:right w:val="nil"/>
            </w:tcBorders>
          </w:tcPr>
          <w:p w:rsidR="004A3213" w:rsidRPr="00B37E26" w:rsidRDefault="004A3213" w:rsidP="00D97434"/>
        </w:tc>
      </w:tr>
      <w:tr w:rsidR="004A3213" w:rsidRPr="00B37E26" w:rsidTr="00D97434">
        <w:trPr>
          <w:trHeight w:val="240"/>
          <w:jc w:val="center"/>
        </w:trPr>
        <w:tc>
          <w:tcPr>
            <w:tcW w:w="4876" w:type="dxa"/>
            <w:tcBorders>
              <w:top w:val="nil"/>
              <w:left w:val="nil"/>
              <w:bottom w:val="nil"/>
              <w:right w:val="nil"/>
            </w:tcBorders>
          </w:tcPr>
          <w:p w:rsidR="004A3213" w:rsidRPr="00B37E26" w:rsidRDefault="004A3213" w:rsidP="00D97434">
            <w:pPr>
              <w:pStyle w:val="AmColumnHeading"/>
            </w:pPr>
            <w:r w:rsidRPr="00B37E26">
              <w:t>Proposta di risoluzione</w:t>
            </w:r>
          </w:p>
        </w:tc>
        <w:tc>
          <w:tcPr>
            <w:tcW w:w="4876" w:type="dxa"/>
            <w:tcBorders>
              <w:top w:val="nil"/>
              <w:left w:val="nil"/>
              <w:bottom w:val="nil"/>
              <w:right w:val="nil"/>
            </w:tcBorders>
          </w:tcPr>
          <w:p w:rsidR="004A3213" w:rsidRPr="00B37E26" w:rsidRDefault="004A3213" w:rsidP="00D97434">
            <w:pPr>
              <w:pStyle w:val="AmColumnHeading"/>
            </w:pPr>
            <w:r w:rsidRPr="00B37E26">
              <w:t>Emendamento</w:t>
            </w:r>
          </w:p>
        </w:tc>
      </w:tr>
      <w:tr w:rsidR="004A3213" w:rsidRPr="00B37E26" w:rsidTr="00D97434">
        <w:trPr>
          <w:jc w:val="center"/>
        </w:trPr>
        <w:tc>
          <w:tcPr>
            <w:tcW w:w="4876" w:type="dxa"/>
            <w:tcBorders>
              <w:top w:val="nil"/>
              <w:left w:val="nil"/>
              <w:bottom w:val="nil"/>
              <w:right w:val="nil"/>
            </w:tcBorders>
          </w:tcPr>
          <w:p w:rsidR="004A3213" w:rsidRPr="00B37E26" w:rsidRDefault="004A3213" w:rsidP="00D97434">
            <w:pPr>
              <w:pStyle w:val="Normal6a"/>
            </w:pPr>
            <w:r w:rsidRPr="00B37E26">
              <w:t>116.</w:t>
            </w:r>
            <w:r w:rsidRPr="00B37E26">
              <w:tab/>
              <w:t xml:space="preserve">osserva che dal 2019 l'ACER ha fatto ricorso a lavoratori interinali per svolgere compiti a lungo termine onde compensare la carenza di personale impiegato direttamente; </w:t>
            </w:r>
            <w:r w:rsidRPr="00B37E26">
              <w:rPr>
                <w:b/>
                <w:i/>
              </w:rPr>
              <w:t>invita la Commissione a fornire ulteriori posti di personale statutario;</w:t>
            </w:r>
          </w:p>
        </w:tc>
        <w:tc>
          <w:tcPr>
            <w:tcW w:w="4876" w:type="dxa"/>
            <w:tcBorders>
              <w:top w:val="nil"/>
              <w:left w:val="nil"/>
              <w:bottom w:val="nil"/>
              <w:right w:val="nil"/>
            </w:tcBorders>
          </w:tcPr>
          <w:p w:rsidR="004A3213" w:rsidRPr="00B37E26" w:rsidRDefault="004A3213" w:rsidP="00D97434">
            <w:pPr>
              <w:pStyle w:val="Normal6a"/>
            </w:pPr>
            <w:r w:rsidRPr="00B37E26">
              <w:t>116.</w:t>
            </w:r>
            <w:r w:rsidRPr="00B37E26">
              <w:tab/>
              <w:t>osserva che dal 2019 l'ACER ha fatto ricorso a lavoratori interinali per svolgere compiti a lungo termine onde compensare la carenza di personale impiegato direttamente;</w:t>
            </w:r>
          </w:p>
        </w:tc>
      </w:tr>
    </w:tbl>
    <w:p w:rsidR="004A3213" w:rsidRPr="00B37E26" w:rsidRDefault="004A3213" w:rsidP="004A3213">
      <w:pPr>
        <w:pStyle w:val="AmOrLang"/>
      </w:pPr>
      <w:r w:rsidRPr="00B37E26">
        <w:t xml:space="preserve">Or. </w:t>
      </w:r>
      <w:r w:rsidRPr="00B37E26">
        <w:rPr>
          <w:rStyle w:val="HideTWBExt"/>
        </w:rPr>
        <w:t>&lt;Original&gt;</w:t>
      </w:r>
      <w:r w:rsidRPr="00B37E26">
        <w:rPr>
          <w:rStyle w:val="HideTWBInt"/>
        </w:rPr>
        <w:t>{FR}</w:t>
      </w:r>
      <w:r w:rsidRPr="00B37E26">
        <w:t>fr</w:t>
      </w:r>
      <w:r w:rsidRPr="00B37E26">
        <w:rPr>
          <w:rStyle w:val="HideTWBExt"/>
        </w:rPr>
        <w:t>&lt;/Original&gt;</w:t>
      </w:r>
    </w:p>
    <w:p w:rsidR="004A3213" w:rsidRPr="00B37E26" w:rsidRDefault="004A3213" w:rsidP="004A3213">
      <w:r w:rsidRPr="00B37E26">
        <w:rPr>
          <w:rStyle w:val="HideTWBExt"/>
        </w:rPr>
        <w:t>&lt;/Amend&gt;</w:t>
      </w:r>
      <w:r w:rsidRPr="00B37E26">
        <w:rPr>
          <w:rStyle w:val="HideTWBExt"/>
        </w:rPr>
        <w:t>&lt;/RepeatBlock-Amend&gt;</w:t>
      </w:r>
    </w:p>
    <w:p w:rsidR="00794E41" w:rsidRPr="00B37E26" w:rsidRDefault="00794E41" w:rsidP="004A3213"/>
    <w:sectPr w:rsidR="00794E41" w:rsidRPr="00B37E26" w:rsidSect="004A321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37E26" w:rsidRDefault="005F200F">
      <w:r w:rsidRPr="00B37E26">
        <w:separator/>
      </w:r>
    </w:p>
  </w:endnote>
  <w:endnote w:type="continuationSeparator" w:id="0">
    <w:p w:rsidR="00000000" w:rsidRPr="00B37E26" w:rsidRDefault="005F200F">
      <w:r w:rsidRPr="00B37E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213" w:rsidRPr="00B37E26" w:rsidRDefault="004A3213" w:rsidP="004A3213">
    <w:pPr>
      <w:pStyle w:val="EPFooter"/>
    </w:pPr>
    <w:r w:rsidRPr="00B37E26">
      <w:t>PE</w:t>
    </w:r>
    <w:r w:rsidRPr="00B37E26">
      <w:rPr>
        <w:rStyle w:val="HideTWBExt"/>
      </w:rPr>
      <w:t>&lt;NoPE&gt;</w:t>
    </w:r>
    <w:r w:rsidRPr="00B37E26">
      <w:t>770.046</w:t>
    </w:r>
    <w:r w:rsidRPr="00B37E26">
      <w:rPr>
        <w:rStyle w:val="HideTWBExt"/>
      </w:rPr>
      <w:t>&lt;/NoPE&gt;&lt;Version&gt;</w:t>
    </w:r>
    <w:r w:rsidRPr="00B37E26">
      <w:t>v01-00</w:t>
    </w:r>
    <w:r w:rsidRPr="00B37E26">
      <w:rPr>
        <w:rStyle w:val="HideTWBExt"/>
      </w:rPr>
      <w:t>&lt;/Version&gt;</w:t>
    </w:r>
    <w:r w:rsidRPr="00B37E26">
      <w:tab/>
    </w:r>
    <w:r w:rsidRPr="00B37E26">
      <w:fldChar w:fldCharType="begin"/>
    </w:r>
    <w:r w:rsidRPr="00B37E26">
      <w:instrText xml:space="preserve"> PAGE  \* MERGEFORMAT </w:instrText>
    </w:r>
    <w:r w:rsidRPr="00B37E26">
      <w:fldChar w:fldCharType="separate"/>
    </w:r>
    <w:r w:rsidR="005F200F">
      <w:rPr>
        <w:noProof/>
      </w:rPr>
      <w:t>2</w:t>
    </w:r>
    <w:r w:rsidRPr="00B37E26">
      <w:fldChar w:fldCharType="end"/>
    </w:r>
    <w:r w:rsidRPr="00B37E26">
      <w:t>/</w:t>
    </w:r>
    <w:fldSimple w:instr=" NUMPAGES  \* MERGEFORMAT ">
      <w:r w:rsidR="005F200F">
        <w:rPr>
          <w:noProof/>
        </w:rPr>
        <w:t>102</w:t>
      </w:r>
    </w:fldSimple>
    <w:r w:rsidRPr="00B37E26">
      <w:tab/>
    </w:r>
    <w:r w:rsidRPr="00B37E26">
      <w:rPr>
        <w:rStyle w:val="HideTWBExt"/>
      </w:rPr>
      <w:t>&lt;PathFdR&gt;</w:t>
    </w:r>
    <w:r w:rsidR="00B37E26" w:rsidRPr="00B37E26">
      <w:t>AM\1315934IT.docx</w:t>
    </w:r>
    <w:r w:rsidRPr="00B37E26">
      <w:rPr>
        <w:rStyle w:val="HideTWBExt"/>
      </w:rPr>
      <w:t>&lt;/PathFdR&gt;</w:t>
    </w:r>
  </w:p>
  <w:p w:rsidR="00570FBE" w:rsidRPr="00B37E26" w:rsidRDefault="004A3213" w:rsidP="004A3213">
    <w:pPr>
      <w:pStyle w:val="EPFooter2"/>
    </w:pPr>
    <w:r w:rsidRPr="00B37E26">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213" w:rsidRPr="00B37E26" w:rsidRDefault="004A3213" w:rsidP="004A3213">
    <w:pPr>
      <w:pStyle w:val="EPFooter"/>
    </w:pPr>
    <w:r w:rsidRPr="00B37E26">
      <w:rPr>
        <w:rStyle w:val="HideTWBExt"/>
      </w:rPr>
      <w:t>&lt;PathFdR&gt;</w:t>
    </w:r>
    <w:r w:rsidR="00B37E26" w:rsidRPr="00B37E26">
      <w:t>AM\1315934IT.docx</w:t>
    </w:r>
    <w:r w:rsidRPr="00B37E26">
      <w:rPr>
        <w:rStyle w:val="HideTWBExt"/>
      </w:rPr>
      <w:t>&lt;/PathFdR&gt;</w:t>
    </w:r>
    <w:r w:rsidRPr="00B37E26">
      <w:tab/>
    </w:r>
    <w:r w:rsidRPr="00B37E26">
      <w:fldChar w:fldCharType="begin"/>
    </w:r>
    <w:r w:rsidRPr="00B37E26">
      <w:instrText xml:space="preserve"> PAGE  \* MERGEFORMAT </w:instrText>
    </w:r>
    <w:r w:rsidRPr="00B37E26">
      <w:fldChar w:fldCharType="separate"/>
    </w:r>
    <w:r w:rsidR="005F200F">
      <w:rPr>
        <w:noProof/>
      </w:rPr>
      <w:t>5</w:t>
    </w:r>
    <w:r w:rsidRPr="00B37E26">
      <w:fldChar w:fldCharType="end"/>
    </w:r>
    <w:r w:rsidRPr="00B37E26">
      <w:t>/</w:t>
    </w:r>
    <w:fldSimple w:instr=" NUMPAGES  \* MERGEFORMAT ">
      <w:r w:rsidR="005F200F">
        <w:rPr>
          <w:noProof/>
        </w:rPr>
        <w:t>102</w:t>
      </w:r>
    </w:fldSimple>
    <w:r w:rsidRPr="00B37E26">
      <w:tab/>
      <w:t>PE</w:t>
    </w:r>
    <w:r w:rsidRPr="00B37E26">
      <w:rPr>
        <w:rStyle w:val="HideTWBExt"/>
      </w:rPr>
      <w:t>&lt;NoPE&gt;</w:t>
    </w:r>
    <w:r w:rsidRPr="00B37E26">
      <w:t>770.046</w:t>
    </w:r>
    <w:r w:rsidRPr="00B37E26">
      <w:rPr>
        <w:rStyle w:val="HideTWBExt"/>
      </w:rPr>
      <w:t>&lt;/NoPE&gt;&lt;Version&gt;</w:t>
    </w:r>
    <w:r w:rsidRPr="00B37E26">
      <w:t>v01-00</w:t>
    </w:r>
    <w:r w:rsidRPr="00B37E26">
      <w:rPr>
        <w:rStyle w:val="HideTWBExt"/>
      </w:rPr>
      <w:t>&lt;/Version&gt;</w:t>
    </w:r>
  </w:p>
  <w:p w:rsidR="00570FBE" w:rsidRPr="00B37E26" w:rsidRDefault="004A3213" w:rsidP="004A3213">
    <w:pPr>
      <w:pStyle w:val="EPFooter2"/>
    </w:pPr>
    <w:r w:rsidRPr="00B37E26">
      <w:tab/>
    </w:r>
    <w:r w:rsidRPr="00B37E26">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213" w:rsidRPr="00B37E26" w:rsidRDefault="004A3213" w:rsidP="004A3213">
    <w:pPr>
      <w:pStyle w:val="EPFooter"/>
    </w:pPr>
    <w:r w:rsidRPr="00B37E26">
      <w:rPr>
        <w:rStyle w:val="HideTWBExt"/>
      </w:rPr>
      <w:t>&lt;PathFdR&gt;</w:t>
    </w:r>
    <w:r w:rsidR="00B37E26" w:rsidRPr="00B37E26">
      <w:t>AM\1315934IT.docx</w:t>
    </w:r>
    <w:r w:rsidRPr="00B37E26">
      <w:rPr>
        <w:rStyle w:val="HideTWBExt"/>
      </w:rPr>
      <w:t>&lt;/PathFdR&gt;</w:t>
    </w:r>
    <w:r w:rsidRPr="00B37E26">
      <w:tab/>
    </w:r>
    <w:r w:rsidRPr="00B37E26">
      <w:tab/>
      <w:t>PE</w:t>
    </w:r>
    <w:r w:rsidRPr="00B37E26">
      <w:rPr>
        <w:rStyle w:val="HideTWBExt"/>
      </w:rPr>
      <w:t>&lt;NoPE&gt;</w:t>
    </w:r>
    <w:r w:rsidRPr="00B37E26">
      <w:t>770.046</w:t>
    </w:r>
    <w:r w:rsidRPr="00B37E26">
      <w:rPr>
        <w:rStyle w:val="HideTWBExt"/>
      </w:rPr>
      <w:t>&lt;/NoPE&gt;&lt;Version&gt;</w:t>
    </w:r>
    <w:r w:rsidRPr="00B37E26">
      <w:t>v01-00</w:t>
    </w:r>
    <w:r w:rsidRPr="00B37E26">
      <w:rPr>
        <w:rStyle w:val="HideTWBExt"/>
      </w:rPr>
      <w:t>&lt;/Version&gt;</w:t>
    </w:r>
  </w:p>
  <w:p w:rsidR="00570FBE" w:rsidRPr="00B37E26" w:rsidRDefault="004A3213" w:rsidP="004A3213">
    <w:pPr>
      <w:pStyle w:val="EPFooter2"/>
    </w:pPr>
    <w:r w:rsidRPr="00B37E26">
      <w:t>IT</w:t>
    </w:r>
    <w:r w:rsidRPr="00B37E26">
      <w:tab/>
    </w:r>
    <w:r w:rsidRPr="00B37E26">
      <w:rPr>
        <w:b w:val="0"/>
        <w:i/>
        <w:color w:val="C0C0C0"/>
        <w:sz w:val="22"/>
      </w:rPr>
      <w:t>Unita nella diversità</w:t>
    </w:r>
    <w:r w:rsidRPr="00B37E26">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B37E26" w:rsidRDefault="005F200F">
      <w:r w:rsidRPr="00B37E26">
        <w:separator/>
      </w:r>
    </w:p>
  </w:footnote>
  <w:footnote w:type="continuationSeparator" w:id="0">
    <w:p w:rsidR="00000000" w:rsidRPr="00B37E26" w:rsidRDefault="005F200F">
      <w:r w:rsidRPr="00B37E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00F" w:rsidRDefault="005F20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00F" w:rsidRDefault="005F20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00F" w:rsidRDefault="005F20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8"/>
    <w:docVar w:name="COMKEY" w:val="CONT"/>
    <w:docVar w:name="DOCDT" w:val="27/02/2025"/>
    <w:docVar w:name="LastEditedSection" w:val=" 1"/>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062029 HideTWBExt;}{\*\cs18 \additive \v\f1\fs20\cf15 _x000d__x000a_\spriority0 \styrsid6062029 HideTWBInt;}{\s19\qr \li0\ri0\sb240\sa240\nowidctlpar\wrapdefault\aspalpha\aspnum\faauto\adjustright\rin0\lin0\itap0 \rtlch\fcs1 \af0\afs20\alang1025 \ltrch\fcs0 \fs24\lang1040\langfe2057\cgrid\langnp1040\langfenp2057 _x000d__x000a_\sbasedon0 \snext19 \spriority0 \styrsid6062029 AmOrLang;}{\s20\ql \li0\ri0\sa120\nowidctlpar\wrapdefault\aspalpha\aspnum\faauto\adjustright\rin0\lin0\itap0 \rtlch\fcs1 \af0\afs20\alang1025 \ltrch\fcs0 _x000d__x000a_\fs24\lang1040\langfe2057\cgrid\langnp1040\langfenp2057 \sbasedon0 \snext20 \spriority0 \styrsid6062029 Normal6a;}{\s21\ql \li0\ri0\nowidctlpar\wrapdefault\aspalpha\aspnum\faauto\adjustright\rin0\lin0\itap0 \rtlch\fcs1 \af0\afs20\alang1025 \ltrch\fcs0 _x000d__x000a_\b\fs24\lang1040\langfe2057\cgrid\langnp1040\langfenp2057 \sbasedon0 \snext21 \spriority0 \styrsid6062029 NormalBold;}{\s22\qc \li0\ri0\sa240\nowidctlpar\wrapdefault\aspalpha\aspnum\faauto\adjustright\rin0\lin0\itap0 \rtlch\fcs1 \af0\afs20\alang1025 _x000d__x000a_\ltrch\fcs0 \i\fs24\lang1040\langfe2057\cgrid\langnp1040\langfenp2057 \sbasedon0 \snext22 \spriority0 \styrsid606202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3 \spriority0 \styrsid6062029 AmNumberTabs;}}{\*\rsidtbl \rsid24658\rsid223860\rsid735077\rsid1718133\rsid2892074\rsid3565327\rsid4666813\rsid6062029\rsid6641733_x000d__x000a_\rsid7823322\rsid9636012\rsid10377208\rsid11215221\rsid11549030\rsid11934273\rsid12154954\rsid14382809\rsid14424199\rsid15204470\rsid15285974\rsid15950462\rsid16324206\rsid16662270}{\mmathPr\mmathFont34\mbrkBin0\mbrkBinSub0\msmallFrac0\mdispDef1\mlMargin0_x000d__x000a_\mrMargin0\mdefJc1\mwrapIndent1440\mintLim0\mnaryLim1}{\info{\author LEITENBERGER Andrea}{\operator LEITENBERGER Andrea}{\creatim\yr2025\mo3\dy3\hr14\min8}{\revtim\yr2025\mo3\dy3\hr14\min8}{\version1}{\edmins0}{\nofpages1}{\nofwords96}{\nofchars538}_x000d__x000a_{\nofcharsws62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50\pgbrdrhead\pgbrdrfoot\splytwnine\ftnlytwnine\htmautsp\nolnhtadjtbl\useltbaln\alntblind\lytcalctblwd\lyttblrtgr\lnbrkrule\nobrkwrptbl\snaptogridincell\allowfieldendsel\wrppunct_x000d__x000a_\asianbrkrule\nojkernpunct\rsidroot6062029\newtblstyruls\nogrowautofit\usenormstyforlist\noindnmbrts\felnbrelev\nocxsptable\indrlsweleven\noafcnsttbl\afelev\utinl\hwelev\spltpgpar\notcvasp\notbrkcnstfrctbl\notvatxbx\krnprsnet\cachedcolbal _x000d__x000a_\nouicompat \fet0{\*\wgrffmtfilter 013f}\nofeaturethrottle1\ilfomacatclnup0{\*\template C:\\Users\\ALEITE~1\\AppData\\Local\\Temp\\Blank1.dotx}{\*\ftnsep \ltrpar \pard\plain \ltrpar_x000d__x000a_\ql \li0\ri0\widctlpar\wrapdefault\aspalpha\aspnum\faauto\adjustright\rin0\lin0\itap0 \rtlch\fcs1 \af0\afs20\alang1025 \ltrch\fcs0 \fs24\lang2057\langfe2057\cgrid\langnp2057\langfenp2057 {\rtlch\fcs1 \af0 \ltrch\fcs0 \insrsid11934273 \chftnsep _x000d__x000a_\par }}{\*\ftnsepc \ltrpar \pard\plain \ltrpar\ql \li0\ri0\widctlpar\wrapdefault\aspalpha\aspnum\faauto\adjustright\rin0\lin0\itap0 \rtlch\fcs1 \af0\afs20\alang1025 \ltrch\fcs0 \fs24\lang2057\langfe2057\cgrid\langnp2057\langfenp2057 {\rtlch\fcs1 \af0 _x000d__x000a_\ltrch\fcs0 \insrsid11934273 \chftnsepc _x000d__x000a_\par }}{\*\aftnsep \ltrpar \pard\plain \ltrpar\ql \li0\ri0\widctlpar\wrapdefault\aspalpha\aspnum\faauto\adjustright\rin0\lin0\itap0 \rtlch\fcs1 \af0\afs20\alang1025 \ltrch\fcs0 \fs24\lang2057\langfe2057\cgrid\langnp2057\langfenp2057 {\rtlch\fcs1 \af0 _x000d__x000a_\ltrch\fcs0 \insrsid11934273 \chftnsep _x000d__x000a_\par }}{\*\aftnsepc \ltrpar \pard\plain \ltrpar\ql \li0\ri0\widctlpar\wrapdefault\aspalpha\aspnum\faauto\adjustright\rin0\lin0\itap0 \rtlch\fcs1 \af0\afs20\alang1025 \ltrch\fcs0 \fs24\lang2057\langfe2057\cgrid\langnp2057\langfenp2057 {\rtlch\fcs1 \af0 _x000d__x000a_\ltrch\fcs0 \insrsid1193427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062029 \rtlch\fcs1 _x000d__x000a_\af0\afs20\alang1025 \ltrch\fcs0 \b\fs24\lang1040\langfe2057\cgrid\langnp1040\langfenp2057 {\rtlch\fcs1 \af0 \ltrch\fcs0 \cs17\b0\v\f1\fs20\cf9\lang1024\langfe1024\noproof\insrsid6062029\charrsid14632305 {\*\bkmkstart restart}&lt;Amend&gt;}{\rtlch\fcs1 \af0 _x000d__x000a_\ltrch\fcs0 \insrsid6062029\charrsid14632305 Emendamento\tab \tab }{\rtlch\fcs1 \af0 \ltrch\fcs0 \cs17\b0\v\f1\fs20\cf9\lang1024\langfe1024\noproof\insrsid6062029\charrsid14632305 &lt;NumAm&gt;}{\rtlch\fcs1 \af0 \ltrch\fcs0 \insrsid6062029\charrsid14632305 #}{_x000d__x000a_\rtlch\fcs1 \af1 \ltrch\fcs0 \cs18\v\f1\fs20\cf15\insrsid6062029\charrsid14632305 ENMIENDA@NRAM@}{\rtlch\fcs1 \af0 \ltrch\fcs0 \insrsid6062029\charrsid14632305 #}{\rtlch\fcs1 \af0 \ltrch\fcs0 _x000d__x000a_\cs17\b0\v\f1\fs20\cf9\lang1024\langfe1024\noproof\insrsid6062029\charrsid14632305 &lt;/NumAm&gt;}{\rtlch\fcs1 \af0 \ltrch\fcs0 \insrsid6062029\charrsid14632305 _x000d__x000a_\par }\pard\plain \ltrpar\s21\ql \li0\ri0\nowidctlpar\wrapdefault\aspalpha\aspnum\faauto\adjustright\rin0\lin0\itap0\pararsid6062029 \rtlch\fcs1 \af0\afs20\alang1025 \ltrch\fcs0 \b\fs24\lang1040\langfe2057\cgrid\langnp1040\langfenp2057 {\rtlch\fcs1 \af0 _x000d__x000a_\ltrch\fcs0 \cs17\b0\v\f1\fs20\cf9\lang1024\langfe1024\noproof\insrsid6062029\charrsid14632305 &lt;RepeatBlock-By&gt;}{\rtlch\fcs1 \af0 \ltrch\fcs0 \insrsid6062029\charrsid14632305 #}{\rtlch\fcs1 \af1 \ltrch\fcs0 _x000d__x000a_\cs18\v\f1\fs20\cf15\insrsid6062029\charrsid14632305 (MOD@InsideLoop()}{\rtlch\fcs1 \af0 \ltrch\fcs0 \insrsid6062029\charrsid14632305 ##}{\rtlch\fcs1 \af1 \ltrch\fcs0 \cs18\v\f1\fs20\cf15\insrsid6062029\charrsid14632305 &gt;&gt;&gt;@[ZMEMBERSMSG]@}{\rtlch\fcs1 _x000d__x000a_\af0 \ltrch\fcs0 \insrsid6062029\charrsid14632305 #}{\rtlch\fcs1 \af0 \ltrch\fcs0 \cs17\b0\v\f1\fs20\cf9\lang1024\langfe1024\noproof\insrsid6062029\charrsid14632305 &lt;Members&gt;}{\rtlch\fcs1 \af0 \ltrch\fcs0 \insrsid6062029\charrsid14632305 #}{\rtlch\fcs1 _x000d__x000a_\af1 \ltrch\fcs0 \cs18\v\f1\fs20\cf15\insrsid6062029\charrsid14632305 (MOD@InsideLoop(\'a7)}{\rtlch\fcs1 \af0 \ltrch\fcs0 \insrsid6062029\charrsid14632305 #}{\rtlch\fcs1 \af0 \ltrch\fcs0 \cf10\insrsid6062029\charrsid14632305 \u9668\'3f}{\rtlch\fcs1 \af0 _x000d__x000a_\ltrch\fcs0 \insrsid6062029\charrsid14632305 #}{\rtlch\fcs1 \af1 \ltrch\fcs0 \cs18\v\f1\fs20\cf15\insrsid6062029\charrsid14632305 TVTMEMBERS\'a7@MEMBERS@}{\rtlch\fcs1 \af0 \ltrch\fcs0 \insrsid6062029\charrsid14632305 #}{\rtlch\fcs1 \af0 \ltrch\fcs0 _x000d__x000a_\cf10\insrsid6062029\charrsid14632305 \u9658\'3f}{\rtlch\fcs1 \af0 \ltrch\fcs0 \cs17\b0\v\f1\fs20\cf9\lang1024\langfe1024\noproof\insrsid6062029\charrsid14632305 &lt;/Members&gt;}{\rtlch\fcs1 \af0 \ltrch\fcs0 \insrsid6062029\charrsid14632305 _x000d__x000a_\par }\pard\plain \ltrpar\ql \li0\ri0\widctlpar\wrapdefault\aspalpha\aspnum\faauto\adjustright\rin0\lin0\itap0\pararsid6062029 \rtlch\fcs1 \af0\afs20\alang1025 \ltrch\fcs0 \fs24\lang2057\langfe2057\cgrid\langnp2057\langfenp2057 {\rtlch\fcs1 \af0 \ltrch\fcs0 _x000d__x000a_\cs17\v\f1\fs20\cf9\lang1024\langfe1024\noproof\langnp1040\insrsid6062029\charrsid14632305 &lt;AuNomDe&gt;&lt;OptDel&gt;}{\rtlch\fcs1 \af0 \ltrch\fcs0 \lang1040\langfe2057\langnp1040\insrsid6062029\charrsid14632305 #}{\rtlch\fcs1 \af1 \ltrch\fcs0 _x000d__x000a_\cs18\v\f1\fs20\cf15\lang1040\langfe2057\langnp1040\insrsid6062029\charrsid14632305 MNU[ONBEHALFYES][NOTAPP]@CHOICE@}{\rtlch\fcs1 \af0 \ltrch\fcs0 \lang1040\langfe2057\langnp1040\insrsid6062029\charrsid14632305 #}{\rtlch\fcs1 \af0 \ltrch\fcs0 _x000d__x000a_\cs17\v\f1\fs20\cf9\lang1024\langfe1024\noproof\langnp1040\insrsid6062029\charrsid14632305 &lt;/OptDel&gt;&lt;/AuNomDe&gt;}{\rtlch\fcs1 \af0 \ltrch\fcs0 \lang1040\langfe2057\langnp1040\insrsid6062029\charrsid14632305 _x000d__x000a_\par &lt;&lt;&lt;}{\rtlch\fcs1 \af0 \ltrch\fcs0 \cs17\v\f1\fs20\cf9\lang1024\langfe1024\noproof\langnp1040\insrsid6062029\charrsid14632305 &lt;/RepeatBlock-By&gt;}{\rtlch\fcs1 \af0 \ltrch\fcs0 \lang1040\langfe2057\langnp1040\insrsid6062029\charrsid14632305 _x000d__x000a_\par }\pard\plain \ltrpar\s21\ql \li0\ri0\nowidctlpar\wrapdefault\aspalpha\aspnum\faauto\adjustright\rin0\lin0\itap0\pararsid6062029 \rtlch\fcs1 \af0\afs20\alang1025 \ltrch\fcs0 \b\fs24\lang1040\langfe2057\cgrid\langnp1040\langfenp2057 {\rtlch\fcs1 \af0 _x000d__x000a_\ltrch\fcs0 \cs17\b0\v\f1\fs20\cf9\lang1024\langfe1024\noproof\insrsid6062029\charrsid14632305 &lt;DocAmend&gt;}{\rtlch\fcs1 \af0 \ltrch\fcs0 \insrsid6062029\charrsid14632305 #}{\rtlch\fcs1 \af1 \ltrch\fcs0 \cs18\v\f1\fs20\cf15\insrsid6062029\charrsid14632305 _x000d__x000a_MNU[OPTAMDOCINI][AMDOCA1][OPTAMDOCNLE][AMDOCA1][AMDOCA2][AMDOCA1][AMDOCA1][OPTAMDOCDEC]@CHOICE@CODEMNU}{\rtlch\fcs1 \af0 \ltrch\fcs0 \insrsid6062029\charrsid14632305 #}{\rtlch\fcs1 \af0 \ltrch\fcs0 _x000d__x000a_\cs17\b0\v\f1\fs20\cf9\lang1024\langfe1024\noproof\insrsid6062029\charrsid14632305 &lt;/DocAmend&gt;}{\rtlch\fcs1 \af0 \ltrch\fcs0 \insrsid6062029\charrsid14632305 _x000d__x000a_\par }{\rtlch\fcs1 \af0 \ltrch\fcs0 \cs17\b0\v\f1\fs20\cf9\lang1024\langfe1024\noproof\insrsid6062029\charrsid14632305 &lt;Article&gt;}{\rtlch\fcs1 \af0 \ltrch\fcs0 \cf10\insrsid6062029\charrsid14632305 \u9668\'3f}{\rtlch\fcs1 \af0 \ltrch\fcs0 _x000d__x000a_\insrsid6062029\charrsid14632305 #}{\rtlch\fcs1 \af1 \ltrch\fcs0 \cs18\v\f1\fs20\cf15\insrsid6062029\charrsid14632305 TVTAMPART@AMPART@}{\rtlch\fcs1 \af0 \ltrch\fcs0 \insrsid6062029\charrsid14632305 #}{\rtlch\fcs1 \af0 \ltrch\fcs0 _x000d__x000a_\cf10\insrsid6062029\charrsid14632305 \u9658\'3f}{\rtlch\fcs1 \af0 \ltrch\fcs0 \cs17\b0\v\f1\fs20\cf9\lang1024\langfe1024\noproof\insrsid6062029\charrsid14632305 &lt;/Article&gt;}{\rtlch\fcs1 \af0 \ltrch\fcs0 \insrsid6062029\charrsid14632305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lang1040\langfe2057\langnp1040\insrsid6062029\charrsid14632305 \cell }\pard\plain \ltrpar_x000d__x000a_\ql \li0\ri0\widctlpar\intbl\wrapdefault\aspalpha\aspnum\faauto\adjustright\rin0\lin0 \rtlch\fcs1 \af0\afs20\alang1025 \ltrch\fcs0 \fs24\lang2057\langfe2057\cgrid\langnp2057\langfenp2057 {\rtlch\fcs1 \af0 \ltrch\fcs0 _x000d__x000a_\lang1040\langfe2057\langnp1040\insrsid6062029\charrsid14632305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40\langfe2057\cgrid\langnp1040\langfenp2057 {\rtlch\fcs1 \af0 \ltrch\fcs0 _x000d__x000a_\insrsid6062029\charrsid14632305 #}{\rtlch\fcs1 \af1 \ltrch\fcs0 \cs18\v\f1\fs20\cf15\insrsid6062029\charrsid14632305 MNU[OPTAMDOCINI][AMDOCA1][OPTAMDOCNLE][AMDOCA1][AMDOCA2][AMDOCA1][AMDOCA1][OPTAMDOCDEC]@CHOICE@CODEMNU}{\rtlch\fcs1 \af0 \ltrch\fcs0 _x000d__x000a_\insrsid6062029\charrsid14632305 #\cell Emendamento\cell }\pard\plain \ltrpar\ql \li0\ri0\widctlpar\intbl\wrapdefault\aspalpha\aspnum\faauto\adjustright\rin0\lin0 \rtlch\fcs1 \af0\afs20\alang1025 \ltrch\fcs0 _x000d__x000a_\fs24\lang2057\langfe2057\cgrid\langnp2057\langfenp2057 {\rtlch\fcs1 \af0 \ltrch\fcs0 \lang1040\langfe2057\langnp1040\insrsid6062029\charrsid14632305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40\langfe2057\cgrid\langnp1040\langfenp2057 {\rtlch\fcs1 \af0 \ltrch\fcs0 _x000d__x000a_\insrsid6062029\charrsid14632305 #}{\rtlch\fcs1 \af1 \ltrch\fcs0 \cs18\v\f1\fs20\cf15\insrsid6062029\charrsid14632305 TESTO}{\rtlch\fcs1 \af0 \ltrch\fcs0 \insrsid6062029\charrsid14632305 #\cell #}{\rtlch\fcs1 \af1 \ltrch\fcs0 _x000d__x000a_\cs18\v\f1\fs20\cf15\insrsid6062029\charrsid14632305 TESTO}{\rtlch\fcs1 \af0 \ltrch\fcs0 \insrsid6062029\charrsid14632305 #}{\rtlch\fcs1 \af0\afs24 \ltrch\fcs0 \insrsid6062029\charrsid14632305 \cell }\pard\plain \ltrpar_x000d__x000a_\ql \li0\ri0\widctlpar\intbl\wrapdefault\aspalpha\aspnum\faauto\adjustright\rin0\lin0 \rtlch\fcs1 \af0\afs20\alang1025 \ltrch\fcs0 \fs24\lang2057\langfe2057\cgrid\langnp2057\langfenp2057 {\rtlch\fcs1 \af0 \ltrch\fcs0 _x000d__x000a_\lang1040\langfe2057\langnp1040\insrsid6062029\charrsid14632305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6062029 \rtlch\fcs1 \af0\afs20\alang1025 \ltrch\fcs0 \fs24\lang1040\langfe2057\cgrid\langnp1040\langfenp2057 {\rtlch\fcs1 \af0 \ltrch\fcs0 _x000d__x000a_\insrsid6062029\charrsid14632305 Or. }{\rtlch\fcs1 \af0 \ltrch\fcs0 \cs17\v\f1\fs20\cf9\lang1024\langfe1024\noproof\insrsid6062029\charrsid14632305 &lt;Original&gt;}{\rtlch\fcs1 \af0 \ltrch\fcs0 \insrsid6062029\charrsid14632305 #}{\rtlch\fcs1 \af1 \ltrch\fcs0 _x000d__x000a_\cs18\v\f1\fs20\cf15\insrsid6062029\charrsid14632305 KEY(MAIN/LANGMIN)sh@ORLANGMSG@}{\rtlch\fcs1 \af0 \ltrch\fcs0 \insrsid6062029\charrsid14632305 #}{\rtlch\fcs1 \af0 \ltrch\fcs0 _x000d__x000a_\cs17\v\f1\fs20\cf9\lang1024\langfe1024\noproof\insrsid6062029\charrsid14632305 &lt;/Original&gt;}{\rtlch\fcs1 \af0 \ltrch\fcs0 \insrsid6062029\charrsid14632305 _x000d__x000a_\par }\pard\plain \ltrpar\ql \li0\ri0\widctlpar\wrapdefault\aspalpha\aspnum\faauto\adjustright\rin0\lin0\itap0\pararsid6062029 \rtlch\fcs1 \af0\afs20\alang1025 \ltrch\fcs0 \fs24\lang2057\langfe2057\cgrid\langnp2057\langfenp2057 {\rtlch\fcs1 \af0 \ltrch\fcs0 _x000d__x000a_\cs17\v\f1\fs20\cf9\lang1024\langfe1024\noproof\langnp1040\insrsid6062029\charrsid14632305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91_x000d__x000a_e9693d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5"/>
    <w:docVar w:name="TXTAUTHOR" w:val="Erik Marquardt"/>
    <w:docVar w:name="TXTLANGUE" w:val="IT"/>
    <w:docVar w:name="TXTLANGUEMIN" w:val="it"/>
    <w:docVar w:name="TXTNRFIRSTAM" w:val="1"/>
    <w:docVar w:name="TXTNRLASTAM" w:val="169"/>
    <w:docVar w:name="TXTNRPE" w:val="770.046"/>
    <w:docVar w:name="TXTNRPE2" w:val="765.000"/>
    <w:docVar w:name="TXTNRPROC" w:val="2024/2030"/>
    <w:docVar w:name="TXTPEorAP" w:val="PE"/>
    <w:docVar w:name="TXTROUTE" w:val="AM\1315934IT.docx"/>
    <w:docVar w:name="TXTVERSION" w:val="01-00"/>
    <w:docVar w:name="TXTVERSION2" w:val="01-00"/>
  </w:docVars>
  <w:rsids>
    <w:rsidRoot w:val="00DF4571"/>
    <w:rsid w:val="000058AA"/>
    <w:rsid w:val="00040F35"/>
    <w:rsid w:val="00072B4B"/>
    <w:rsid w:val="0011298B"/>
    <w:rsid w:val="0012108E"/>
    <w:rsid w:val="00125041"/>
    <w:rsid w:val="0015022B"/>
    <w:rsid w:val="00175062"/>
    <w:rsid w:val="001767FD"/>
    <w:rsid w:val="001B1694"/>
    <w:rsid w:val="001C108E"/>
    <w:rsid w:val="001C6BFC"/>
    <w:rsid w:val="00262416"/>
    <w:rsid w:val="002A3EAA"/>
    <w:rsid w:val="002B6DE3"/>
    <w:rsid w:val="002B799B"/>
    <w:rsid w:val="002F0149"/>
    <w:rsid w:val="00307E56"/>
    <w:rsid w:val="003A7442"/>
    <w:rsid w:val="003C7A69"/>
    <w:rsid w:val="003D7856"/>
    <w:rsid w:val="004106BA"/>
    <w:rsid w:val="0044299E"/>
    <w:rsid w:val="00444941"/>
    <w:rsid w:val="004A3213"/>
    <w:rsid w:val="004B02E9"/>
    <w:rsid w:val="004D02AB"/>
    <w:rsid w:val="004E4A92"/>
    <w:rsid w:val="00570FBE"/>
    <w:rsid w:val="005D04A2"/>
    <w:rsid w:val="005E5FA1"/>
    <w:rsid w:val="005F200F"/>
    <w:rsid w:val="00663E24"/>
    <w:rsid w:val="006838B3"/>
    <w:rsid w:val="00742225"/>
    <w:rsid w:val="00794E41"/>
    <w:rsid w:val="007964AA"/>
    <w:rsid w:val="007B1846"/>
    <w:rsid w:val="007C1252"/>
    <w:rsid w:val="007E54B7"/>
    <w:rsid w:val="007F22E4"/>
    <w:rsid w:val="008305E9"/>
    <w:rsid w:val="00866CBA"/>
    <w:rsid w:val="00873A27"/>
    <w:rsid w:val="008B040A"/>
    <w:rsid w:val="0093376E"/>
    <w:rsid w:val="0095177E"/>
    <w:rsid w:val="00952F4F"/>
    <w:rsid w:val="009531F4"/>
    <w:rsid w:val="00954A54"/>
    <w:rsid w:val="009B54E9"/>
    <w:rsid w:val="009C2758"/>
    <w:rsid w:val="00A35229"/>
    <w:rsid w:val="00A530BE"/>
    <w:rsid w:val="00A57C56"/>
    <w:rsid w:val="00A7559D"/>
    <w:rsid w:val="00A771CC"/>
    <w:rsid w:val="00A804CE"/>
    <w:rsid w:val="00A836A6"/>
    <w:rsid w:val="00AD3D9F"/>
    <w:rsid w:val="00AE20EB"/>
    <w:rsid w:val="00B37E26"/>
    <w:rsid w:val="00B4019F"/>
    <w:rsid w:val="00B43C20"/>
    <w:rsid w:val="00BE20E5"/>
    <w:rsid w:val="00BE6658"/>
    <w:rsid w:val="00BF6585"/>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DF4571"/>
    <w:rsid w:val="00E67987"/>
    <w:rsid w:val="00EA1780"/>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F07EF7"/>
  <w15:chartTrackingRefBased/>
  <w15:docId w15:val="{77279988-8E34-4BEA-AB4C-2DCABDC41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rsid w:val="00F20F19"/>
    <w:pPr>
      <w:tabs>
        <w:tab w:val="center" w:pos="4513"/>
        <w:tab w:val="right" w:pos="9026"/>
      </w:tabs>
    </w:pPr>
  </w:style>
  <w:style w:type="character" w:customStyle="1" w:styleId="HeaderChar">
    <w:name w:val="Header Char"/>
    <w:basedOn w:val="DefaultParagraphFont"/>
    <w:link w:val="Header"/>
    <w:rsid w:val="00F20F19"/>
    <w:rPr>
      <w:sz w:val="24"/>
    </w:r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semiHidden/>
    <w:rsid w:val="00BE20E5"/>
    <w:pPr>
      <w:tabs>
        <w:tab w:val="center" w:pos="4513"/>
        <w:tab w:val="right" w:pos="9026"/>
      </w:tabs>
    </w:pPr>
  </w:style>
  <w:style w:type="character" w:customStyle="1" w:styleId="FooterChar">
    <w:name w:val="Footer Char"/>
    <w:basedOn w:val="DefaultParagraphFont"/>
    <w:link w:val="Footer"/>
    <w:semiHidden/>
    <w:rsid w:val="00BE20E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25614</Words>
  <Characters>151407</Characters>
  <Application>Microsoft Office Word</Application>
  <DocSecurity>0</DocSecurity>
  <Lines>5834</Lines>
  <Paragraphs>1588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2025-03-21T11:06:00Z</dcterms:created>
  <dcterms:modified xsi:type="dcterms:W3CDTF">2025-03-21T11:06:00Z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1315934</vt:lpwstr>
  </property>
  <property fmtid="{D5CDD505-2E9C-101B-9397-08002B2CF9AE}" pid="4" name="&lt;Model&gt;">
    <vt:lpwstr>AM_Com_NonLegReport</vt:lpwstr>
  </property>
  <property fmtid="{D5CDD505-2E9C-101B-9397-08002B2CF9AE}" pid="5" name="&lt;ModelCod&gt;">
    <vt:lpwstr>\\eiciLUXpr1\pdocep$\DocEP\DOCS\General\AM\AM_NonLeg\AM_Com_NonLeg\AM_Com_NonLegReport.dotx(03/03/2023 13:39:05)</vt:lpwstr>
  </property>
  <property fmtid="{D5CDD505-2E9C-101B-9397-08002B2CF9AE}" pid="6" name="&lt;ModelTra&gt;">
    <vt:lpwstr>\\eiciLUXpr1\pdocep$\DocEP\TRANSFIL\IT\AM_Com_NonLegReport.IT(17/08/2024 00:22:06)</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AM\1315934IT.docx</vt:lpwstr>
  </property>
  <property fmtid="{D5CDD505-2E9C-101B-9397-08002B2CF9AE}" pid="10" name="LastEdited with">
    <vt:lpwstr>10.0.1 Build [20250114]</vt:lpwstr>
  </property>
  <property fmtid="{D5CDD505-2E9C-101B-9397-08002B2CF9AE}" pid="11" name="PE number">
    <vt:lpwstr>770.046</vt:lpwstr>
  </property>
  <property fmtid="{D5CDD505-2E9C-101B-9397-08002B2CF9AE}" pid="12" name="SDLStudio">
    <vt:lpwstr/>
  </property>
  <property fmtid="{D5CDD505-2E9C-101B-9397-08002B2CF9AE}" pid="13" name="Bookout">
    <vt:lpwstr>OK - 2025/03/21 12:02</vt:lpwstr>
  </property>
</Properties>
</file>