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Talousarvion valvontavaliokunta</w:t>
      </w:r>
      <w:r>
        <w:rPr>
          <w:rStyle w:val="HideTWBExt"/>
        </w:rPr>
        <w:t>&lt;/Commission&gt;</w:t>
      </w:r>
    </w:p>
    <w:p>
      <w:pPr>
        <w:pStyle w:val="LineBottom"/>
      </w:pPr>
      <w:r>
        <w:t xml:space="preserve"> </w:t>
      </w:r>
    </w:p>
    <w:p>
      <w:pPr>
        <w:pStyle w:val="CoverReference"/>
      </w:pPr>
      <w:r>
        <w:rPr>
          <w:rStyle w:val="HideTWBExt"/>
        </w:rPr>
        <w:t>&lt;RefProc&gt;</w:t>
      </w:r>
      <w:r>
        <w:t>2024/2019</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{28/02/2025}</w:t>
      </w:r>
      <w:r>
        <w:t>28.2.2025</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289</w:t>
      </w:r>
      <w:r>
        <w:t xml:space="preserve"> - </w:t>
      </w:r>
      <w:r>
        <w:t>603</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Niclas Herbst</w:t>
      </w:r>
      <w:r>
        <w:rPr>
          <w:rStyle w:val="HideTWBExt"/>
        </w:rPr>
        <w:t>&lt;/Rapporteur&gt;</w:t>
      </w:r>
    </w:p>
    <w:p>
      <w:pPr>
        <w:pStyle w:val="CoverNormal24a"/>
      </w:pPr>
      <w:r>
        <w:rPr>
          <w:rStyle w:val="HideTWBExt"/>
        </w:rPr>
        <w:t>&lt;DocRefPE&gt;</w:t>
      </w:r>
      <w:r>
        <w:t>(PE764.988v01-00)</w:t>
      </w:r>
      <w:r>
        <w:rPr>
          <w:rStyle w:val="HideTWBExt"/>
        </w:rPr>
        <w:t>&lt;/DocRefPE&gt;</w:t>
      </w:r>
    </w:p>
    <w:p>
      <w:pPr>
        <w:pStyle w:val="CoverNormal"/>
      </w:pPr>
      <w:r>
        <w:rPr>
          <w:rStyle w:val="HideTWBExt"/>
        </w:rPr>
        <w:t>&lt;Titre&gt;</w:t>
      </w:r>
      <w:r>
        <w:t>Vastuuvapaus 2023: EU:n yleinen talousarvio ‒ Komissio</w:t>
      </w:r>
      <w:r>
        <w:rPr>
          <w:rStyle w:val="HideTWBExt"/>
        </w:rPr>
        <w:t>&lt;/Titre&gt;</w:t>
      </w:r>
    </w:p>
    <w:p>
      <w:pPr>
        <w:pStyle w:val="CoverNormal24a"/>
      </w:pPr>
      <w:r>
        <w:rPr>
          <w:rStyle w:val="HideTWBExt"/>
        </w:rPr>
        <w:t>&lt;DocRef&gt;</w:t>
      </w:r>
      <w:r>
        <w:t>(2024/2019(DEC))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87.</w:t>
            </w:r>
            <w:r>
              <w:tab/>
            </w:r>
            <w:r>
              <w:rPr>
                <w:b/>
                <w:i/>
              </w:rPr>
              <w:t>panee merkille toimet, joita komissio on toteuttanut puuttuakseen vastuuvapauden myöntävän viranomaisen esille ottamiin huolenaiheisiin ja joihin sisältyvät ohjeistuksen antaminen komission yksiköille ja vaatimus seuloa niiden sopimussalkut sen määrittämiseksi, mitkä sopimukset eivät ole ohjeistuksen mukaisia;</w:t>
            </w:r>
            <w:r>
              <w:t xml:space="preserve"> </w:t>
            </w:r>
            <w:r>
              <w:rPr>
                <w:b/>
                <w:i/>
              </w:rPr>
              <w:t>on syvästi huolissaan ajasta, joka ehti kulua siitä hetkestä, jona CONT-valiokunta toi kysymyksen komission tietoon helmikuussa 2024, siihen hetkeen, jona toimiin lopulta ryhdyttiin;</w:t>
            </w:r>
            <w:r>
              <w:t xml:space="preserve"> </w:t>
            </w:r>
            <w:r>
              <w:rPr>
                <w:b/>
                <w:i/>
              </w:rPr>
              <w:t>katsoo, että komission tähän mennessä hyväksymät toimenpiteet eivät ole riittäviä vastuuvapauden myöntävän viranomaisen kuvaamien riskien lievittämiseksi, sillä komission antama ohjeistus ei estä edunsaajia käyttämästä EU:n varoja lobbaukseen tai unionin lainsäädäntöprosessiin vaikuttamiseen;</w:t>
            </w:r>
            <w:r>
              <w:t xml:space="preserve"> </w:t>
            </w:r>
            <w:r>
              <w:rPr>
                <w:b/>
                <w:i/>
              </w:rPr>
              <w:t>huomauttaa, että ohjeistuksessa on ei-tyhjentävä luettelo toimista, joita tuetut yhteisöt voivat toteuttaa;</w:t>
            </w:r>
            <w:r>
              <w:t xml:space="preserve"> </w:t>
            </w:r>
            <w:r>
              <w:rPr>
                <w:b/>
                <w:i/>
              </w:rPr>
              <w:t>panee merkille, että komission mukaan näitä toimia ei pitäisi sisällyttää avustussopimuksiin osoittamaan, että edunsaajia vaaditaan toteuttamaan nimenomaisesti EU:n toimielimille ja joillekin niiden edustajille suunnattuja yksityiskohtaisempia toimia, sillä tähän saattaa liittyä maineriski;</w:t>
            </w:r>
            <w:r>
              <w:t xml:space="preserve"> </w:t>
            </w:r>
            <w:r>
              <w:rPr>
                <w:b/>
                <w:i/>
              </w:rPr>
              <w:t>katsoo, ettei tiettyjen toimien nimenomainen jättäminen avustussopimusten ulkopuolelle välttämättä tarkoita, ettei tällaisia toimia toteuteta EU:n rahastojen tuella;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87.</w:t>
            </w:r>
            <w:r>
              <w:tab/>
            </w:r>
            <w:r>
              <w:rPr>
                <w:b/>
                <w:i/>
              </w:rPr>
              <w:t>panee merkille toimet, joita komissio on toteuttanut puuttuakseen vastuuvapauden myöntävän viranomaisen esille ottamiin huolenaiheisiin ja joihin sisältyvät ohjeistuksen antaminen komission yksiköille ja vaatimus seuloa niiden sopimussalkut sen määrittämiseksi, mitkä sopimukset eivät ole ohjeistuksen mukaisia;</w:t>
            </w:r>
            <w:r>
              <w:t xml:space="preserve"> </w:t>
            </w:r>
            <w:r>
              <w:rPr>
                <w:b/>
                <w:i/>
              </w:rPr>
              <w:t>on syvästi huolissaan ajasta, joka ehti kulua siitä hetkestä, jona CONT-valiokunta toi kysymyksen komission tietoon helmikuussa 2024, siihen hetkeen, jona toimiin lopulta ryhdyttiin;</w:t>
            </w:r>
            <w:r>
              <w:t xml:space="preserve"> </w:t>
            </w:r>
            <w:r>
              <w:rPr>
                <w:b/>
                <w:i/>
              </w:rPr>
              <w:t>katsoo, että komission tähän mennessä hyväksymät toimenpiteet eivät ole riittäviä vastuuvapauden myöntävän viranomaisen kuvaamien riskien lievittämiseksi, sillä komission antama ohjeistus ei estä edunsaajia käyttämästä EU:n varoja lobbaukseen tai unionin lainsäädäntöprosessiin vaikuttamiseen;</w:t>
            </w:r>
            <w:r>
              <w:t xml:space="preserve"> </w:t>
            </w:r>
            <w:r>
              <w:rPr>
                <w:b/>
                <w:i/>
              </w:rPr>
              <w:t>huomauttaa, että ohjeistuksessa on ei-tyhjentävä luettelo toimista, joita tuetut yhteisöt voivat toteuttaa;</w:t>
            </w:r>
            <w:r>
              <w:t xml:space="preserve"> </w:t>
            </w:r>
            <w:r>
              <w:rPr>
                <w:b/>
                <w:i/>
              </w:rPr>
              <w:t>panee merkille, että komission mukaan näitä toimia ei pitäisi sisällyttää avustussopimuksiin osoittamaan, että edunsaajia vaaditaan toteuttamaan nimenomaisesti EU:n toimielimille ja joillekin niiden edustajille suunnattuja yksityiskohtaisempia toimia, sillä tähän saattaa liittyä maineriski;</w:t>
            </w:r>
            <w:r>
              <w:t xml:space="preserve"> </w:t>
            </w:r>
            <w:r>
              <w:rPr>
                <w:b/>
                <w:i/>
              </w:rPr>
              <w:t>katsoo, ettei tiettyjen toimien nimenomainen jättäminen avustussopimusten ulkopuolelle välttämättä tarkoita, ettei tällaisia toimia toteuteta EU:n rahastojen tuella;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Gerben-Jan Gerbrandy,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t xml:space="preserve">panee merkille toimet, joita komissio on toteuttanut puuttuakseen vastuuvapauden myöntävän viranomaisen esille ottamiin huolenaiheisiin ja joihin sisältyvät ohjeistuksen antaminen komission yksiköille ja vaatimus seuloa niiden sopimussalkut sen määrittämiseksi, mitkä sopimukset eivät ole ohjeistuksen mukaisia; on syvästi huolissaan ajasta, joka ehti kulua siitä hetkestä, jona CONT-valiokunta toi kysymyksen komission tietoon helmikuussa 2024, siihen hetkeen, jona toimiin lopulta ryhdyttiin; </w:t>
            </w:r>
            <w:r>
              <w:rPr>
                <w:b/>
                <w:i/>
              </w:rPr>
              <w:t>katsoo, että komission tähän mennessä hyväksymät toimenpiteet eivät ole riittäviä vastuuvapauden myöntävän viranomaisen kuvaamien riskien lievittämiseksi, sillä komission antama ohjeistus ei estä edunsaajia käyttämästä EU:n varoja lobbaukseen tai unionin lainsäädäntöprosessiin vaikuttamiseen;</w:t>
            </w:r>
            <w:r>
              <w:t xml:space="preserve"> </w:t>
            </w:r>
            <w:r>
              <w:rPr>
                <w:b/>
                <w:i/>
              </w:rPr>
              <w:t>huomauttaa, että ohjeistuksessa on ei-tyhjentävä luettelo toimista, joita tuetut yhteisöt voivat toteuttaa;</w:t>
            </w:r>
            <w:r>
              <w:t xml:space="preserve"> </w:t>
            </w:r>
            <w:r>
              <w:rPr>
                <w:b/>
                <w:i/>
              </w:rPr>
              <w:t>panee merkille, että komission mukaan näitä toimia ei pitäisi sisällyttää avustussopimuksiin osoittamaan, että edunsaajia vaaditaan toteuttamaan nimenomaisesti EU:n toimielimille ja joillekin niiden edustajille suunnattuja yksityiskohtaisempia toimia, sillä tähän saattaa liittyä maineriski;</w:t>
            </w:r>
            <w:r>
              <w:t xml:space="preserve"> </w:t>
            </w:r>
            <w:r>
              <w:rPr>
                <w:b/>
                <w:i/>
              </w:rPr>
              <w:t>katsoo, ettei tiettyjen toimien nimenomainen jättäminen avustussopimusten ulkopuolelle välttämättä tarkoita, ettei tällaisia toimia toteuteta EU:n rahastojen tuella;</w:t>
            </w:r>
          </w:p>
        </w:tc>
        <w:tc>
          <w:tcPr>
            <w:tcW w:w="4876" w:type="dxa"/>
            <w:tcBorders>
              <w:top w:val="nil"/>
              <w:left w:val="nil"/>
              <w:bottom w:val="nil"/>
              <w:right w:val="nil"/>
            </w:tcBorders>
          </w:tcPr>
          <w:p>
            <w:pPr>
              <w:pStyle w:val="Normal6a"/>
            </w:pPr>
            <w:r>
              <w:t>87.</w:t>
            </w:r>
            <w:r>
              <w:tab/>
            </w:r>
            <w:r>
              <w:t>panee merkille toimet, joita komissio on toteuttanut puuttuakseen vastuuvapauden myöntävän viranomaisen esille ottamiin huolenaiheisiin ja joihin sisältyvät ohjeistuksen antaminen komission yksiköille ja vaatimus seuloa niiden sopimussalkut sen määrittämiseksi, mitkä sopimukset eivät ole ohjeistuksen mukaisia; on syvästi huolissaan ajasta, joka ehti kulua siitä hetkestä, jona CONT-valiokunta toi kysymyksen komission tietoon helmikuussa 2024, siihen hetkeen, jona toimiin lopulta ryhdyttiin;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José Cepeda, Carla Tavares,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rPr>
                <w:b/>
                <w:i/>
              </w:rPr>
              <w:t>panee merkille toimet</w:t>
            </w:r>
            <w:r>
              <w:t xml:space="preserve">, joita komissio on toteuttanut puuttuakseen </w:t>
            </w:r>
            <w:r>
              <w:rPr>
                <w:b/>
                <w:i/>
              </w:rPr>
              <w:t>vastuuvapauden myöntävän viranomaisen esille ottamiin huolenaiheisiin ja</w:t>
            </w:r>
            <w:r>
              <w:t xml:space="preserve"> joihin </w:t>
            </w:r>
            <w:r>
              <w:rPr>
                <w:b/>
                <w:i/>
              </w:rPr>
              <w:t>sisältyvät</w:t>
            </w:r>
            <w:r>
              <w:t xml:space="preserve"> ohjeistuksen antaminen komission yksiköille ja vaatimus seuloa niiden sopimussalkut sen määrittämiseksi, mitkä sopimukset eivät ole ohjeistuksen mukaisia; </w:t>
            </w:r>
            <w:r>
              <w:rPr>
                <w:b/>
                <w:i/>
              </w:rPr>
              <w:t>on syvästi huolissaan ajasta, joka ehti kulua siitä hetkestä, jona CONT-valiokunta toi kysymyksen komission tietoon helmikuussa 2024, siihen hetkeen, jona toimiin lopulta ryhdyttiin;</w:t>
            </w:r>
            <w:r>
              <w:t xml:space="preserve"> katsoo, että komission tähän mennessä hyväksymät toimenpiteet </w:t>
            </w:r>
            <w:r>
              <w:rPr>
                <w:b/>
                <w:i/>
              </w:rPr>
              <w:t>eivät ole</w:t>
            </w:r>
            <w:r>
              <w:t xml:space="preserve"> riittäviä </w:t>
            </w:r>
            <w:r>
              <w:rPr>
                <w:b/>
                <w:i/>
              </w:rPr>
              <w:t>vastuuvapauden myöntävän viranomaisen kuvaamien riskien lievittämiseksi, sillä komission antama ohjeistus ei estä edunsaajia käyttämästä EU:n varoja lobbaukseen tai unionin lainsäädäntöprosessiin vaikuttamiseen;</w:t>
            </w:r>
            <w:r>
              <w:t xml:space="preserve"> </w:t>
            </w:r>
            <w:r>
              <w:rPr>
                <w:b/>
                <w:i/>
              </w:rPr>
              <w:t>huomauttaa, että ohjeistuksessa on ei-tyhjentävä luettelo toimista, joita tuetut yhteisöt voivat toteuttaa;</w:t>
            </w:r>
            <w:r>
              <w:t xml:space="preserve"> </w:t>
            </w:r>
            <w:r>
              <w:rPr>
                <w:b/>
                <w:i/>
              </w:rPr>
              <w:t>panee merkille, että komission mukaan näitä toimia ei pitäisi sisällyttää avustussopimuksiin osoittamaan, että edunsaajia vaaditaan toteuttamaan nimenomaisesti EU:n toimielimille ja joillekin niiden edustajille</w:t>
            </w:r>
            <w:r>
              <w:t xml:space="preserve"> suunnattuja </w:t>
            </w:r>
            <w:r>
              <w:rPr>
                <w:b/>
                <w:i/>
              </w:rPr>
              <w:t>yksityiskohtaisempia</w:t>
            </w:r>
            <w:r>
              <w:t xml:space="preserve"> toimia</w:t>
            </w:r>
            <w:r>
              <w:rPr>
                <w:b/>
                <w:i/>
              </w:rPr>
              <w:t>, sillä tähän saattaa liittyä maineriski;</w:t>
            </w:r>
            <w:r>
              <w:t xml:space="preserve"> </w:t>
            </w:r>
            <w:r>
              <w:rPr>
                <w:b/>
                <w:i/>
              </w:rPr>
              <w:t>katsoo, ettei tiettyjen toimien nimenomainen jättäminen avustussopimusten ulkopuolelle välttämättä tarkoita, ettei tällaisia toimia toteuteta EU:n rahastojen tuella</w:t>
            </w:r>
            <w:r>
              <w:t>;</w:t>
            </w:r>
          </w:p>
        </w:tc>
        <w:tc>
          <w:tcPr>
            <w:tcW w:w="4876" w:type="dxa"/>
            <w:tcBorders>
              <w:top w:val="nil"/>
              <w:left w:val="nil"/>
              <w:bottom w:val="nil"/>
              <w:right w:val="nil"/>
            </w:tcBorders>
          </w:tcPr>
          <w:p>
            <w:pPr>
              <w:pStyle w:val="Normal6a"/>
            </w:pPr>
            <w:r>
              <w:t>87.</w:t>
            </w:r>
            <w:r>
              <w:tab/>
            </w:r>
            <w:r>
              <w:rPr>
                <w:b/>
                <w:i/>
              </w:rPr>
              <w:t>suhtautuu tyytyväisesti toimiin</w:t>
            </w:r>
            <w:r>
              <w:t xml:space="preserve">, joita komissio on toteuttanut puuttuakseen </w:t>
            </w:r>
            <w:r>
              <w:rPr>
                <w:b/>
                <w:i/>
              </w:rPr>
              <w:t>väitteisiin,</w:t>
            </w:r>
            <w:r>
              <w:t xml:space="preserve"> joihin </w:t>
            </w:r>
            <w:r>
              <w:rPr>
                <w:b/>
                <w:i/>
              </w:rPr>
              <w:t>sisältyivät</w:t>
            </w:r>
            <w:r>
              <w:t xml:space="preserve"> ohjeistuksen antaminen komission yksiköille ja vaatimus seuloa niiden sopimussalkut sen määrittämiseksi, mitkä sopimukset eivät ole ohjeistuksen mukaisia; katsoo, että komission tähän mennessä hyväksymät toimenpiteet </w:t>
            </w:r>
            <w:r>
              <w:rPr>
                <w:b/>
                <w:i/>
              </w:rPr>
              <w:t>ovat täysin</w:t>
            </w:r>
            <w:r>
              <w:t xml:space="preserve"> riittäviä</w:t>
            </w:r>
            <w:r>
              <w:rPr>
                <w:b/>
                <w:i/>
              </w:rPr>
              <w:t>, kun odotetaan kaikkien edunsaajien kanssa tehtyjen avustussopimusten seulonnan tuloksia, jotta voidaan tarkistaa edellä mainittujen väitteiden paikkansapitävyys;</w:t>
            </w:r>
            <w:r>
              <w:t xml:space="preserve"> </w:t>
            </w:r>
            <w:r>
              <w:rPr>
                <w:b/>
                <w:i/>
              </w:rPr>
              <w:t>huomauttaa, että ohjeistuksessa mainitaan, että tietyille EU:n toimielinten jäsenille</w:t>
            </w:r>
            <w:r>
              <w:t xml:space="preserve"> suunnattuja </w:t>
            </w:r>
            <w:r>
              <w:rPr>
                <w:b/>
                <w:i/>
              </w:rPr>
              <w:t>yksityiskohtaisia</w:t>
            </w:r>
            <w:r>
              <w:t xml:space="preserve"> toimia </w:t>
            </w:r>
            <w:r>
              <w:rPr>
                <w:b/>
                <w:i/>
              </w:rPr>
              <w:t>ei pitäisi sisällyttää avustussopimuksiin;</w:t>
            </w:r>
            <w:r>
              <w:t xml:space="preserve"> </w:t>
            </w:r>
            <w:r>
              <w:rPr>
                <w:b/>
                <w:i/>
              </w:rPr>
              <w:t>kehottaa komissiota ilmoittamaan vastuuvapauden myöntävälle viranomaiselle heti, kun se on saanut analyysin ja siihen perustuvat johtopäätökset valmiiksi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t xml:space="preserve">panee merkille toimet, joita komissio on toteuttanut puuttuakseen </w:t>
            </w:r>
            <w:r>
              <w:rPr>
                <w:b/>
                <w:i/>
              </w:rPr>
              <w:t>vastuuvapauden myöntävän viranomaisen</w:t>
            </w:r>
            <w:r>
              <w:t xml:space="preserve"> esille ottamiin huolenaiheisiin ja joihin sisältyvät ohjeistuksen antaminen komission yksiköille ja vaatimus seuloa niiden sopimussalkut sen määrittämiseksi, mitkä sopimukset eivät ole ohjeistuksen mukaisia; on </w:t>
            </w:r>
            <w:r>
              <w:rPr>
                <w:b/>
                <w:i/>
              </w:rPr>
              <w:t>syvästi</w:t>
            </w:r>
            <w:r>
              <w:t xml:space="preserve"> huolissaan ajasta, joka ehti kulua siitä hetkestä, jona CONT-valiokunta toi kysymyksen komission tietoon helmikuussa 2024, siihen hetkeen, jona toimiin </w:t>
            </w:r>
            <w:r>
              <w:rPr>
                <w:b/>
                <w:i/>
              </w:rPr>
              <w:t>lopulta</w:t>
            </w:r>
            <w:r>
              <w:t xml:space="preserve"> ryhdyttiin; </w:t>
            </w:r>
            <w:r>
              <w:rPr>
                <w:b/>
                <w:i/>
              </w:rPr>
              <w:t>katsoo, että</w:t>
            </w:r>
            <w:r>
              <w:t xml:space="preserve"> komission tähän mennessä </w:t>
            </w:r>
            <w:r>
              <w:rPr>
                <w:b/>
                <w:i/>
              </w:rPr>
              <w:t>hyväksymät toimenpiteet eivät ole riittäviä vastuuvapauden myöntävän viranomaisen kuvaamien riskien lievittämiseksi, sillä komission antama ohjeistus ei estä edunsaajia käyttämästä EU:n varoja lobbaukseen tai</w:t>
            </w:r>
            <w:r>
              <w:t xml:space="preserve"> unionin </w:t>
            </w:r>
            <w:r>
              <w:rPr>
                <w:b/>
                <w:i/>
              </w:rPr>
              <w:t>lainsäädäntöprosessiin vaikuttamiseen</w:t>
            </w:r>
            <w:r>
              <w:t xml:space="preserve">; huomauttaa, että ohjeistuksessa on ei-tyhjentävä luettelo toimista, joita tuetut yhteisöt voivat toteuttaa; panee merkille, että komission mukaan näitä toimia ei pitäisi sisällyttää avustussopimuksiin osoittamaan, että edunsaajia vaaditaan toteuttamaan nimenomaisesti EU:n toimielimille ja joillekin niiden edustajille suunnattuja yksityiskohtaisempia toimia, sillä tähän saattaa liittyä maineriski; </w:t>
            </w:r>
            <w:r>
              <w:rPr>
                <w:b/>
                <w:i/>
              </w:rPr>
              <w:t>katsoo</w:t>
            </w:r>
            <w:r>
              <w:t>, ettei tiettyjen toimien nimenomainen jättäminen avustussopimusten ulkopuolelle välttämättä tarkoita, ettei tällaisia toimia toteuteta EU:n rahastojen tuella;</w:t>
            </w:r>
          </w:p>
        </w:tc>
        <w:tc>
          <w:tcPr>
            <w:tcW w:w="4876" w:type="dxa"/>
            <w:tcBorders>
              <w:top w:val="nil"/>
              <w:left w:val="nil"/>
              <w:bottom w:val="nil"/>
              <w:right w:val="nil"/>
            </w:tcBorders>
          </w:tcPr>
          <w:p>
            <w:pPr>
              <w:pStyle w:val="Normal6a"/>
            </w:pPr>
            <w:r>
              <w:t>87.</w:t>
            </w:r>
            <w:r>
              <w:tab/>
            </w:r>
            <w:r>
              <w:t xml:space="preserve">panee merkille toimet, joita komissio on toteuttanut puuttuakseen </w:t>
            </w:r>
            <w:r>
              <w:rPr>
                <w:b/>
                <w:i/>
              </w:rPr>
              <w:t>joidenkin CONT-valiokunnan jäsenten</w:t>
            </w:r>
            <w:r>
              <w:t xml:space="preserve"> esille ottamiin huolenaiheisiin ja joihin sisältyvät ohjeistuksen antaminen komission yksiköille ja vaatimus seuloa niiden sopimussalkut sen määrittämiseksi, mitkä sopimukset eivät ole ohjeistuksen mukaisia; on huolissaan ajasta, joka ehti kulua siitä hetkestä, jona CONT-valiokunta toi kysymyksen komission tietoon helmikuussa 2024, siihen hetkeen, jona toimiin ryhdyttiin; </w:t>
            </w:r>
            <w:r>
              <w:rPr>
                <w:b/>
                <w:i/>
              </w:rPr>
              <w:t>pitää valitettavina</w:t>
            </w:r>
            <w:r>
              <w:t xml:space="preserve"> komission tähän mennessä </w:t>
            </w:r>
            <w:r>
              <w:rPr>
                <w:b/>
                <w:i/>
              </w:rPr>
              <w:t>hyväksymiä toimenpiteitä, koska niillä annetaan ymmärtää, että se, että edunsaajat käyttävät EU:n varoja lobbaukseen tai unionin lainsäädäntöprosessiin vaikuttamiseen, olisi laitonta toimintaa, kun perimmäisenä ajatuksena unionin rahoituksen myöntämisessä kansalaisyhteiskunnalle on antaa niille mahdollisuus käydä säännöllistä vuoropuhelua EU:n toimielinten kanssa ja varmistaa, että EU:n päätöksentekomenettelyissä on edustettuina erilaisia näkemyksiä eikä pelkästään kaupallisia etuja;</w:t>
            </w:r>
            <w:r>
              <w:t xml:space="preserve"> </w:t>
            </w:r>
            <w:r>
              <w:rPr>
                <w:b/>
                <w:i/>
              </w:rPr>
              <w:t>muistuttaa tässä yhteydessä, että SEU-sopimuksen 11 artiklan 2 kohdan mukaisesti</w:t>
            </w:r>
            <w:r>
              <w:t xml:space="preserve"> unionin </w:t>
            </w:r>
            <w:r>
              <w:rPr>
                <w:b/>
                <w:i/>
              </w:rPr>
              <w:t>toimielinten on käytävä avointa ja jäsenneltyä vuoropuhelua kansalaisyhteiskunnan organisaatioiden ja etujärjestöjen kanssa</w:t>
            </w:r>
            <w:r>
              <w:t xml:space="preserve">; huomauttaa, että ohjeistuksessa on ei-tyhjentävä luettelo toimista, joita tuetut yhteisöt voivat toteuttaa; panee merkille, että komission mukaan näitä toimia ei pitäisi sisällyttää avustussopimuksiin osoittamaan, että edunsaajia vaaditaan toteuttamaan nimenomaisesti EU:n toimielimille ja joillekin niiden edustajille suunnattuja yksityiskohtaisempia toimia, sillä tähän saattaa liittyä maineriski; </w:t>
            </w:r>
            <w:r>
              <w:rPr>
                <w:b/>
                <w:i/>
              </w:rPr>
              <w:t>huomauttaa</w:t>
            </w:r>
            <w:r>
              <w:t>, ettei tiettyjen toimien nimenomainen jättäminen avustussopimusten ulkopuolelle välttämättä tarkoita, ettei tällaisia toimia toteuteta EU:n rahastojen tuella;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t>panee merkille toimet, joita komissio on toteuttanut puuttuakseen vastuuvapauden myöntävän viranomaisen esille ottamiin huolenaiheisiin ja joihin sisältyvät ohjeistuksen antaminen komission yksiköille ja vaatimus seuloa niiden sopimussalkut sen määrittämiseksi, mitkä sopimukset eivät ole ohjeistuksen mukaisia; on syvästi huolissaan ajasta, joka ehti kulua siitä hetkestä, jona CONT-valiokunta toi kysymyksen komission tietoon helmikuussa 2024, siihen hetkeen, jona toimiin lopulta ryhdyttiin; katsoo, että komission tähän mennessä hyväksymät toimenpiteet eivät ole riittäviä vastuuvapauden myöntävän viranomaisen kuvaamien riskien lievittämiseksi, sillä komission antama ohjeistus ei estä edunsaajia käyttämästä EU:n varoja lobbaukseen tai unionin lainsäädäntöprosessiin vaikuttamiseen; huomauttaa, että ohjeistuksessa on ei-tyhjentävä luettelo toimista, joita tuetut yhteisöt voivat toteuttaa; panee merkille, että komission mukaan näitä toimia ei pitäisi sisällyttää avustussopimuksiin osoittamaan, että edunsaajia vaaditaan toteuttamaan nimenomaisesti EU:n toimielimille ja joillekin niiden edustajille suunnattuja yksityiskohtaisempia toimia, sillä tähän saattaa liittyä maineriski; katsoo, ettei tiettyjen toimien nimenomainen jättäminen avustussopimusten ulkopuolelle välttämättä tarkoita, ettei tällaisia toimia toteuteta EU:n rahastojen tuella;</w:t>
            </w:r>
          </w:p>
        </w:tc>
        <w:tc>
          <w:tcPr>
            <w:tcW w:w="4876" w:type="dxa"/>
            <w:tcBorders>
              <w:top w:val="nil"/>
              <w:left w:val="nil"/>
              <w:bottom w:val="nil"/>
              <w:right w:val="nil"/>
            </w:tcBorders>
          </w:tcPr>
          <w:p>
            <w:pPr>
              <w:pStyle w:val="Normal6a"/>
            </w:pPr>
            <w:r>
              <w:t>87.</w:t>
            </w:r>
            <w:r>
              <w:tab/>
            </w:r>
            <w:r>
              <w:t xml:space="preserve">panee merkille toimet, joita komissio on toteuttanut puuttuakseen vastuuvapauden myöntävän viranomaisen esille ottamiin huolenaiheisiin ja joihin sisältyvät ohjeistuksen antaminen komission yksiköille ja vaatimus seuloa niiden sopimussalkut sen määrittämiseksi, mitkä sopimukset eivät ole ohjeistuksen mukaisia; on syvästi huolissaan ajasta, joka ehti kulua siitä hetkestä, jona CONT-valiokunta toi kysymyksen komission tietoon helmikuussa 2024, siihen hetkeen, jona toimiin lopulta ryhdyttiin; katsoo, että komission tähän mennessä hyväksymät toimenpiteet eivät ole riittäviä vastuuvapauden myöntävän viranomaisen kuvaamien riskien lievittämiseksi, sillä komission antama ohjeistus ei estä edunsaajia käyttämästä EU:n varoja lobbaukseen tai unionin lainsäädäntöprosessiin vaikuttamiseen; huomauttaa, että ohjeistuksessa on ei-tyhjentävä luettelo toimista, joita tuetut yhteisöt voivat toteuttaa; panee merkille, että komission mukaan näitä toimia ei pitäisi sisällyttää avustussopimuksiin osoittamaan, että edunsaajia vaaditaan toteuttamaan nimenomaisesti EU:n toimielimille ja joillekin niiden edustajille suunnattuja yksityiskohtaisempia toimia, sillä tähän saattaa liittyä maineriski; katsoo, ettei tiettyjen toimien nimenomainen jättäminen avustussopimusten ulkopuolelle välttämättä tarkoita, ettei tällaisia toimia toteuteta EU:n rahastojen tuella; </w:t>
            </w:r>
            <w:r>
              <w:rPr>
                <w:b/>
                <w:i/>
              </w:rPr>
              <w:t>panee lisäksi merkille, että nämä sisäiset ohjeet eivät ole sitovia eikä niissä ole selkeää mainintaa niiden noudattamatta jättämisen seurauksista ja että niissä keskitytään pääasiassa yleisten toimintamallien hahmottelemiseen maineriskin välttämiseksi;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87 a.</w:t>
            </w:r>
            <w:r>
              <w:tab/>
            </w:r>
            <w:r>
              <w:rPr>
                <w:b/>
                <w:i/>
              </w:rPr>
              <w:t>panee merkille, että komissio on ilmoittanut uusista säännöistä, joiden mukaan Life-ohjelmaan osoitetut 5,4 miljardia euroa olisi käytettävä yksinomaan politiikkojen kehittämiseen ja täytäntöönpanoon eikä niitä saisi enää käyttää edunvalvontatoimintaan;</w:t>
            </w:r>
            <w:r>
              <w:t xml:space="preserve"> </w:t>
            </w:r>
            <w:r>
              <w:rPr>
                <w:b/>
                <w:i/>
              </w:rPr>
              <w:t>toteaa, että näitä sääntöjä ei ole vielä pantu täytäntöön eikä politiikan kehittämisen ja täytäntöönpanon määritelmää ole vielä laadittu;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87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87 b.</w:t>
            </w:r>
            <w:r>
              <w:tab/>
            </w:r>
            <w:r>
              <w:rPr>
                <w:b/>
                <w:i/>
              </w:rPr>
              <w:t>panee merkille, että hallintoneuvosto tarkasteli CINEAn sopimuksiin liittyviä kysymyksiä ja ilmoitti toimittavansa havaintoihinsa perustuvat tulokset joulukuussa 2024, mutta talousarvion valvontavaliokunnalle ei ole vielä toimitettu kertomusta, jossa esitetään tämän tarkastelun tulokset;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87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87 c.</w:t>
            </w:r>
            <w:r>
              <w:tab/>
            </w:r>
            <w:r>
              <w:rPr>
                <w:b/>
                <w:i/>
              </w:rPr>
              <w:t>panee tyytyväisenä merkille, että komissio totesi täysistuntokuulemisessa 22. tammikuuta 2025, että osa tehtäväkokonaisuuksien sisällöstä oli ”epäasianmukaista”;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 xml:space="preserve">panee merkille, että komissio on suorittanut CONT-valiokunnan yksilöimistä ongelmallisista avustussopimuksista oikeudellisen analyysin, jossa todettiin, ettei ollut näyttöä siitä, että kyseiset yhteisöt olisivat rikkoneet sopimusperusteisia tai käytännesääntöihin perustuvia velvoitteitaan; katsoo, että komission toteuttamat toimet todellakin keskittyvät maineriskin lievittämiseen mutta niissä ei käsitellä parlamentin kuvaamia yleisiä kysymyksiä; </w:t>
            </w:r>
            <w:r>
              <w:rPr>
                <w:b/>
                <w:i/>
              </w:rPr>
              <w:t>panee merkille tiedotusvälineissä esiintyneet tiedot, joiden mukaan komissio olisi lähestynyt useita yhteisöjä tehdäkseen muutoksia niihin avustussopimuksiin, joihin sisältyy maineriskin aiheuttavia erityismääräyksiä, mutta katsoo, että pelkät tällaisiin sopimuksiin tehtävät muutokset eivät lievennä riskejä, jotka aiheutuvat EU:n varojen jatkuvasta käytöstä Euroopan parlamentille suunnattuun edunvalvontaan;</w:t>
            </w:r>
          </w:p>
        </w:tc>
        <w:tc>
          <w:tcPr>
            <w:tcW w:w="4876" w:type="dxa"/>
            <w:tcBorders>
              <w:top w:val="nil"/>
              <w:left w:val="nil"/>
              <w:bottom w:val="nil"/>
              <w:right w:val="nil"/>
            </w:tcBorders>
          </w:tcPr>
          <w:p>
            <w:pPr>
              <w:pStyle w:val="Normal6a"/>
            </w:pPr>
            <w:r>
              <w:t>88.</w:t>
            </w:r>
            <w:r>
              <w:tab/>
            </w:r>
            <w:r>
              <w:t>panee merkille, että komissio on suorittanut CONT-valiokunnan yksilöimistä ongelmallisista avustussopimuksista oikeudellisen analyysin, jossa todettiin, ettei ollut näyttöä siitä, että kyseiset yhteisöt olisivat rikkoneet sopimusperusteisia tai käytännesääntöihin perustuvia velvoitteitaan; katsoo, että komission toteuttamat toimet todellakin keskittyvät maineriskin lievittämiseen mutta niissä ei käsitellä parlamentin kuvaamia yleisiä kysymyksiä;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 xml:space="preserve">panee merkille, että komissio on suorittanut </w:t>
            </w:r>
            <w:r>
              <w:rPr>
                <w:b/>
                <w:i/>
              </w:rPr>
              <w:t>CONT-valiokunnan yksilöimistä ongelmallisista</w:t>
            </w:r>
            <w:r>
              <w:t xml:space="preserve"> avustussopimuksista oikeudellisen analyysin, jossa todettiin, ettei ollut näyttöä siitä, että kyseiset yhteisöt olisivat rikkoneet sopimusperusteisia tai käytännesääntöihin perustuvia velvoitteitaan; katsoo, että komission toteuttamat toimet todellakin keskittyvät maineriskin lievittämiseen </w:t>
            </w:r>
            <w:r>
              <w:rPr>
                <w:b/>
                <w:i/>
              </w:rPr>
              <w:t>mutta niissä ei käsitellä parlamentin kuvaamia yleisiä kysymyksiä</w:t>
            </w:r>
            <w:r>
              <w:t xml:space="preserve">; panee merkille tiedotusvälineissä esiintyneet tiedot, joiden mukaan komissio olisi lähestynyt useita yhteisöjä tehdäkseen muutoksia </w:t>
            </w:r>
            <w:r>
              <w:rPr>
                <w:b/>
                <w:i/>
              </w:rPr>
              <w:t>niihin</w:t>
            </w:r>
            <w:r>
              <w:t xml:space="preserve"> avustussopimuksiin</w:t>
            </w:r>
            <w:r>
              <w:rPr>
                <w:b/>
                <w:i/>
              </w:rPr>
              <w:t>, joihin sisältyy maineriskin aiheuttavia erityismääräyksiä, mutta katsoo, että pelkät tällaisiin sopimuksiin tehtävät muutokset eivät lievennä riskejä, jotka aiheutuvat EU:n varojen jatkuvasta käytöstä Euroopan parlamentille suunnattuun edunvalvontaan</w:t>
            </w:r>
            <w:r>
              <w:t>;</w:t>
            </w:r>
          </w:p>
        </w:tc>
        <w:tc>
          <w:tcPr>
            <w:tcW w:w="4876" w:type="dxa"/>
            <w:tcBorders>
              <w:top w:val="nil"/>
              <w:left w:val="nil"/>
              <w:bottom w:val="nil"/>
              <w:right w:val="nil"/>
            </w:tcBorders>
          </w:tcPr>
          <w:p>
            <w:pPr>
              <w:pStyle w:val="Normal6a"/>
            </w:pPr>
            <w:r>
              <w:t>88.</w:t>
            </w:r>
            <w:r>
              <w:tab/>
            </w:r>
            <w:r>
              <w:t xml:space="preserve">panee merkille, että komissio on suorittanut </w:t>
            </w:r>
            <w:r>
              <w:rPr>
                <w:b/>
                <w:i/>
              </w:rPr>
              <w:t>joistakin</w:t>
            </w:r>
            <w:r>
              <w:t xml:space="preserve"> avustussopimuksista oikeudellisen analyysin, jossa todettiin, ettei ollut näyttöä siitä, että kyseiset yhteisöt olisivat rikkoneet sopimusperusteisia tai käytännesääntöihin perustuvia velvoitteitaan; katsoo, että komission toteuttamat toimet todellakin keskittyvät maineriskin lievittämiseen; panee </w:t>
            </w:r>
            <w:r>
              <w:rPr>
                <w:b/>
                <w:i/>
              </w:rPr>
              <w:t>huolestuneena</w:t>
            </w:r>
            <w:r>
              <w:t xml:space="preserve"> merkille tiedotusvälineissä esiintyneet tiedot, joiden mukaan komissio olisi lähestynyt useita yhteisöjä tehdäkseen muutoksia avustussopimuksiin;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José Cepeda, Carla Tavares,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 xml:space="preserve">panee merkille, että komissio on suorittanut </w:t>
            </w:r>
            <w:r>
              <w:rPr>
                <w:b/>
                <w:i/>
              </w:rPr>
              <w:t>CONT-valiokunnan yksilöimistä ongelmallisista</w:t>
            </w:r>
            <w:r>
              <w:t xml:space="preserve"> avustussopimuksista oikeudellisen analyysin, jossa todettiin, ettei ollut näyttöä siitä, että kyseiset yhteisöt olisivat rikkoneet sopimusperusteisia tai käytännesääntöihin perustuvia velvoitteitaan; katsoo, että komission </w:t>
            </w:r>
            <w:r>
              <w:rPr>
                <w:b/>
                <w:i/>
              </w:rPr>
              <w:t>toteuttamat toimet todellakin keskittyvät</w:t>
            </w:r>
            <w:r>
              <w:t xml:space="preserve"> maineriskin lievittämiseen </w:t>
            </w:r>
            <w:r>
              <w:rPr>
                <w:b/>
                <w:i/>
              </w:rPr>
              <w:t>mutta niissä ei käsitellä parlamentin kuvaamia yleisiä kysymyksiä</w:t>
            </w:r>
            <w:r>
              <w:t xml:space="preserve">; panee merkille </w:t>
            </w:r>
            <w:r>
              <w:rPr>
                <w:b/>
                <w:i/>
              </w:rPr>
              <w:t>tiedotusvälineissä esiintyneet tiedot</w:t>
            </w:r>
            <w:r>
              <w:t xml:space="preserve">, joiden mukaan </w:t>
            </w:r>
            <w:r>
              <w:rPr>
                <w:b/>
                <w:i/>
              </w:rPr>
              <w:t>komissio olisi lähestynyt useita yhteisöjä tehdäkseen muutoksia niihin avustussopimuksiin, joihin sisältyy maineriskin aiheuttavia erityismääräyksiä, mutta katsoo, että pelkät</w:t>
            </w:r>
            <w:r>
              <w:t xml:space="preserve"> tällaisiin sopimuksiin tehtävät muutokset eivät </w:t>
            </w:r>
            <w:r>
              <w:rPr>
                <w:b/>
                <w:i/>
              </w:rPr>
              <w:t>lievennä riskejä, jotka aiheutuvat EU:n varojen jatkuvasta käytöstä Euroopan parlamentille suunnattuun edunvalvontaan</w:t>
            </w:r>
            <w:r>
              <w:t>;</w:t>
            </w:r>
          </w:p>
        </w:tc>
        <w:tc>
          <w:tcPr>
            <w:tcW w:w="4876" w:type="dxa"/>
            <w:tcBorders>
              <w:top w:val="nil"/>
              <w:left w:val="nil"/>
              <w:bottom w:val="nil"/>
              <w:right w:val="nil"/>
            </w:tcBorders>
          </w:tcPr>
          <w:p>
            <w:pPr>
              <w:pStyle w:val="Normal6a"/>
            </w:pPr>
            <w:r>
              <w:t>88.</w:t>
            </w:r>
            <w:r>
              <w:tab/>
            </w:r>
            <w:r>
              <w:t xml:space="preserve">panee merkille, että komissio on suorittanut </w:t>
            </w:r>
            <w:r>
              <w:rPr>
                <w:b/>
                <w:i/>
              </w:rPr>
              <w:t>kyseessä olevista</w:t>
            </w:r>
            <w:r>
              <w:t xml:space="preserve"> avustussopimuksista oikeudellisen analyysin, jossa todettiin, ettei ollut näyttöä siitä, että kyseiset yhteisöt olisivat rikkoneet sopimusperusteisia tai käytännesääntöihin perustuvia velvoitteitaan; katsoo, että komission </w:t>
            </w:r>
            <w:r>
              <w:rPr>
                <w:b/>
                <w:i/>
              </w:rPr>
              <w:t>toteuttamissa toimissa voidaan keskittyä ainoastaan edellä mainittujen väitteiden aiheuttaman</w:t>
            </w:r>
            <w:r>
              <w:t xml:space="preserve"> maineriskin lievittämiseen</w:t>
            </w:r>
            <w:r>
              <w:rPr>
                <w:b/>
                <w:i/>
              </w:rPr>
              <w:t>, kun taas EU:n rahoituksen käytön on pysyttävä täysin EU:n säännöstön mukaisena</w:t>
            </w:r>
            <w:r>
              <w:t xml:space="preserve">; panee merkille </w:t>
            </w:r>
            <w:r>
              <w:rPr>
                <w:b/>
                <w:i/>
              </w:rPr>
              <w:t>talousarviosta, petostentorjunnasta ja julkishallinnosta vastaavan komission jäsenen vastuuvapausmenettelyn yhteydessä antamat kirjalliset vastaukset</w:t>
            </w:r>
            <w:r>
              <w:t xml:space="preserve">, joiden mukaan </w:t>
            </w:r>
            <w:r>
              <w:rPr>
                <w:b/>
                <w:i/>
              </w:rPr>
              <w:t>edunsaajille on tarvittaessa lähetetty kirjeet, jotka koskevat mahdollisen maineriskin aiheuttavien erityismääräysten poistamista sopimuksista;</w:t>
            </w:r>
            <w:r>
              <w:t xml:space="preserve"> </w:t>
            </w:r>
            <w:r>
              <w:rPr>
                <w:b/>
                <w:i/>
              </w:rPr>
              <w:t>pitää myönteisenä, että</w:t>
            </w:r>
            <w:r>
              <w:t xml:space="preserve"> tällaisiin sopimuksiin tehtävät muutokset eivät </w:t>
            </w:r>
            <w:r>
              <w:rPr>
                <w:b/>
                <w:i/>
              </w:rPr>
              <w:t>heikennä etujärjestöjen ja kansalaisyhteiskunnan osallistumista avoimeen, läpinäkyvään ja säännölliseen vuoropuheluun, johon lainsäätäjät pyrkivät SEU-sopimuksen 11 artiklan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 xml:space="preserve">panee merkille, että komissio on suorittanut CONT-valiokunnan </w:t>
            </w:r>
            <w:r>
              <w:rPr>
                <w:b/>
                <w:i/>
              </w:rPr>
              <w:t>yksilöimistä ongelmallisista</w:t>
            </w:r>
            <w:r>
              <w:t xml:space="preserve"> avustussopimuksista oikeudellisen analyysin, jossa todettiin, ettei ollut näyttöä siitä, että kyseiset yhteisöt olisivat rikkoneet sopimusperusteisia tai käytännesääntöihin perustuvia velvoitteitaan; katsoo, että komission toteuttamat toimet todellakin keskittyvät maineriskin lievittämiseen mutta niissä ei käsitellä parlamentin kuvaamia yleisiä kysymyksiä; panee merkille tiedotusvälineissä esiintyneet tiedot, joiden mukaan komissio olisi lähestynyt useita yhteisöjä tehdäkseen muutoksia niihin avustussopimuksiin, joihin sisältyy maineriskin aiheuttavia erityismääräyksiä, </w:t>
            </w:r>
            <w:r>
              <w:rPr>
                <w:b/>
                <w:i/>
              </w:rPr>
              <w:t>mutta katsoo</w:t>
            </w:r>
            <w:r>
              <w:t xml:space="preserve">, että pelkät tällaisiin sopimuksiin tehtävät muutokset eivät </w:t>
            </w:r>
            <w:r>
              <w:rPr>
                <w:b/>
                <w:i/>
              </w:rPr>
              <w:t>lievennä</w:t>
            </w:r>
            <w:r>
              <w:t xml:space="preserve"> riskejä, jotka aiheutuvat EU:n varojen jatkuvasta käytöstä Euroopan parlamentille suunnattuun edunvalvontaan;</w:t>
            </w:r>
          </w:p>
        </w:tc>
        <w:tc>
          <w:tcPr>
            <w:tcW w:w="4876" w:type="dxa"/>
            <w:tcBorders>
              <w:top w:val="nil"/>
              <w:left w:val="nil"/>
              <w:bottom w:val="nil"/>
              <w:right w:val="nil"/>
            </w:tcBorders>
          </w:tcPr>
          <w:p>
            <w:pPr>
              <w:pStyle w:val="Normal6a"/>
            </w:pPr>
            <w:r>
              <w:t>88.</w:t>
            </w:r>
            <w:r>
              <w:tab/>
            </w:r>
            <w:r>
              <w:t xml:space="preserve">panee merkille, että komissio on suorittanut </w:t>
            </w:r>
            <w:r>
              <w:rPr>
                <w:b/>
                <w:i/>
              </w:rPr>
              <w:t>joidenkin</w:t>
            </w:r>
            <w:r>
              <w:t xml:space="preserve"> CONT-valiokunnan </w:t>
            </w:r>
            <w:r>
              <w:rPr>
                <w:b/>
                <w:i/>
              </w:rPr>
              <w:t>jäsenten yksilöimistä</w:t>
            </w:r>
            <w:r>
              <w:t xml:space="preserve"> avustussopimuksista oikeudellisen analyysin, jossa todettiin, ettei ollut näyttöä siitä, että kyseiset yhteisöt olisivat rikkoneet sopimusperusteisia tai käytännesääntöihin perustuvia velvoitteitaan; katsoo, että komission toteuttamat toimet todellakin keskittyvät maineriskin lievittämiseen mutta niissä ei käsitellä </w:t>
            </w:r>
            <w:r>
              <w:rPr>
                <w:b/>
                <w:i/>
              </w:rPr>
              <w:t>joidenkin</w:t>
            </w:r>
            <w:r>
              <w:t xml:space="preserve"> parlamentin </w:t>
            </w:r>
            <w:r>
              <w:rPr>
                <w:b/>
                <w:i/>
              </w:rPr>
              <w:t>jäsenten</w:t>
            </w:r>
            <w:r>
              <w:t xml:space="preserve"> kuvaamia yleisiä kysymyksiä; panee merkille tiedotusvälineissä esiintyneet tiedot, joiden mukaan komissio olisi lähestynyt useita yhteisöjä tehdäkseen muutoksia niihin avustussopimuksiin, joihin sisältyy maineriskin aiheuttavia erityismääräyksiä, </w:t>
            </w:r>
            <w:r>
              <w:rPr>
                <w:b/>
                <w:i/>
              </w:rPr>
              <w:t>ja suhtautuu myönteisesti siihen</w:t>
            </w:r>
            <w:r>
              <w:t xml:space="preserve">, että pelkät tällaisiin sopimuksiin tehtävät muutokset eivät </w:t>
            </w:r>
            <w:r>
              <w:rPr>
                <w:b/>
                <w:i/>
              </w:rPr>
              <w:t>ehkäise</w:t>
            </w:r>
            <w:r>
              <w:t xml:space="preserve"> riskejä, jotka aiheutuvat EU:n varojen jatkuvasta käytöstä Euroopan parlamentille </w:t>
            </w:r>
            <w:r>
              <w:rPr>
                <w:b/>
                <w:i/>
              </w:rPr>
              <w:t>ja muille EU:n toimielimille</w:t>
            </w:r>
            <w:r>
              <w:t xml:space="preserve"> suunnattuun edunvalvontaan;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88 a.</w:t>
            </w:r>
            <w:r>
              <w:tab/>
            </w:r>
            <w:r>
              <w:rPr>
                <w:b/>
                <w:i/>
              </w:rPr>
              <w:t>panee merkille, että CINEAn avustussopimuksia koskevien hakemusten arviointiprosessiin kuuluu riippumattomien arvioijien suorittama ensimmäinen seulonta ja että on epäselvää, miten nämä arvioijat itse seulottiin ja valittiin, mukaan lukien se, tehtiinkö eturistiriitoja koskevia tarkastuksia;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88 b.</w:t>
            </w:r>
            <w:r>
              <w:tab/>
            </w:r>
            <w:r>
              <w:rPr>
                <w:b/>
                <w:i/>
              </w:rPr>
              <w:t>panee merkille, että CINEAn mukaan ulkopuoliset asiantuntijat (riippumattomat arvioijat) suorittavat ennakkoarvioinnin ja että lopullisen arvioinnin tekee arviointikomitea (CINEA, ympäristöasioiden pääosasto, ilmastotoimien pääosasto ja energian pääosasto);</w:t>
            </w:r>
            <w:r>
              <w:t xml:space="preserve"> </w:t>
            </w:r>
            <w:r>
              <w:rPr>
                <w:b/>
                <w:i/>
              </w:rPr>
              <w:t>kehottaa ympäristöasioiden pääosastoa tarkastelemaan uudelleen tätä arviointiprosessia ja sitä, miten tehtäväkokonaisuudet, joiden sisältö oli epäasianmukaista, hyväksyttiin ja miten tätä seikkaa ei havaittu kaksivaiheisen arviointiprosessin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88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88 c.</w:t>
            </w:r>
            <w:r>
              <w:tab/>
            </w:r>
            <w:r>
              <w:rPr>
                <w:b/>
                <w:i/>
              </w:rPr>
              <w:t>huomauttaa, että sopimuksista vastaava osasto ei myöskään havainnut epäasianmukaista sisältöä tehtäväkokonaisuuksissa laatiessaan ympäristöasioiden pääosaston/CINEAn ja aktivistiverkostojen välisiä sopimuksia;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88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88 d.</w:t>
            </w:r>
            <w:r>
              <w:tab/>
            </w:r>
            <w:r>
              <w:rPr>
                <w:b/>
                <w:i/>
              </w:rPr>
              <w:t>panee merkille, että ehdotuspyynnön mukaan avustussopimuksen saamisen tukikelpoisuuskriteereihin lukeutui riippumattomuus valtion viranomaisista, poliittisista puolueista tai kaupallisista eduista;</w:t>
            </w:r>
            <w:r>
              <w:t xml:space="preserve"> </w:t>
            </w:r>
            <w:r>
              <w:rPr>
                <w:b/>
                <w:i/>
              </w:rPr>
              <w:t>kehottaa ympäristöasioiden pääosastoa/CINEAa varmistamaan, että Life-ohjelmasta tuetut yhteisöt eivät tosiaankaan edusta kaupallisia etuja ja ettei niillä ei ole vahvoja siteitä poliittisiin puolueisiin;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88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88 e.</w:t>
            </w:r>
            <w:r>
              <w:tab/>
            </w:r>
            <w:r>
              <w:rPr>
                <w:b/>
                <w:i/>
              </w:rPr>
              <w:t>on pettynyt siihen, että yksi Life-ohjelmasta myönnettävän rahoituksen tukikelpoisuuskriteereistä on se, että yhteisön on toimittava EU:n tasolla siten, että sen rakenne ja toiminta kattavat vähintään kolme EU:n jäsenvaltiota tai Life-ohjelmaan assosioitunutta maata;</w:t>
            </w:r>
            <w:r>
              <w:t xml:space="preserve"> </w:t>
            </w:r>
            <w:r>
              <w:rPr>
                <w:b/>
                <w:i/>
              </w:rPr>
              <w:t>korostaa, että tämä rajoittaa ja voi sulkea pois muutoin erittäin päteviä paikallisia yhteisöjä, jotka toimivat vain yhdessä tai kahdessa Euroopan maassa mutta joiden hankkeilla olisi kuitenkin eurooppalaista lisäarvoa;</w:t>
            </w:r>
            <w:r>
              <w:t xml:space="preserve"> </w:t>
            </w:r>
            <w:r>
              <w:rPr>
                <w:b/>
                <w:i/>
              </w:rPr>
              <w:t>panee merkille, että tällainen vaatimus ei sisälly Life-asetukseen, vaan kyseinen vaatimus on mukana avustussopimuksia koskevassa ehdotuspyynnössä;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88 f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88 f.</w:t>
            </w:r>
            <w:r>
              <w:tab/>
            </w:r>
            <w:r>
              <w:rPr>
                <w:b/>
                <w:i/>
              </w:rPr>
              <w:t>panee merkille, että CINEAn ja ympäristöasioiden pääosaston välillä on yhteisymmärryspöytäkirja ja että molemmat ovat viime kädessä vastuussa sopimusten sisällöstä;</w:t>
            </w:r>
            <w:r>
              <w:t xml:space="preserve"> </w:t>
            </w:r>
            <w:r>
              <w:rPr>
                <w:b/>
                <w:i/>
              </w:rPr>
              <w:t>panee merkille, että yhteisymmärryspöytäkirja on joiltakin osin epäselvä ja että se voitaisiin kirjoittaa uudelleen siten, että se sisältäisi selkeämmän vastuunjaon;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88 g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88 g.</w:t>
            </w:r>
            <w:r>
              <w:tab/>
            </w:r>
            <w:r>
              <w:rPr>
                <w:b/>
                <w:i/>
              </w:rPr>
              <w:t>panee merkille, että CINEAn vuoden 2022 työohjelman osion ”A. Henkilöstöresurssien hallinta, palvelukseen ottaminen” mukaan CINEA tarjoaa osastoille, henkilöstölle ja hakijoille rekrytointi- ja valintapalveluja, jotka ovat innovatiivisia, reagoivia, oikeudenmukaisia ja johdonmukaisia;</w:t>
            </w:r>
            <w:r>
              <w:t xml:space="preserve"> </w:t>
            </w:r>
            <w:r>
              <w:rPr>
                <w:b/>
                <w:i/>
              </w:rPr>
              <w:t>pitää valitettavana, että tällainen oikeudenmukainen ja johdonmukainen valintapalvelu ei toteutunut niiden tehtäväkokonaisuuksien hyväksymisessä, joiden CONT-valiokunta havaitsi sisältävän vakavia ongelmia, jotka muodostavat vakavan riskin EU:n taloudellisten etujen suojaamiselle;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89.</w:t>
            </w:r>
            <w:r>
              <w:tab/>
            </w:r>
            <w:r>
              <w:rPr>
                <w:b/>
                <w:i/>
              </w:rPr>
              <w:t>ilmaisee huolensa päätöksentekorakenteesta, jossa CINEAn sisällä toimiva arviointilautakunta päättää komission ja kansalaisjärjestöjen välisistä sopimuksista;</w:t>
            </w:r>
            <w:r>
              <w:t xml:space="preserve"> </w:t>
            </w:r>
            <w:r>
              <w:rPr>
                <w:b/>
                <w:i/>
              </w:rPr>
              <w:t>kehottaa komissiota muuttamaan CINEAn päätöksentekorakennetta, jossa päätetään tehtävistä sopimuksista, ja sisällyttämään siihen selkeän vastuuvelvollisuuden, selkeät vastuualueet ja käytännönläheisen rakenteen;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Gerben-Jan Gerbrandy,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89.</w:t>
            </w:r>
            <w:r>
              <w:tab/>
            </w:r>
            <w:r>
              <w:rPr>
                <w:b/>
                <w:i/>
              </w:rPr>
              <w:t>ilmaisee huolensa päätöksentekorakenteesta, jossa CINEAn sisällä toimiva arviointilautakunta päättää komission ja kansalaisjärjestöjen välisistä sopimuksista;</w:t>
            </w:r>
            <w:r>
              <w:t xml:space="preserve"> </w:t>
            </w:r>
            <w:r>
              <w:rPr>
                <w:b/>
                <w:i/>
              </w:rPr>
              <w:t>kehottaa komissiota muuttamaan CINEAn päätöksentekorakennetta, jossa päätetään tehtävistä sopimuksista, ja sisällyttämään siihen selkeän vastuuvelvollisuuden, selkeät vastuualueet ja käytännönläheisen rakenteen;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José Cepeda, Carla Tavares,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89.</w:t>
            </w:r>
            <w:r>
              <w:tab/>
            </w:r>
            <w:r>
              <w:rPr>
                <w:b/>
                <w:i/>
              </w:rPr>
              <w:t>ilmaisee huolensa päätöksentekorakenteesta, jossa CINEAn sisällä toimiva arviointilautakunta päättää komission ja kansalaisjärjestöjen välisistä sopimuksista;</w:t>
            </w:r>
            <w:r>
              <w:t xml:space="preserve"> </w:t>
            </w:r>
            <w:r>
              <w:rPr>
                <w:b/>
                <w:i/>
              </w:rPr>
              <w:t>kehottaa komissiota muuttamaan CINEAn päätöksentekorakennetta, jossa päätetään tehtävistä sopimuksista, ja sisällyttämään siihen selkeän vastuuvelvollisuuden, selkeät vastuualueet ja käytännönläheisen rakenteen;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89.</w:t>
            </w:r>
            <w:r>
              <w:tab/>
            </w:r>
            <w:r>
              <w:rPr>
                <w:b/>
                <w:i/>
              </w:rPr>
              <w:t>ilmaisee huolensa päätöksentekorakenteesta, jossa CINEAn sisällä toimiva arviointilautakunta päättää komission ja kansalaisjärjestöjen välisistä sopimuksista;</w:t>
            </w:r>
            <w:r>
              <w:t xml:space="preserve"> </w:t>
            </w:r>
            <w:r>
              <w:rPr>
                <w:b/>
                <w:i/>
              </w:rPr>
              <w:t>kehottaa komissiota muuttamaan CINEAn päätöksentekorakennetta, jossa päätetään tehtävistä sopimuksista, ja sisällyttämään siihen selkeän vastuuvelvollisuuden, selkeät vastuualueet ja käytännönläheisen rakenteen;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rPr>
                <w:b/>
                <w:i/>
              </w:rPr>
              <w:t>ilmaisee huolensa päätöksentekorakenteesta</w:t>
            </w:r>
            <w:r>
              <w:t xml:space="preserve">, jossa CINEAn sisällä toimiva arviointilautakunta päättää komission ja kansalaisjärjestöjen välisistä sopimuksista; kehottaa komissiota </w:t>
            </w:r>
            <w:r>
              <w:rPr>
                <w:b/>
                <w:i/>
              </w:rPr>
              <w:t>muuttamaan</w:t>
            </w:r>
            <w:r>
              <w:t xml:space="preserve"> CINEAn </w:t>
            </w:r>
            <w:r>
              <w:rPr>
                <w:b/>
                <w:i/>
              </w:rPr>
              <w:t>päätöksentekorakennetta</w:t>
            </w:r>
            <w:r>
              <w:t xml:space="preserve">, jossa päätetään tehtävistä sopimuksista, </w:t>
            </w:r>
            <w:r>
              <w:rPr>
                <w:b/>
                <w:i/>
              </w:rPr>
              <w:t>ja sisällyttämään siihen selkeän vastuuvelvollisuuden</w:t>
            </w:r>
            <w:r>
              <w:t xml:space="preserve">, selkeät vastuualueet ja </w:t>
            </w:r>
            <w:r>
              <w:rPr>
                <w:b/>
                <w:i/>
              </w:rPr>
              <w:t>käytännönläheisen rakenteen</w:t>
            </w:r>
            <w:r>
              <w:t>;</w:t>
            </w:r>
          </w:p>
        </w:tc>
        <w:tc>
          <w:tcPr>
            <w:tcW w:w="4876" w:type="dxa"/>
            <w:tcBorders>
              <w:top w:val="nil"/>
              <w:left w:val="nil"/>
              <w:bottom w:val="nil"/>
              <w:right w:val="nil"/>
            </w:tcBorders>
          </w:tcPr>
          <w:p>
            <w:pPr>
              <w:pStyle w:val="Normal6a"/>
            </w:pPr>
            <w:r>
              <w:t>89.</w:t>
            </w:r>
            <w:r>
              <w:tab/>
            </w:r>
            <w:r>
              <w:rPr>
                <w:b/>
                <w:i/>
              </w:rPr>
              <w:t>panee merkille päätöksentekorakenteen</w:t>
            </w:r>
            <w:r>
              <w:t xml:space="preserve">, jossa CINEAn sisällä toimiva arviointilautakunta päättää komission ja kansalaisjärjestöjen välisistä sopimuksista; kehottaa komissiota </w:t>
            </w:r>
            <w:r>
              <w:rPr>
                <w:b/>
                <w:i/>
              </w:rPr>
              <w:t>varmistamaan, että</w:t>
            </w:r>
            <w:r>
              <w:t xml:space="preserve"> CINEAn </w:t>
            </w:r>
            <w:r>
              <w:rPr>
                <w:b/>
                <w:i/>
              </w:rPr>
              <w:t>päätöksentekorakenteeseen</w:t>
            </w:r>
            <w:r>
              <w:t xml:space="preserve">, jossa päätetään tehtävistä sopimuksista, </w:t>
            </w:r>
            <w:r>
              <w:rPr>
                <w:b/>
                <w:i/>
              </w:rPr>
              <w:t>sisältyvät selkeä vastuuvelvollisuus</w:t>
            </w:r>
            <w:r>
              <w:t xml:space="preserve">, selkeät vastuualueet ja </w:t>
            </w:r>
            <w:r>
              <w:rPr>
                <w:b/>
                <w:i/>
              </w:rPr>
              <w:t>käytännönläheinen rakenne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90.</w:t>
            </w:r>
            <w:r>
              <w:tab/>
            </w:r>
            <w:r>
              <w:rPr>
                <w:b/>
                <w:i/>
              </w:rPr>
              <w:t>ilmaisee syvän huolensa siitä, ettei ympäristöasioiden pääosaston (ENV) ja joidenkin kansalaisjärjestöjen välisten ongelmallisten sopimusten sisältöä havaittu ENV-pääosaston sisäisen tarkastuksen yksikössä eikä myöskään komission sisäinen tarkastus (IAS) huomannut sitä;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Gerben-Jan Gerbrandy,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90.</w:t>
            </w:r>
            <w:r>
              <w:tab/>
            </w:r>
            <w:r>
              <w:rPr>
                <w:b/>
                <w:i/>
              </w:rPr>
              <w:t>ilmaisee syvän huolensa siitä, ettei ympäristöasioiden pääosaston (ENV) ja joidenkin kansalaisjärjestöjen välisten ongelmallisten sopimusten sisältöä havaittu ENV-pääosaston sisäisen tarkastuksen yksikössä eikä myöskään komission sisäinen tarkastus (IAS) huomannut sitä;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90.</w:t>
            </w:r>
            <w:r>
              <w:tab/>
            </w:r>
            <w:r>
              <w:rPr>
                <w:b/>
                <w:i/>
              </w:rPr>
              <w:t>ilmaisee syvän huolensa siitä, ettei ympäristöasioiden pääosaston (ENV) ja joidenkin kansalaisjärjestöjen välisten ongelmallisten sopimusten sisältöä havaittu ENV-pääosaston sisäisen tarkastuksen yksikössä eikä myöskään komission sisäinen tarkastus (IAS) huomannut sitä;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José Cepeda, Carla Tavares,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90.</w:t>
            </w:r>
            <w:r>
              <w:tab/>
            </w:r>
            <w:r>
              <w:rPr>
                <w:b/>
                <w:i/>
              </w:rPr>
              <w:t>ilmaisee syvän huolensa siitä, ettei ympäristöasioiden pääosaston (ENV) ja joidenkin kansalaisjärjestöjen välisten ongelmallisten sopimusten sisältöä havaittu ENV-pääosaston sisäisen tarkastuksen yksikössä eikä myöskään komission sisäinen tarkastus (IAS) huomannut sitä;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90.</w:t>
            </w:r>
            <w:r>
              <w:tab/>
            </w:r>
            <w:r>
              <w:t>ilmaisee syvän huolensa siitä, ettei ympäristöasioiden pääosaston (ENV) ja joidenkin kansalaisjärjestöjen välisten ongelmallisten sopimusten sisältöä havaittu ENV-pääosaston sisäisen tarkastuksen yksikössä eikä myöskään komission sisäinen tarkastus (IAS) huomannut sitä;</w:t>
            </w:r>
          </w:p>
        </w:tc>
        <w:tc>
          <w:tcPr>
            <w:tcW w:w="4876" w:type="dxa"/>
            <w:tcBorders>
              <w:top w:val="nil"/>
              <w:left w:val="nil"/>
              <w:bottom w:val="nil"/>
              <w:right w:val="nil"/>
            </w:tcBorders>
          </w:tcPr>
          <w:p>
            <w:pPr>
              <w:pStyle w:val="Normal6a"/>
            </w:pPr>
            <w:r>
              <w:t>90.</w:t>
            </w:r>
            <w:r>
              <w:tab/>
            </w:r>
            <w:r>
              <w:t xml:space="preserve">ilmaisee syvän huolensa siitä, ettei ympäristöasioiden pääosaston (ENV) ja joidenkin kansalaisjärjestöjen välisten ongelmallisten sopimusten sisältöä havaittu ENV-pääosaston sisäisen tarkastuksen yksikössä eikä myöskään komission sisäinen tarkastus (IAS) huomannut sitä; </w:t>
            </w:r>
            <w:r>
              <w:rPr>
                <w:b/>
                <w:i/>
              </w:rPr>
              <w:t>kehottaa komissiota tutkimaan tätä puutetta ja analysoimaan sen syitä sekä toteuttamaan kiireellisesti korjaavia toimenpiteitä sekä ottamaan käyttöön tehokkaita ja riippumattomia tarkastustoimia;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 a.</w:t>
            </w:r>
            <w:r>
              <w:tab/>
            </w:r>
            <w:r>
              <w:rPr>
                <w:b/>
                <w:i/>
              </w:rPr>
              <w:t>panee merkille, että talousarvio- ja varainhallintoa koskevan selvityksen mukaan CINEAn hallinnollinen talousarvio oli 62 345 000 euroa vuonna 2023 ja että Life-ohjelman toimintatukea koskeva budjettikohta oli 14 452 238 euroa (14 429 395 euroa yleisestä talousarviosta ja 22 843 euroa ETA:n/EFTA:n rahoitusosuuksista);</w:t>
            </w:r>
            <w:r>
              <w:t xml:space="preserve"> </w:t>
            </w:r>
            <w:r>
              <w:rPr>
                <w:b/>
                <w:i/>
              </w:rPr>
              <w:t>panee lisäksi merkille, että CINEA käytti 620 000 euroa kaikkia seitsemää ohjelmaansa koskeviin tarkastuksiin, nimittäin</w:t>
            </w:r>
            <w:r>
              <w:t xml:space="preserve"> </w:t>
            </w:r>
            <w:r>
              <w:rPr>
                <w:b/>
                <w:i/>
              </w:rPr>
              <w:t>Verkkojen Eurooppa (CEF), Horisontti Eurooppa, Life-ohjelma, innovaatiorahasto, oikeudenmukaisen siirtymän mekanismi, uusiutuvan energian rahoitusmekanismi, Euroopan meri-, kalatalous- ja vesiviljelyrahasto;</w:t>
            </w:r>
            <w:r>
              <w:t xml:space="preserve"> </w:t>
            </w:r>
            <w:r>
              <w:rPr>
                <w:b/>
                <w:i/>
              </w:rPr>
              <w:t>toteaa, että ei tiedetä, kuinka paljon tästä määrästä käytettiin Life-ohjelmaa koskeviin tarkastuksiin;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 a.</w:t>
            </w:r>
            <w:r>
              <w:tab/>
            </w:r>
            <w:r>
              <w:rPr>
                <w:b/>
                <w:i/>
              </w:rPr>
              <w:t>panee myös merkille, että ENV-pääosaston tarkastusyksikkö ja komission sisäisen tarkastuksen yksikkö eivät huomanneet kyseisten tehtäväkokonaisuuksien epäasianmukaista sisältöä;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90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 c.</w:t>
            </w:r>
            <w:r>
              <w:tab/>
            </w:r>
            <w:r>
              <w:rPr>
                <w:b/>
                <w:i/>
              </w:rPr>
              <w:t>panee merkille, että 18. maaliskuuta 2022 annetulla komission päätöksellä C(2022) 1551 hyväksytyn CINEAn vuoden 2022 työohjelman mukaan CINEA toteuttaa vuosittain alhaalta ylöspäin suuntautuvia riskinhallintatoimia, joiden tarkoituksena on määrittää ennakoivasti tärkeimmät huolenaiheet kaikilla organisaatiotasoilla sekä niihin liittyvät ennaltaehkäisevät ja lieventävät toimenpiteet;</w:t>
            </w:r>
            <w:r>
              <w:t xml:space="preserve"> </w:t>
            </w:r>
            <w:r>
              <w:rPr>
                <w:b/>
                <w:i/>
              </w:rPr>
              <w:t>pitää valitettavana, että näillä alhaalta ylöspäin suuntautuvilla riskienhallintatoimilla ei onnistuttu havaitsemaan ongelmia, joita päätöksentekorakenteissa oli sopimusten sisällöstä päättämisen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90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 d.</w:t>
            </w:r>
            <w:r>
              <w:tab/>
            </w:r>
            <w:r>
              <w:rPr>
                <w:b/>
                <w:i/>
              </w:rPr>
              <w:t>panee merkille, että komissio on tehnyt ehdotuksen Life-ohjelman monivuotiseksi työohjelmaksi vuosiksi 2025–2027 ja että sen laatimisessa ei ole hyödynnetty saatuja kokemuksia, esimerkiksi sisällyttämällä siihen selkeämmät säännöt, joiden perusteella tehtäväkokonaisuuksien sisältö voidaan hyväksyä, selkeämmät säännöt varojen käytön avoimuudesta ja jäljitettävyydestä sekä selkeämmät seuraukset näiden sääntöjen noudattamatta jättämisestä; korostaa, että ENVI-valiokunnan tätä täytäntöönpanopäätöstä koskeva valvontamenettely tarjoaa komissiolle mahdollisuuden kuulla Euroopan parlamentin ehdotuksia ja muuttaa Life-ohjelman monivuotista työohjelmaa;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90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 e.</w:t>
            </w:r>
            <w:r>
              <w:tab/>
            </w:r>
            <w:r>
              <w:rPr>
                <w:b/>
                <w:i/>
              </w:rPr>
              <w:t>korostaa, että talousarvion valvontavaliokunta tarkastelee ja tutkii otosta sopimuksista, joita on tehty HOME-, JUST- ja AGRI-pääosastoissa ja muissa pääosastoissa, selvittääkseen, onko epäasianmukaisen sisällön ongelma systeeminen kaikissa komission pääosastoissa vai koskeeko se ainoastaan ENV-pääosaston/CINEAn Life-ohjelmaa;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90 f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 f.</w:t>
            </w:r>
            <w:r>
              <w:tab/>
            </w:r>
            <w:r>
              <w:rPr>
                <w:b/>
                <w:i/>
              </w:rPr>
              <w:t>korostaa, että talousarvion valvontavaliokunta odottaa edelleen kuulevansa hallintoneuvoston analyysin tuloksista;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90 g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 g.</w:t>
            </w:r>
            <w:r>
              <w:tab/>
            </w:r>
            <w:r>
              <w:rPr>
                <w:b/>
                <w:i/>
              </w:rPr>
              <w:t>korostaa, että 21. marraskuuta 2018 annetun komission päätöksen 2 artiklan "Hallintoneuvoston rooli" mukaisesti hallintoneuvoston tehtävänä on käsitellä riskejä yleisesti (1.</w:t>
            </w:r>
            <w:r>
              <w:t xml:space="preserve"> </w:t>
            </w:r>
            <w:r>
              <w:rPr>
                <w:b/>
                <w:i/>
              </w:rPr>
              <w:t>Hallintoneuvosto huolehtii erityisesti koordinoinnista, valvonnasta, neuvonnasta ja strategisten suuntaviivojen antamisesta asioissa, jotka liittyvät</w:t>
            </w:r>
            <w:r>
              <w:t xml:space="preserve"> </w:t>
            </w:r>
            <w:r>
              <w:rPr>
                <w:b/>
                <w:i/>
              </w:rPr>
              <w:t>strategisen suunnittelun ja ohjelmoinnin kierrokseen ja siihen liittyviin toimiin (mukaan lukien vuotuisissa toimintakertomuksissa esitettyjen varaumien seuranta, riskinhallintaprosessi yleensä sekä erityisesti kriittisten riskien tunnistaminen, arviointi ja hallinta)) sekä huolehtia riskeihin liittyvistä tarkastuksista, niin kuin todetaan 6 artiklassa "Tietojenvaihto sisäisen tarkastuksen seurantakomitean kanssa" (1. Hallintoneuvosto toimittaa sisäisen tarkastuksen yksikölle konsolidoituja tietoja kriittisten riskien luettelosta sekä mahdolliset lisähuomautukset);</w:t>
            </w:r>
            <w:r>
              <w:t xml:space="preserve"> </w:t>
            </w:r>
            <w:r>
              <w:rPr>
                <w:b/>
                <w:i/>
              </w:rPr>
              <w:t>kehottaa hallintoneuvostoa ryhtymään lisätoimiin;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panee merkille tiedotusvälineissä esiintyneet tiedot, joiden mukaan komission puheenjohtaja olisi palkannut EU:n talouden tulevaisuudesta käytävää strategista vuoropuhelua käsittelevän kertomuksen laatijaksi erityisneuvonantajan, joka sai samansuuruista palkkaa kuin komission pääjohtaja; on huolissaan erityisneuvonantajien palkkioista sekä siitä, että komissiolla on harkintavalta päättää heidän palkkioistaan, mikä synnyttää mielivaltaista eriarvoisuutta;</w:t>
            </w:r>
          </w:p>
        </w:tc>
        <w:tc>
          <w:tcPr>
            <w:tcW w:w="4876" w:type="dxa"/>
            <w:tcBorders>
              <w:top w:val="nil"/>
              <w:left w:val="nil"/>
              <w:bottom w:val="nil"/>
              <w:right w:val="nil"/>
            </w:tcBorders>
          </w:tcPr>
          <w:p>
            <w:pPr>
              <w:pStyle w:val="Normal6a"/>
            </w:pPr>
            <w:r>
              <w:t>91.</w:t>
            </w:r>
            <w:r>
              <w:tab/>
            </w:r>
            <w:r>
              <w:t xml:space="preserve">panee merkille tiedotusvälineissä esiintyneet tiedot, joiden mukaan komission puheenjohtaja olisi palkannut EU:n talouden tulevaisuudesta käytävää strategista vuoropuhelua käsittelevän kertomuksen laatijaksi erityisneuvonantajan, joka sai samansuuruista palkkaa kuin komission pääjohtaja; on huolissaan </w:t>
            </w:r>
            <w:r>
              <w:rPr>
                <w:b/>
                <w:i/>
              </w:rPr>
              <w:t>kaikkien</w:t>
            </w:r>
            <w:r>
              <w:t xml:space="preserve"> erityisneuvonantajien palkkioista sekä siitä, että komissiolla on harkintavalta päättää heidän palkkioistaan, mikä synnyttää mielivaltaista eriarvoisuutta;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91 a.</w:t>
            </w:r>
            <w:r>
              <w:tab/>
            </w:r>
            <w:r>
              <w:rPr>
                <w:b/>
                <w:i/>
              </w:rPr>
              <w:t>on huolissaan tiedotusvälineiden uutisoinnista kymmenistä tapauksista, joissa EPPO tutkii EU:n maatalousvarojen vilpillistä osoittamista Kreikassa sijaiseville laitumille, jotka eivät ole varojen saajien omistuksessa;</w:t>
            </w:r>
            <w:r>
              <w:t xml:space="preserve"> </w:t>
            </w:r>
            <w:r>
              <w:rPr>
                <w:b/>
                <w:i/>
              </w:rPr>
              <w:t>on huolissaan siitä, että sääntöjenvastaisuuksiin ensimmäisenä huomiota kiinnittänyttä henkilöä, nimittäin sisäisen tarkastuksen yksikön päällikköä Kreikan maatalousvarojen keskittämistä hallinnoivassa viranomaisessa (OPEKEPE), on pyritty mustamaalaamaan, mikä on johtanut hänen erottamiseensa virasta;</w:t>
            </w:r>
            <w:r>
              <w:t xml:space="preserve"> </w:t>
            </w:r>
            <w:r>
              <w:rPr>
                <w:b/>
                <w:i/>
              </w:rPr>
              <w:t>on erityisen huolissaan väitteestä, jonka mukaan vilpillinen järjestely organisoitiin OPEKEPEn sisältä käsin;</w:t>
            </w:r>
            <w:r>
              <w:t xml:space="preserve"> </w:t>
            </w:r>
            <w:r>
              <w:rPr>
                <w:b/>
                <w:i/>
              </w:rPr>
              <w:t>pyytää komissiota seuraamaan tarkasti tällaista vilpillistä toimintaa Kreikassa ja tarkistamaan, tapahtuuko vastaavaa toimintaa muissa jäsenvaltioissa;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91 a.</w:t>
            </w:r>
            <w:r>
              <w:tab/>
            </w:r>
            <w:r>
              <w:rPr>
                <w:b/>
                <w:i/>
              </w:rPr>
              <w:t>kehottaa tilintarkastustuomioistuinta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tarkastelemaan yksityiskohtaisesti CINEAn ja Life-ohjelman toimintaa;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 xml:space="preserve">hyödyntämään tulevissa toimintapoliittisissa aloitteissaan kokemuksia, joita se sai hallinnollisen taakan vähentämisestä viljelijöiden mielenosoituksiin liittyneissä toimissaan, ja ottamaan asianmukaisesti huomioon varojen väärinkäytön riskin </w:t>
            </w:r>
            <w:r>
              <w:rPr>
                <w:b/>
                <w:i/>
              </w:rPr>
              <w:t>valvontatoimenpiteiden yhteydessä</w:t>
            </w:r>
            <w:r>
              <w:t xml:space="preserve"> tai riskin liian suurista eroista jäsenvaltioiden välillä silloin, kun harkintavaltaa käytetään ilman asianmukaista valvontaa;</w:t>
            </w:r>
          </w:p>
        </w:tc>
        <w:tc>
          <w:tcPr>
            <w:tcW w:w="4876" w:type="dxa"/>
            <w:tcBorders>
              <w:top w:val="nil"/>
              <w:left w:val="nil"/>
              <w:bottom w:val="nil"/>
              <w:right w:val="nil"/>
            </w:tcBorders>
          </w:tcPr>
          <w:p>
            <w:pPr>
              <w:pStyle w:val="Normal6a"/>
            </w:pPr>
            <w:r>
              <w:t>iii)</w:t>
            </w:r>
            <w:r>
              <w:tab/>
            </w:r>
            <w:r>
              <w:t xml:space="preserve">hyödyntämään tulevissa toimintapoliittisissa aloitteissaan kokemuksia, joita se sai hallinnollisen taakan vähentämisestä </w:t>
            </w:r>
            <w:r>
              <w:rPr>
                <w:b/>
                <w:i/>
              </w:rPr>
              <w:t>sekä ilmastoon, ympäristöön ja maatalouteen liittyvien tavoitteidensa vähentämisestä</w:t>
            </w:r>
            <w:r>
              <w:t xml:space="preserve"> viljelijöiden mielenosoituksiin liittyneissä toimissaan, ja ottamaan asianmukaisesti huomioon varojen väärinkäytön riskin </w:t>
            </w:r>
            <w:r>
              <w:rPr>
                <w:b/>
                <w:i/>
              </w:rPr>
              <w:t>silloin, kun valvontatoimenpiteitä on heikennetty tai vähennetty,</w:t>
            </w:r>
            <w:r>
              <w:t xml:space="preserve"> tai riskin liian suurista eroista jäsenvaltioiden välillä </w:t>
            </w:r>
            <w:r>
              <w:rPr>
                <w:b/>
                <w:i/>
              </w:rPr>
              <w:t>ja kunnianhimon puutteesta etenkin julkishyödykkeiden tarjoamisessa ja ylläpitämisessä</w:t>
            </w:r>
            <w:r>
              <w:t xml:space="preserve"> silloin, kun harkintavaltaa käytetään ilman asianmukaista valvontaa;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a)</w:t>
            </w:r>
            <w:r>
              <w:tab/>
            </w:r>
            <w:r>
              <w:rPr>
                <w:b/>
                <w:i/>
              </w:rPr>
              <w:t>laatimaan komission tasolla selkeän ja kattavan strategian siitä, miten EU:n taloudellisia etuja voidaan suojata paremmin ja varmistaa, että EU:n varat käytetään EU:n veronmaksajien kannalta hyväksyttäviin tarkoituksiin;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b)</w:t>
            </w:r>
            <w:r>
              <w:tab/>
            </w:r>
            <w:r>
              <w:rPr>
                <w:b/>
                <w:i/>
              </w:rPr>
              <w:t>osoittamaan ohjelman puitteissa EU:n varoja monenlaisiin näkemyksiin ja näkymiin, jotta voidaan edistää moniarvoista ja elinvoimaista yhteiskuntaa ja edistää kansalaisyhteiskunnan organisaatioiden monimuotoisuutta ja rakentavaa sitoutumista tulevaisuuteen suuntautuvaan yhteiskuntaan, jotta varmistetaan EU:n varojen oikeudenmukainen jakaminen kansalaisjärjestöille;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c)</w:t>
            </w:r>
            <w:r>
              <w:tab/>
            </w:r>
            <w:r>
              <w:rPr>
                <w:b/>
                <w:i/>
              </w:rPr>
              <w:t>määrittämään selkeitä seurauksia sopimuksista, joissa talousarvion valvontavaliokunta on havainnut epäasianmukaisia tehtäväkokonaisuuksia,</w:t>
            </w:r>
            <w:r>
              <w:t xml:space="preserve"> </w:t>
            </w:r>
            <w:r>
              <w:rPr>
                <w:b/>
                <w:i/>
              </w:rPr>
              <w:t>mihin olisi kuuluttava muun muassa</w:t>
            </w:r>
            <w:r>
              <w:t xml:space="preserve"> </w:t>
            </w:r>
            <w:r>
              <w:rPr>
                <w:b/>
                <w:i/>
              </w:rPr>
              <w:t>sopimusten muuttaminen tehtäväkokonaisuuksien epäasianmukaisten osien poistamiseksi,</w:t>
            </w:r>
            <w:r>
              <w:t xml:space="preserve"> </w:t>
            </w:r>
            <w:r>
              <w:rPr>
                <w:b/>
                <w:i/>
              </w:rPr>
              <w:t>sopimusten peruuttaminen kokonaan, jos epäasianmukainen sisältö kattaa yli 20 prosenttia tehtäväkokonaisuuksista,</w:t>
            </w:r>
            <w:r>
              <w:t xml:space="preserve"> </w:t>
            </w:r>
            <w:r>
              <w:rPr>
                <w:b/>
                <w:i/>
              </w:rPr>
              <w:t>ja EU:n varojen takaisinmaksu, kun varoja on käytetty epäasianmukaiseen sisältöön;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 d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d)</w:t>
            </w:r>
            <w:r>
              <w:tab/>
            </w:r>
            <w:r>
              <w:rPr>
                <w:b/>
                <w:i/>
              </w:rPr>
              <w:t>laatimaan selkeämpiä ohjeita kuin komission vuonna 2024 sisäisesti jakamat ohjeet, jotka ovat liian epämääräisiä ja toisinaan hämmentäviä,</w:t>
            </w:r>
            <w:r>
              <w:t xml:space="preserve"> </w:t>
            </w:r>
            <w:r>
              <w:rPr>
                <w:b/>
                <w:i/>
              </w:rPr>
              <w:t>siten, että näissä selkeämmissä ohjeissa olisi oltava tarkat ohjeet siitä, minkälainen sisältö voidaan hyväksyä tehtäväkokonaisuuksiin;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 e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e)</w:t>
            </w:r>
            <w:r>
              <w:tab/>
            </w:r>
            <w:r>
              <w:rPr>
                <w:b/>
                <w:i/>
              </w:rPr>
              <w:t>säilyttämään asemansa vilpittömänä välittäjänä toimielinten 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 f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f)</w:t>
            </w:r>
            <w:r>
              <w:tab/>
            </w:r>
            <w:r>
              <w:rPr>
                <w:b/>
                <w:i/>
              </w:rPr>
              <w:t>edistämään ja pitämään yllä toimeenpano- ja lainsäädäntövallan selkeää jakoa;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 g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g)</w:t>
            </w:r>
            <w:r>
              <w:tab/>
            </w:r>
            <w:r>
              <w:rPr>
                <w:b/>
                <w:i/>
              </w:rPr>
              <w:t>varmistamaan, että EU:n varoja ei käytetä aktivistiverkostojen rahoittamiseen, jotta ne aiheuttaisivat sisäisiä valtataisteluja komissiossa tai EU:n toimielinten välillä, sekä varmistamaan, että varoja ei käytetä lainsäädäntöprosessien manipulointiin;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asettamaan avustussopimusten ja muiden sopimusten seulonnan tulokset vastuuvapauden myöntävän viranomaisen saataville</w:t>
            </w:r>
            <w:r>
              <w:rPr>
                <w:b/>
                <w:i/>
              </w:rPr>
              <w:t>, jotta voidaan arvioida, missä määrin komissio on alttiina maineriskille siksi, että se on tehnyt sopimuksia, joissa edellytetään nimenomaisia toimia vastuuvapauden myöntävän viranomaisen jäseniin kohdistuvaa edunvalvontaa varten,</w:t>
            </w:r>
            <w:r>
              <w:t xml:space="preserve"> ja esittämään IAS:n antaman tarvittavan riippumattoman vakuutuksen luotettavuudestaan;</w:t>
            </w:r>
          </w:p>
        </w:tc>
        <w:tc>
          <w:tcPr>
            <w:tcW w:w="4876" w:type="dxa"/>
            <w:tcBorders>
              <w:top w:val="nil"/>
              <w:left w:val="nil"/>
              <w:bottom w:val="nil"/>
              <w:right w:val="nil"/>
            </w:tcBorders>
          </w:tcPr>
          <w:p>
            <w:pPr>
              <w:pStyle w:val="Normal6a"/>
            </w:pPr>
            <w:r>
              <w:t>vii)</w:t>
            </w:r>
            <w:r>
              <w:tab/>
            </w:r>
            <w:r>
              <w:t>asettamaan avustussopimusten ja muiden sopimusten seulonnan tulokset vastuuvapauden myöntävän viranomaisen saataville ja esittämään IAS:n antaman tarvittavan riippumattoman vakuutuksen luotettavuudestaan;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José Cepeda, Carla Tavares,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 xml:space="preserve">asettamaan avustussopimusten </w:t>
            </w:r>
            <w:r>
              <w:rPr>
                <w:b/>
                <w:i/>
              </w:rPr>
              <w:t>ja muiden sopimusten</w:t>
            </w:r>
            <w:r>
              <w:t xml:space="preserve"> seulonnan tulokset vastuuvapauden myöntävän viranomaisen saataville, jotta voidaan arvioida, missä määrin komissio </w:t>
            </w:r>
            <w:r>
              <w:rPr>
                <w:b/>
                <w:i/>
              </w:rPr>
              <w:t>on</w:t>
            </w:r>
            <w:r>
              <w:t xml:space="preserve"> alttiina maineriskille </w:t>
            </w:r>
            <w:r>
              <w:rPr>
                <w:b/>
                <w:i/>
              </w:rPr>
              <w:t>siksi, että se on tehnyt sopimuksia, joissa edellytetään nimenomaisia toimia vastuuvapauden myöntävän viranomaisen jäseniin kohdistuvaa edunvalvontaa varten, ja esittämään IAS:n antaman tarvittavan riippumattoman vakuutuksen luotettavuudestaan</w:t>
            </w:r>
            <w:r>
              <w:t>;</w:t>
            </w:r>
          </w:p>
        </w:tc>
        <w:tc>
          <w:tcPr>
            <w:tcW w:w="4876" w:type="dxa"/>
            <w:tcBorders>
              <w:top w:val="nil"/>
              <w:left w:val="nil"/>
              <w:bottom w:val="nil"/>
              <w:right w:val="nil"/>
            </w:tcBorders>
          </w:tcPr>
          <w:p>
            <w:pPr>
              <w:pStyle w:val="Normal6a"/>
            </w:pPr>
            <w:r>
              <w:t>vii)</w:t>
            </w:r>
            <w:r>
              <w:tab/>
            </w:r>
            <w:r>
              <w:t xml:space="preserve">asettamaan avustussopimusten seulonnan tulokset vastuuvapauden myöntävän viranomaisen saataville, jotta voidaan arvioida, missä määrin komissio </w:t>
            </w:r>
            <w:r>
              <w:rPr>
                <w:b/>
                <w:i/>
              </w:rPr>
              <w:t>voi olla</w:t>
            </w:r>
            <w:r>
              <w:t xml:space="preserve"> alttiina maineriskille;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 xml:space="preserve">asettamaan avustussopimusten ja muiden sopimusten seulonnan tulokset vastuuvapauden myöntävän viranomaisen saataville, jotta voidaan </w:t>
            </w:r>
            <w:r>
              <w:rPr>
                <w:b/>
                <w:i/>
              </w:rPr>
              <w:t>arvioida, missä määrin komissio on alttiina maineriskille siksi, että se on tehnyt sopimuksia, joissa edellytetään nimenomaisia toimia vastuuvapauden myöntävän viranomaisen jäseniin kohdistuvaa edunvalvontaa varten</w:t>
            </w:r>
            <w:r>
              <w:t>, ja esittämään IAS:n antaman tarvittavan riippumattoman vakuutuksen luotettavuudestaan;</w:t>
            </w:r>
          </w:p>
        </w:tc>
        <w:tc>
          <w:tcPr>
            <w:tcW w:w="4876" w:type="dxa"/>
            <w:tcBorders>
              <w:top w:val="nil"/>
              <w:left w:val="nil"/>
              <w:bottom w:val="nil"/>
              <w:right w:val="nil"/>
            </w:tcBorders>
          </w:tcPr>
          <w:p>
            <w:pPr>
              <w:pStyle w:val="Normal6a"/>
            </w:pPr>
            <w:r>
              <w:t>vii)</w:t>
            </w:r>
            <w:r>
              <w:tab/>
            </w:r>
            <w:r>
              <w:t xml:space="preserve">asettamaan avustussopimusten ja muiden sopimusten seulonnan tulokset vastuuvapauden myöntävän viranomaisen saataville, jotta voidaan </w:t>
            </w:r>
            <w:r>
              <w:rPr>
                <w:b/>
                <w:i/>
              </w:rPr>
              <w:t>tarkistaa, onko olemassa maineriski</w:t>
            </w:r>
            <w:r>
              <w:t>, ja esittämään IAS:n antaman tarvittavan riippumattoman vakuutuksen luotettavuudestaan;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 xml:space="preserve">asettamaan avustussopimusten ja </w:t>
            </w:r>
            <w:r>
              <w:rPr>
                <w:b/>
                <w:i/>
              </w:rPr>
              <w:t>muiden</w:t>
            </w:r>
            <w:r>
              <w:t xml:space="preserve"> sopimusten seulonnan tulokset vastuuvapauden myöntävän viranomaisen saataville, jotta voidaan arvioida, missä määrin komissio on alttiina maineriskille siksi, että se on tehnyt sopimuksia, joissa edellytetään nimenomaisia toimia vastuuvapauden myöntävän viranomaisen jäseniin kohdistuvaa edunvalvontaa varten, ja esittämään IAS:n antaman tarvittavan riippumattoman vakuutuksen luotettavuudestaan;</w:t>
            </w:r>
          </w:p>
        </w:tc>
        <w:tc>
          <w:tcPr>
            <w:tcW w:w="4876" w:type="dxa"/>
            <w:tcBorders>
              <w:top w:val="nil"/>
              <w:left w:val="nil"/>
              <w:bottom w:val="nil"/>
              <w:right w:val="nil"/>
            </w:tcBorders>
          </w:tcPr>
          <w:p>
            <w:pPr>
              <w:pStyle w:val="Normal6a"/>
            </w:pPr>
            <w:r>
              <w:t>vii)</w:t>
            </w:r>
            <w:r>
              <w:tab/>
            </w:r>
            <w:r>
              <w:t xml:space="preserve">asettamaan avustussopimusten ja </w:t>
            </w:r>
            <w:r>
              <w:rPr>
                <w:b/>
                <w:i/>
              </w:rPr>
              <w:t>niiden perusteella tehtyjen</w:t>
            </w:r>
            <w:r>
              <w:t xml:space="preserve"> sopimusten seulonnan tulokset </w:t>
            </w:r>
            <w:r>
              <w:rPr>
                <w:b/>
                <w:i/>
              </w:rPr>
              <w:t>tilintarkastustuomioistuimen ja</w:t>
            </w:r>
            <w:r>
              <w:t xml:space="preserve"> vastuuvapauden myöntävän viranomaisen saataville, jotta voidaan arvioida, missä määrin komissio on alttiina maineriskille </w:t>
            </w:r>
            <w:r>
              <w:rPr>
                <w:b/>
                <w:i/>
              </w:rPr>
              <w:t>tai jopa korruption riskille</w:t>
            </w:r>
            <w:r>
              <w:t xml:space="preserve"> siksi, että se on tehnyt sopimuksia, joissa edellytetään nimenomaisia toimia vastuuvapauden myöntävän viranomaisen jäseniin kohdistuvaa edunvalvontaa varten, ja esittämään IAS:n antaman tarvittavan riippumattoman vakuutuksen luotettavuudestaan;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José Cepeda, Carla Tavares,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välittömästi keskeyttämään tai peruuttamaan unionin varainhoitosääntöjen vastaiset avustussopimukset kansalaisjärjestöjen kanssa ja täydentämään komission ohjeistusta konkreettisilla ehdotuksilla, kuten itse annettavilla ilmoituksilla, jotta vältytään siltä, että EU:n rahoitusta käytetään EU:n toimielimiin kohdistuvaan aktiiviseen edunvalvontaan;</w:t>
            </w:r>
            <w:r>
              <w:t xml:space="preserve"> </w:t>
            </w:r>
            <w:r>
              <w:rPr>
                <w:b/>
                <w:i/>
              </w:rPr>
              <w:t>suhtautuu myönteisesti uuden komission tästä asiasta antamiin ilmoituksiin;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välittömästi keskeyttämään tai peruuttamaan unionin varainhoitosääntöjen vastaiset avustussopimukset kansalaisjärjestöjen kanssa ja täydentämään komission ohjeistusta konkreettisilla ehdotuksilla, kuten itse annettavilla ilmoituksilla, jotta vältytään siltä, että EU:n rahoitusta käytetään EU:n toimielimiin kohdistuvaan aktiiviseen edunvalvontaan;</w:t>
            </w:r>
            <w:r>
              <w:t xml:space="preserve"> </w:t>
            </w:r>
            <w:r>
              <w:rPr>
                <w:b/>
                <w:i/>
              </w:rPr>
              <w:t>suhtautuu myönteisesti uuden komission tästä asiasta antamiin ilmoituksiin;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välittömästi keskeyttämään tai peruuttamaan unionin varainhoitosääntöjen vastaiset avustussopimukset kansalaisjärjestöjen kanssa ja täydentämään komission ohjeistusta konkreettisilla ehdotuksilla, kuten itse annettavilla ilmoituksilla, jotta vältytään siltä, että EU:n rahoitusta käytetään EU:n toimielimiin kohdistuvaan aktiiviseen edunvalvontaan;</w:t>
            </w:r>
            <w:r>
              <w:t xml:space="preserve"> </w:t>
            </w:r>
            <w:r>
              <w:rPr>
                <w:b/>
                <w:i/>
              </w:rPr>
              <w:t>suhtautuu myönteisesti uuden komission tästä asiasta antamiin ilmoituksiin;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välittömästi keskeyttämään tai peruuttamaan unionin varainhoitosääntöjen vastaiset avustussopimukset kansalaisjärjestöjen kanssa ja täydentämään komission ohjeistusta konkreettisilla ehdotuksilla, kuten itse annettavilla ilmoituksilla, jotta vältytään siltä, että EU:n rahoitusta käytetään EU:n toimielimiin kohdistuvaan aktiiviseen edunvalvontaan; suhtautuu myönteisesti uuden komission tästä asiasta antamiin ilmoituksiin;</w:t>
            </w:r>
          </w:p>
        </w:tc>
        <w:tc>
          <w:tcPr>
            <w:tcW w:w="4876" w:type="dxa"/>
            <w:tcBorders>
              <w:top w:val="nil"/>
              <w:left w:val="nil"/>
              <w:bottom w:val="nil"/>
              <w:right w:val="nil"/>
            </w:tcBorders>
          </w:tcPr>
          <w:p>
            <w:pPr>
              <w:pStyle w:val="Normal6a"/>
            </w:pPr>
            <w:r>
              <w:t>viii)</w:t>
            </w:r>
            <w:r>
              <w:tab/>
            </w:r>
            <w:r>
              <w:t xml:space="preserve">välittömästi keskeyttämään tai peruuttamaan unionin varainhoitosääntöjen vastaiset avustussopimukset kansalaisjärjestöjen kanssa ja täydentämään komission ohjeistusta konkreettisilla ehdotuksilla, kuten itse annettavilla ilmoituksilla, jotta vältytään siltä, että EU:n rahoitusta käytetään EU:n toimielimiin kohdistuvaan aktiiviseen edunvalvontaan; </w:t>
            </w:r>
            <w:r>
              <w:rPr>
                <w:b/>
                <w:i/>
              </w:rPr>
              <w:t>toimittamaan kuluvan vuoden kesäkuun 30. päivään mennessä täydelliset tiedot tässä asiassa toteutetuista toimista;</w:t>
            </w:r>
            <w:r>
              <w:t xml:space="preserve"> suhtautuu myönteisesti uuden komission tästä asiasta antamiin ilmoituksiin;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Gerben-Jan Gerbrandy,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rPr>
                <w:b/>
                <w:i/>
              </w:rPr>
              <w:t>välittömästi keskeyttämään tai peruuttamaan unionin varainhoitosääntöjen vastaiset</w:t>
            </w:r>
            <w:r>
              <w:t xml:space="preserve"> avustussopimukset </w:t>
            </w:r>
            <w:r>
              <w:rPr>
                <w:b/>
                <w:i/>
              </w:rPr>
              <w:t>kansalaisjärjestöjen kanssa ja täydentämään komission ohjeistusta konkreettisilla ehdotuksilla, kuten itse annettavilla ilmoituksilla, jotta vältytään siltä, että EU:n rahoitusta käytetään EU:n toimielimiin kohdistuvaan aktiiviseen edunvalvontaan;</w:t>
            </w:r>
            <w:r>
              <w:t xml:space="preserve"> </w:t>
            </w:r>
            <w:r>
              <w:rPr>
                <w:b/>
                <w:i/>
              </w:rPr>
              <w:t>suhtautuu myönteisesti uuden komission tästä asiasta antamiin ilmoituksiin</w:t>
            </w:r>
            <w:r>
              <w:t>;</w:t>
            </w:r>
          </w:p>
        </w:tc>
        <w:tc>
          <w:tcPr>
            <w:tcW w:w="4876" w:type="dxa"/>
            <w:tcBorders>
              <w:top w:val="nil"/>
              <w:left w:val="nil"/>
              <w:bottom w:val="nil"/>
              <w:right w:val="nil"/>
            </w:tcBorders>
          </w:tcPr>
          <w:p>
            <w:pPr>
              <w:pStyle w:val="Normal6a"/>
            </w:pPr>
            <w:r>
              <w:t>viii)</w:t>
            </w:r>
            <w:r>
              <w:tab/>
            </w:r>
            <w:r>
              <w:rPr>
                <w:b/>
                <w:i/>
              </w:rPr>
              <w:t>varmistamaan, että</w:t>
            </w:r>
            <w:r>
              <w:t xml:space="preserve"> avustussopimukset </w:t>
            </w:r>
            <w:r>
              <w:rPr>
                <w:b/>
                <w:i/>
              </w:rPr>
              <w:t>voidaan keskeyttää tai irtisanoa, jos edunsaajat rikkovat unionin varainhoitoa koskevia säännöksiä, ja vahvistamaan komission ohjeistusta EU:n rahoituksen asianmukaisen käytön turvaamiseksi demokraattisten periaatteiden ja avoimuusvaatimusten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 xml:space="preserve">välittömästi keskeyttämään tai peruuttamaan unionin varainhoitosääntöjen vastaiset avustussopimukset kansalaisjärjestöjen kanssa ja täydentämään komission ohjeistusta konkreettisilla ehdotuksilla, kuten itse annettavilla ilmoituksilla, jotta vältytään siltä, että EU:n rahoitusta käytetään EU:n toimielimiin kohdistuvaan aktiiviseen edunvalvontaan; </w:t>
            </w:r>
            <w:r>
              <w:rPr>
                <w:b/>
                <w:i/>
              </w:rPr>
              <w:t>suhtautuu myönteisesti uuden komission tästä asiasta antamiin ilmoituksiin;</w:t>
            </w:r>
          </w:p>
        </w:tc>
        <w:tc>
          <w:tcPr>
            <w:tcW w:w="4876" w:type="dxa"/>
            <w:tcBorders>
              <w:top w:val="nil"/>
              <w:left w:val="nil"/>
              <w:bottom w:val="nil"/>
              <w:right w:val="nil"/>
            </w:tcBorders>
          </w:tcPr>
          <w:p>
            <w:pPr>
              <w:pStyle w:val="Normal6a"/>
            </w:pPr>
            <w:r>
              <w:t>viii)</w:t>
            </w:r>
            <w:r>
              <w:tab/>
            </w:r>
            <w:r>
              <w:t xml:space="preserve">välittömästi keskeyttämään tai peruuttamaan unionin varainhoitosääntöjen vastaiset avustussopimukset kansalaisjärjestöjen </w:t>
            </w:r>
            <w:r>
              <w:rPr>
                <w:b/>
                <w:i/>
              </w:rPr>
              <w:t>ja muiden yhteisöjen</w:t>
            </w:r>
            <w:r>
              <w:t xml:space="preserve"> kanssa ja täydentämään komission ohjeistusta konkreettisilla ehdotuksilla, kuten itse annettavilla ilmoituksilla, jotta vältytään siltä, että EU:n rahoitusta käytetään EU:n toimielimiin kohdistuvaan aktiiviseen edunvalvontaan;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viii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rPr>
                <w:b/>
                <w:i/>
              </w:rPr>
              <w:t>välittömästi</w:t>
            </w:r>
            <w:r>
              <w:t xml:space="preserve"> keskeyttämään tai peruuttamaan </w:t>
            </w:r>
            <w:r>
              <w:rPr>
                <w:b/>
                <w:i/>
              </w:rPr>
              <w:t>unionin varainhoitosääntöjen vastaiset</w:t>
            </w:r>
            <w:r>
              <w:t xml:space="preserve"> avustussopimukset </w:t>
            </w:r>
            <w:r>
              <w:rPr>
                <w:b/>
                <w:i/>
              </w:rPr>
              <w:t>kansalaisjärjestöjen kanssa ja täydentämään komission ohjeistusta konkreettisilla ehdotuksilla, kuten itse annettavilla ilmoituksilla, jotta vältytään siltä</w:t>
            </w:r>
            <w:r>
              <w:t xml:space="preserve">, että EU:n rahoitusta </w:t>
            </w:r>
            <w:r>
              <w:rPr>
                <w:b/>
                <w:i/>
              </w:rPr>
              <w:t>käytetään</w:t>
            </w:r>
            <w:r>
              <w:t xml:space="preserve"> EU:n toimielimiin </w:t>
            </w:r>
            <w:r>
              <w:rPr>
                <w:b/>
                <w:i/>
              </w:rPr>
              <w:t>kohdistuvaan aktiiviseen edunvalvontaan;</w:t>
            </w:r>
            <w:r>
              <w:t xml:space="preserve"> </w:t>
            </w:r>
            <w:r>
              <w:rPr>
                <w:b/>
                <w:i/>
              </w:rPr>
              <w:t>suhtautuu myönteisesti uuden komission tästä asiasta antamiin ilmoituksiin</w:t>
            </w:r>
            <w:r>
              <w:t>;</w:t>
            </w:r>
          </w:p>
        </w:tc>
        <w:tc>
          <w:tcPr>
            <w:tcW w:w="4876" w:type="dxa"/>
            <w:tcBorders>
              <w:top w:val="nil"/>
              <w:left w:val="nil"/>
              <w:bottom w:val="nil"/>
              <w:right w:val="nil"/>
            </w:tcBorders>
          </w:tcPr>
          <w:p>
            <w:pPr>
              <w:pStyle w:val="Normal6a"/>
            </w:pPr>
            <w:r>
              <w:t>viii)</w:t>
            </w:r>
            <w:r>
              <w:tab/>
            </w:r>
            <w:r>
              <w:rPr>
                <w:b/>
                <w:i/>
              </w:rPr>
              <w:t>suhteellisuusperiaatteen mukaisesti</w:t>
            </w:r>
            <w:r>
              <w:t xml:space="preserve"> keskeyttämään tai peruuttamaan </w:t>
            </w:r>
            <w:r>
              <w:rPr>
                <w:b/>
                <w:i/>
              </w:rPr>
              <w:t>edunsaajien kanssa tehdyt</w:t>
            </w:r>
            <w:r>
              <w:t xml:space="preserve"> avustussopimukset</w:t>
            </w:r>
            <w:r>
              <w:rPr>
                <w:b/>
                <w:i/>
              </w:rPr>
              <w:t>, jos komissio havaitsee niiden olevan unionin varainhoitosääntöjen vastaisia, ja täydentämään komission ohjeistusta konkreettisella ehdotuksella, jossa selvennetään</w:t>
            </w:r>
            <w:r>
              <w:t xml:space="preserve">, että EU:n rahoitusta </w:t>
            </w:r>
            <w:r>
              <w:rPr>
                <w:b/>
                <w:i/>
              </w:rPr>
              <w:t>saavat kansalaisjärjestöt saavat harjoittaa</w:t>
            </w:r>
            <w:r>
              <w:t xml:space="preserve"> EU:n toimielimiin </w:t>
            </w:r>
            <w:r>
              <w:rPr>
                <w:b/>
                <w:i/>
              </w:rPr>
              <w:t>kohdistuvaa aktiivista edunvalvontaa</w:t>
            </w:r>
            <w:r>
              <w:rPr>
                <w:b/>
                <w:i/>
                <w:vertAlign w:val="superscript"/>
              </w:rPr>
              <w:t>1 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Civil Society Europe (CSE) ja Transparency International (TI) ovat antaneet panoksensa tarkistukseen.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Gerben-Jan Gerbrandy,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ix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kehittämään edelleen sisäistä ohjeistustaan avustussopimuksista, joihin sisältyy erityistä edunvalvontaa;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José Cepeda, Carla Tavares,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ix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kehittämään edelleen sisäistä ohjeistustaan avustussopimuksista, joihin sisältyy erityistä edunvalvontaa;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ix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ix)</w:t>
            </w:r>
            <w:r>
              <w:tab/>
            </w:r>
            <w:r>
              <w:t>kehittämään edelleen sisäistä ohjeistustaan avustussopimuksista, joihin sisältyy erityistä edunvalvontaa;</w:t>
            </w:r>
          </w:p>
        </w:tc>
        <w:tc>
          <w:tcPr>
            <w:tcW w:w="4876" w:type="dxa"/>
            <w:tcBorders>
              <w:top w:val="nil"/>
              <w:left w:val="nil"/>
              <w:bottom w:val="nil"/>
              <w:right w:val="nil"/>
            </w:tcBorders>
          </w:tcPr>
          <w:p>
            <w:pPr>
              <w:pStyle w:val="Normal6a"/>
            </w:pPr>
            <w:r>
              <w:t>ix)</w:t>
            </w:r>
            <w:r>
              <w:tab/>
            </w:r>
            <w:r>
              <w:t>kehittämään edelleen sisäistä ohjeistustaan avustussopimuksista, joihin sisältyy erityistä edunvalvontaa</w:t>
            </w:r>
            <w:r>
              <w:rPr>
                <w:b/>
                <w:i/>
              </w:rPr>
              <w:t>, ja varmistamaan, että se on täysin SEUT-sopimuksen 15 artiklassa ja SEU-sopimuksen 11 artiklassa määrättyjen velvoitteiden mukainen, erityisesti varmistamalla, että ohjeistus ei voi toimia perustana mielivaltaiselle tai poliittisin perustein tapahtuvalle EU:n rahoituksen keskeyttämiselle</w:t>
            </w:r>
            <w:r>
              <w:rPr>
                <w:b/>
                <w:i/>
                <w:vertAlign w:val="superscript"/>
              </w:rPr>
              <w:t>1 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Civil Society Europe (CSE) ja Transparency International (TI) ovat antaneet panoksensa tarkistukseen.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ix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ix)</w:t>
            </w:r>
            <w:r>
              <w:tab/>
            </w:r>
            <w:r>
              <w:rPr>
                <w:b/>
                <w:i/>
              </w:rPr>
              <w:t>kehittämään edelleen sisäistä</w:t>
            </w:r>
            <w:r>
              <w:t xml:space="preserve"> ohjeistustaan avustussopimuksista</w:t>
            </w:r>
            <w:r>
              <w:rPr>
                <w:b/>
                <w:i/>
              </w:rPr>
              <w:t>, joihin sisältyy erityistä edunvalvontaa</w:t>
            </w:r>
            <w:r>
              <w:t>;</w:t>
            </w:r>
          </w:p>
        </w:tc>
        <w:tc>
          <w:tcPr>
            <w:tcW w:w="4876" w:type="dxa"/>
            <w:tcBorders>
              <w:top w:val="nil"/>
              <w:left w:val="nil"/>
              <w:bottom w:val="nil"/>
              <w:right w:val="nil"/>
            </w:tcBorders>
          </w:tcPr>
          <w:p>
            <w:pPr>
              <w:pStyle w:val="Normal6a"/>
            </w:pPr>
            <w:r>
              <w:t>ix)</w:t>
            </w:r>
            <w:r>
              <w:tab/>
            </w:r>
            <w:r>
              <w:rPr>
                <w:b/>
                <w:i/>
              </w:rPr>
              <w:t>tarkistamaan</w:t>
            </w:r>
            <w:r>
              <w:t xml:space="preserve"> ohjeistustaan avustussopimuksista;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Gerben-Jan Gerbrandy,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tarkistamaan CINEAn ja ENV-pääosaston välistä yhteisymmärryspöytäkirjaa ”Toimielinten väliset kahdesta erästä koostuvat yhteispuitesopimukset tuen tarjoamiseksi Life-hankkeiden seurantaa (hankeavustukset ja toiminta-avustukset), Life-ohjelmaa koskevaa viestintää ja muuta siihen liittyvää toimintaa varten” niin, että siihen sisältyy selkeämpi vastuunjako sopimuksia tehtäessä;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José Cepeda, Carla Tavares,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tarkistamaan CINEAn ja ENV-pääosaston välistä yhteisymmärryspöytäkirjaa ”Toimielinten väliset kahdesta erästä koostuvat yhteispuitesopimukset tuen tarjoamiseksi Life-hankkeiden seurantaa (hankeavustukset ja toiminta-avustukset), Life-ohjelmaa koskevaa viestintää ja muuta siihen liittyvää toimintaa varten” niin, että siihen sisältyy selkeämpi vastuunjako sopimuksia tehtäessä;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tarkistamaan CINEAn ja ENV-pääosaston välistä yhteisymmärryspöytäkirjaa ”Toimielinten väliset kahdesta erästä koostuvat yhteispuitesopimukset tuen tarjoamiseksi Life-hankkeiden seurantaa (hankeavustukset ja toiminta-avustukset), Life-ohjelmaa koskevaa viestintää ja muuta siihen liittyvää toimintaa varten” niin, että siihen sisältyy selkeämpi vastuunjako sopimuksia tehtäessä;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w:t>
            </w:r>
            <w:r>
              <w:tab/>
            </w:r>
            <w:r>
              <w:rPr>
                <w:b/>
                <w:i/>
              </w:rPr>
              <w:t>antamaan tarkastusrakenteen, mukaan lukien ENV-pääosaston A4-yksikkö, tehtäväksi tarkastella järjestelmällisesti kansalaisjärjestöjen ja ENV-pääosaston/CINEAn kanssa tehtyjä sopimuksia ja ilmoittaa ongelmallisista sopimuksista välittömästi;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w:t>
            </w:r>
            <w:r>
              <w:tab/>
            </w:r>
            <w:r>
              <w:rPr>
                <w:b/>
                <w:i/>
              </w:rPr>
              <w:t>antamaan tarkastusrakenteen, mukaan lukien ENV-pääosaston A4-yksikkö, tehtäväksi tarkastella järjestelmällisesti kansalaisjärjestöjen ja ENV-pääosaston/CINEAn kanssa tehtyjä sopimuksia ja ilmoittaa ongelmallisista sopimuksista välittömästi;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José Cepeda, Carla Tavares,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w:t>
            </w:r>
            <w:r>
              <w:tab/>
            </w:r>
            <w:r>
              <w:rPr>
                <w:b/>
                <w:i/>
              </w:rPr>
              <w:t>antamaan tarkastusrakenteen, mukaan lukien ENV-pääosaston A4-yksikkö, tehtäväksi tarkastella järjestelmällisesti kansalaisjärjestöjen ja ENV-pääosaston/CINEAn kanssa tehtyjä sopimuksia ja ilmoittaa ongelmallisista sopimuksista välittömästi;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w:t>
            </w:r>
            <w:r>
              <w:tab/>
            </w:r>
            <w:r>
              <w:rPr>
                <w:b/>
                <w:i/>
              </w:rPr>
              <w:t>antamaan tarkastusrakenteen, mukaan lukien ENV-pääosaston A4-yksikkö, tehtäväksi tarkastella järjestelmällisesti kansalaisjärjestöjen ja ENV-pääosaston/CINEAn kanssa tehtyjä sopimuksia ja ilmoittaa ongelmallisista sopimuksista välittömästi;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w:t>
            </w:r>
            <w:r>
              <w:tab/>
            </w:r>
            <w:r>
              <w:t xml:space="preserve">antamaan tarkastusrakenteen, mukaan lukien ENV-pääosaston A4-yksikkö, tehtäväksi tarkastella järjestelmällisesti </w:t>
            </w:r>
            <w:r>
              <w:rPr>
                <w:b/>
                <w:i/>
              </w:rPr>
              <w:t>kansalaisjärjestöjen</w:t>
            </w:r>
            <w:r>
              <w:t xml:space="preserve"> ja ENV-pääosaston/CINEAn kanssa tehtyjä sopimuksia ja ilmoittaa ongelmallisista sopimuksista välittömästi;</w:t>
            </w:r>
          </w:p>
        </w:tc>
        <w:tc>
          <w:tcPr>
            <w:tcW w:w="4876" w:type="dxa"/>
            <w:tcBorders>
              <w:top w:val="nil"/>
              <w:left w:val="nil"/>
              <w:bottom w:val="nil"/>
              <w:right w:val="nil"/>
            </w:tcBorders>
          </w:tcPr>
          <w:p>
            <w:pPr>
              <w:pStyle w:val="Normal6a"/>
            </w:pPr>
            <w:r>
              <w:t>xi)</w:t>
            </w:r>
            <w:r>
              <w:tab/>
            </w:r>
            <w:r>
              <w:t xml:space="preserve">antamaan tarkastusrakenteen, mukaan lukien ENV-pääosaston A4-yksikkö, tehtäväksi tarkastella järjestelmällisesti </w:t>
            </w:r>
            <w:r>
              <w:rPr>
                <w:b/>
                <w:i/>
              </w:rPr>
              <w:t>kaikkien edunsaajien</w:t>
            </w:r>
            <w:r>
              <w:t xml:space="preserve"> ja ENV-pääosaston/CINEAn kanssa tehtyjä sopimuksia ja ilmoittaa ongelmallisista sopimuksista välittömästi</w:t>
            </w:r>
            <w:r>
              <w:rPr>
                <w:b/>
                <w:i/>
              </w:rPr>
              <w:t>, jos sellaisia havaitaan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w:t>
            </w:r>
            <w:r>
              <w:tab/>
            </w:r>
            <w:r>
              <w:rPr>
                <w:b/>
                <w:i/>
              </w:rPr>
              <w:t>antamaan tarkastusrakenteen</w:t>
            </w:r>
            <w:r>
              <w:t xml:space="preserve">, mukaan lukien ENV-pääosaston A4-yksikkö, </w:t>
            </w:r>
            <w:r>
              <w:rPr>
                <w:b/>
                <w:i/>
              </w:rPr>
              <w:t>tehtäväksi tarkastella</w:t>
            </w:r>
            <w:r>
              <w:t xml:space="preserve"> järjestelmällisesti kansalaisjärjestöjen ja ENV-pääosaston/CINEAn kanssa tehtyjä sopimuksia ja </w:t>
            </w:r>
            <w:r>
              <w:rPr>
                <w:b/>
                <w:i/>
              </w:rPr>
              <w:t>ilmoittaa</w:t>
            </w:r>
            <w:r>
              <w:t xml:space="preserve"> ongelmallisista sopimuksista välittömästi;</w:t>
            </w:r>
          </w:p>
        </w:tc>
        <w:tc>
          <w:tcPr>
            <w:tcW w:w="4876" w:type="dxa"/>
            <w:tcBorders>
              <w:top w:val="nil"/>
              <w:left w:val="nil"/>
              <w:bottom w:val="nil"/>
              <w:right w:val="nil"/>
            </w:tcBorders>
          </w:tcPr>
          <w:p>
            <w:pPr>
              <w:pStyle w:val="Normal6a"/>
            </w:pPr>
            <w:r>
              <w:t>xi)</w:t>
            </w:r>
            <w:r>
              <w:tab/>
            </w:r>
            <w:r>
              <w:rPr>
                <w:b/>
                <w:i/>
              </w:rPr>
              <w:t>ohjeistamaan tarkastusrakennetta</w:t>
            </w:r>
            <w:r>
              <w:t xml:space="preserve">, mukaan lukien ENV-pääosaston A4-yksikkö, </w:t>
            </w:r>
            <w:r>
              <w:rPr>
                <w:b/>
                <w:i/>
              </w:rPr>
              <w:t>tarkastelemaan</w:t>
            </w:r>
            <w:r>
              <w:t xml:space="preserve"> järjestelmällisesti kansalaisjärjestöjen ja ENV-pääosaston/CINEAn kanssa tehtyjä sopimuksia ja </w:t>
            </w:r>
            <w:r>
              <w:rPr>
                <w:b/>
                <w:i/>
              </w:rPr>
              <w:t>ilmoittamaan</w:t>
            </w:r>
            <w:r>
              <w:t xml:space="preserve"> ongelmallisista sopimuksista välittömästi;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antamaan IAS:n tehtäväksi tarkastella järjestelmällisesti komission ja kansalaisjärjestöjen välillä tehtyjä sopimuksia ja varsinkin etsiä tehtäväkokonaisuuksista ongelmallista sisältöä;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Gerben-Jan Gerbrandy,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antamaan IAS:n tehtäväksi tarkastella järjestelmällisesti komission ja kansalaisjärjestöjen välillä tehtyjä sopimuksia ja varsinkin etsiä tehtäväkokonaisuuksista ongelmallista sisältöä;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José Cepeda, Carla Tavares,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antamaan IAS:n tehtäväksi tarkastella järjestelmällisesti komission ja kansalaisjärjestöjen välillä tehtyjä sopimuksia ja varsinkin etsiä tehtäväkokonaisuuksista ongelmallista sisältöä;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antamaan IAS:n tehtäväksi tarkastella järjestelmällisesti komission ja kansalaisjärjestöjen välillä tehtyjä sopimuksia ja varsinkin etsiä tehtäväkokonaisuuksista ongelmallista sisältöä;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xii)</w:t>
            </w:r>
            <w:r>
              <w:tab/>
            </w:r>
            <w:r>
              <w:t xml:space="preserve">antamaan IAS:n tehtäväksi tarkastella järjestelmällisesti komission ja </w:t>
            </w:r>
            <w:r>
              <w:rPr>
                <w:b/>
                <w:i/>
              </w:rPr>
              <w:t>kansalaisjärjestöjen</w:t>
            </w:r>
            <w:r>
              <w:t xml:space="preserve"> välillä tehtyjä sopimuksia ja varsinkin etsiä tehtäväkokonaisuuksista </w:t>
            </w:r>
            <w:r>
              <w:rPr>
                <w:b/>
                <w:i/>
              </w:rPr>
              <w:t>ongelmallista sisältöä</w:t>
            </w:r>
            <w:r>
              <w:t>;</w:t>
            </w:r>
          </w:p>
        </w:tc>
        <w:tc>
          <w:tcPr>
            <w:tcW w:w="4876" w:type="dxa"/>
            <w:tcBorders>
              <w:top w:val="nil"/>
              <w:left w:val="nil"/>
              <w:bottom w:val="nil"/>
              <w:right w:val="nil"/>
            </w:tcBorders>
          </w:tcPr>
          <w:p>
            <w:pPr>
              <w:pStyle w:val="Normal6a"/>
            </w:pPr>
            <w:r>
              <w:t>xii)</w:t>
            </w:r>
            <w:r>
              <w:tab/>
            </w:r>
            <w:r>
              <w:t xml:space="preserve">antamaan IAS:n tehtäväksi tarkastella järjestelmällisesti komission ja </w:t>
            </w:r>
            <w:r>
              <w:rPr>
                <w:b/>
                <w:i/>
              </w:rPr>
              <w:t>avustuksen saajien</w:t>
            </w:r>
            <w:r>
              <w:t xml:space="preserve"> välillä tehtyjä sopimuksia ja varsinkin etsiä tehtäväkokonaisuuksista </w:t>
            </w:r>
            <w:r>
              <w:rPr>
                <w:b/>
                <w:i/>
              </w:rPr>
              <w:t>sisältöä, joka ei ole sovellettavien varainhoitosääntöjen mukaista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xiii)</w:t>
            </w:r>
            <w:r>
              <w:tab/>
            </w:r>
            <w:r>
              <w:rPr>
                <w:b/>
                <w:i/>
              </w:rPr>
              <w:t>toteuttamaan ENV-pääosastossa rakenteellisia ja henkilöstömuutoksia, jotka koskevat erityisesti sopimusten tekemiseen liittyvää päätöksentekorakennetta;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José Cepeda, Carla Tavares,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xiii)</w:t>
            </w:r>
            <w:r>
              <w:tab/>
            </w:r>
            <w:r>
              <w:rPr>
                <w:b/>
                <w:i/>
              </w:rPr>
              <w:t>toteuttamaan ENV-pääosastossa rakenteellisia ja henkilöstömuutoksia, jotka koskevat erityisesti sopimusten tekemiseen liittyvää päätöksentekorakennetta;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xiii)</w:t>
            </w:r>
            <w:r>
              <w:tab/>
            </w:r>
            <w:r>
              <w:rPr>
                <w:b/>
                <w:i/>
              </w:rPr>
              <w:t>toteuttamaan ENV-pääosastossa rakenteellisia ja henkilöstömuutoksia, jotka koskevat erityisesti sopimusten tekemiseen liittyvää päätöksentekorakennetta;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xiii)</w:t>
            </w:r>
            <w:r>
              <w:tab/>
            </w:r>
            <w:r>
              <w:rPr>
                <w:b/>
                <w:i/>
              </w:rPr>
              <w:t>toteuttamaan</w:t>
            </w:r>
            <w:r>
              <w:t xml:space="preserve"> ENV-pääosastossa rakenteellisia ja henkilöstömuutoksia, jotka koskevat erityisesti sopimusten tekemiseen liittyvää päätöksentekorakennetta;</w:t>
            </w:r>
          </w:p>
        </w:tc>
        <w:tc>
          <w:tcPr>
            <w:tcW w:w="4876" w:type="dxa"/>
            <w:tcBorders>
              <w:top w:val="nil"/>
              <w:left w:val="nil"/>
              <w:bottom w:val="nil"/>
              <w:right w:val="nil"/>
            </w:tcBorders>
          </w:tcPr>
          <w:p>
            <w:pPr>
              <w:pStyle w:val="Normal6a"/>
            </w:pPr>
            <w:r>
              <w:t>xiii)</w:t>
            </w:r>
            <w:r>
              <w:tab/>
            </w:r>
            <w:r>
              <w:rPr>
                <w:b/>
                <w:i/>
              </w:rPr>
              <w:t>tutkimaan, onko</w:t>
            </w:r>
            <w:r>
              <w:t xml:space="preserve"> ENV-pääosastossa </w:t>
            </w:r>
            <w:r>
              <w:rPr>
                <w:b/>
                <w:i/>
              </w:rPr>
              <w:t>tarpeen toteuttaa</w:t>
            </w:r>
            <w:r>
              <w:t xml:space="preserve"> rakenteellisia ja henkilöstömuutoksia, jotka koskevat erityisesti sopimusten tekemiseen liittyvää päätöksentekorakennetta;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José Cepeda, Carla Tavares,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xiv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xiv)</w:t>
            </w:r>
            <w:r>
              <w:tab/>
            </w:r>
            <w:r>
              <w:t xml:space="preserve">tarkentamaan varainhoidon avoimuuden järjestelmässä lueteltujen yhteisöjen luokittelua </w:t>
            </w:r>
            <w:r>
              <w:rPr>
                <w:b/>
                <w:i/>
              </w:rPr>
              <w:t>(myös kansalaisjärjestöjen ja voittoa tavoittelemattomien järjestöjen välisen selkeän erottelun kautta)</w:t>
            </w:r>
            <w:r>
              <w:t>;</w:t>
            </w:r>
          </w:p>
        </w:tc>
        <w:tc>
          <w:tcPr>
            <w:tcW w:w="4876" w:type="dxa"/>
            <w:tcBorders>
              <w:top w:val="nil"/>
              <w:left w:val="nil"/>
              <w:bottom w:val="nil"/>
              <w:right w:val="nil"/>
            </w:tcBorders>
          </w:tcPr>
          <w:p>
            <w:pPr>
              <w:pStyle w:val="Normal6a"/>
            </w:pPr>
            <w:r>
              <w:t>xiv)</w:t>
            </w:r>
            <w:r>
              <w:tab/>
            </w:r>
            <w:r>
              <w:t>tarkentamaan varainhoidon avoimuuden järjestelmässä lueteltujen yhteisöjen luokittelua;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Gerben-Jan Gerbrandy,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xiv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xiv)</w:t>
            </w:r>
            <w:r>
              <w:tab/>
            </w:r>
            <w:r>
              <w:t xml:space="preserve">tarkentamaan varainhoidon avoimuuden järjestelmässä lueteltujen yhteisöjen luokittelua </w:t>
            </w:r>
            <w:r>
              <w:rPr>
                <w:b/>
                <w:i/>
              </w:rPr>
              <w:t>(myös kansalaisjärjestöjen ja voittoa tavoittelemattomien järjestöjen välisen selkeän erottelun kautta)</w:t>
            </w:r>
            <w:r>
              <w:t>;</w:t>
            </w:r>
          </w:p>
        </w:tc>
        <w:tc>
          <w:tcPr>
            <w:tcW w:w="4876" w:type="dxa"/>
            <w:tcBorders>
              <w:top w:val="nil"/>
              <w:left w:val="nil"/>
              <w:bottom w:val="nil"/>
              <w:right w:val="nil"/>
            </w:tcBorders>
          </w:tcPr>
          <w:p>
            <w:pPr>
              <w:pStyle w:val="Normal6a"/>
            </w:pPr>
            <w:r>
              <w:t>xiv)</w:t>
            </w:r>
            <w:r>
              <w:tab/>
            </w:r>
            <w:r>
              <w:t>tarkentamaan varainhoidon avoimuuden järjestelmässä lueteltujen yhteisöjen luokittelua;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Pasquale Tridico,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xiv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xiv)</w:t>
            </w:r>
            <w:r>
              <w:tab/>
            </w:r>
            <w:r>
              <w:t xml:space="preserve">tarkentamaan varainhoidon avoimuuden järjestelmässä lueteltujen yhteisöjen luokittelua </w:t>
            </w:r>
            <w:r>
              <w:rPr>
                <w:b/>
                <w:i/>
              </w:rPr>
              <w:t>(myös kansalaisjärjestöjen ja voittoa tavoittelemattomien järjestöjen välisen selkeän erottelun kautta)</w:t>
            </w:r>
            <w:r>
              <w:t>;</w:t>
            </w:r>
          </w:p>
        </w:tc>
        <w:tc>
          <w:tcPr>
            <w:tcW w:w="4876" w:type="dxa"/>
            <w:tcBorders>
              <w:top w:val="nil"/>
              <w:left w:val="nil"/>
              <w:bottom w:val="nil"/>
              <w:right w:val="nil"/>
            </w:tcBorders>
          </w:tcPr>
          <w:p>
            <w:pPr>
              <w:pStyle w:val="Normal6a"/>
            </w:pPr>
            <w:r>
              <w:t>xiv)</w:t>
            </w:r>
            <w:r>
              <w:tab/>
            </w:r>
            <w:r>
              <w:t>tarkentamaan varainhoidon avoimuuden järjestelmässä lueteltujen yhteisöjen luokittelua;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xiv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xiv)</w:t>
            </w:r>
            <w:r>
              <w:tab/>
            </w:r>
            <w:r>
              <w:t xml:space="preserve">tarkentamaan varainhoidon avoimuuden järjestelmässä lueteltujen yhteisöjen luokittelua </w:t>
            </w:r>
            <w:r>
              <w:rPr>
                <w:b/>
                <w:i/>
              </w:rPr>
              <w:t>(myös kansalaisjärjestöjen ja</w:t>
            </w:r>
            <w:r>
              <w:t xml:space="preserve"> voittoa </w:t>
            </w:r>
            <w:r>
              <w:rPr>
                <w:b/>
                <w:i/>
              </w:rPr>
              <w:t>tavoittelemattomien järjestöjen välisen selkeän erottelun kautta)</w:t>
            </w:r>
            <w:r>
              <w:t>;</w:t>
            </w:r>
          </w:p>
        </w:tc>
        <w:tc>
          <w:tcPr>
            <w:tcW w:w="4876" w:type="dxa"/>
            <w:tcBorders>
              <w:top w:val="nil"/>
              <w:left w:val="nil"/>
              <w:bottom w:val="nil"/>
              <w:right w:val="nil"/>
            </w:tcBorders>
          </w:tcPr>
          <w:p>
            <w:pPr>
              <w:pStyle w:val="Normal6a"/>
            </w:pPr>
            <w:r>
              <w:t>xiv)</w:t>
            </w:r>
            <w:r>
              <w:tab/>
            </w:r>
            <w:r>
              <w:t xml:space="preserve">tarkentamaan varainhoidon avoimuuden järjestelmässä lueteltujen yhteisöjen luokittelua </w:t>
            </w:r>
            <w:r>
              <w:rPr>
                <w:b/>
                <w:i/>
              </w:rPr>
              <w:t>erityisesti</w:t>
            </w:r>
            <w:r>
              <w:t xml:space="preserve"> voittoa </w:t>
            </w:r>
            <w:r>
              <w:rPr>
                <w:b/>
                <w:i/>
              </w:rPr>
              <w:t>tavoittelevien ja julkisyhteisöjen</w:t>
            </w:r>
            <w:r>
              <w:rPr>
                <w:b/>
                <w:i/>
                <w:vertAlign w:val="superscript"/>
              </w:rPr>
              <w:t>1 a</w:t>
            </w:r>
            <w:r>
              <w:t xml:space="preserve"> </w:t>
            </w:r>
            <w:r>
              <w:rPr>
                <w:b/>
                <w:i/>
              </w:rPr>
              <w:t>osalta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Civil Society Europe (CSE) ja Transparency International (TI) ovat antaneet panoksensa tarkistukseen;</w:t>
            </w:r>
            <w:r>
              <w:t xml:space="preserve"> </w:t>
            </w:r>
            <w:r>
              <w:rPr>
                <w:b/>
                <w:i/>
              </w:rPr>
              <w:t>varainhoidon avoimuuden järjestelmäluokituksessa on jo erillisinä tietopisteinä sekä kansalaisjärjestöt että voittoa tavoittelemattomat järjestöt.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xv)</w:t>
            </w:r>
            <w:r>
              <w:tab/>
            </w:r>
            <w:r>
              <w:rPr>
                <w:b/>
                <w:i/>
              </w:rPr>
              <w:t>harkitsemaan, että se tarkastelee</w:t>
            </w:r>
            <w:r>
              <w:t xml:space="preserve"> uudelleen erityisneuvonantajia koskevia sääntöjään, jotta voidaan päästä eroon mielivaltaisesta valinnasta ja palkitsemisesta;</w:t>
            </w:r>
          </w:p>
        </w:tc>
        <w:tc>
          <w:tcPr>
            <w:tcW w:w="4876" w:type="dxa"/>
            <w:tcBorders>
              <w:top w:val="nil"/>
              <w:left w:val="nil"/>
              <w:bottom w:val="nil"/>
              <w:right w:val="nil"/>
            </w:tcBorders>
          </w:tcPr>
          <w:p>
            <w:pPr>
              <w:pStyle w:val="Normal6a"/>
            </w:pPr>
            <w:r>
              <w:t>xv)</w:t>
            </w:r>
            <w:r>
              <w:tab/>
            </w:r>
            <w:r>
              <w:rPr>
                <w:b/>
                <w:i/>
              </w:rPr>
              <w:t>tarkastelemaan</w:t>
            </w:r>
            <w:r>
              <w:t xml:space="preserve"> uudelleen erityisneuvonantajia koskevia sääntöjään, jotta voidaan päästä eroon mielivaltaisesta valinnasta ja palkitsemisesta;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a)</w:t>
            </w:r>
            <w:r>
              <w:tab/>
            </w:r>
            <w:r>
              <w:rPr>
                <w:b/>
                <w:i/>
              </w:rPr>
              <w:t>tekemään perusteellisen ja ideologisesti neutraalin analyysin vaikutuksista, joita Euroopan vihreän kehityksen ohjelman oletuksilla maatilojen tuotantokapasiteetista, Euroopan maatalouden kilpailukyvystä ja elintarviketurvasta on, jotta voidaan arvioida näiden oletusten kielteisiä taloudellisia ja sosiaalisia seurauksia;</w:t>
            </w:r>
            <w:r>
              <w:t xml:space="preserve"> </w:t>
            </w:r>
            <w:r>
              <w:rPr>
                <w:b/>
                <w:i/>
              </w:rPr>
              <w:t>parantamaan kaikkien jäsenvaltioiden viljelijöiden kanssa käytävän vuoropuhelun laatua ja luopumaan toimista, jotka vahingoittavat maataloustuottajien etuja ja vähentävät Euroopan unionin tuotantopotentiaalia;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a)</w:t>
            </w:r>
            <w:r>
              <w:tab/>
            </w:r>
            <w:r>
              <w:rPr>
                <w:b/>
                <w:i/>
              </w:rPr>
              <w:t>reagoimaan nopeammin tilanteissa, joissa talousarvion valvontavaliokunta ilmoittaa komissiolle vakavista ongelmista, toisin kuin tapahtui silloin, kun talousarvion valvontavaliokunnan jäsenet havaitsivat ongelmia ENV-pääosaston/CINEAn ja aktivistiverkostojen välisissä sopimuksissa;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b)</w:t>
            </w:r>
            <w:r>
              <w:tab/>
            </w:r>
            <w:r>
              <w:rPr>
                <w:b/>
                <w:i/>
              </w:rPr>
              <w:t>tutkimaan, miksi talousarvion valvontavaliokunnan jäsenten havaitsemissa ENV-pääosaston/CINEAn ja aktivistiverkostojen välisissä ongelmallisissa sopimuksissa lueteltuja toimintoja ei ollut merkitty avoimuusrekisteriin;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c)</w:t>
            </w:r>
            <w:r>
              <w:tab/>
            </w:r>
            <w:r>
              <w:rPr>
                <w:b/>
                <w:i/>
              </w:rPr>
              <w:t>laatimaan raportin, jossa selvitetään, miten EU:n varoja on jaettu aktivistiverkostoille ja kansalaisjärjestöille;</w:t>
            </w:r>
            <w:r>
              <w:t xml:space="preserve"> </w:t>
            </w:r>
            <w:r>
              <w:rPr>
                <w:b/>
                <w:i/>
              </w:rPr>
              <w:t>korostaa, että varainhoitoasetuksen mukaan EU:n varoja voidaan jakaa ainoastaan selkeästi määriteltyjen, todennettavissa olevien ja tarkistettavissa olevien tavoitteiden saavuttamiseksi;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d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d)</w:t>
            </w:r>
            <w:r>
              <w:tab/>
            </w:r>
            <w:r>
              <w:rPr>
                <w:b/>
                <w:i/>
              </w:rPr>
              <w:t>määrittämään selkeämmät vastuualueet perustettaessa liiketoimintaa ja luonnon monimuotoisuutta käsittelevän EU:n foorumin kaltaisia foorumeja, jotta vältetään se, että komission henkilöstö osallistuu Euroopan parlamentin jäseniin kohdistuvaan edunvalvontaan;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e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e)</w:t>
            </w:r>
            <w:r>
              <w:tab/>
            </w:r>
            <w:r>
              <w:rPr>
                <w:b/>
                <w:i/>
              </w:rPr>
              <w:t>ohjeistamaan CINEAa tekemään huolellisen seulonnan riippumattomista arvioijista, jotka tekevät alustavan seulonnan sen tarkistamiseksi, onko varojen hakijoilla eturistiriitoja;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f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f)</w:t>
            </w:r>
            <w:r>
              <w:tab/>
            </w:r>
            <w:r>
              <w:rPr>
                <w:b/>
                <w:i/>
              </w:rPr>
              <w:t>ohjeistamaan ENV-pääosastoa/CINEAa siitä, että ne tarkastavat sopimusten sisällön paremmin prosessin kaikissa vaiheissa, myös hakemusten seulonnan ja sopimusten laatimisen aikana;</w:t>
            </w:r>
            <w:r>
              <w:t xml:space="preserve"> </w:t>
            </w:r>
            <w:r>
              <w:rPr>
                <w:b/>
                <w:i/>
              </w:rPr>
              <w:t>huomauttaa, että ENV-pääosaston/CINEAn sopimuksissa, erityisesti Life-ohjelmassa, havaitut ongelmat jäivät huomaamatta, kunnes CONT-valiokunnan jäsenet havaitsivat ne komission vuoden 2022 vastuuvapausmenettelyn aikana vuonna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g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g)</w:t>
            </w:r>
            <w:r>
              <w:tab/>
            </w:r>
            <w:r>
              <w:rPr>
                <w:b/>
                <w:i/>
              </w:rPr>
              <w:t>kehottamaan ENV-pääosastoa/CINEAa varmistamaan, että hakijoiden ilmoittamat tehtäväkokonaisuudet ja keskeiset tulosindikaattorit vastaavat Euroopan komission ilmoittamia Life-ohjelman tukikelpoisten toimien luokkia, joihin kuuluvat muun muassa</w:t>
            </w:r>
            <w:r>
              <w:t xml:space="preserve"> </w:t>
            </w:r>
            <w:r>
              <w:rPr>
                <w:b/>
                <w:i/>
              </w:rPr>
              <w:t>strategiset luontohankkeet, strategiset integroidut hankkeet, tavanomaiset hankkeet ja hankinnat;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h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h)</w:t>
            </w:r>
            <w:r>
              <w:tab/>
            </w:r>
            <w:r>
              <w:rPr>
                <w:b/>
                <w:i/>
              </w:rPr>
              <w:t>ohjeistamaan hallintoneuvostoa noudattamaan hallintoneuvostosta 21. marraskuuta 2018 annetun komission päätöksen 6 artiklaa (Tietojenvaihto sisäisen tarkastuksen seurantakomitean kanssa), jossa todetaan, että hallintoneuvoston olisi toimitettava konsolidoituja tietoja kriittisten riskien luettelosta ja mahdolliset lisähuomautukset sisäisen tarkastuksen yksikölle, ja kehottamaan painokkaasti hallintoneuvostoa tekemään niin kaikissa asiaankuuluvissa tapauksissa;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i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i)</w:t>
            </w:r>
            <w:r>
              <w:tab/>
            </w:r>
            <w:r>
              <w:rPr>
                <w:b/>
                <w:i/>
              </w:rPr>
              <w:t>ohjeistamaan ENV-pääosaston sopimuksista ja tarkastuksista vastaavaa yksikköä tarkastamaan sopimukset kattavammin ja huolellisemmin;</w:t>
            </w:r>
            <w:r>
              <w:t xml:space="preserve"> </w:t>
            </w:r>
            <w:r>
              <w:rPr>
                <w:b/>
                <w:i/>
              </w:rPr>
              <w:t>kehottaa komissiota myös ENV-pääosaston/CINEAn ongelmallisten sopimusten seurauksena ohjeistamaan sisäisen tarkastuksen yksikköä tarkastamaan kattavammin kansalaisjärjestöjen ja komission välisiä sopimuksia epäasianmukaisen sisällön varalta;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j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j)</w:t>
            </w:r>
            <w:r>
              <w:tab/>
            </w:r>
            <w:r>
              <w:rPr>
                <w:b/>
                <w:i/>
              </w:rPr>
              <w:t>varmistamaan, että komission hallintoneuvosto toimittaa ongelmallisten sopimusten tarkastelun tulokset Euroopan parlamentin talousarvion valvontavaliokunnalle mahdollisimman pian;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k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k)</w:t>
            </w:r>
            <w:r>
              <w:tab/>
            </w:r>
            <w:r>
              <w:rPr>
                <w:b/>
                <w:i/>
              </w:rPr>
              <w:t>ohjeistamaan CINEAa tarkastelemaan uudelleen tarkastuksiin tarkoitettujen varojen jakautumista sen seitsemän ohjelman kesken sen varmistamiseksi, että Life-ohjelman tarkastuksiin osoitetaan riittävät resurssit;</w:t>
            </w:r>
            <w:r>
              <w:t xml:space="preserve"> </w:t>
            </w:r>
            <w:r>
              <w:rPr>
                <w:b/>
                <w:i/>
              </w:rPr>
              <w:t>kehottaa CINEAa ilmoittamaan komission hierarkialle erityisesti siitä, että seitsemälle CINEAn hallinnoimalle ohjelmalle osoitettiin tarkastuksia varten vain 620 000 euroa, vaikka sillä on puutteita tarkastusten rahoituksessa;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l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l)</w:t>
            </w:r>
            <w:r>
              <w:tab/>
            </w:r>
            <w:r>
              <w:rPr>
                <w:b/>
                <w:i/>
              </w:rPr>
              <w:t>varmistamaan, että Life-ohjelman tulevia monivuotisia työohjelmia koskeviin ehdotuksiin, myös vuosien 2025–2027 työohjelmaan, sisällytetään selkeämmät ohjeet tukikelpoisista toimista,</w:t>
            </w:r>
            <w:r>
              <w:t xml:space="preserve"> </w:t>
            </w:r>
            <w:r>
              <w:rPr>
                <w:b/>
                <w:i/>
              </w:rPr>
              <w:t>säännöt hakemusten yksityiskohtaisemmasta seulonnasta,</w:t>
            </w:r>
            <w:r>
              <w:t xml:space="preserve"> </w:t>
            </w:r>
            <w:r>
              <w:rPr>
                <w:b/>
                <w:i/>
              </w:rPr>
              <w:t>selkeämmät säännöt tehtäväkokonaisuuksien hyväksyttävästä sisällöstä</w:t>
            </w:r>
            <w:r>
              <w:t xml:space="preserve"> </w:t>
            </w:r>
            <w:r>
              <w:rPr>
                <w:b/>
                <w:i/>
              </w:rPr>
              <w:t>ja erityiset vaatimukset EU:n varojen käytön avoimuudesta ja jäljitettävyydestä tässä ohjelmassa,</w:t>
            </w:r>
            <w:r>
              <w:t xml:space="preserve"> </w:t>
            </w:r>
            <w:r>
              <w:rPr>
                <w:b/>
                <w:i/>
              </w:rPr>
              <w:t>mukaan lukien vaatimus siitä, että hakijoiden on oltava mukana avoimuusrekisterissä ja ilmoitettava suurimmat rahoittajansa;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m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m)</w:t>
            </w:r>
            <w:r>
              <w:tab/>
            </w:r>
            <w:r>
              <w:rPr>
                <w:b/>
                <w:i/>
              </w:rPr>
              <w:t>varmistamaan, että kansalaisjärjestöjen ja komission välisillä sopimuksilla ja kaikilla komission tukemilla sopimuksilla on eurooppalaista lisäarvoa ja että niihin sisältyy vaatimuksia varojen käytön avoimuuden ja jäljitettävyyden varmistamiseksi;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n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n)</w:t>
            </w:r>
            <w:r>
              <w:tab/>
            </w:r>
            <w:r>
              <w:rPr>
                <w:b/>
                <w:i/>
              </w:rPr>
              <w:t>ohjeistamaan CINEAa sisällyttämään tässä vastuuvapausmenettelyn pääluokassa luetellut huolenaiheet seuraavaan vuosittaiseen riskinhallintatoimeensa, joka toteutetaan komission päätöksellä (2022) 1551 hyväksytyn CINEAn vuoden 2022 työohjelman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o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o)</w:t>
            </w:r>
            <w:r>
              <w:tab/>
            </w:r>
            <w:r>
              <w:rPr>
                <w:b/>
                <w:i/>
              </w:rPr>
              <w:t>ohjeistamaan CINEAa myös tarkistamaan, miten sopimuksia koskevan päätöksenteon ensimmäiseen vaiheeseen osallistuvat riippumattomat arvioijat valittiin, ja ottamaan käyttöön parempia mekanismeja eturistiriitojen tarkistamiseksi;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p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p)</w:t>
            </w:r>
            <w:r>
              <w:tab/>
            </w:r>
            <w:r>
              <w:rPr>
                <w:b/>
                <w:i/>
              </w:rPr>
              <w:t>tarkistamaan CINEAn ja ENV-pääosaston välistä yhteisymmärryspöytäkirjaa siten, että siihen sisällytetään selkeämpi työn- ja vastuunjako;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92 kohta – xvi q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q)</w:t>
            </w:r>
            <w:r>
              <w:tab/>
            </w:r>
            <w:r>
              <w:rPr>
                <w:b/>
                <w:i/>
              </w:rPr>
              <w:t>tekemään yhteistyötä ENV-pääosaston/CINEAn kanssa Life-ohjelmasta ja yleisesti kaikista ohjelmista tuettujen hankkeiden näkyvyyden lisäämiseksi, koska näin lisätään EU:n varojen käytön avoimuutta;</w:t>
            </w:r>
            <w:r>
              <w:t xml:space="preserve"> </w:t>
            </w:r>
            <w:r>
              <w:rPr>
                <w:b/>
                <w:i/>
              </w:rPr>
              <w:t>edellyttämään, että EU:n rahoituksen, myös Life-ohjelman rahoituksen, saajat ilmaisevat kyseisen rahoituksen alkuperän ja varmistavat unionin rahoituksen näkyvyyden (Life-asetuksen V luvun 21 artiklan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toteaa, että merkittävä osuus monivuotisen rahoituskehyksen otsakkeen 4 menoista liittyi vuonna 2023 kauden 2014–2020 monivuotisen rahoituskehyksen jäljellä olevien hankkeiden loppuun saattamiseen; panee merkille, että 18 prosenttia AMIF-rahaston kansallisista ohjelmista kaudeksi 2014–2020 oli ilmoittamatta vuoden 2023 lopussa ja että jäsenvaltiot toimittavat viimeisen tilinpäätöksen ja loppumaksupyynnön näiden varojen osalta osana päättämispakettia viimeistään 31. joulukuuta 2024;</w:t>
            </w:r>
          </w:p>
        </w:tc>
        <w:tc>
          <w:tcPr>
            <w:tcW w:w="4876" w:type="dxa"/>
            <w:tcBorders>
              <w:top w:val="nil"/>
              <w:left w:val="nil"/>
              <w:bottom w:val="nil"/>
              <w:right w:val="nil"/>
            </w:tcBorders>
          </w:tcPr>
          <w:p>
            <w:pPr>
              <w:pStyle w:val="Normal6a"/>
            </w:pPr>
            <w:r>
              <w:t>94.</w:t>
            </w:r>
            <w:r>
              <w:tab/>
            </w:r>
            <w:r>
              <w:t xml:space="preserve">toteaa, että merkittävä osuus monivuotisen rahoituskehyksen otsakkeen 4 menoista liittyi vuonna 2023 kauden 2014–2020 monivuotisen rahoituskehyksen jäljellä olevien hankkeiden loppuun saattamiseen; panee merkille, että 18 prosenttia AMIF-rahaston kansallisista ohjelmista kaudeksi 2014–2020 oli ilmoittamatta vuoden 2023 lopussa ja että jäsenvaltiot toimittavat viimeisen tilinpäätöksen ja loppumaksupyynnön näiden varojen osalta osana päättämispakettia viimeistään 31. joulukuuta 2024; </w:t>
            </w:r>
            <w:r>
              <w:rPr>
                <w:b/>
                <w:i/>
              </w:rPr>
              <w:t>vaatii, että yhden monivuotisen rahoituskehyksen aikana sidotut varat on käytettävä kokonaisuudessaan seitsemänvuotisen budjettikauden loppuun mennessä;</w:t>
            </w:r>
            <w:r>
              <w:t xml:space="preserve"> </w:t>
            </w:r>
            <w:r>
              <w:rPr>
                <w:b/>
                <w:i/>
              </w:rPr>
              <w:t>toteaa, että tämän logiikan mukaisesti AMIF-rahasto sai 61 prosenttia liikaa rahoitusta, koska sille osoitettuja määriä ole maksatettu;</w:t>
            </w:r>
            <w:r>
              <w:t xml:space="preserve"> </w:t>
            </w:r>
            <w:r>
              <w:rPr>
                <w:b/>
                <w:i/>
              </w:rPr>
              <w:t>kohottaa käyttämään AMIF-rahaston käyttämättömät varat laittomien maahanmuuttajien karkottamiseen;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97.</w:t>
            </w:r>
            <w:r>
              <w:tab/>
            </w:r>
            <w:r>
              <w:t>panee huolestuneena merkille, että HOME-pääosaston vuoden 2023 toimintakertomuksessa esitettiin kaksi vahvistuslausumaan liittyvää varaumaa ja että yksi varauma koskee AMIF- ja ISF-rahastojen täytäntöönpanoa vuosina 2014–2020 useissa jäsenvaltioissa ja toinen varauma rajaturvallisuuden ja viisumipolitiikan rahoitustukivälineen (BMVI) täytäntöönpanoa vuosina 2021–2027 yhdessä jäsenvaltiossa; on ilahtunut siitä, että komissio on sitoutunut toteuttamaan korjaavia toimia niiden taustalla olevien kysymysten osalta, joiden vuoksi varaumat piti esittää;</w:t>
            </w:r>
          </w:p>
        </w:tc>
        <w:tc>
          <w:tcPr>
            <w:tcW w:w="4876" w:type="dxa"/>
            <w:tcBorders>
              <w:top w:val="nil"/>
              <w:left w:val="nil"/>
              <w:bottom w:val="nil"/>
              <w:right w:val="nil"/>
            </w:tcBorders>
          </w:tcPr>
          <w:p>
            <w:pPr>
              <w:pStyle w:val="Normal6a"/>
            </w:pPr>
            <w:r>
              <w:t>97.</w:t>
            </w:r>
            <w:r>
              <w:tab/>
            </w:r>
            <w:r>
              <w:t xml:space="preserve">panee huolestuneena merkille, että HOME-pääosaston vuoden 2023 toimintakertomuksessa esitettiin kaksi vahvistuslausumaan liittyvää varaumaa ja että yksi varauma koskee AMIF- ja ISF-rahastojen täytäntöönpanoa vuosina 2014–2020 useissa jäsenvaltioissa </w:t>
            </w:r>
            <w:r>
              <w:rPr>
                <w:b/>
                <w:i/>
              </w:rPr>
              <w:t>(varaumat, joita ei voida ilmaista kvantitatiivisesti: – Suomi, AMIF/ISF – Viro, AMIF/ISF – Saksa, ISF – Irlanti, ISF – Bulgaria, ISF – Ranska, AMIF/ISF;</w:t>
            </w:r>
            <w:r>
              <w:t xml:space="preserve"> </w:t>
            </w:r>
            <w:r>
              <w:rPr>
                <w:b/>
                <w:i/>
              </w:rPr>
              <w:t>kvantitatiivinen varauma: – Islanti, ISF)</w:t>
            </w:r>
            <w:r>
              <w:t xml:space="preserve"> ja toinen varauma rajaturvallisuuden ja viisumipolitiikan rahoitustukivälineen (BMVI) täytäntöönpanoa vuosina 2021–2027 yhdessä jäsenvaltiossa </w:t>
            </w:r>
            <w:r>
              <w:rPr>
                <w:b/>
                <w:i/>
              </w:rPr>
              <w:t>(BMVI-välinettä koskeva rahoitusvarauma vuosina 2021–2027 Suomessa:</w:t>
            </w:r>
            <w:r>
              <w:t xml:space="preserve"> </w:t>
            </w:r>
            <w:r>
              <w:rPr>
                <w:b/>
                <w:i/>
              </w:rPr>
              <w:t>kvantifiointi varovaisesti arvioituna:</w:t>
            </w:r>
            <w:r>
              <w:t xml:space="preserve"> </w:t>
            </w:r>
            <w:r>
              <w:rPr>
                <w:b/>
                <w:i/>
              </w:rPr>
              <w:t>637 900,84 euroa, jossa komission soveltama jäännösvirhetaso oli 5 prosenttia)</w:t>
            </w:r>
            <w:r>
              <w:t>; on ilahtunut siitä, että komissio on sitoutunut toteuttamaan korjaavia toimia niiden taustalla olevien kysymysten osalta, joiden vuoksi varaumat piti esittää;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98 a.</w:t>
            </w:r>
            <w:r>
              <w:tab/>
            </w:r>
            <w:r>
              <w:rPr>
                <w:b/>
                <w:i/>
              </w:rPr>
              <w:t>korostaa, että on yhä enemmän näyttöä siitä, että EU:n sisäasioiden rahastoilla, jotka on tarkoitettu rajaturvallisuuden tukemiseen, myös kolmansissa maissa, osallistutaan perusoikeuksien loukkauksiin</w:t>
            </w:r>
            <w:r>
              <w:rPr>
                <w:b/>
                <w:i/>
                <w:vertAlign w:val="superscript"/>
              </w:rPr>
              <w:t>1 a</w:t>
            </w:r>
            <w:r>
              <w:rPr>
                <w:b/>
                <w:i/>
              </w:rPr>
              <w:t>;</w:t>
            </w:r>
            <w:r>
              <w:t xml:space="preserve"> </w:t>
            </w:r>
            <w:r>
              <w:rPr>
                <w:b/>
                <w:i/>
              </w:rPr>
              <w:t>muistuttaa, että asetuksen (EU) 2021/1060 mukaan jäsenvaltioiden ja komission on varmistettava, että rahastojen täytäntöönpanossa kunnioitetaan perusoikeuksia ja noudatetaan Euroopan unionin perusoikeuskirjaa;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https://www.politico.eu/article/the-eu-is-helping-turkey-forcibly-deport-migrants-to-syria-and-afghanistan/#:~:text=In%20the%20wake%20of%20Europe's,escape%20Syria's%20devastating%20civil%20war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98 a.</w:t>
            </w:r>
            <w:r>
              <w:tab/>
            </w:r>
            <w:r>
              <w:rPr>
                <w:b/>
                <w:i/>
              </w:rPr>
              <w:t>vaatii, että EU:n on lakattava rahoittamasta EU:n talousarviosta laitonta muuttoliikettä ja edistysmielisiä vasemmistotiedotusvälineitä, jotka hyökkäävät jäsenvaltioiden suvereniteettia vastaan, ja edistämästä woke-propagandan tai sotapropagandan leviämistä;</w:t>
            </w:r>
            <w:r>
              <w:t xml:space="preserve"> </w:t>
            </w:r>
            <w:r>
              <w:rPr>
                <w:b/>
                <w:i/>
              </w:rPr>
              <w:t>pyytää tältä osin, että kansalaisjärjestöjen kautta kanavoitu suora tai välillinen tuki on lopetettava eikä Euroopan komission valheellisen poliittisen ohjelman edistämiseen pitäisi käyttää rahaa;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99.</w:t>
            </w:r>
            <w:r>
              <w:tab/>
            </w:r>
            <w:r>
              <w:rPr>
                <w:b/>
                <w:i/>
              </w:rPr>
              <w:t>suhtautuu myönteisesti uuteen muuttoliike- ja turvapaikkasopimukseen, josta päästiin poliittiseen yhteisymmärrykseen vuonna 2023, ja on lisäksi ilahtunut siitä, että kauden 2021–2027 monivuotisen rahoituskehyksen väliarvioinnissa osoitettiin kahden miljardin euron lisäsumma muuttoliikkeeseen ja rajaturvallisuuteen kaudeksi 2024–2027, jotta voidaan puuttua tämänhetkisestä geopoliittisesta tilanteesta aiheutuviin muuttoliikkeen ja rajaturvallisuuden alan kasvaviin haasteisiin;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99.</w:t>
            </w:r>
            <w:r>
              <w:tab/>
            </w:r>
            <w:r>
              <w:rPr>
                <w:b/>
                <w:i/>
              </w:rPr>
              <w:t>suhtautuu myönteisesti uuteen muuttoliike- ja turvapaikkasopimukseen, josta päästiin poliittiseen yhteisymmärrykseen vuonna 2023, ja on lisäksi</w:t>
            </w:r>
            <w:r>
              <w:t xml:space="preserve"> ilahtunut siitä, että kauden 2021–2027 monivuotisen rahoituskehyksen väliarvioinnissa osoitettiin kahden miljardin euron lisäsumma muuttoliikkeeseen ja rajaturvallisuuteen kaudeksi 2024–2027, jotta voidaan puuttua tämänhetkisestä geopoliittisesta tilanteesta aiheutuviin muuttoliikkeen ja rajaturvallisuuden alan kasvaviin haasteisiin;</w:t>
            </w:r>
          </w:p>
        </w:tc>
        <w:tc>
          <w:tcPr>
            <w:tcW w:w="4876" w:type="dxa"/>
            <w:tcBorders>
              <w:top w:val="nil"/>
              <w:left w:val="nil"/>
              <w:bottom w:val="nil"/>
              <w:right w:val="nil"/>
            </w:tcBorders>
          </w:tcPr>
          <w:p>
            <w:pPr>
              <w:pStyle w:val="Normal6a"/>
            </w:pPr>
            <w:r>
              <w:t>99.</w:t>
            </w:r>
            <w:r>
              <w:tab/>
            </w:r>
            <w:r>
              <w:rPr>
                <w:b/>
                <w:i/>
              </w:rPr>
              <w:t>on</w:t>
            </w:r>
            <w:r>
              <w:t xml:space="preserve"> ilahtunut siitä, että kauden 2021–2027 monivuotisen rahoituskehyksen väliarvioinnissa osoitettiin kahden miljardin euron lisäsumma muuttoliikkeeseen ja rajaturvallisuuteen kaudeksi 2024–2027, jotta voidaan puuttua tämänhetkisestä geopoliittisesta tilanteesta aiheutuviin muuttoliikkeen ja rajaturvallisuuden alan kasvaviin haasteisiin;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99.</w:t>
            </w:r>
            <w:r>
              <w:tab/>
            </w:r>
            <w:r>
              <w:rPr>
                <w:b/>
                <w:i/>
              </w:rPr>
              <w:t>suhtautuu myönteisesti uuteen muuttoliike- ja turvapaikkasopimukseen, josta päästiin poliittiseen yhteisymmärrykseen vuonna 2023, ja on lisäksi</w:t>
            </w:r>
            <w:r>
              <w:t xml:space="preserve"> ilahtunut siitä, että kauden 2021–2027 monivuotisen rahoituskehyksen väliarvioinnissa osoitettiin kahden miljardin euron lisäsumma muuttoliikkeeseen ja rajaturvallisuuteen kaudeksi 2024–2027, jotta voidaan puuttua tämänhetkisestä geopoliittisesta tilanteesta aiheutuviin muuttoliikkeen ja rajaturvallisuuden alan kasvaviin haasteisiin;</w:t>
            </w:r>
          </w:p>
        </w:tc>
        <w:tc>
          <w:tcPr>
            <w:tcW w:w="4876" w:type="dxa"/>
            <w:tcBorders>
              <w:top w:val="nil"/>
              <w:left w:val="nil"/>
              <w:bottom w:val="nil"/>
              <w:right w:val="nil"/>
            </w:tcBorders>
          </w:tcPr>
          <w:p>
            <w:pPr>
              <w:pStyle w:val="Normal6a"/>
            </w:pPr>
            <w:r>
              <w:t>99.</w:t>
            </w:r>
            <w:r>
              <w:tab/>
            </w:r>
            <w:r>
              <w:rPr>
                <w:b/>
                <w:i/>
              </w:rPr>
              <w:t>on</w:t>
            </w:r>
            <w:r>
              <w:t xml:space="preserve"> ilahtunut siitä, että kauden 2021–2027 monivuotisen rahoituskehyksen väliarvioinnissa osoitettiin kahden miljardin euron lisäsumma muuttoliikkeeseen ja rajaturvallisuuteen kaudeksi 2024–2027, jotta voidaan puuttua tämänhetkisestä geopoliittisesta tilanteesta aiheutuviin muuttoliikkeen ja rajaturvallisuuden alan kasvaviin haasteisiin;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99.</w:t>
            </w:r>
            <w:r>
              <w:tab/>
            </w:r>
            <w:r>
              <w:rPr>
                <w:b/>
                <w:i/>
              </w:rPr>
              <w:t>suhtautuu myönteisesti uuteen muuttoliike- ja turvapaikkasopimukseen, josta päästiin poliittiseen yhteisymmärrykseen</w:t>
            </w:r>
            <w:r>
              <w:t xml:space="preserve"> vuonna 2023</w:t>
            </w:r>
            <w:r>
              <w:rPr>
                <w:b/>
                <w:i/>
              </w:rPr>
              <w:t>,</w:t>
            </w:r>
            <w:r>
              <w:t xml:space="preserve"> ja on </w:t>
            </w:r>
            <w:r>
              <w:rPr>
                <w:b/>
                <w:i/>
              </w:rPr>
              <w:t>lisäksi</w:t>
            </w:r>
            <w:r>
              <w:t xml:space="preserve"> ilahtunut siitä, että kauden 2021–2027 monivuotisen rahoituskehyksen väliarvioinnissa osoitettiin </w:t>
            </w:r>
            <w:r>
              <w:rPr>
                <w:b/>
                <w:i/>
              </w:rPr>
              <w:t>kahden miljardin euron lisäsumma muuttoliikkeeseen ja rajaturvallisuuteen kaudeksi 2024–2027, jotta voidaan puuttua tämänhetkisestä geopoliittisesta tilanteesta aiheutuviin muuttoliikkeen ja rajaturvallisuuden alan kasvaviin haasteisiin</w:t>
            </w:r>
            <w:r>
              <w:t>;</w:t>
            </w:r>
          </w:p>
        </w:tc>
        <w:tc>
          <w:tcPr>
            <w:tcW w:w="4876" w:type="dxa"/>
            <w:tcBorders>
              <w:top w:val="nil"/>
              <w:left w:val="nil"/>
              <w:bottom w:val="nil"/>
              <w:right w:val="nil"/>
            </w:tcBorders>
          </w:tcPr>
          <w:p>
            <w:pPr>
              <w:pStyle w:val="Normal6a"/>
            </w:pPr>
            <w:r>
              <w:t>99.</w:t>
            </w:r>
            <w:r>
              <w:tab/>
            </w:r>
            <w:r>
              <w:rPr>
                <w:b/>
                <w:i/>
              </w:rPr>
              <w:t>panee merkille uuden turvapaikka- ja muuttoliikesopimuksen hyväksymisen</w:t>
            </w:r>
            <w:r>
              <w:t xml:space="preserve"> vuonna 2023 ja on ilahtunut siitä, että kauden 2021–2027 monivuotisen rahoituskehyksen väliarvioinnissa osoitettiin </w:t>
            </w:r>
            <w:r>
              <w:rPr>
                <w:b/>
                <w:i/>
              </w:rPr>
              <w:t>lisävaroja sopimuksen uusien sääntöjen täysimääräiseen täytäntöönpanoon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99.</w:t>
            </w:r>
            <w:r>
              <w:tab/>
            </w:r>
            <w:r>
              <w:t>suhtautuu myönteisesti uuteen muuttoliike- ja turvapaikkasopimukseen, josta päästiin poliittiseen yhteisymmärrykseen vuonna 2023, ja on lisäksi ilahtunut siitä, että kauden 2021–2027 monivuotisen rahoituskehyksen väliarvioinnissa osoitettiin kahden miljardin euron lisäsumma muuttoliikkeeseen ja rajaturvallisuuteen kaudeksi 2024–2027, jotta voidaan puuttua tämänhetkisestä geopoliittisesta tilanteesta aiheutuviin muuttoliikkeen ja rajaturvallisuuden alan kasvaviin haasteisiin;</w:t>
            </w:r>
          </w:p>
        </w:tc>
        <w:tc>
          <w:tcPr>
            <w:tcW w:w="4876" w:type="dxa"/>
            <w:tcBorders>
              <w:top w:val="nil"/>
              <w:left w:val="nil"/>
              <w:bottom w:val="nil"/>
              <w:right w:val="nil"/>
            </w:tcBorders>
          </w:tcPr>
          <w:p>
            <w:pPr>
              <w:pStyle w:val="Normal6a"/>
            </w:pPr>
            <w:r>
              <w:t>99.</w:t>
            </w:r>
            <w:r>
              <w:tab/>
            </w:r>
            <w:r>
              <w:t xml:space="preserve">suhtautuu myönteisesti uuteen muuttoliike- ja turvapaikkasopimukseen, josta päästiin poliittiseen yhteisymmärrykseen vuonna 2023, ja on lisäksi ilahtunut siitä, että kauden 2021–2027 monivuotisen rahoituskehyksen väliarvioinnissa osoitettiin kahden miljardin euron lisäsumma muuttoliikkeeseen ja rajaturvallisuuteen kaudeksi 2024–2027, jotta voidaan puuttua tämänhetkisestä geopoliittisesta tilanteesta aiheutuviin muuttoliikkeen ja rajaturvallisuuden alan kasvaviin haasteisiin; </w:t>
            </w:r>
            <w:r>
              <w:rPr>
                <w:b/>
                <w:i/>
              </w:rPr>
              <w:t>kehottaa jäsenvaltioita panemaan sopimuksen nopeasti ja mahdollisuuksien mukaan ennenaikaisesti täytäntöön;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99.</w:t>
            </w:r>
            <w:r>
              <w:tab/>
            </w:r>
            <w:r>
              <w:rPr>
                <w:b/>
                <w:i/>
              </w:rPr>
              <w:t>suhtautuu myönteisesti uuteen</w:t>
            </w:r>
            <w:r>
              <w:t xml:space="preserve"> muuttoliike- ja </w:t>
            </w:r>
            <w:r>
              <w:rPr>
                <w:b/>
                <w:i/>
              </w:rPr>
              <w:t>turvapaikkasopimukseen</w:t>
            </w:r>
            <w:r>
              <w:t xml:space="preserve">, josta päästiin </w:t>
            </w:r>
            <w:r>
              <w:rPr>
                <w:b/>
                <w:i/>
              </w:rPr>
              <w:t>poliittiseen</w:t>
            </w:r>
            <w:r>
              <w:t xml:space="preserve"> yhteisymmärrykseen vuonna 2023, </w:t>
            </w:r>
            <w:r>
              <w:rPr>
                <w:b/>
                <w:i/>
              </w:rPr>
              <w:t>ja on lisäksi ilahtunut siitä</w:t>
            </w:r>
            <w:r>
              <w:t xml:space="preserve">, että kauden 2021–2027 monivuotisen rahoituskehyksen väliarvioinnissa osoitettiin kahden miljardin euron lisäsumma muuttoliikkeeseen ja </w:t>
            </w:r>
            <w:r>
              <w:rPr>
                <w:b/>
                <w:i/>
              </w:rPr>
              <w:t>rajaturvallisuuteen</w:t>
            </w:r>
            <w:r>
              <w:t xml:space="preserve"> kaudeksi 2024–2027</w:t>
            </w:r>
            <w:r>
              <w:rPr>
                <w:b/>
                <w:i/>
              </w:rPr>
              <w:t>, jotta voidaan puuttua</w:t>
            </w:r>
            <w:r>
              <w:t xml:space="preserve"> tämänhetkisestä geopoliittisesta tilanteesta aiheutuviin </w:t>
            </w:r>
            <w:r>
              <w:rPr>
                <w:b/>
                <w:i/>
              </w:rPr>
              <w:t>muuttoliikkeen ja rajaturvallisuuden alan kasvaviin haasteisiin</w:t>
            </w:r>
            <w:r>
              <w:t>;</w:t>
            </w:r>
          </w:p>
        </w:tc>
        <w:tc>
          <w:tcPr>
            <w:tcW w:w="4876" w:type="dxa"/>
            <w:tcBorders>
              <w:top w:val="nil"/>
              <w:left w:val="nil"/>
              <w:bottom w:val="nil"/>
              <w:right w:val="nil"/>
            </w:tcBorders>
          </w:tcPr>
          <w:p>
            <w:pPr>
              <w:pStyle w:val="Normal6a"/>
            </w:pPr>
            <w:r>
              <w:t>99.</w:t>
            </w:r>
            <w:r>
              <w:tab/>
            </w:r>
            <w:r>
              <w:rPr>
                <w:b/>
                <w:i/>
              </w:rPr>
              <w:t>on huolissaan uuden</w:t>
            </w:r>
            <w:r>
              <w:t xml:space="preserve"> muuttoliike- ja </w:t>
            </w:r>
            <w:r>
              <w:rPr>
                <w:b/>
                <w:i/>
              </w:rPr>
              <w:t>turvapaikkasopimuksen</w:t>
            </w:r>
            <w:r>
              <w:t xml:space="preserve">, josta päästiin yhteisymmärrykseen vuonna 2023, </w:t>
            </w:r>
            <w:r>
              <w:rPr>
                <w:b/>
                <w:i/>
              </w:rPr>
              <w:t>riittävyydestä ja panee merkille</w:t>
            </w:r>
            <w:r>
              <w:t xml:space="preserve">, että kauden 2021–2027 monivuotisen rahoituskehyksen väliarvioinnissa osoitettiin kahden miljardin euron lisäsumma muuttoliikkeeseen ja </w:t>
            </w:r>
            <w:r>
              <w:rPr>
                <w:b/>
                <w:i/>
              </w:rPr>
              <w:t>siihen liittyviin kysymyksiin</w:t>
            </w:r>
            <w:r>
              <w:t xml:space="preserve"> kaudeksi 2024–2027</w:t>
            </w:r>
            <w:r>
              <w:rPr>
                <w:b/>
                <w:i/>
              </w:rPr>
              <w:t>;</w:t>
            </w:r>
            <w:r>
              <w:t xml:space="preserve"> </w:t>
            </w:r>
            <w:r>
              <w:rPr>
                <w:b/>
                <w:i/>
              </w:rPr>
              <w:t>korostaa tarvetta tukea taloudellisesti vastaamista</w:t>
            </w:r>
            <w:r>
              <w:t xml:space="preserve"> tämänhetkisestä geopoliittisesta tilanteesta aiheutuviin </w:t>
            </w:r>
            <w:r>
              <w:rPr>
                <w:b/>
                <w:i/>
              </w:rPr>
              <w:t>kasvaviin haasteisiin, jotka liittyvät muuttoliikkeeseen, rajavalvontaan ja Euroopan yleiseen turvallisuuteen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100.</w:t>
            </w:r>
            <w:r>
              <w:tab/>
            </w:r>
            <w:r>
              <w:rPr>
                <w:b/>
                <w:i/>
              </w:rPr>
              <w:t>palauttaa mieliin, että unionin ulkorajojen turvaaminen on muuttoliike- ja turvapaikkasopimuksen yksi pilari;</w:t>
            </w:r>
            <w:r>
              <w:t xml:space="preserve"> </w:t>
            </w:r>
            <w:r>
              <w:rPr>
                <w:b/>
                <w:i/>
              </w:rPr>
              <w:t>panee huolestuneena merkille, että komission mukaan laittomien rajanylitysten määrä unionissa nousi 380 000:een vuonna 2023, kun se oli 330 000 vuonna 2022;</w:t>
            </w:r>
            <w:r>
              <w:t xml:space="preserve"> </w:t>
            </w:r>
            <w:r>
              <w:rPr>
                <w:b/>
                <w:i/>
              </w:rPr>
              <w:t>korostaa tarvetta suojella paremmin haavoittuvassa asemassa olevia ihmisiä salakuljetus- ja ihmiskauppaverkostoilta ja puuttua kielteisiin vaikutuksiin, joita aiheutuu muuttajien välineellistämisestä hybridihyökkäysten yhteydessä, erityisesti Venäjä-myönteisten joukkojen toimesta;</w:t>
            </w:r>
            <w:r>
              <w:t xml:space="preserve"> </w:t>
            </w:r>
            <w:r>
              <w:rPr>
                <w:b/>
                <w:i/>
              </w:rPr>
              <w:t>huomauttaa, että AMIF- ja BMVI-rahastoista voidaan tukea jäsenvaltioita niiden rajasuojeluvalmiuksien vahvistamisessa, mukaan lukien fyysinen infrastruktuuri, rakennukset, kalusto, järjestelmät ja palvelut, joita rajanylityspaikoilla tarvitaan;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Virginie Joron, Filip Turek,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100.</w:t>
            </w:r>
            <w:r>
              <w:tab/>
            </w:r>
            <w:r>
              <w:t xml:space="preserve">palauttaa mieliin, että unionin ulkorajojen turvaaminen on </w:t>
            </w:r>
            <w:r>
              <w:rPr>
                <w:b/>
                <w:i/>
              </w:rPr>
              <w:t>muuttoliike- ja turvapaikkasopimuksen yksi pilari</w:t>
            </w:r>
            <w:r>
              <w:t>; panee huolestuneena merkille, että komission mukaan laittomien rajanylitysten määrä unionissa nousi 380 000:een vuonna 2023, kun se oli 330 000 vuonna 2022; korostaa tarvetta suojella paremmin haavoittuvassa asemassa olevia ihmisiä salakuljetus- ja ihmiskauppaverkostoilta ja puuttua kielteisiin vaikutuksiin, joita aiheutuu muuttajien välineellistämisestä hybridihyökkäysten yhteydessä, erityisesti Venäjä-myönteisten joukkojen toimesta; huomauttaa, että AMIF- ja BMVI-rahastoista voidaan tukea jäsenvaltioita niiden rajasuojeluvalmiuksien vahvistamisessa, mukaan lukien fyysinen infrastruktuuri, rakennukset, kalusto, järjestelmät ja palvelut, joita rajanylityspaikoilla tarvitaan;</w:t>
            </w:r>
          </w:p>
        </w:tc>
        <w:tc>
          <w:tcPr>
            <w:tcW w:w="4876" w:type="dxa"/>
            <w:tcBorders>
              <w:top w:val="nil"/>
              <w:left w:val="nil"/>
              <w:bottom w:val="nil"/>
              <w:right w:val="nil"/>
            </w:tcBorders>
          </w:tcPr>
          <w:p>
            <w:pPr>
              <w:pStyle w:val="Normal6a"/>
            </w:pPr>
            <w:r>
              <w:t>100.</w:t>
            </w:r>
            <w:r>
              <w:tab/>
            </w:r>
            <w:r>
              <w:t xml:space="preserve">palauttaa mieliin, että unionin ulkorajojen turvaaminen on </w:t>
            </w:r>
            <w:r>
              <w:rPr>
                <w:b/>
                <w:i/>
              </w:rPr>
              <w:t>olennainen osa eurooppalaisten ja heidän etujensa suojelua</w:t>
            </w:r>
            <w:r>
              <w:t>; panee huolestuneena merkille, että komission mukaan laittomien rajanylitysten määrä unionissa nousi 380 000:een vuonna 2023, kun se oli 330 000 vuonna 2022; korostaa tarvetta suojella paremmin haavoittuvassa asemassa olevia ihmisiä salakuljetus- ja ihmiskauppaverkostoilta ja puuttua kielteisiin vaikutuksiin, joita aiheutuu muuttajien välineellistämisestä hybridihyökkäysten yhteydessä, erityisesti Venäjä-myönteisten joukkojen toimesta; huomauttaa, että AMIF- ja BMVI-rahastoista voidaan tukea jäsenvaltioita niiden rajasuojeluvalmiuksien vahvistamisessa, mukaan lukien fyysinen infrastruktuuri, rakennukset, kalusto, järjestelmät ja palvelut, joita rajanylityspaikoilla tarvitaan;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100.</w:t>
            </w:r>
            <w:r>
              <w:tab/>
            </w:r>
            <w:r>
              <w:t xml:space="preserve">palauttaa mieliin, että unionin ulkorajojen turvaaminen on muuttoliike- ja turvapaikkasopimuksen yksi pilari; panee huolestuneena merkille, että komission mukaan laittomien rajanylitysten määrä unionissa nousi 380 000:een vuonna 2023, kun se oli 330 000 vuonna 2022; korostaa tarvetta suojella paremmin </w:t>
            </w:r>
            <w:r>
              <w:rPr>
                <w:b/>
                <w:i/>
              </w:rPr>
              <w:t>haavoittuvassa asemassa olevia ihmisiä salakuljetus- ja ihmiskauppaverkostoilta</w:t>
            </w:r>
            <w:r>
              <w:t xml:space="preserve"> ja puuttua kielteisiin vaikutuksiin, joita aiheutuu muuttajien välineellistämisestä hybridihyökkäysten yhteydessä, erityisesti Venäjä-myönteisten joukkojen toimesta; huomauttaa, että AMIF- ja BMVI-rahastoista voidaan tukea jäsenvaltioita niiden rajasuojeluvalmiuksien vahvistamisessa, mukaan lukien fyysinen infrastruktuuri, rakennukset, kalusto, järjestelmät ja palvelut, joita rajanylityspaikoilla tarvitaan;</w:t>
            </w:r>
          </w:p>
        </w:tc>
        <w:tc>
          <w:tcPr>
            <w:tcW w:w="4876" w:type="dxa"/>
            <w:tcBorders>
              <w:top w:val="nil"/>
              <w:left w:val="nil"/>
              <w:bottom w:val="nil"/>
              <w:right w:val="nil"/>
            </w:tcBorders>
          </w:tcPr>
          <w:p>
            <w:pPr>
              <w:pStyle w:val="Normal6a"/>
            </w:pPr>
            <w:r>
              <w:t>100.</w:t>
            </w:r>
            <w:r>
              <w:tab/>
            </w:r>
            <w:r>
              <w:t xml:space="preserve">palauttaa mieliin, että unionin ulkorajojen turvaaminen on muuttoliike- ja turvapaikkasopimuksen yksi pilari; panee huolestuneena merkille, että komission mukaan laittomien rajanylitysten määrä unionissa nousi 380 000:een vuonna 2023, kun se oli 330 000 vuonna 2022; korostaa tarvetta suojella paremmin </w:t>
            </w:r>
            <w:r>
              <w:rPr>
                <w:b/>
                <w:i/>
              </w:rPr>
              <w:t>Euroopan paikallista väestöä tuontirikollisuudelta</w:t>
            </w:r>
            <w:r>
              <w:t xml:space="preserve"> ja puuttua kielteisiin vaikutuksiin, joita aiheutuu muuttajien välineellistämisestä hybridihyökkäysten yhteydessä, erityisesti Venäjä-myönteisten joukkojen toimesta; huomauttaa, että AMIF- ja BMVI-rahastoista voidaan tukea jäsenvaltioita niiden rajasuojeluvalmiuksien vahvistamisessa, mukaan lukien fyysinen infrastruktuuri, rakennukset, kalusto, järjestelmät ja palvelut, joita rajanylityspaikoilla tarvitaan;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100.</w:t>
            </w:r>
            <w:r>
              <w:tab/>
            </w:r>
            <w:r>
              <w:rPr>
                <w:b/>
                <w:i/>
              </w:rPr>
              <w:t>palauttaa mieliin, että unionin ulkorajojen turvaaminen on muuttoliike- ja turvapaikkasopimuksen yksi pilari;</w:t>
            </w:r>
            <w:r>
              <w:t xml:space="preserve"> panee huolestuneena merkille, että komission mukaan laittomien rajanylitysten määrä unionissa nousi 380 000:een vuonna 2023, kun se oli 330 000 vuonna 2022; korostaa tarvetta suojella paremmin haavoittuvassa asemassa olevia ihmisiä salakuljetus- ja ihmiskauppaverkostoilta ja puuttua kielteisiin vaikutuksiin, joita aiheutuu muuttajien </w:t>
            </w:r>
            <w:r>
              <w:rPr>
                <w:b/>
                <w:i/>
              </w:rPr>
              <w:t>välineellistämisestä hybridihyökkäysten yhteydessä, erityisesti Venäjä-myönteisten joukkojen toimesta</w:t>
            </w:r>
            <w:r>
              <w:t>; huomauttaa, että AMIF- ja BMVI-rahastoista voidaan tukea jäsenvaltioita niiden rajasuojeluvalmiuksien vahvistamisessa</w:t>
            </w:r>
            <w:r>
              <w:rPr>
                <w:b/>
                <w:i/>
              </w:rPr>
              <w:t>, mukaan lukien fyysinen infrastruktuuri, rakennukset, kalusto, järjestelmät ja palvelut, joita rajanylityspaikoilla tarvitaan</w:t>
            </w:r>
            <w:r>
              <w:t>;</w:t>
            </w:r>
          </w:p>
        </w:tc>
        <w:tc>
          <w:tcPr>
            <w:tcW w:w="4876" w:type="dxa"/>
            <w:tcBorders>
              <w:top w:val="nil"/>
              <w:left w:val="nil"/>
              <w:bottom w:val="nil"/>
              <w:right w:val="nil"/>
            </w:tcBorders>
          </w:tcPr>
          <w:p>
            <w:pPr>
              <w:pStyle w:val="Normal6a"/>
            </w:pPr>
            <w:r>
              <w:t>100.</w:t>
            </w:r>
            <w:r>
              <w:tab/>
            </w:r>
            <w:r>
              <w:t xml:space="preserve">panee huolestuneena merkille, että komission mukaan laittomien rajanylitysten määrä unionissa nousi 380 000:een vuonna 2023, kun se oli 330 000 vuonna 2022; korostaa tarvetta suojella paremmin haavoittuvassa asemassa olevia ihmisiä salakuljetus- ja ihmiskauppaverkostoilta ja puuttua kielteisiin vaikutuksiin, joita aiheutuu muuttajien </w:t>
            </w:r>
            <w:r>
              <w:rPr>
                <w:b/>
                <w:i/>
              </w:rPr>
              <w:t>perusihmisoikeuksien loukkaamisesta ulkorajoilla</w:t>
            </w:r>
            <w:r>
              <w:t>; huomauttaa, että AMIF- ja BMVI-rahastoista voidaan tukea jäsenvaltioita niiden rajasuojeluvalmiuksien vahvistamisessa;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Tamás Deutsch, Virginie Joron,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100 a.</w:t>
            </w:r>
            <w:r>
              <w:tab/>
            </w:r>
            <w:r>
              <w:rPr>
                <w:b/>
                <w:i/>
              </w:rPr>
              <w:t>korostaa, että muuttoliikkeen on edelleen kuuluttava jäsenvaltioiden suvereeniin toimivaltaan ja että EU:n ei pitäisi asettaa pakollisia uudelleenjakokiintiöitä tai -mekanismeja, jotka heikentävät kansallista rajojen hallintaa;</w:t>
            </w:r>
            <w:r>
              <w:t xml:space="preserve"> </w:t>
            </w:r>
            <w:r>
              <w:rPr>
                <w:b/>
                <w:i/>
              </w:rPr>
              <w:t>vastustaa jyrkästi kaikkia Euroopan komission pyrkimyksiä painostaa jäsenvaltioita ottamaan vastaan laittomia maahanmuuttajia ”solidaarisuuden” varjolla; kehottaa komissiota tukemaan jäsenvaltioita säilöönotto- ja karkotuspolitiikkojen täytäntöönpanossa sellaisten henkilöiden osalta, jotka eivät ole oikeutettuja turvapaikkaan, ja tehostamaan EU:n yhteistyötä kolmansien maiden kanssa laittomien muuttajien palauttamiseksi nopeasti;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Tamás Deutsch, Virginie Joron,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100 b.</w:t>
            </w:r>
            <w:r>
              <w:tab/>
            </w:r>
            <w:r>
              <w:rPr>
                <w:b/>
                <w:i/>
              </w:rPr>
              <w:t>kehottaa komissiota ottamaan välittömästi käyttöön huomattavan määrän unionin varoja ja resursseja, joilla tuetaan jäsenvaltioita ulkorajojen valvontavalmiuksien ja -infrastruktuurin, kuten muurien, valvontakeinojen, kuten ilmavalvonnan, ja kaluston vahvistamisessa;</w:t>
            </w:r>
            <w:r>
              <w:t xml:space="preserve"> </w:t>
            </w:r>
            <w:r>
              <w:rPr>
                <w:b/>
                <w:i/>
              </w:rPr>
              <w:t>ehdottaa kattamaan kustannukset, joita aiheutuu sellaisten fyysisten rajaesteiden rakentamisesta, jotka ovat olennainen osa laittoman maahantulon, ihmisten salakuljetuksen ja hybridihyökkäysten estämiseen pyrkivää kokonaisvaltaista muuttoliikepolitiikkaa ja turvapaikanhakijoiden säilöönottoa ulkorajoilla;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100 a.</w:t>
            </w:r>
            <w:r>
              <w:tab/>
            </w:r>
            <w:r>
              <w:rPr>
                <w:b/>
                <w:i/>
              </w:rPr>
              <w:t>pitää valitettavana, että Unkari suojelee EU:n ulkorajoja laittomalta muuttoliikkeeltä mutta unionin tuomioistuin määräsi Unkarille sakon, koska se ei päästä maahantulijoita maahan ennen kuin heidän hakemuksistaan on tehty lopullinen päätös;</w:t>
            </w:r>
            <w:r>
              <w:t xml:space="preserve"> </w:t>
            </w:r>
            <w:r>
              <w:rPr>
                <w:b/>
                <w:i/>
              </w:rPr>
              <w:t>pyytää Euroopan komissiota käyttämään osan Unkarille rajavalvontaa varten kuuluvasta kahden miljardin euron summasta unionin tuomioistuimen Unkarille määräämän sakon rahoittamiseen;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Virginie Joron, Julien Sanchez, Filip Turek,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100 a.</w:t>
            </w:r>
            <w:r>
              <w:tab/>
            </w:r>
            <w:r>
              <w:rPr>
                <w:b/>
                <w:i/>
              </w:rPr>
              <w:t>korostaa, että kolmansille maille myönnettävän kehitysavun ehtona on ehdottomasti oltava palauttamis- ja takaisinottosopimusten aiempi täytäntöönpano kyseisissä maissa, myös niistä lähtöisin olevien rikollisten ja rikoksentekijöiden osalta;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100 b.</w:t>
            </w:r>
            <w:r>
              <w:tab/>
            </w:r>
            <w:r>
              <w:rPr>
                <w:b/>
                <w:i/>
              </w:rPr>
              <w:t>vaatii komissiota lopettamaan sellaisten kansalaisjärjestöjen rahoittamisen, jotka edistävät laitonta maahanmuuttoa Euroopan maihin ja helpottavat ihmiskauppaa;</w:t>
            </w:r>
            <w:r>
              <w:t xml:space="preserve"> </w:t>
            </w:r>
            <w:r>
              <w:rPr>
                <w:b/>
                <w:i/>
              </w:rPr>
              <w:t>vaatii, että jokaisella jäsenvaltiolla on oltava ainakin mahdollisuus valita, että sen EU:n talousarvioon maksamia rahoitusosuuksia ei käytetä näiden kansalaisjärjestöjen rahoittamiseen;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101.</w:t>
            </w:r>
            <w:r>
              <w:tab/>
            </w:r>
            <w:r>
              <w:rPr>
                <w:b/>
                <w:i/>
              </w:rPr>
              <w:t>panee merkille</w:t>
            </w:r>
            <w:r>
              <w:t xml:space="preserve"> tilintarkastustuomioistuimen päätelmän</w:t>
            </w:r>
            <w:r>
              <w:rPr>
                <w:b/>
                <w:i/>
              </w:rPr>
              <w:t>, että</w:t>
            </w:r>
            <w:r>
              <w:t xml:space="preserve"> kaudella 2014–2020 </w:t>
            </w:r>
            <w:r>
              <w:rPr>
                <w:b/>
                <w:i/>
              </w:rPr>
              <w:t>AMIF-rahaston tulokset olivat odotettua heikommat</w:t>
            </w:r>
            <w:r>
              <w:t xml:space="preserve"> maahanmuuttajien palauttamisen helpottamisessa</w:t>
            </w:r>
            <w:r>
              <w:rPr>
                <w:b/>
                <w:i/>
              </w:rPr>
              <w:t>;</w:t>
            </w:r>
            <w:r>
              <w:t xml:space="preserve"> </w:t>
            </w:r>
            <w:r>
              <w:rPr>
                <w:b/>
                <w:i/>
              </w:rPr>
              <w:t>panee myös merkille, että tilintarkastustuomioistuin ja komissio ovat samaa mieltä siitä, että covid-19-pandemiaan liittyvät matkustusrajoitukset vaikuttivat erityisesti edistymiseen tällä alalla;</w:t>
            </w:r>
            <w:r>
              <w:t xml:space="preserve"> </w:t>
            </w:r>
            <w:r>
              <w:rPr>
                <w:b/>
                <w:i/>
              </w:rPr>
              <w:t>huomauttaa lisäksi, että vuonna 2023 palautustoimenpiteitä tuettiin 29,8 miljoonalla eurolla AMIF-rahastosta</w:t>
            </w:r>
            <w:r>
              <w:t>; odottaa saavansa vuonna 2025 konsolidoituja tietoja edistymisestä tässä asiassa kauden 2014–2020 AMIF-rahaston jälkiarvioinnin perusteella;</w:t>
            </w:r>
          </w:p>
        </w:tc>
        <w:tc>
          <w:tcPr>
            <w:tcW w:w="4876" w:type="dxa"/>
            <w:tcBorders>
              <w:top w:val="nil"/>
              <w:left w:val="nil"/>
              <w:bottom w:val="nil"/>
              <w:right w:val="nil"/>
            </w:tcBorders>
          </w:tcPr>
          <w:p>
            <w:pPr>
              <w:pStyle w:val="Normal6a"/>
            </w:pPr>
            <w:r>
              <w:t>101.</w:t>
            </w:r>
            <w:r>
              <w:tab/>
            </w:r>
            <w:r>
              <w:rPr>
                <w:b/>
                <w:i/>
              </w:rPr>
              <w:t>painottaa, että</w:t>
            </w:r>
            <w:r>
              <w:t xml:space="preserve"> tilintarkastustuomioistuimen päätelmän </w:t>
            </w:r>
            <w:r>
              <w:rPr>
                <w:b/>
                <w:i/>
              </w:rPr>
              <w:t>mukaan</w:t>
            </w:r>
            <w:r>
              <w:t xml:space="preserve"> kaudella 2014–2020 </w:t>
            </w:r>
            <w:r>
              <w:rPr>
                <w:b/>
                <w:i/>
              </w:rPr>
              <w:t>AMIF-rahasto ei onnistunut saamaan aikaan tuloksia</w:t>
            </w:r>
            <w:r>
              <w:t xml:space="preserve"> maahanmuuttajien palauttamisen helpottamisessa; odottaa saavansa vuonna 2025 konsolidoituja tietoja edistymisestä tässä asiassa kauden 2014–2020 AMIF-rahaston jälkiarvioinnin perusteella;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100 a.</w:t>
            </w:r>
            <w:r>
              <w:tab/>
            </w:r>
            <w:r>
              <w:rPr>
                <w:b/>
                <w:i/>
              </w:rPr>
              <w:t>panee merkille Euroopan komission pitkittyneet ja tehottomat toimet taloudellisen tuen antamisessa maille, joilla on vaikeuksia suojella Euroopan unionin ulkorajoja laittomilta maahanmuuttajilta, joita Valko-Venäjän hallinto on käyttänyt hyväkseen ohjaamalla heidät unionin rajoille tarkoituksenaan horjuttaa koko Euroopan unionin sosiaalista ja poliittista tilannetta;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102 kohta – 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 xml:space="preserve">ryhtymään toimiin EU:n rahoittamien toimien tuloksellisuuden parantamiseksi palautusten tehostamisen ja laittoman muuttoliikkeen torjumisen osalta ja varmistamaan, että </w:t>
            </w:r>
            <w:r>
              <w:rPr>
                <w:b/>
                <w:i/>
              </w:rPr>
              <w:t>unionin perusarvoja</w:t>
            </w:r>
            <w:r>
              <w:t xml:space="preserve"> kunnioitetaan täysin tässä prosessissa;</w:t>
            </w:r>
          </w:p>
        </w:tc>
        <w:tc>
          <w:tcPr>
            <w:tcW w:w="4876" w:type="dxa"/>
            <w:tcBorders>
              <w:top w:val="nil"/>
              <w:left w:val="nil"/>
              <w:bottom w:val="nil"/>
              <w:right w:val="nil"/>
            </w:tcBorders>
          </w:tcPr>
          <w:p>
            <w:pPr>
              <w:pStyle w:val="Normal6a"/>
            </w:pPr>
            <w:r>
              <w:t>iii)</w:t>
            </w:r>
            <w:r>
              <w:tab/>
            </w:r>
            <w:r>
              <w:t xml:space="preserve">ryhtymään toimiin EU:n rahoittamien toimien </w:t>
            </w:r>
            <w:r>
              <w:rPr>
                <w:b/>
                <w:i/>
              </w:rPr>
              <w:t>perusoikeuksia koskevan</w:t>
            </w:r>
            <w:r>
              <w:t xml:space="preserve"> tuloksellisuuden parantamiseksi palautusten tehostamisen ja laittoman muuttoliikkeen torjumisen osalta ja varmistamaan, että </w:t>
            </w:r>
            <w:r>
              <w:rPr>
                <w:b/>
                <w:i/>
              </w:rPr>
              <w:t>EU:n lainsäädäntöä ja palautuskiellon periaatetta</w:t>
            </w:r>
            <w:r>
              <w:t xml:space="preserve"> kunnioitetaan täysin tässä prosessissa;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102 kohta – iii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a)</w:t>
            </w:r>
            <w:r>
              <w:tab/>
            </w:r>
            <w:r>
              <w:rPr>
                <w:b/>
                <w:i/>
              </w:rPr>
              <w:t>tutkimaan, onko rajaturvallisuuden tukemiseen tarkoitetuilla EU:n sisäasioiden rahastoilla edistetty perusoikeuksen loukkauksia ja missä määrin, ja arvioimaan havaintojen perusteella uudelleen asiaankuuluvia ohjelmia ja huolehtimaan, että niissä noudatetaan rahastojen velvoitteita varmistaa, että varoja käytetään EU:n perusoikeuskirjan mukaisesti;</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102 kohta – iii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b)</w:t>
            </w:r>
            <w:r>
              <w:tab/>
            </w:r>
            <w:r>
              <w:rPr>
                <w:b/>
                <w:i/>
              </w:rPr>
              <w:t>analysoimaan mahdollisuuksia tehostaa Euroopan unionin ulkorajojen suojeluun osoitettavien varojen käyttöä, mukaan lukien osallistumista kustannuksiin, joita aiheutuu suojelukeinojen, erikoiskaluston ja fyysisten esteiden ylläpitämisestä rajoilla, sekä sellaisten toimien toteuttamista, joilla pyritään antamaan todellista tukea jäsenvaltioille, joille koituu kohtuuttomia kustannuksia laittomien maahanmuuttajien salakuljetuksen estämisestä;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102 kohta – iii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b)</w:t>
            </w:r>
            <w:r>
              <w:tab/>
            </w:r>
            <w:r>
              <w:rPr>
                <w:b/>
                <w:i/>
              </w:rPr>
              <w:t>varmistamaan kaikkien turvapaikka- ja muuttoliikesopimuksen välineiden täysimääräinen täytäntöönpano sellaisina kuin niistä sovittiin vuonna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103.</w:t>
            </w:r>
            <w:r>
              <w:tab/>
            </w:r>
            <w:r>
              <w:t>panee merkille, että vuonna 2023 monivuotisen rahoituskehyksen otsakkeeseen 5 ”Turvallisuus ja puolustus” kuuluvien ohjelmien talousarvio oli 1,4 miljardia euroa (0,7 prosenttia unionin talousarviomenoista) ja se jakautui seuraavasti: 500 miljoonaa euroa (38,4 prosenttia) Euroopan puolustusrahastolle (EDF), 300 miljoonaa euroa (19 prosenttia) sotilaalliseen liikkuvuuteen, 200 miljoonaa euroa (17,1 prosenttia) erillisvirastoille eli Euroopan huumausaineiden ja niiden väärinkäytön seurantakeskukselle (EMCDDA), Europolille ja Euroopan unionin lainvalvontakoulutusvirastolle (CEPOL), 200 miljoonaa euroa (13,1 prosenttia) ISF-rahastolle ja 200 miljoonaa euroa (12,4 prosenttia) ydinturvallisuuteen, ydinvoimalaitosten käytöstäpoistoon ja muille aloille;</w:t>
            </w:r>
          </w:p>
        </w:tc>
        <w:tc>
          <w:tcPr>
            <w:tcW w:w="4876" w:type="dxa"/>
            <w:tcBorders>
              <w:top w:val="nil"/>
              <w:left w:val="nil"/>
              <w:bottom w:val="nil"/>
              <w:right w:val="nil"/>
            </w:tcBorders>
          </w:tcPr>
          <w:p>
            <w:pPr>
              <w:pStyle w:val="Normal6a"/>
            </w:pPr>
            <w:r>
              <w:t>103.</w:t>
            </w:r>
            <w:r>
              <w:tab/>
            </w:r>
            <w:r>
              <w:t xml:space="preserve">panee merkille, että vuonna 2023 monivuotisen rahoituskehyksen otsakkeeseen 5 ”Turvallisuus ja puolustus” kuuluvien ohjelmien talousarvio oli 1,4 miljardia euroa (0,7 prosenttia unionin talousarviomenoista) ja se jakautui seuraavasti: 500 miljoonaa euroa (38,4 prosenttia) Euroopan puolustusrahastolle (EDF), 300 miljoonaa euroa (19 prosenttia) sotilaalliseen liikkuvuuteen, 200 miljoonaa euroa (17,1 prosenttia) erillisvirastoille eli Euroopan huumausaineiden ja niiden väärinkäytön seurantakeskukselle (EMCDDA), Europolille ja Euroopan unionin lainvalvontakoulutusvirastolle (CEPOL), 200 miljoonaa euroa (13,1 prosenttia) ISF-rahastolle ja 200 miljoonaa euroa (12,4 prosenttia) ydinturvallisuuteen, ydinvoimalaitosten käytöstäpoistoon ja muille aloille; </w:t>
            </w:r>
            <w:r>
              <w:rPr>
                <w:b/>
                <w:i/>
              </w:rPr>
              <w:t>kehottaa geopoliittisen tilanteen ja maailmanlaajuiset hybridiuhat huomioon ottaen lisäämään otsakkeen 5 määrärahoja seuraavassa monivuotisessa rahoituskehyksessä;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muistuttaa, että geopoliittinen tilanne on erittäin epävakaa unionin naapurialueilla, mikä on lisännyt turvallisuus- ja puolustushaasteita Venäjän Ukrainaa vastaan käymän hyökkäyssodan alkamisen jälkeen; </w:t>
            </w:r>
            <w:r>
              <w:rPr>
                <w:b/>
                <w:i/>
              </w:rPr>
              <w:t>pitää valitettavana, että unionin tämänhetkinen talousarvio sen kansalaisten turvallisuuden ja puolustuksen varmistamiseksi ei ole niiden haasteiden tasalla, joihin on vastattava joko lyhyellä tai pitkällä aikavälillä;</w:t>
            </w:r>
            <w:r>
              <w:t xml:space="preserve"> panee merkille, että vuonna 2023 EU:n rahoitus puolustusteollisuuden tukemiseksi tuli yksinomaan puolustusrahastosta; on ilahtunut siitä, että puolustusrahaston vuoden 2023 ehdotuspyyntöihin tehdyt ehdotukset lisääntyivät 72 prosenttia edelliseen vuoteen verrattuna; panee merkille, että vuoden 2023 ehdotuspyynnöissä unioni sitoutui osoittamaan 1,15 miljardia euroa 61:een puolustusalan T&amp;K-hankkeeseen, joissa oli mukana 581 oikeushenkilöä 26 jäsenvaltiossa ja Norjassa;</w:t>
            </w:r>
          </w:p>
        </w:tc>
        <w:tc>
          <w:tcPr>
            <w:tcW w:w="4876" w:type="dxa"/>
            <w:tcBorders>
              <w:top w:val="nil"/>
              <w:left w:val="nil"/>
              <w:bottom w:val="nil"/>
              <w:right w:val="nil"/>
            </w:tcBorders>
          </w:tcPr>
          <w:p>
            <w:pPr>
              <w:pStyle w:val="Normal6a"/>
            </w:pPr>
            <w:r>
              <w:t>107.</w:t>
            </w:r>
            <w:r>
              <w:tab/>
            </w:r>
            <w:r>
              <w:t>muistuttaa, että geopoliittinen tilanne on erittäin epävakaa unionin naapurialueilla, mikä on lisännyt turvallisuus- ja puolustushaasteita Venäjän Ukrainaa vastaan käymän hyökkäyssodan alkamisen jälkeen; panee merkille, että vuonna 2023 EU:n rahoitus puolustusteollisuuden tukemiseksi tuli yksinomaan puolustusrahastosta; on ilahtunut siitä, että puolustusrahaston vuoden 2023 ehdotuspyyntöihin tehdyt ehdotukset lisääntyivät 72 prosenttia edelliseen vuoteen verrattuna; panee merkille, että vuoden 2023 ehdotuspyynnöissä unioni sitoutui osoittamaan 1,15 miljardia euroa 61:een puolustusalan T&amp;K-hankkeeseen, joissa oli mukana 581 oikeushenkilöä 26 jäsenvaltiossa ja Norjassa;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Eero Heinäluoma,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muistuttaa, että geopoliittinen tilanne on erittäin epävakaa unionin naapurialueilla, mikä on lisännyt turvallisuus- ja puolustushaasteita Venäjän Ukrainaa vastaan käymän hyökkäyssodan alkamisen jälkeen; pitää valitettavana, että unionin tämänhetkinen talousarvio sen kansalaisten turvallisuuden ja puolustuksen varmistamiseksi ei ole niiden haasteiden tasalla, joihin on vastattava joko lyhyellä tai pitkällä aikavälillä; panee merkille, että vuonna 2023 EU:n rahoitus puolustusteollisuuden tukemiseksi tuli yksinomaan puolustusrahastosta; on ilahtunut siitä, että puolustusrahaston vuoden 2023 ehdotuspyyntöihin tehdyt ehdotukset lisääntyivät 72 prosenttia edelliseen vuoteen verrattuna; panee merkille, että vuoden 2023 ehdotuspyynnöissä unioni sitoutui osoittamaan 1,15 miljardia euroa 61:een puolustusalan T&amp;K-hankkeeseen, joissa oli mukana 581 oikeushenkilöä 26 jäsenvaltiossa ja Norjassa;</w:t>
            </w:r>
          </w:p>
        </w:tc>
        <w:tc>
          <w:tcPr>
            <w:tcW w:w="4876" w:type="dxa"/>
            <w:tcBorders>
              <w:top w:val="nil"/>
              <w:left w:val="nil"/>
              <w:bottom w:val="nil"/>
              <w:right w:val="nil"/>
            </w:tcBorders>
          </w:tcPr>
          <w:p>
            <w:pPr>
              <w:pStyle w:val="Normal6a"/>
            </w:pPr>
            <w:r>
              <w:t>107.</w:t>
            </w:r>
            <w:r>
              <w:tab/>
            </w:r>
            <w:r>
              <w:t xml:space="preserve">muistuttaa, että geopoliittinen tilanne on erittäin epävakaa unionin naapurialueilla, mikä on lisännyt turvallisuus- ja puolustushaasteita </w:t>
            </w:r>
            <w:r>
              <w:rPr>
                <w:b/>
                <w:i/>
              </w:rPr>
              <w:t>ja siten myös tarvetta investoida enemmän turvallisuuteen, puolustukseen ja valmiuteen</w:t>
            </w:r>
            <w:r>
              <w:t xml:space="preserve"> Venäjän Ukrainaa vastaan käymän hyökkäyssodan alkamisen jälkeen; </w:t>
            </w:r>
            <w:r>
              <w:rPr>
                <w:b/>
                <w:i/>
              </w:rPr>
              <w:t>kehottaa kiinnittämään huomiota siihen valitettavaan seikkaan, että turvallisuutta ja puolustusta koskevan monivuotisen rahoituskehyksen otsake 5 on pienin kaikista monivuotisen rahoituskehyksen otsakkeista, ja</w:t>
            </w:r>
            <w:r>
              <w:t xml:space="preserve"> pitää valitettavana, että unionin tämänhetkinen talousarvio sen kansalaisten turvallisuuden ja puolustuksen varmistamiseksi ei ole niiden haasteiden tasalla, joihin on vastattava joko lyhyellä tai pitkällä aikavälillä; panee merkille, että vuonna 2023 EU:n rahoitus puolustusteollisuuden tukemiseksi tuli yksinomaan puolustusrahastosta; </w:t>
            </w:r>
            <w:r>
              <w:rPr>
                <w:b/>
                <w:i/>
              </w:rPr>
              <w:t>muistuttaa Euroopan puolustusrahaston roolista Euroopan teknologisen asiantuntemuksen tukemisessa kehittyvien ja murroksellisten teknologioiden alalla;</w:t>
            </w:r>
            <w:r>
              <w:t xml:space="preserve"> on ilahtunut siitä, että puolustusrahaston vuoden 2023 ehdotuspyyntöihin tehdyt ehdotukset lisääntyivät 72 prosenttia edelliseen vuoteen verrattuna</w:t>
            </w:r>
            <w:r>
              <w:rPr>
                <w:b/>
                <w:i/>
              </w:rPr>
              <w:t>, mikä on osoitus Euroopan puolustusteollisuuden toimijoiden ja tutkimusorganisaatioiden voimakkaasta ja jatkuvasti kasvavasta kiinnostuksesta puolustusrahastoa kohtaan ja tämän alan rahoituksen suuresta kysynnästä</w:t>
            </w:r>
            <w:r>
              <w:t xml:space="preserve">; panee merkille, että vuoden 2023 ehdotuspyynnöissä unioni sitoutui osoittamaan 1,15 miljardia euroa 61:een puolustusalan T&amp;K-hankkeeseen, joissa oli mukana 581 oikeushenkilöä 26 jäsenvaltiossa ja Norjassa; </w:t>
            </w:r>
            <w:r>
              <w:rPr>
                <w:b/>
                <w:i/>
              </w:rPr>
              <w:t>panee merkille, että kuhunkin hankkeeseen osallistuu keskimäärin 17 yhteisöä kahdeksasta eri jäsenvaltiosta ja Norjasta;</w:t>
            </w:r>
            <w:r>
              <w:t xml:space="preserve"> </w:t>
            </w:r>
            <w:r>
              <w:rPr>
                <w:b/>
                <w:i/>
              </w:rPr>
              <w:t>korostaa tasapuolisten toimintaedellytysten merkitystä rajat ylittävän puolustusalan tutkimus- ja kehitysyhteistyön tukemisessa;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Eero Heinäluoma,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108.</w:t>
            </w:r>
            <w:r>
              <w:tab/>
            </w:r>
            <w:r>
              <w:t>on ilahtunut komission toimista, joilla tehostetaan pienille ja keskisuurille yrityksille (pk-yritykset) puolustusalalla annettavaa tukea, ja arvostaa erityisesti sitä, että EU:n puolustusalan innovaatiojärjestelmä (EUDIS), jossa tarjotaan monipuolinen valikoima puolustusekosysteemiin kuuluvien pk-yritysten tukemiseen räätälöityjä välineitä, otettiin kaikilta osin käyttöön vuonna 2023 ja siihen osoitettiin 224 miljoonaa euroa puolustusrahaston talousarviosta; panee merkille, että puolustusrahaston vuoden 2023 ehdotuspyynnöissä 42 prosenttia rahoitusta varten valituista yhteisöistä oli pk-yrityksiä, joten niiden osuus kasvoi vuodesta 2022 (38,2 prosenttia), ja että 18 prosenttia puolustusrahaston ehdotuspyyntöjen kautta saatavilla olevasta kokonaisrahoituksesta kohdennettiin pk-yrityksille;</w:t>
            </w:r>
          </w:p>
        </w:tc>
        <w:tc>
          <w:tcPr>
            <w:tcW w:w="4876" w:type="dxa"/>
            <w:tcBorders>
              <w:top w:val="nil"/>
              <w:left w:val="nil"/>
              <w:bottom w:val="nil"/>
              <w:right w:val="nil"/>
            </w:tcBorders>
          </w:tcPr>
          <w:p>
            <w:pPr>
              <w:pStyle w:val="Normal6a"/>
            </w:pPr>
            <w:r>
              <w:t>108.</w:t>
            </w:r>
            <w:r>
              <w:tab/>
            </w:r>
            <w:r>
              <w:t xml:space="preserve">on ilahtunut komission toimista, joilla tehostetaan pienille ja keskisuurille yrityksille (pk-yritykset) puolustusalalla annettavaa tukea, ja arvostaa erityisesti sitä, että EU:n puolustusalan innovaatiojärjestelmä (EUDIS), jossa tarjotaan monipuolinen valikoima puolustusekosysteemiin kuuluvien pk-yritysten tukemiseen räätälöityjä välineitä, otettiin kaikilta osin käyttöön vuonna 2023 ja siihen osoitettiin 224 miljoonaa euroa puolustusrahaston talousarviosta; </w:t>
            </w:r>
            <w:r>
              <w:rPr>
                <w:b/>
                <w:i/>
              </w:rPr>
              <w:t>antaa lisäksi arvoa Euroopan puolustusrahastosta myönnettävän pk-yrityslisän merkitykselle, sillä sen avulla helpotetaan pienempien toimijoiden ja innovoijien pääsyä puolustusalan toimitusketjuihin;</w:t>
            </w:r>
            <w:r>
              <w:t xml:space="preserve"> panee merkille, että puolustusrahaston vuoden 2023 ehdotuspyynnöissä 42 prosenttia rahoitusta varten valituista yhteisöistä oli pk-yrityksiä, joten niiden osuus kasvoi vuodesta 2022 (38,2 prosenttia), ja että 18 prosenttia puolustusrahaston ehdotuspyyntöjen kautta saatavilla olevasta kokonaisrahoituksesta kohdennettiin pk-yrityksille;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Eero Heinäluoma,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109.</w:t>
            </w:r>
            <w:r>
              <w:tab/>
            </w:r>
            <w:r>
              <w:t>muistuttaa, että puolustusalan tutkimusta koskeva valmistelutoimi oli puolustusrahaston edeltäjäohjelma, jonka määrärahat olivat 90 miljoonaa euroa ja josta rahoitettiin 18:aa tutkimushanketta, jotka valittiin ehdotuspyyntöjen perusteella vuosina 2017–2019; muistuttaa myös, että tilintarkastustuomioistuin huomautti erityiskertomuksessaan 10/2023 ”Puolustusalan tutkimusta koskeva valmistelutoimi”, että unionilla ei edelleenkään ole pitkän aikavälin strategiaa puolustusrahaston hankkeita varten erityisesti vaikutusten, tutkimuksen lisäämisen, kehittämisen, valmistustoiminnan ja hankintojen osalta; panee tyytyväisenä merkille, että komissio on hyväksynyt kaikki tilintarkastustuomioistuimen suositukset ja vahvistanut, että niiden täytäntöönpano on meneillään; on kuitenkin unionin edessä olevan geopoliittisen todellisuuden huomioon ottaen huolissaan siitä, että tilintarkastustuomioistuimen suositukset on määrä panna kaikilta osin täytäntöön vasta vuonna 2026;</w:t>
            </w:r>
          </w:p>
        </w:tc>
        <w:tc>
          <w:tcPr>
            <w:tcW w:w="4876" w:type="dxa"/>
            <w:tcBorders>
              <w:top w:val="nil"/>
              <w:left w:val="nil"/>
              <w:bottom w:val="nil"/>
              <w:right w:val="nil"/>
            </w:tcBorders>
          </w:tcPr>
          <w:p>
            <w:pPr>
              <w:pStyle w:val="Normal6a"/>
            </w:pPr>
            <w:r>
              <w:t>109.</w:t>
            </w:r>
            <w:r>
              <w:tab/>
            </w:r>
            <w:r>
              <w:t xml:space="preserve">muistuttaa, että puolustusalan tutkimusta koskeva valmistelutoimi oli puolustusrahaston edeltäjäohjelma, jonka määrärahat olivat 90 miljoonaa euroa ja josta rahoitettiin 18:aa tutkimushanketta, jotka valittiin ehdotuspyyntöjen perusteella vuosina 2017–2019; muistuttaa myös, että tilintarkastustuomioistuin huomautti erityiskertomuksessaan 10/2023 ”Puolustusalan tutkimusta koskeva valmistelutoimi”, että unionilla ei edelleenkään ole pitkän aikavälin strategiaa puolustusrahaston hankkeita varten erityisesti vaikutusten, tutkimuksen lisäämisen, kehittämisen, valmistustoiminnan ja hankintojen osalta; panee tyytyväisenä merkille, että komissio on hyväksynyt kaikki tilintarkastustuomioistuimen suositukset ja vahvistanut, että niiden täytäntöönpano on meneillään; </w:t>
            </w:r>
            <w:r>
              <w:rPr>
                <w:b/>
                <w:i/>
              </w:rPr>
              <w:t>pitää tässä yhteydessä myönteisenä, että komissio on hyväksynyt eurooppalaisen puolustusteollisuusstrategian (EDIS) ja lainsäädäntöehdotuksen Euroopan puolustusteollisuusohjelman (EDIP) perustamisesta, ja on hyvillään sen sitoutumisesta Euroopan puolustusrahaston kehittämiseen;</w:t>
            </w:r>
            <w:r>
              <w:t xml:space="preserve"> on kuitenkin unionin edessä olevan geopoliittisen todellisuuden huomioon ottaen huolissaan siitä, että tilintarkastustuomioistuimen suositukset on määrä panna kaikilta osin täytäntöön vasta vuonna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rPr>
                <w:b/>
                <w:i/>
              </w:rPr>
              <w:t>on ilahtunut siitä</w:t>
            </w:r>
            <w:r>
              <w:t xml:space="preserve">, että sotilaallisen liikkuvuuden toimintasuunnitelma 2.0:n täytäntöönpano on meneillään ja että kaksoiskäyttöön tarkoitettuun liikenneinfrastruktuuriin liittyviin hankkeisiin on osoitettu 1,74 miljardia euroa Verkkojen Eurooppa -välineessä vuosina 2021–2027; panee merkille, että unioni on toistaiseksi yhteisrahoittanut 95 sotilaalliseen liikkuvuuteen liittyvää hanketta 21 jäsenvaltiossa ja että 94 näistä hankkeista on vielä meneillään ja useimmat niistä saataneen päätökseen vuosien 2026 ja 2027 välillä; panee </w:t>
            </w:r>
            <w:r>
              <w:rPr>
                <w:b/>
                <w:i/>
              </w:rPr>
              <w:t>myös</w:t>
            </w:r>
            <w:r>
              <w:t xml:space="preserve"> merkille, että komissio katsoo, että kaksoiskäyttöön tarkoitetun liikenneinfrastruktuurin käytävien lujittamiseksi tarvitaan lisätoimia, myös sääntelykysymyksissä, kuten rajatylittävän liikkuvuuden lupamenettelyissä; pitää valitettavana, että sotilaalliseen liikkuvuuteen käytettiin vain 300 miljoonaa euroa vuonna 2023, ja on huolissaan siitä, että sotilaallisen liikkuvuuden määrärahojen piiriin kuuluvissa ehdotuspyynnöissä ylikysyntä oli nelinkertainen;</w:t>
            </w:r>
          </w:p>
        </w:tc>
        <w:tc>
          <w:tcPr>
            <w:tcW w:w="4876" w:type="dxa"/>
            <w:tcBorders>
              <w:top w:val="nil"/>
              <w:left w:val="nil"/>
              <w:bottom w:val="nil"/>
              <w:right w:val="nil"/>
            </w:tcBorders>
          </w:tcPr>
          <w:p>
            <w:pPr>
              <w:pStyle w:val="Normal6a"/>
            </w:pPr>
            <w:r>
              <w:t>111.</w:t>
            </w:r>
            <w:r>
              <w:tab/>
            </w:r>
            <w:r>
              <w:rPr>
                <w:b/>
                <w:i/>
              </w:rPr>
              <w:t>panee merkille</w:t>
            </w:r>
            <w:r>
              <w:t xml:space="preserve">, että sotilaallisen liikkuvuuden toimintasuunnitelma 2.0:n täytäntöönpano on meneillään ja että kaksoiskäyttöön tarkoitettuun liikenneinfrastruktuuriin liittyviin hankkeisiin on osoitettu 1,74 miljardia euroa Verkkojen Eurooppa -välineessä vuosina 2021–2027; panee merkille, että unioni on toistaiseksi yhteisrahoittanut 95 sotilaalliseen liikkuvuuteen liittyvää hanketta 21 jäsenvaltiossa ja että 94 näistä hankkeista on vielä meneillään ja useimmat niistä saataneen päätökseen vuosien 2026 ja 2027 välillä; panee </w:t>
            </w:r>
            <w:r>
              <w:rPr>
                <w:b/>
                <w:i/>
              </w:rPr>
              <w:t>huolestuneena merkille, että vuosina 2021, 2022 ja 2023 järjestettyjen kolmen ehdotuspyynnön jälkeen Verkkojen Eurooppa -välineen sotilaallisen liikkuvuuden määrärahat on nykyisellä ohjelmakaudella jo käytetty loppuun;</w:t>
            </w:r>
            <w:r>
              <w:t xml:space="preserve"> </w:t>
            </w:r>
            <w:r>
              <w:rPr>
                <w:b/>
                <w:i/>
              </w:rPr>
              <w:t>toteaa, että Euroopan turvallisuustilanteen kehitykseen Venäjän Ukrainaa vastaan käymän hyökkäyssodan syttymisen jälkeen vastattiin asettamalla määrärahoja nopeasti saataville siten, että määriä käytettiin etupainotteisesti vuosien 2022 ja 2023 ehdotuspyyntöihin, mutta katsoo kuitenkin, että tämä johti EU:n rahoituksen epävakauteen ja ennakoimattomuuteen, sillä tämän seurauksena syntyi yli neljän vuoden aukko, jonka aikana sotilaallista liikkuvuutta koskeviin ehdotuspyyntöihin kaksikäyttöinfrastruktuurihankkeiden rahoittamiseksi ei ole enää saatavilla unionin varoja, ennen kuin vuoden 2027 jälkeinen monivuotinen rahoituskehys tulee voimaan;</w:t>
            </w:r>
            <w:r>
              <w:t xml:space="preserve"> </w:t>
            </w:r>
            <w:r>
              <w:rPr>
                <w:b/>
                <w:i/>
              </w:rPr>
              <w:t>palauttaa mieliin tilintarkastustuomioistuimen erityiskertomuksessaan 04/2025 esittämät päätelmät, joiden mukaan että toimintasuunnitelmaa 2.0 ei ollut laadittu riittävän vankalle pohjalle ja edistyminen kohti sen tavoitetta, nimittäin sotilashenkilöstön, -varustuksen ja -voimavarojen nopean ja saumattoman liikkumisen varmistamista myös lyhyellä varoitusajalla ja laajassa mittakaavassa, on ollut vaihtelevaa suunnittelun puutteiden ja jäljellä olevien täytäntöönpanon esteiden vuoksi;</w:t>
            </w:r>
            <w:r>
              <w:t xml:space="preserve"> </w:t>
            </w:r>
            <w:r>
              <w:rPr>
                <w:b/>
                <w:i/>
              </w:rPr>
              <w:t>panee</w:t>
            </w:r>
            <w:r>
              <w:t xml:space="preserve"> merkille, että komissio katsoo, että kaksoiskäyttöön tarkoitetun liikenneinfrastruktuurin käytävien lujittamiseksi tarvitaan lisätoimia, myös sääntelykysymyksissä, kuten rajatylittävän liikkuvuuden lupamenettelyissä</w:t>
            </w:r>
            <w:r>
              <w:rPr>
                <w:b/>
                <w:i/>
              </w:rPr>
              <w:t>, ja kehottaa sitä noudattamaan tilintarkastustuomioistuimen suosituksia;</w:t>
            </w:r>
            <w:r>
              <w:t xml:space="preserve"> </w:t>
            </w:r>
            <w:r>
              <w:rPr>
                <w:b/>
                <w:i/>
              </w:rPr>
              <w:t>panee merkille tilintarkastustuomioistuimen huomautuksen, jonka mukaan komissio ei ollut tehnyt luotettavaa arviota rahoituksesta, jota asetettujen tavoitteiden saavuttaminen edellyttää</w:t>
            </w:r>
            <w:r>
              <w:t>; pitää valitettavana, että sotilaalliseen liikkuvuuteen käytettiin vain 300 miljoonaa euroa vuonna 2023, ja on huolissaan siitä, että sotilaallisen liikkuvuuden määrärahojen piiriin kuuluvissa ehdotuspyynnöissä ylikysyntä oli nelinkertainen</w:t>
            </w:r>
            <w:r>
              <w:rPr>
                <w:b/>
                <w:i/>
              </w:rPr>
              <w:t>, mikä on osoitus jäsenvaltioiden ja hankkeiden edunsaajien kasvavasta kiinnostuksesta; kehottaa komissiota vahvistamaan edelleen sotilaallista liikkuvuutta lisäämällä huomattavasti rahoitusta, jota on saatavilla kaksoiskäyttöön tarkoitetun liikenneinfrastruktuurin käytävien parantamiseen, kun otetaan huomioon unionin rajoihin kohdistuvat ennennäkemättömän konkreettiset uhat, ja asettamaan samalla etusijalle EU:n rahoituksen hankkeille, joilla vastataan parhaiten nykyiseen eurooppalaiseen uhkaympäristöön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Eero Heinäluoma,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112 kohta – 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lujittamaan edelleen sotilaallista liikkuvuutta unionissa lisäämällä tuntuvasti kaksoiskäyttöön tarkoitetun liikenneinfrastruktuurin käytävien parantamiseksi saatavilla olevaa rahoitusta ja toteuttamalla toimia, joilla poistetaan rajatylittävän sotilaallisen liikkuvuuden hallinnolliset sekä menettelyihin ja sääntelyyn liittyvät esteet;</w:t>
            </w:r>
          </w:p>
        </w:tc>
        <w:tc>
          <w:tcPr>
            <w:tcW w:w="4876" w:type="dxa"/>
            <w:tcBorders>
              <w:top w:val="nil"/>
              <w:left w:val="nil"/>
              <w:bottom w:val="nil"/>
              <w:right w:val="nil"/>
            </w:tcBorders>
          </w:tcPr>
          <w:p>
            <w:pPr>
              <w:pStyle w:val="Normal6a"/>
            </w:pPr>
            <w:r>
              <w:t>iii)</w:t>
            </w:r>
            <w:r>
              <w:tab/>
            </w:r>
            <w:r>
              <w:t>lujittamaan edelleen sotilaallista liikkuvuutta unionissa lisäämällä tuntuvasti kaksoiskäyttöön tarkoitetun liikenneinfrastruktuurin käytävien parantamiseksi saatavilla olevaa rahoitusta ja toteuttamalla toimia, joilla poistetaan rajatylittävän sotilaallisen liikkuvuuden hallinnolliset sekä menettelyihin ja sääntelyyn liittyvät esteet</w:t>
            </w:r>
            <w:r>
              <w:rPr>
                <w:b/>
                <w:i/>
              </w:rPr>
              <w:t>, samalla kun edistetään rahoitusta niille hankkeille, jotka vastaavat parhaiten Euroopan nykyiseen uhkaympäristöön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118 a.</w:t>
            </w:r>
            <w:r>
              <w:tab/>
            </w:r>
            <w:r>
              <w:rPr>
                <w:b/>
                <w:i/>
              </w:rPr>
              <w:t>korostaa, että EU:n tulevat laajentumiset olisi toteutettava siten, että koheesiopolitiikalle ei aiheutettaisi kohtuutonta rasitusta, eikä laajentuminen saa missään tapauksessa tapahtua EU:n nykyisiin alueisiin tehtävien investointien kustannuksella;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119.</w:t>
            </w:r>
            <w:r>
              <w:tab/>
            </w:r>
            <w:r>
              <w:t xml:space="preserve">korostaa, että unionin myöntämällä avulla ei saisi missään tilanteessa – suoraan tai epäsuorasti – rahoittaa terrorismia, minkä vuoksi sillä ei saisi tukea mitään Hamasiin tai muuhun </w:t>
            </w:r>
            <w:r>
              <w:rPr>
                <w:b/>
                <w:i/>
              </w:rPr>
              <w:t>terrorijärjestöön</w:t>
            </w:r>
            <w:r>
              <w:t xml:space="preserve"> yhteydessä olevaa yhteisöä;</w:t>
            </w:r>
          </w:p>
        </w:tc>
        <w:tc>
          <w:tcPr>
            <w:tcW w:w="4876" w:type="dxa"/>
            <w:tcBorders>
              <w:top w:val="nil"/>
              <w:left w:val="nil"/>
              <w:bottom w:val="nil"/>
              <w:right w:val="nil"/>
            </w:tcBorders>
          </w:tcPr>
          <w:p>
            <w:pPr>
              <w:pStyle w:val="Normal6a"/>
            </w:pPr>
            <w:r>
              <w:t>119.</w:t>
            </w:r>
            <w:r>
              <w:tab/>
            </w:r>
            <w:r>
              <w:t xml:space="preserve">korostaa, että unionin myöntämällä avulla ei saisi missään tilanteessa – suoraan tai epäsuorasti – rahoittaa terrorismia, minkä vuoksi sillä ei saisi tukea mitään Hamasiin tai muuhun </w:t>
            </w:r>
            <w:r>
              <w:rPr>
                <w:b/>
                <w:i/>
              </w:rPr>
              <w:t>terrori- tai äärijärjestöön</w:t>
            </w:r>
            <w:r>
              <w:t xml:space="preserve"> yhteydessä olevaa yhteisöä; </w:t>
            </w:r>
            <w:r>
              <w:rPr>
                <w:b/>
                <w:i/>
              </w:rPr>
              <w:t>painottaa, että tätä varten on perusteltua ja välttämätöntä, että kaikki EU:n tuen lopulliset edunsaajat kolmansissa maissa tunnetaan ja yksilöidään selkeästi;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119.</w:t>
            </w:r>
            <w:r>
              <w:tab/>
            </w:r>
            <w:r>
              <w:t>korostaa, että unionin myöntämällä avulla ei saisi missään tilanteessa – suoraan tai epäsuorasti – rahoittaa terrorismia, minkä vuoksi sillä ei saisi tukea mitään Hamasiin tai muuhun terrorijärjestöön yhteydessä olevaa yhteisöä;</w:t>
            </w:r>
          </w:p>
        </w:tc>
        <w:tc>
          <w:tcPr>
            <w:tcW w:w="4876" w:type="dxa"/>
            <w:tcBorders>
              <w:top w:val="nil"/>
              <w:left w:val="nil"/>
              <w:bottom w:val="nil"/>
              <w:right w:val="nil"/>
            </w:tcBorders>
          </w:tcPr>
          <w:p>
            <w:pPr>
              <w:pStyle w:val="Normal6a"/>
            </w:pPr>
            <w:r>
              <w:t>119.</w:t>
            </w:r>
            <w:r>
              <w:tab/>
            </w:r>
            <w:r>
              <w:t xml:space="preserve">korostaa, että unionin myöntämällä avulla ei saisi missään tilanteessa – suoraan tai epäsuorasti – rahoittaa terrorismia, minkä vuoksi sillä ei saisi tukea mitään Hamasiin tai muuhun terrorijärjestöön yhteydessä olevaa yhteisöä; </w:t>
            </w:r>
            <w:r>
              <w:rPr>
                <w:b/>
                <w:i/>
              </w:rPr>
              <w:t>korostaa, että tuen jakamista ja käyttöä on valvottava tiukasti varojen väärinkäytön estämiseksi;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119.</w:t>
            </w:r>
            <w:r>
              <w:tab/>
            </w:r>
            <w:r>
              <w:t xml:space="preserve">korostaa, että unionin myöntämällä avulla ei saisi missään tilanteessa – suoraan tai epäsuorasti – rahoittaa terrorismia, minkä vuoksi sillä ei saisi tukea mitään Hamasiin tai muuhun </w:t>
            </w:r>
            <w:r>
              <w:rPr>
                <w:b/>
                <w:i/>
              </w:rPr>
              <w:t>terrorijärjestöön</w:t>
            </w:r>
            <w:r>
              <w:t xml:space="preserve"> yhteydessä olevaa yhteisöä;</w:t>
            </w:r>
          </w:p>
        </w:tc>
        <w:tc>
          <w:tcPr>
            <w:tcW w:w="4876" w:type="dxa"/>
            <w:tcBorders>
              <w:top w:val="nil"/>
              <w:left w:val="nil"/>
              <w:bottom w:val="nil"/>
              <w:right w:val="nil"/>
            </w:tcBorders>
          </w:tcPr>
          <w:p>
            <w:pPr>
              <w:pStyle w:val="Normal6a"/>
            </w:pPr>
            <w:r>
              <w:t>119.</w:t>
            </w:r>
            <w:r>
              <w:tab/>
            </w:r>
            <w:r>
              <w:t xml:space="preserve">korostaa, että unionin myöntämällä avulla ei saisi missään tilanteessa – suoraan tai epäsuorasti – rahoittaa terrorismia, minkä vuoksi sillä ei saisi tukea mitään Hamasiin tai muuhun </w:t>
            </w:r>
            <w:r>
              <w:rPr>
                <w:b/>
                <w:i/>
              </w:rPr>
              <w:t>terrori- tai islamistijärjestöön</w:t>
            </w:r>
            <w:r>
              <w:t xml:space="preserve"> yhteydessä olevaa yhteisöä;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Pasquale Tridico,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119.</w:t>
            </w:r>
            <w:r>
              <w:tab/>
            </w:r>
            <w:r>
              <w:t xml:space="preserve">korostaa, että unionin myöntämällä avulla ei saisi missään tilanteessa – suoraan tai epäsuorasti – rahoittaa terrorismia, minkä vuoksi sillä ei saisi tukea mitään </w:t>
            </w:r>
            <w:r>
              <w:rPr>
                <w:b/>
                <w:i/>
              </w:rPr>
              <w:t>Hamasiin tai muuhun</w:t>
            </w:r>
            <w:r>
              <w:t xml:space="preserve"> terrorijärjestöön yhteydessä olevaa yhteisöä;</w:t>
            </w:r>
          </w:p>
        </w:tc>
        <w:tc>
          <w:tcPr>
            <w:tcW w:w="4876" w:type="dxa"/>
            <w:tcBorders>
              <w:top w:val="nil"/>
              <w:left w:val="nil"/>
              <w:bottom w:val="nil"/>
              <w:right w:val="nil"/>
            </w:tcBorders>
          </w:tcPr>
          <w:p>
            <w:pPr>
              <w:pStyle w:val="Normal6a"/>
            </w:pPr>
            <w:r>
              <w:t>119.</w:t>
            </w:r>
            <w:r>
              <w:tab/>
            </w:r>
            <w:r>
              <w:t xml:space="preserve">korostaa, että unionin myöntämällä avulla ei saisi missään tilanteessa – suoraan tai epäsuorasti – rahoittaa terrorismia, minkä vuoksi sillä ei saisi tukea mitään </w:t>
            </w:r>
            <w:r>
              <w:rPr>
                <w:b/>
                <w:i/>
              </w:rPr>
              <w:t>mihinkään</w:t>
            </w:r>
            <w:r>
              <w:t xml:space="preserve"> terrorijärjestöön yhteydessä olevaa yhteisöä;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119 a.</w:t>
            </w:r>
            <w:r>
              <w:tab/>
            </w:r>
            <w:r>
              <w:rPr>
                <w:b/>
                <w:i/>
              </w:rPr>
              <w:t>pitää valitettavana, että Euroopan komissio rahoitti vuosina 2021–2023 Erasmus+ -ohjelmasta 110 279 euron arvosta useita hankkeita, joista vastasi Al Sharq Forum -järjestön nuoriso-osasto; panee merkille, että kyseessä on turkkilainen kansalaisjärjestö, jonka perustaja on qatarilaisen Al Jazeera -mediayhtiön entinen pääjohtaja ja jota Euroopan unioni on tukenut ja rahoittanut, ja että se kehotti kunnioittamaan marttyyrinä 31. heinäkuuta 2024 surmattua Hamas-johtajaa Ismail Haniyehiä, joka oli masinoinut 1 200 ihmistä tappaneen joukkohyökkäyksen 7. lokakuuta 2023; ottaa huomioon, että Euroopan unioni on luokitellut Hamasin terroristijärjestöksi;</w:t>
            </w:r>
            <w:r>
              <w:t xml:space="preserve"> </w:t>
            </w:r>
            <w:r>
              <w:rPr>
                <w:b/>
                <w:i/>
              </w:rPr>
              <w:t>pitää edelleen valitettavana, että Gazan islamilaista yliopistoa koskevista toistuvista varoituksista huolimatta Euroopan komissio jatkoi kyseisen Hamas-myönteisen yliopiston rahoittamista Erasmus+ -ohjelmasta myös sen jälkeen, kun se oli osoittanut kunnioitusta "marttyyri" Ismail Haniyehille;</w:t>
            </w:r>
            <w:r>
              <w:t xml:space="preserve"> </w:t>
            </w:r>
            <w:r>
              <w:rPr>
                <w:b/>
                <w:i/>
              </w:rPr>
              <w:t>toteaa, että tämä yliopisto osallistuu myös komission kokonaan rahoittamaan tutkimushankkeeseen, jonka arvo on 250 000 euroa ja joka toteutetaan osana useiden eurooppalaisten yliopistojen kanssa solmittua kumppanuutta, eli näin toimien komissio viime kädessä tukee islamismin rahoittamista;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119 a.</w:t>
            </w:r>
            <w:r>
              <w:tab/>
            </w:r>
            <w:r>
              <w:rPr>
                <w:b/>
                <w:i/>
              </w:rPr>
              <w:t>muistuttaa, että naapuruuspolitiikasta ja laajentumisesta vastaava komission jäsen totesi 21. marraskuuta 2024 pidetyssä kuulemisessa, että EU:n rahoittamaan palestiinalaishallinnon uudistusohjelmaan sisältyy tappamisesta palkitsevan "pay for slay" -ohjelman lopettaminen;</w:t>
            </w:r>
            <w:r>
              <w:t xml:space="preserve"> </w:t>
            </w:r>
            <w:r>
              <w:rPr>
                <w:b/>
                <w:i/>
              </w:rPr>
              <w:t>kehottaa komissiota varmistamaan, että palestiinalaishallinto todella lopettaa ohjelman, ja tiedottamaan asiasta parlamentille viipymättä;</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119 b.</w:t>
            </w:r>
            <w:r>
              <w:tab/>
            </w:r>
            <w:r>
              <w:rPr>
                <w:b/>
                <w:i/>
              </w:rPr>
              <w:t>pitää valitettavana, että komissio auttoi rahoittamaan Al Sharq -foorumin Impact Platform -haudontaohjelmaa, jolla muun muassa autettiin kehittämään Femyso Academy -koulutusohjelmaa; palauttaa mieliin, että Femyso on järjestö, jolla on läheiset yhteydet Muslimiveljeskuntaan ja joka toteutti vuonna 2021 EU:n rahoittaman kampanjan, jonka mukaan hijabin käyttö merkitsee vapautta;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119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119 c.</w:t>
            </w:r>
            <w:r>
              <w:tab/>
            </w:r>
            <w:r>
              <w:rPr>
                <w:b/>
                <w:i/>
              </w:rPr>
              <w:t>pitää valitettavana, että Euroopan komissio on rahoittanut vuosina 2023–2024 Erasmus+ -ohjelmasta nuorisotyöntekijöiden liikkuvuutta koskevia hankkeita, joissa on mukana kansalaisjärjestö, jonka juurten katsotaan olevan Turkin presidentin Erdoganin islamilaisessa konservatiivipuolueessa AKP:ssä ja jota johtavat presidentin sukulaiset;</w:t>
            </w:r>
            <w:r>
              <w:t xml:space="preserve"> </w:t>
            </w:r>
            <w:r>
              <w:rPr>
                <w:b/>
                <w:i/>
              </w:rPr>
              <w:t>toteaa, että näitä hankkeita toteuttavat kansalaisjärjestöt useissa EU-maissa, nimittäin</w:t>
            </w:r>
            <w:r>
              <w:t xml:space="preserve"> </w:t>
            </w:r>
            <w:r>
              <w:rPr>
                <w:b/>
                <w:i/>
              </w:rPr>
              <w:t>Alankomaissa, Belgiassa, Espanjassa, Italiassa, Portugalissa, Ranskassa ja Saksassa;</w:t>
            </w:r>
            <w:r>
              <w:t xml:space="preserve"> </w:t>
            </w:r>
            <w:r>
              <w:rPr>
                <w:b/>
                <w:i/>
              </w:rPr>
              <w:t>panee merkille, että näillä kansalaisjärjestöillä on joitakin EU:n periaatteiden vastaisia tavoitteita, kuten islamin tunnustaminen viralliseksi uskonnoksi Euroopassa ”rauhan edistämiseksi yhteiskunnassa” (International Democracy Union, IDU, Alankomaiden osasto), mikä osoittaa suoraa tukea Turkin sekaantumiselle Euroopan asioihin; toteaa myös, että komissio väitetään myöntäneen taloudellista tukea vuonna 2023 joukolle yhdistyksiä, joilla on yhteyksiä Muslimiveljeskuntaan, mukaan lukien Islamic Relief Worldwide (IRW), jota Israel pitää terroristijärjestönä – samoin kuin sen tytäryhteisöjä – ja jonka tiedetään kanavoineen Hamasille useita miljoonia euroa;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119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119 d.</w:t>
            </w:r>
            <w:r>
              <w:tab/>
            </w:r>
            <w:r>
              <w:rPr>
                <w:b/>
                <w:i/>
              </w:rPr>
              <w:t>tuomitsee siksi Euroopan komission kaksitahoisen retoriikan, joka tietoisesti yllyttää EU:n ulkopuoliseen sekaantumiseen rahoittamalla jäsenvaltioiden alueella tai kolmansissa maissa periaatteita, jotka ovat ristiriidassa eurooppalaisen sivistyksen kanssa;</w:t>
            </w:r>
            <w:r>
              <w:t xml:space="preserve"> </w:t>
            </w:r>
            <w:r>
              <w:rPr>
                <w:b/>
                <w:i/>
              </w:rPr>
              <w:t>on pettynyt siihen, että komissio ei tarkasta rahoituksensa lopullisia edunsaajia, joista osa on lähellä terroriliikkeitä ja jotka voivat auttaa siten tukemaan niitä suoraan tai välillisesti EU:n rahoituksella;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119 a.</w:t>
            </w:r>
            <w:r>
              <w:tab/>
            </w:r>
            <w:r>
              <w:rPr>
                <w:b/>
                <w:i/>
              </w:rPr>
              <w:t>pitää valitettavana, että Euroopan komissio on rahoittanut Gaziantepin islamilaista tiede- ja teknologiayliopistoa, jolla on todistetusti siteitä terroristijärjestö Hamasiin;</w:t>
            </w:r>
            <w:r>
              <w:t xml:space="preserve"> </w:t>
            </w:r>
            <w:r>
              <w:rPr>
                <w:b/>
                <w:i/>
              </w:rPr>
              <w:t>kehottaa komissiota lakkauttamaan kaikki siteensä kyseiseen yliopistoon ja muihin yliopistoihin, joilla on yhteyksiä terroristijärjestöihin;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José Cepeda,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rPr>
                <w:b/>
                <w:i/>
              </w:rPr>
              <w:t>kehottaa komissiota käyttämään useampia luotettavia kumppaneita</w:t>
            </w:r>
            <w:r>
              <w:t xml:space="preserve">, kuten </w:t>
            </w:r>
            <w:r>
              <w:rPr>
                <w:b/>
                <w:i/>
              </w:rPr>
              <w:t>WHO:ta, Unicefia</w:t>
            </w:r>
            <w:r>
              <w:t xml:space="preserve"> tai Punaisen Puolikuun eri </w:t>
            </w:r>
            <w:r>
              <w:rPr>
                <w:b/>
                <w:i/>
              </w:rPr>
              <w:t>järjestöjä</w:t>
            </w:r>
            <w:r>
              <w:t xml:space="preserve">, toimitettaessa tukea ja humanitaarista apua palestiinalaisväestölle; </w:t>
            </w:r>
            <w:r>
              <w:rPr>
                <w:b/>
                <w:i/>
              </w:rPr>
              <w:t>muistuttaa</w:t>
            </w:r>
            <w:r>
              <w:t xml:space="preserve">, että komission </w:t>
            </w:r>
            <w:r>
              <w:rPr>
                <w:b/>
                <w:i/>
              </w:rPr>
              <w:t>on tärkeää taata, että ulkopuoliset asiantuntijat, Euroopan tilintarkastustuomioistuin ja kokeneet kansainväliset kumppanit valvovat UNWRA:ta riippumattomasti</w:t>
            </w:r>
            <w:r>
              <w:t>;</w:t>
            </w:r>
          </w:p>
        </w:tc>
        <w:tc>
          <w:tcPr>
            <w:tcW w:w="4876" w:type="dxa"/>
            <w:tcBorders>
              <w:top w:val="nil"/>
              <w:left w:val="nil"/>
              <w:bottom w:val="nil"/>
              <w:right w:val="nil"/>
            </w:tcBorders>
          </w:tcPr>
          <w:p>
            <w:pPr>
              <w:pStyle w:val="Normal6a"/>
            </w:pPr>
            <w:r>
              <w:t>120.</w:t>
            </w:r>
            <w:r>
              <w:tab/>
            </w:r>
            <w:r>
              <w:rPr>
                <w:b/>
                <w:i/>
              </w:rPr>
              <w:t>suhtautuu myönteisesti siihen, että komissio jatkaa yhteistyötä luotettavien kumppaneiden</w:t>
            </w:r>
            <w:r>
              <w:t xml:space="preserve">, kuten </w:t>
            </w:r>
            <w:r>
              <w:rPr>
                <w:b/>
                <w:i/>
              </w:rPr>
              <w:t>YK:n järjestöjen, WHO:n, Unicefin</w:t>
            </w:r>
            <w:r>
              <w:t xml:space="preserve"> tai Punaisen Puolikuun eri </w:t>
            </w:r>
            <w:r>
              <w:rPr>
                <w:b/>
                <w:i/>
              </w:rPr>
              <w:t>järjestöjen kanssa</w:t>
            </w:r>
            <w:r>
              <w:t xml:space="preserve">, toimitettaessa tukea ja humanitaarista apua palestiinalaisväestölle; </w:t>
            </w:r>
            <w:r>
              <w:rPr>
                <w:b/>
                <w:i/>
              </w:rPr>
              <w:t>panee merkille komission vastauksen</w:t>
            </w:r>
            <w:r>
              <w:rPr>
                <w:b/>
                <w:i/>
                <w:vertAlign w:val="superscript"/>
              </w:rPr>
              <w:t>1 b</w:t>
            </w:r>
            <w:r>
              <w:rPr>
                <w:b/>
                <w:i/>
              </w:rPr>
              <w:t>, jossa se toteaa, että vuoden 2024 EU:n rahoitus maksettiin, kun sovitut ehdot täyttyivät, mukaan lukien UNRWA:n valvonta- ja puolueettomuuskehyksen parantaminen, henkilöstön lisäseulontojen suorittaminen ja EU:n nimeämien asiantuntijoiden suorittaman "järjestelmätarkastuksen" toteuttaminen; panee merkille</w:t>
            </w:r>
            <w:r>
              <w:t xml:space="preserve">, että komission </w:t>
            </w:r>
            <w:r>
              <w:rPr>
                <w:b/>
                <w:i/>
              </w:rPr>
              <w:t>vastauksesta käy myös ilmi, että vuonna 2025 maksettiin lisäkorvauksia sen johdosta, että EU:n tarkastuksen yhteydessä annettujen ja YK:n riippumattoman arviointiryhmän antamien suositusten täytäntöönpanossa oli edistytty</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w:t>
            </w:r>
            <w:r>
              <w:t xml:space="preserve"> </w:t>
            </w:r>
            <w:r>
              <w:rPr>
                <w:b/>
                <w:i/>
              </w:rPr>
              <w:t>Parlamentin kysymys – P-002451/2024(ASW).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Pasquale Tridico,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rPr>
                <w:b/>
                <w:i/>
              </w:rPr>
              <w:t>kehottaa komissiota käyttämään useampia</w:t>
            </w:r>
            <w:r>
              <w:t xml:space="preserve"> luotettavia kumppaneita, kuten WHO:ta, </w:t>
            </w:r>
            <w:r>
              <w:rPr>
                <w:b/>
                <w:i/>
              </w:rPr>
              <w:t>Unicefia</w:t>
            </w:r>
            <w:r>
              <w:t xml:space="preserve"> tai Punaisen Puolikuun eri järjestöjä, </w:t>
            </w:r>
            <w:r>
              <w:rPr>
                <w:b/>
                <w:i/>
              </w:rPr>
              <w:t>toimitettaessa tukea ja humanitaarista apua palestiinalaisväestölle</w:t>
            </w:r>
            <w:r>
              <w:t xml:space="preserve">; muistuttaa, että komission on tärkeää taata, että ulkopuoliset asiantuntijat, Euroopan tilintarkastustuomioistuin ja kokeneet kansainväliset kumppanit valvovat </w:t>
            </w:r>
            <w:r>
              <w:rPr>
                <w:b/>
                <w:i/>
              </w:rPr>
              <w:t>UNWRA</w:t>
            </w:r>
            <w:r>
              <w:t>:</w:t>
            </w:r>
            <w:r>
              <w:rPr>
                <w:b/>
                <w:i/>
              </w:rPr>
              <w:t>ta</w:t>
            </w:r>
            <w:r>
              <w:t xml:space="preserve"> riippumattomasti;</w:t>
            </w:r>
          </w:p>
        </w:tc>
        <w:tc>
          <w:tcPr>
            <w:tcW w:w="4876" w:type="dxa"/>
            <w:tcBorders>
              <w:top w:val="nil"/>
              <w:left w:val="nil"/>
              <w:bottom w:val="nil"/>
              <w:right w:val="nil"/>
            </w:tcBorders>
          </w:tcPr>
          <w:p>
            <w:pPr>
              <w:pStyle w:val="Normal6a"/>
            </w:pPr>
            <w:r>
              <w:t>120.</w:t>
            </w:r>
            <w:r>
              <w:tab/>
            </w:r>
            <w:r>
              <w:rPr>
                <w:b/>
                <w:i/>
              </w:rPr>
              <w:t>muistuttaa, että UNRWA:lla on keskeinen rooli Palestiinan väestölle annettavan tuen ja humanitaarisen avun toimittamisessa, ja katsoo, että kaikkia alueella toimivia YK:n järjestöjä sekä muita</w:t>
            </w:r>
            <w:r>
              <w:t xml:space="preserve"> luotettavia kumppaneita, kuten WHO:ta, </w:t>
            </w:r>
            <w:r>
              <w:rPr>
                <w:b/>
                <w:i/>
              </w:rPr>
              <w:t>UNICEFia</w:t>
            </w:r>
            <w:r>
              <w:t xml:space="preserve"> tai Punaisen Puolikuun eri järjestöjä, </w:t>
            </w:r>
            <w:r>
              <w:rPr>
                <w:b/>
                <w:i/>
              </w:rPr>
              <w:t>on tuettava niiden pyrkimyksissä</w:t>
            </w:r>
            <w:r>
              <w:t xml:space="preserve">; muistuttaa, että komission on tärkeää taata, että ulkopuoliset asiantuntijat, Euroopan tilintarkastustuomioistuin ja kokeneet kansainväliset kumppanit valvovat </w:t>
            </w:r>
            <w:r>
              <w:rPr>
                <w:b/>
                <w:i/>
              </w:rPr>
              <w:t>kaikkia EU</w:t>
            </w:r>
            <w:r>
              <w:t>:</w:t>
            </w:r>
            <w:r>
              <w:rPr>
                <w:b/>
                <w:i/>
              </w:rPr>
              <w:t>n varoja saavia yhteisöjä</w:t>
            </w:r>
            <w:r>
              <w:t xml:space="preserve"> riippumattomasti;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kehottaa komissiota käyttämään useampia luotettavia kumppaneita, kuten WHO:ta, Unicefia tai Punaisen Puolikuun eri järjestöjä, toimitettaessa tukea ja humanitaarista apua palestiinalaisväestölle; muistuttaa, että komission on tärkeää taata, että ulkopuoliset asiantuntijat, Euroopan tilintarkastustuomioistuin ja kokeneet kansainväliset kumppanit valvovat UNWRA:ta riippumattomasti;</w:t>
            </w:r>
          </w:p>
        </w:tc>
        <w:tc>
          <w:tcPr>
            <w:tcW w:w="4876" w:type="dxa"/>
            <w:tcBorders>
              <w:top w:val="nil"/>
              <w:left w:val="nil"/>
              <w:bottom w:val="nil"/>
              <w:right w:val="nil"/>
            </w:tcBorders>
          </w:tcPr>
          <w:p>
            <w:pPr>
              <w:pStyle w:val="Normal6a"/>
            </w:pPr>
            <w:r>
              <w:t>120.</w:t>
            </w:r>
            <w:r>
              <w:tab/>
            </w:r>
            <w:r>
              <w:t>kehottaa komissiota käyttämään useampia luotettavia kumppaneita, kuten WHO:ta, Unicefia tai Punaisen Puolikuun eri järjestöjä, toimitettaessa tukea ja humanitaarista apua palestiinalaisväestölle</w:t>
            </w:r>
            <w:r>
              <w:rPr>
                <w:b/>
                <w:i/>
              </w:rPr>
              <w:t>, ottaen huomioon kyseenalaisen yhteistyön UNRWA:n kanssa</w:t>
            </w:r>
            <w:r>
              <w:t>; muistuttaa, että komission on tärkeää taata, että ulkopuoliset asiantuntijat, Euroopan tilintarkastustuomioistuin ja kokeneet kansainväliset kumppanit valvovat UNWRA:ta riippumattomasti;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 xml:space="preserve">kehottaa komissiota </w:t>
            </w:r>
            <w:r>
              <w:rPr>
                <w:b/>
                <w:i/>
              </w:rPr>
              <w:t>käyttämään useampia luotettavia kumppaneita, kuten WHO</w:t>
            </w:r>
            <w:r>
              <w:t>:</w:t>
            </w:r>
            <w:r>
              <w:rPr>
                <w:b/>
                <w:i/>
              </w:rPr>
              <w:t>ta, Unicefia tai Punaisen Puolikuun eri järjestöjä</w:t>
            </w:r>
            <w:r>
              <w:t>, toimitettaessa tukea ja humanitaarista apua palestiinalaisväestölle; muistuttaa, että komission on tärkeää taata, että ulkopuoliset asiantuntijat, Euroopan tilintarkastustuomioistuin ja kokeneet kansainväliset kumppanit valvovat UNWRA:ta riippumattomasti;</w:t>
            </w:r>
          </w:p>
        </w:tc>
        <w:tc>
          <w:tcPr>
            <w:tcW w:w="4876" w:type="dxa"/>
            <w:tcBorders>
              <w:top w:val="nil"/>
              <w:left w:val="nil"/>
              <w:bottom w:val="nil"/>
              <w:right w:val="nil"/>
            </w:tcBorders>
          </w:tcPr>
          <w:p>
            <w:pPr>
              <w:pStyle w:val="Normal6a"/>
            </w:pPr>
            <w:r>
              <w:t>120.</w:t>
            </w:r>
            <w:r>
              <w:tab/>
            </w:r>
            <w:r>
              <w:t xml:space="preserve">kehottaa komissiota </w:t>
            </w:r>
            <w:r>
              <w:rPr>
                <w:b/>
                <w:i/>
              </w:rPr>
              <w:t>lisäämään tukea UNRWA</w:t>
            </w:r>
            <w:r>
              <w:t>:</w:t>
            </w:r>
            <w:r>
              <w:rPr>
                <w:b/>
                <w:i/>
              </w:rPr>
              <w:t>lle ja kaikille luotettaville kumppaneille, myös paikallisille kansalaisjärjestöille</w:t>
            </w:r>
            <w:r>
              <w:t>, toimitettaessa tukea ja humanitaarista apua palestiinalaisväestölle; muistuttaa, että komission on tärkeää taata, että ulkopuoliset asiantuntijat, Euroopan tilintarkastustuomioistuin ja kokeneet kansainväliset kumppanit valvovat UNWRA:ta riippumattomasti</w:t>
            </w:r>
            <w:r>
              <w:rPr>
                <w:b/>
                <w:i/>
                <w:vertAlign w:val="superscript"/>
              </w:rPr>
              <w:t>1 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YK:n turvallisuusneuvosto vahvisti lokakuussa 2024 antamassaan julkilausumassa, että mikään järjestö ei voi korvata tai korvata UNRWA:n valmiuksia ja toimeksiantoa palvella palestiinalaispakolaisia ja siviilejä, jotka tarvitsevat kiireellisesti ihmishenkiä pelastavaa humanitaarista apua.</w:t>
            </w:r>
            <w:r>
              <w:t xml:space="preserve"> </w:t>
            </w:r>
            <w:r>
              <w:rPr>
                <w:b/>
                <w:i/>
              </w:rPr>
              <w:t>Koko teksti:</w:t>
            </w:r>
            <w:r>
              <w:t xml:space="preserve"> </w:t>
            </w:r>
            <w:r>
              <w:rPr>
                <w:b/>
                <w:i/>
              </w:rPr>
              <w:t>https://press.un.org/en/2024/sc15874.doc.htm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kehottaa komissiota käyttämään useampia luotettavia kumppaneita, kuten WHO:ta, Unicefia tai Punaisen Puolikuun eri järjestöjä, toimitettaessa tukea ja humanitaarista apua palestiinalaisväestölle; muistuttaa, että komission on tärkeää taata, että ulkopuoliset asiantuntijat, Euroopan tilintarkastustuomioistuin ja kokeneet kansainväliset kumppanit valvovat UNWRA:ta riippumattomasti;</w:t>
            </w:r>
          </w:p>
        </w:tc>
        <w:tc>
          <w:tcPr>
            <w:tcW w:w="4876" w:type="dxa"/>
            <w:tcBorders>
              <w:top w:val="nil"/>
              <w:left w:val="nil"/>
              <w:bottom w:val="nil"/>
              <w:right w:val="nil"/>
            </w:tcBorders>
          </w:tcPr>
          <w:p>
            <w:pPr>
              <w:pStyle w:val="Normal6a"/>
            </w:pPr>
            <w:r>
              <w:t>120.</w:t>
            </w:r>
            <w:r>
              <w:tab/>
            </w:r>
            <w:r>
              <w:t xml:space="preserve">kehottaa komissiota käyttämään useampia luotettavia kumppaneita, kuten WHO:ta, </w:t>
            </w:r>
            <w:r>
              <w:rPr>
                <w:b/>
                <w:i/>
              </w:rPr>
              <w:t>Maailman ruokaohjelmaa,</w:t>
            </w:r>
            <w:r>
              <w:t xml:space="preserve"> Unicefia tai Punaisen Puolikuun eri järjestöjä, toimitettaessa tukea ja humanitaarista apua palestiinalaisväestölle; muistuttaa, että komission on tärkeää taata, että ulkopuoliset asiantuntijat, Euroopan tilintarkastustuomioistuin ja kokeneet kansainväliset kumppanit valvovat UNWRA:ta riippumattomasti;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120 a.</w:t>
            </w:r>
            <w:r>
              <w:tab/>
            </w:r>
            <w:r>
              <w:rPr>
                <w:b/>
                <w:i/>
              </w:rPr>
              <w:t>tuomitsee UNRWA:n työntekijöiden osallisuuden 7. lokakuuta 2023 tapahtuneeseen terrori-iskuun;</w:t>
            </w:r>
            <w:r>
              <w:t xml:space="preserve"> </w:t>
            </w:r>
            <w:r>
              <w:rPr>
                <w:b/>
                <w:i/>
              </w:rPr>
              <w:t>ehdottaa, että komissio harkitsee varojen ohjaamista pois UNRWA:lta muille Gazassa ja palestiinalaisalueilla toimiville luotettaville kumppaneille palestiinalaisten siviilien auttamiseksi, jotta terroristijärjestöt ja terroristit eivät voisi käyttää väärin EU:n veronmaksajien rahoja;</w:t>
            </w:r>
            <w:r>
              <w:t xml:space="preserve"> </w:t>
            </w:r>
            <w:r>
              <w:rPr>
                <w:b/>
                <w:i/>
              </w:rPr>
              <w:t>kehottaa komissiota vaatimaan, että Euroopan tilintarkastustuomioistuin ja EU:n nimittämät riippumattomat ulkopuoliset asiantuntijat kohdistavat UNRWA:n toimintaan tiukkoja valvontatoimia ja tarkastuksia;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121.</w:t>
            </w:r>
            <w:r>
              <w:tab/>
            </w:r>
            <w:r>
              <w:rPr>
                <w:b/>
                <w:i/>
              </w:rPr>
              <w:t>panee merkille, että komissio on viime kuukausina työskennellyt yhdessä UNRWA:n kanssa, jotta voitaisiin tehostaa neutraaliusprosesseja ja valvontajärjestelmiä virastossa YK:n sisäisen tarkastusviraston (OIOS) suorittamien, sen 19 henkilöstön jäsenen väitettyä osallisuutta lokakuun 7. päivän 2023 iskuun koskevien tutkimusten havaintojen mukaisesti ja seurata UNRWA:n esittämän, Ranskan entisen ulkoasiainministerin Colonnan johtaman riippumattoman arviointiryhmän suositusten täytäntöönpanoa koskevan toimintasuunnitelman soveltamista valvonnan lujittamiseksi;</w:t>
            </w:r>
            <w:r>
              <w:t xml:space="preserve"> </w:t>
            </w:r>
            <w:r>
              <w:rPr>
                <w:b/>
                <w:i/>
              </w:rPr>
              <w:t>toteaa, että komissio on arvioinut uudelleen UNRWA:ta koskevaa EU:n vuoden 2024 rahoituspäätöstä ja että unioni pääsi komission jäsen Várhelyin ja UNRWA:n päävaltuutetun Lazzarinin välillä huhtikuussa 2024 käydyn kirjeenvaihdon perusteella sopimukseen EU:n UNRWA:lle antamasta ehdollisesta avusta, joka on kytketty tiettyihin välitavoitteisiin kolmessa toimintalinjassa, mukaan lukien UNRWA:n henkilöstön seulonta, EU:n tarkastus sekä sisäisten tutkimusten osaston ja eettisen toimiston lujittaminen;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José Cepeda,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121.</w:t>
            </w:r>
            <w:r>
              <w:tab/>
            </w:r>
            <w:r>
              <w:t>panee merkille, että komissio on viime kuukausina työskennellyt yhdessä UNRWA:n kanssa, jotta voitaisiin tehostaa neutraaliusprosesseja ja valvontajärjestelmiä virastossa YK:n sisäisen tarkastusviraston (OIOS) suorittamien, sen 19 henkilöstön jäsenen väitettyä osallisuutta lokakuun 7. päivän 2023 iskuun koskevien tutkimusten havaintojen mukaisesti ja seurata UNRWA:n esittämän, Ranskan entisen ulkoasiainministerin Colonnan johtaman riippumattoman arviointiryhmän suositusten täytäntöönpanoa koskevan toimintasuunnitelman soveltamista valvonnan lujittamiseksi; toteaa, että komissio on arvioinut uudelleen UNRWA:ta koskevaa EU:n vuoden 2024 rahoituspäätöstä ja että unioni pääsi komission jäsen Várhelyin ja UNRWA:n päävaltuutetun Lazzarinin välillä huhtikuussa 2024 käydyn kirjeenvaihdon perusteella sopimukseen EU:n UNRWA:lle antamasta ehdollisesta avusta, joka on kytketty tiettyihin välitavoitteisiin kolmessa toimintalinjassa, mukaan lukien UNRWA:n henkilöstön seulonta, EU:n tarkastus sekä sisäisten tutkimusten osaston ja eettisen toimiston lujittaminen;</w:t>
            </w:r>
          </w:p>
        </w:tc>
        <w:tc>
          <w:tcPr>
            <w:tcW w:w="4876" w:type="dxa"/>
            <w:tcBorders>
              <w:top w:val="nil"/>
              <w:left w:val="nil"/>
              <w:bottom w:val="nil"/>
              <w:right w:val="nil"/>
            </w:tcBorders>
          </w:tcPr>
          <w:p>
            <w:pPr>
              <w:pStyle w:val="Normal6a"/>
            </w:pPr>
            <w:r>
              <w:t>121.</w:t>
            </w:r>
            <w:r>
              <w:tab/>
            </w:r>
            <w:r>
              <w:t xml:space="preserve">panee merkille, että komissio on viime kuukausina työskennellyt yhdessä UNRWA:n kanssa, jotta voitaisiin tehostaa neutraaliusprosesseja ja valvontajärjestelmiä virastossa YK:n sisäisen tarkastusviraston (OIOS) suorittamien, sen 19 henkilöstön jäsenen väitettyä osallisuutta lokakuun 7. päivän 2023 iskuun koskevien tutkimusten havaintojen mukaisesti ja seurata UNRWA:n esittämän, Ranskan entisen ulkoasiainministerin Colonnan johtaman riippumattoman arviointiryhmän suositusten täytäntöönpanoa koskevan toimintasuunnitelman soveltamista valvonnan lujittamiseksi; toteaa, että komissio on arvioinut uudelleen UNRWA:ta koskevaa EU:n vuoden 2024 rahoituspäätöstä ja että unioni pääsi komission jäsen Várhelyin ja UNRWA:n päävaltuutetun Lazzarinin välillä huhtikuussa 2024 käydyn kirjeenvaihdon perusteella sopimukseen EU:n UNRWA:lle antamasta ehdollisesta avusta, joka on kytketty tiettyihin välitavoitteisiin kolmessa toimintalinjassa, mukaan lukien UNRWA:n henkilöstön seulonta, EU:n tarkastus sekä sisäisten tutkimusten osaston ja eettisen toimiston lujittaminen; </w:t>
            </w:r>
            <w:r>
              <w:rPr>
                <w:b/>
                <w:i/>
              </w:rPr>
              <w:t>panee merkille, että vaaditut välitavoitteet on saavutettu, ja panee merkille Colonnan raportin päätelmän, jonka mukaan puolueettomuus on osapuolten yhteinen vastuu;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Pasquale Tridico,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121.</w:t>
            </w:r>
            <w:r>
              <w:tab/>
            </w:r>
            <w:r>
              <w:t>panee merkille, että komissio on viime kuukausina työskennellyt yhdessä UNRWA:n kanssa, jotta voitaisiin tehostaa neutraaliusprosesseja ja valvontajärjestelmiä virastossa YK:n sisäisen tarkastusviraston (OIOS) suorittamien</w:t>
            </w:r>
            <w:r>
              <w:rPr>
                <w:b/>
                <w:i/>
              </w:rPr>
              <w:t>, sen 19</w:t>
            </w:r>
            <w:r>
              <w:t xml:space="preserve"> henkilöstön </w:t>
            </w:r>
            <w:r>
              <w:rPr>
                <w:b/>
                <w:i/>
              </w:rPr>
              <w:t>jäsenen väitettyä osallisuutta</w:t>
            </w:r>
            <w:r>
              <w:t xml:space="preserve"> lokakuun 7. päivän 2023 iskuun </w:t>
            </w:r>
            <w:r>
              <w:rPr>
                <w:b/>
                <w:i/>
              </w:rPr>
              <w:t>koskevien tutkimusten havaintojen mukaisesti</w:t>
            </w:r>
            <w:r>
              <w:t xml:space="preserve"> ja seurata UNRWA:n esittämän, Ranskan entisen ulkoasiainministerin Colonnan johtaman riippumattoman arviointiryhmän suositusten täytäntöönpanoa koskevan toimintasuunnitelman soveltamista valvonnan lujittamiseksi; toteaa, että komissio on arvioinut uudelleen UNRWA:ta koskevaa EU:n vuoden 2024 rahoituspäätöstä ja että unioni pääsi komission jäsen Várhelyin ja UNRWA:n päävaltuutetun Lazzarinin välillä huhtikuussa 2024 käydyn kirjeenvaihdon perusteella sopimukseen EU:n UNRWA:lle antamasta ehdollisesta avusta, joka on kytketty tiettyihin välitavoitteisiin kolmessa toimintalinjassa, mukaan lukien UNRWA:n henkilöstön seulonta, EU:n tarkastus sekä sisäisten tutkimusten osaston ja eettisen toimiston lujittaminen;</w:t>
            </w:r>
          </w:p>
        </w:tc>
        <w:tc>
          <w:tcPr>
            <w:tcW w:w="4876" w:type="dxa"/>
            <w:tcBorders>
              <w:top w:val="nil"/>
              <w:left w:val="nil"/>
              <w:bottom w:val="nil"/>
              <w:right w:val="nil"/>
            </w:tcBorders>
          </w:tcPr>
          <w:p>
            <w:pPr>
              <w:pStyle w:val="Normal6a"/>
            </w:pPr>
            <w:r>
              <w:t>121.</w:t>
            </w:r>
            <w:r>
              <w:tab/>
            </w:r>
            <w:r>
              <w:t xml:space="preserve">panee merkille, että komissio on viime kuukausina työskennellyt yhdessä UNRWA:n kanssa, jotta voitaisiin tehostaa neutraaliusprosesseja ja valvontajärjestelmiä virastossa YK:n sisäisen tarkastusviraston (OIOS) suorittamien </w:t>
            </w:r>
            <w:r>
              <w:rPr>
                <w:b/>
                <w:i/>
              </w:rPr>
              <w:t>koskevien tutkimusten havaintojen mukaisesti tapauksessa, jossa 19 UNRWA:n 13 000:sta</w:t>
            </w:r>
            <w:r>
              <w:t xml:space="preserve"> henkilöstön </w:t>
            </w:r>
            <w:r>
              <w:rPr>
                <w:b/>
                <w:i/>
              </w:rPr>
              <w:t>jäsenestä oli väitetysti osallisena</w:t>
            </w:r>
            <w:r>
              <w:t xml:space="preserve"> lokakuun 7. päivän 2023 iskuun</w:t>
            </w:r>
            <w:r>
              <w:rPr>
                <w:b/>
                <w:i/>
              </w:rPr>
              <w:t>,</w:t>
            </w:r>
            <w:r>
              <w:t xml:space="preserve"> ja seurata UNRWA:n esittämän, Ranskan entisen ulkoasiainministerin Colonnan johtaman riippumattoman arviointiryhmän suositusten täytäntöönpanoa koskevan toimintasuunnitelman soveltamista valvonnan lujittamiseksi; toteaa, että komissio on arvioinut uudelleen UNRWA:ta koskevaa EU:n vuoden 2024 rahoituspäätöstä ja että unioni pääsi komission jäsen Várhelyin ja UNRWA:n päävaltuutetun Lazzarinin välillä huhtikuussa 2024 käydyn kirjeenvaihdon perusteella sopimukseen EU:n UNRWA:lle antamasta ehdollisesta avusta, joka on kytketty tiettyihin välitavoitteisiin kolmessa toimintalinjassa, mukaan lukien UNRWA:n henkilöstön seulonta, EU:n tarkastus sekä sisäisten tutkimusten osaston ja eettisen toimiston lujittaminen; </w:t>
            </w:r>
            <w:r>
              <w:rPr>
                <w:b/>
                <w:i/>
              </w:rPr>
              <w:t>muistuttaa, että UNRWA on täyttänyt kaikki sovitut ehdot, mikä on mahdollistanut EU:n avun maksamisen kokonaisuudessaan;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121.</w:t>
            </w:r>
            <w:r>
              <w:tab/>
            </w:r>
            <w:r>
              <w:rPr>
                <w:b/>
                <w:i/>
              </w:rPr>
              <w:t>panee merkille</w:t>
            </w:r>
            <w:r>
              <w:t>, että komissio on viime kuukausina työskennellyt yhdessä UNRWA:n kanssa, jotta voitaisiin tehostaa neutraaliusprosesseja ja valvontajärjestelmiä virastossa YK:n sisäisen tarkastusviraston (OIOS) suorittamien, sen 19 henkilöstön jäsenen väitettyä osallisuutta lokakuun 7. päivän 2023 iskuun koskevien tutkimusten havaintojen mukaisesti ja seurata UNRWA:n esittämän, Ranskan entisen ulkoasiainministerin Colonnan johtaman riippumattoman arviointiryhmän suositusten täytäntöönpanoa koskevan toimintasuunnitelman soveltamista valvonnan lujittamiseksi; toteaa, että komissio on arvioinut uudelleen UNRWA:ta koskevaa EU:n vuoden 2024 rahoituspäätöstä ja että unioni pääsi komission jäsen Várhelyin ja UNRWA:n päävaltuutetun Lazzarinin välillä huhtikuussa 2024 käydyn kirjeenvaihdon perusteella sopimukseen EU:n UNRWA:lle antamasta ehdollisesta avusta, joka on kytketty tiettyihin välitavoitteisiin kolmessa toimintalinjassa, mukaan lukien UNRWA:n henkilöstön seulonta, EU:n tarkastus sekä sisäisten tutkimusten osaston ja eettisen toimiston lujittaminen;</w:t>
            </w:r>
          </w:p>
        </w:tc>
        <w:tc>
          <w:tcPr>
            <w:tcW w:w="4876" w:type="dxa"/>
            <w:tcBorders>
              <w:top w:val="nil"/>
              <w:left w:val="nil"/>
              <w:bottom w:val="nil"/>
              <w:right w:val="nil"/>
            </w:tcBorders>
          </w:tcPr>
          <w:p>
            <w:pPr>
              <w:pStyle w:val="Normal6a"/>
            </w:pPr>
            <w:r>
              <w:t>121.</w:t>
            </w:r>
            <w:r>
              <w:tab/>
            </w:r>
            <w:r>
              <w:rPr>
                <w:b/>
                <w:i/>
              </w:rPr>
              <w:t>suhtautuu myönteisesti siihen</w:t>
            </w:r>
            <w:r>
              <w:t>, että komissio on viime kuukausina työskennellyt yhdessä UNRWA:n kanssa, jotta voitaisiin tehostaa neutraaliusprosesseja ja valvontajärjestelmiä virastossa YK:n sisäisen tarkastusviraston (OIOS) suorittamien, sen 19 henkilöstön jäsenen väitettyä osallisuutta lokakuun 7. päivän 2023 iskuun koskevien tutkimusten havaintojen mukaisesti ja seurata UNRWA:n esittämän, Ranskan entisen ulkoasiainministerin Colonnan johtaman riippumattoman arviointiryhmän suositusten täytäntöönpanoa koskevan toimintasuunnitelman soveltamista valvonnan lujittamiseksi; toteaa, että komissio on arvioinut uudelleen UNRWA:ta koskevaa EU:n vuoden 2024 rahoituspäätöstä ja että unioni pääsi komission jäsen Várhelyin ja UNRWA:n päävaltuutetun Lazzarinin välillä huhtikuussa 2024 käydyn kirjeenvaihdon perusteella sopimukseen EU:n UNRWA:lle antamasta ehdollisesta avusta, joka on kytketty tiettyihin välitavoitteisiin kolmessa toimintalinjassa, mukaan lukien UNRWA:n henkilöstön seulonta, EU:n tarkastus sekä sisäisten tutkimusten osaston ja eettisen toimiston lujittaminen;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Pasquale Tridico,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121 a.</w:t>
            </w:r>
            <w:r>
              <w:tab/>
            </w:r>
            <w:r>
              <w:rPr>
                <w:b/>
                <w:i/>
              </w:rPr>
              <w:t>kehottaa maksamaan kaikki rahoitussitoumukset kokonaisuudessaan UNRWA:lle;</w:t>
            </w:r>
            <w:r>
              <w:t xml:space="preserve"> </w:t>
            </w:r>
            <w:r>
              <w:rPr>
                <w:b/>
                <w:i/>
              </w:rPr>
              <w:t>muistuttaa, että UNRWA on Gazan ja Länsirannan tärkein humanitaarisen avun rakenne sekä alueen keskeinen palveluntarjoaja;</w:t>
            </w:r>
            <w:r>
              <w:t xml:space="preserve"> </w:t>
            </w:r>
            <w:r>
              <w:rPr>
                <w:b/>
                <w:i/>
              </w:rPr>
              <w:t>korostaa eteläistä naapurustoa koskevan budjettikohdan merkitystä, kun tuetaan alueen poliittisia, taloudellisia ja yhteiskunnallisia uudistuksia, ottaen huomioon, että humanitaariset tarpeet kasvavat ja että alueellisella yhteistyöllä on muita päämääriä, jotka liittyvät avun antamiseen pakolaisille, erityisesti syyrialais- ja palestiinalaispakolaisille</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AFET-valiokunnan lausunto vastuuvapauden myöntämisestä komissiolle.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José Cepeda,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121 a.</w:t>
            </w:r>
            <w:r>
              <w:tab/>
            </w:r>
            <w:r>
              <w:rPr>
                <w:b/>
                <w:i/>
              </w:rPr>
              <w:t>muistuttaa, että edellä mainitussa komission vastauksessa todetaan, että UNRWA on tarjonnut ihmishenkiä pelastavia palveluja Gazassa ja koko alueella YK:n yleiskokouksen hyväksymän toimeksiannon mukaisesti, ja muistuttaa, että Eurooppa-neuvosto on vahvistanut toistuvasti, että nämä palvelut ovat välttämättömiä, ja on tuominnut kaikki yritykset kumota Israelin ja UNRWA:n välillä vuonna 1967 tehty sopimus tai muulla tavoin yrittää estää sen valmiuksia hoitaa toimeksiantoaan;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Pasquale Tridico,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122.</w:t>
            </w:r>
            <w:r>
              <w:tab/>
            </w:r>
            <w:r>
              <w:rPr>
                <w:b/>
                <w:i/>
              </w:rPr>
              <w:t>kehottaa palestiinalaishallintoa poistamaan seuraavaan kouluvuoteen mennessä kaikki oppimateriaalit ja opetussisällöt, jotka eivät ole</w:t>
            </w:r>
            <w:r>
              <w:t xml:space="preserve"> Unescon normien </w:t>
            </w:r>
            <w:r>
              <w:rPr>
                <w:b/>
                <w:i/>
              </w:rPr>
              <w:t>mukaisia, erityisesti ne, jotka sisältävät</w:t>
            </w:r>
            <w:r>
              <w:t xml:space="preserve"> unionin </w:t>
            </w:r>
            <w:r>
              <w:rPr>
                <w:b/>
                <w:i/>
              </w:rPr>
              <w:t>tukeman holokaustin muistoa kunnioittavan kansainvälisen liiton luokittelun mukaan antisemitistisiksi määriteltyjä elementtejä, väkivaltaan yllyttämistä, vihapuhetta ja terrorismin ihannointia;</w:t>
            </w:r>
            <w:r>
              <w:t xml:space="preserve"> </w:t>
            </w:r>
            <w:r>
              <w:rPr>
                <w:b/>
                <w:i/>
              </w:rPr>
              <w:t>palauttaa mieliin parlamentin 11. huhtikuuta 2024 hyväksymän vastuuvapauspäätöslauselman 199 kohdan, jossa lokakuun 7. päivän 2023 julmuudet yhdistetään palestiinalaishallinnon oppimateriaaleissa olevaan vihaan yllyttävään sisältöön;</w:t>
            </w:r>
            <w:r>
              <w:t xml:space="preserve"> </w:t>
            </w:r>
            <w:r>
              <w:rPr>
                <w:b/>
                <w:i/>
              </w:rPr>
              <w:t>korostaa, että</w:t>
            </w:r>
            <w:r>
              <w:t xml:space="preserve"> unionin </w:t>
            </w:r>
            <w:r>
              <w:rPr>
                <w:b/>
                <w:i/>
              </w:rPr>
              <w:t>olisi annettava palestiinalaishallinnolle rahoitustukea koulutuksen alalla edellyttäen oppikirjasisällön yhdenmukaistamista</w:t>
            </w:r>
            <w:r>
              <w:t xml:space="preserve"> Unescon </w:t>
            </w:r>
            <w:r>
              <w:rPr>
                <w:b/>
                <w:i/>
              </w:rPr>
              <w:t>normien kanssa, kuten unionin opetusministerit päättivät Pariisissa 17. maaliskuuta 2015, kaikkien juutalaisvastaisten viittausten poistamista ja vihaan ja väkivaltaan yllyttävien esimerkkien poistamista, kuten vastuuvapauspäätöksiin liitetyissä päätöslauselmissa on toistuvasti pyydetty;</w:t>
            </w:r>
            <w:r>
              <w:t xml:space="preserve"> </w:t>
            </w:r>
            <w:r>
              <w:rPr>
                <w:b/>
                <w:i/>
              </w:rPr>
              <w:t>muistuttaa, että palestiinalaisia oppikirjoja koskevassa komission arvioinnissa, joka perustuu unionin rahoittamaan Georg Eckert -instituutin raporttiin, tuodaan selkeästi esiin, että hyvin ongelmallisen sisällön jatkuva esiintyminen on edelleen vakava huolenaihe</w:t>
            </w:r>
            <w:r>
              <w:t xml:space="preserve">; toteaa, että komissio aikoo harjoittaa tiivistä valvontaa sen varmistamiseksi, ettei unionin varoja osoiteta suoraan tai välillisesti </w:t>
            </w:r>
            <w:r>
              <w:rPr>
                <w:b/>
                <w:i/>
              </w:rPr>
              <w:t>tällaisten</w:t>
            </w:r>
            <w:r>
              <w:t xml:space="preserve"> oppimateriaalien, mukaan lukien YK:n järjestöjen tarjoamat oppimateriaalit, laatimiseen, niiden käyttöön palestiinalaislapsille annettavassa opetuksessa tai niiden asettamiseen heidän saatavilleen;</w:t>
            </w:r>
          </w:p>
        </w:tc>
        <w:tc>
          <w:tcPr>
            <w:tcW w:w="4876" w:type="dxa"/>
            <w:tcBorders>
              <w:top w:val="nil"/>
              <w:left w:val="nil"/>
              <w:bottom w:val="nil"/>
              <w:right w:val="nil"/>
            </w:tcBorders>
          </w:tcPr>
          <w:p>
            <w:pPr>
              <w:pStyle w:val="Normal6a"/>
            </w:pPr>
            <w:r>
              <w:t>122.</w:t>
            </w:r>
            <w:r>
              <w:tab/>
            </w:r>
            <w:r>
              <w:rPr>
                <w:b/>
                <w:i/>
              </w:rPr>
              <w:t>korostaa, että unionin olisi annettava palestiinalaishallinnolle rahoitustukea koulutuksen alalla edellyttäen oppikirjasisällön yhdenmukaistamista</w:t>
            </w:r>
            <w:r>
              <w:t xml:space="preserve"> Unescon normien </w:t>
            </w:r>
            <w:r>
              <w:rPr>
                <w:b/>
                <w:i/>
              </w:rPr>
              <w:t>kanssa, ja että normien noudattaminen osoitettiin komission tilaamassa Georg Eckert -instituutin raportissa palestiinalaisista oppikirjoista;</w:t>
            </w:r>
            <w:r>
              <w:t xml:space="preserve"> </w:t>
            </w:r>
            <w:r>
              <w:rPr>
                <w:b/>
                <w:i/>
              </w:rPr>
              <w:t>muistuttaa, että kuten</w:t>
            </w:r>
            <w:r>
              <w:t xml:space="preserve"> unionin </w:t>
            </w:r>
            <w:r>
              <w:rPr>
                <w:b/>
                <w:i/>
              </w:rPr>
              <w:t>opetusministerit päättivät Pariisissa 17. maaliskuuta 2015, Pariisin julistuksessa kehotetaan jäsenvaltioita pyrkimään useisiin kansallisen ja paikallisen tason tavoitteisiin, joissa määritetään EU:n tason yhteistyön yleiset painopisteet, kuten kulttuurienvälisten taitojen ja kulttuurienvälisen vuoropuhelun edistäminen, ja parantamaan kriittistä ajattelua ja medialukutaitoa, jotta voidaan vastustaa syrjintää, indoktrinointia ja vihapuhetta;</w:t>
            </w:r>
            <w:r>
              <w:t xml:space="preserve"> </w:t>
            </w:r>
            <w:r>
              <w:rPr>
                <w:b/>
                <w:i/>
              </w:rPr>
              <w:t>katsoo, että näitä yleismaailmallisia arvoja ja periaatteita on sovellettava myös EU:n ulkopuolella;</w:t>
            </w:r>
            <w:r>
              <w:t xml:space="preserve"> </w:t>
            </w:r>
            <w:r>
              <w:rPr>
                <w:b/>
                <w:i/>
              </w:rPr>
              <w:t>muistuttaa, että palestiinalaisia oppikirjoja koskeva komission arviointi, joka perustuu</w:t>
            </w:r>
            <w:r>
              <w:t xml:space="preserve"> unionin </w:t>
            </w:r>
            <w:r>
              <w:rPr>
                <w:b/>
                <w:i/>
              </w:rPr>
              <w:t>rahoittamaan Georg Eckert -instituutin raporttiin, paljastaa monitahoisen kuvan, josta käy ilmi, että i) oppikirjoissa noudatetaan</w:t>
            </w:r>
            <w:r>
              <w:t xml:space="preserve"> Unescon </w:t>
            </w:r>
            <w:r>
              <w:rPr>
                <w:b/>
                <w:i/>
              </w:rPr>
              <w:t>normeja ja sovelletaan kriteerejä, jotka ovat näkyvästi esillä kansainvälisessä koulutuskeskustelussa, muun muassa painotetaan voimakkaasti ihmisoikeuksia, ii) ne ilmentävät Israelin ja Palestiinan konfliktiin liittyvää vastarintanarratiivia ja iii) niissä esiintyy vihamielisyyttä Israelia kohtaan;</w:t>
            </w:r>
            <w:r>
              <w:t xml:space="preserve"> </w:t>
            </w:r>
            <w:r>
              <w:rPr>
                <w:b/>
                <w:i/>
              </w:rPr>
              <w:t>toteaa, että unioni ei rahoita palestiinalaisten oppikirjoja ja että ne eivät ole myöskään UNRWA:n vastuulla, sillä UNRWA pyrkii tarjoamaan laadukasta koulutusta painottaen ihmisoikeuskulttuurin edistämistä myös haastavina aikoina</w:t>
            </w:r>
            <w:r>
              <w:t xml:space="preserve">; toteaa, että komissio aikoo harjoittaa tiivistä valvontaa sen varmistamiseksi, ettei unionin varoja osoiteta suoraan tai välillisesti </w:t>
            </w:r>
            <w:r>
              <w:rPr>
                <w:b/>
                <w:i/>
              </w:rPr>
              <w:t>antisemitismiin, väkivaltaan tai vihaan yllyttävien</w:t>
            </w:r>
            <w:r>
              <w:t xml:space="preserve"> oppimateriaalien, mukaan lukien YK:n järjestöjen tarjoamat oppimateriaalit, laatimiseen, niiden käyttöön palestiinalaislapsille annettavassa opetuksessa tai niiden asettamiseen heidän saatavilleen</w:t>
            </w:r>
            <w:r>
              <w:rPr>
                <w:b/>
                <w:i/>
              </w:rPr>
              <w:t>, ja katsoo, että YK:n järjestöjen vastuu on suljettava pois, koska UNRWA käyttää ainoastaan isäntämaiden oppikirjoja laadukkaan koulutuksen tarjoamista pakolaisille koskevien YK:n parhaiden käytäntöjen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José Cepeda,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122.</w:t>
            </w:r>
            <w:r>
              <w:tab/>
            </w:r>
            <w:r>
              <w:t xml:space="preserve">kehottaa palestiinalaishallintoa poistamaan seuraavaan kouluvuoteen mennessä kaikki oppimateriaalit ja opetussisällöt, jotka eivät ole Unescon normien mukaisia, erityisesti ne, jotka sisältävät unionin tukeman holokaustin muistoa kunnioittavan kansainvälisen liiton luokittelun mukaan antisemitistisiksi määriteltyjä elementtejä, väkivaltaan yllyttämistä, vihapuhetta ja terrorismin ihannointia; palauttaa mieliin parlamentin 11. huhtikuuta 2024 hyväksymän vastuuvapauspäätöslauselman 199 kohdan, jossa lokakuun 7. päivän 2023 julmuudet yhdistetään palestiinalaishallinnon oppimateriaaleissa olevaan vihaan yllyttävään sisältöön; korostaa, että unionin olisi annettava palestiinalaishallinnolle rahoitustukea koulutuksen alalla edellyttäen oppikirjasisällön yhdenmukaistamista Unescon normien kanssa, kuten unionin opetusministerit päättivät Pariisissa 17. maaliskuuta 2015, kaikkien juutalaisvastaisten viittausten poistamista ja vihaan ja väkivaltaan yllyttävien esimerkkien poistamista, kuten vastuuvapauspäätöksiin liitetyissä päätöslauselmissa on toistuvasti pyydetty; muistuttaa, että palestiinalaisia oppikirjoja </w:t>
            </w:r>
            <w:r>
              <w:rPr>
                <w:b/>
                <w:i/>
              </w:rPr>
              <w:t>koskevassa</w:t>
            </w:r>
            <w:r>
              <w:t xml:space="preserve"> komission </w:t>
            </w:r>
            <w:r>
              <w:rPr>
                <w:b/>
                <w:i/>
              </w:rPr>
              <w:t>arvioinnissa</w:t>
            </w:r>
            <w:r>
              <w:t xml:space="preserve">, joka perustuu unionin rahoittamaan Georg Eckert -instituutin raporttiin, </w:t>
            </w:r>
            <w:r>
              <w:rPr>
                <w:b/>
                <w:i/>
              </w:rPr>
              <w:t>tuodaan selkeästi esiin, että hyvin ongelmallisen sisällön jatkuva esiintyminen on edelleen vakava huolenaihe</w:t>
            </w:r>
            <w:r>
              <w:t>; toteaa, että komissio aikoo harjoittaa tiivistä valvontaa sen varmistamiseksi, ettei unionin varoja osoiteta suoraan tai välillisesti tällaisten oppimateriaalien, mukaan lukien YK:n järjestöjen tarjoamat oppimateriaalit, laatimiseen, niiden käyttöön palestiinalaislapsille annettavassa opetuksessa tai niiden asettamiseen heidän saatavilleen;</w:t>
            </w:r>
          </w:p>
        </w:tc>
        <w:tc>
          <w:tcPr>
            <w:tcW w:w="4876" w:type="dxa"/>
            <w:tcBorders>
              <w:top w:val="nil"/>
              <w:left w:val="nil"/>
              <w:bottom w:val="nil"/>
              <w:right w:val="nil"/>
            </w:tcBorders>
          </w:tcPr>
          <w:p>
            <w:pPr>
              <w:pStyle w:val="Normal6a"/>
            </w:pPr>
            <w:r>
              <w:t>122.</w:t>
            </w:r>
            <w:r>
              <w:tab/>
            </w:r>
            <w:r>
              <w:t xml:space="preserve">kehottaa palestiinalaishallintoa poistamaan seuraavaan kouluvuoteen mennessä kaikki oppimateriaalit ja opetussisällöt, jotka eivät ole Unescon normien mukaisia, erityisesti ne, jotka sisältävät unionin tukeman holokaustin muistoa kunnioittavan kansainvälisen liiton luokittelun mukaan antisemitistisiksi määriteltyjä elementtejä, väkivaltaan yllyttämistä, vihapuhetta ja terrorismin ihannointia; palauttaa mieliin parlamentin 11. huhtikuuta 2024 hyväksymän vastuuvapauspäätöslauselman 199 kohdan, jossa lokakuun 7. päivän 2023 julmuudet yhdistetään palestiinalaishallinnon oppimateriaaleissa olevaan vihaan yllyttävään sisältöön; korostaa, että unionin olisi annettava palestiinalaishallinnolle rahoitustukea koulutuksen alalla edellyttäen oppikirjasisällön yhdenmukaistamista Unescon normien kanssa, kuten unionin opetusministerit päättivät Pariisissa 17. maaliskuuta 2015, kaikkien juutalaisvastaisten viittausten poistamista ja vihaan ja väkivaltaan yllyttävien esimerkkien poistamista, kuten vastuuvapauspäätöksiin liitetyissä päätöslauselmissa on toistuvasti pyydetty; muistuttaa, että palestiinalaisia oppikirjoja </w:t>
            </w:r>
            <w:r>
              <w:rPr>
                <w:b/>
                <w:i/>
              </w:rPr>
              <w:t>koskeva</w:t>
            </w:r>
            <w:r>
              <w:t xml:space="preserve"> komission </w:t>
            </w:r>
            <w:r>
              <w:rPr>
                <w:b/>
                <w:i/>
              </w:rPr>
              <w:t>arviointi</w:t>
            </w:r>
            <w:r>
              <w:t xml:space="preserve">, joka perustuu unionin rahoittamaan Georg Eckert -instituutin raporttiin, </w:t>
            </w:r>
            <w:r>
              <w:rPr>
                <w:b/>
                <w:i/>
              </w:rPr>
              <w:t>paljastaa monitahoisen kuvan, josta käy ilmi, että i) oppikirjoissa noudatetaan Unescon normeja ja sovelletaan kriteerejä, jotka ovat näkyvästi esillä kansainvälisessä koulutuskeskustelussa, muun muassa painotetaan voimakkaasti ihmisoikeuksia, ii) ne ilmentävät Israelin ja Palestiinan konfliktiin liittyvää vastarintanarratiivia ja iii) niissä esiintyy vihamielisyyttä Israelia kohtaan;</w:t>
            </w:r>
            <w:r>
              <w:t xml:space="preserve"> </w:t>
            </w:r>
            <w:r>
              <w:rPr>
                <w:b/>
                <w:i/>
              </w:rPr>
              <w:t>toteaa, ettei unioni rahoita palestiinalaisia oppikirjoja eivätkä ne ole myöskään UNRWA:n vastuulla, mutta UNRWA tarkistaa kuitenkin kaikki julkaistut oppikirjat, jotta se voi puuttua mahdolliseen ongelmalliseen sisältöön</w:t>
            </w:r>
            <w:r>
              <w:t>; toteaa, että komissio aikoo harjoittaa tiivistä valvontaa sen varmistamiseksi, ettei unionin varoja osoiteta suoraan tai välillisesti tällaisten oppimateriaalien, mukaan lukien YK:n järjestöjen tarjoamat oppimateriaalit, laatimiseen, niiden käyttöön palestiinalaislapsille annettavassa opetuksessa tai niiden asettamiseen heidän saatavilleen;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122.</w:t>
            </w:r>
            <w:r>
              <w:tab/>
            </w:r>
            <w:r>
              <w:t xml:space="preserve">kehottaa palestiinalaishallintoa poistamaan </w:t>
            </w:r>
            <w:r>
              <w:rPr>
                <w:b/>
                <w:i/>
              </w:rPr>
              <w:t>seuraavaan kouluvuoteen mennessä</w:t>
            </w:r>
            <w:r>
              <w:t xml:space="preserve"> kaikki oppimateriaalit ja opetussisällöt, jotka eivät ole Unescon normien mukaisia, erityisesti ne, jotka sisältävät unionin tukeman holokaustin muistoa kunnioittavan kansainvälisen liiton luokittelun mukaan antisemitistisiksi määriteltyjä elementtejä, väkivaltaan yllyttämistä, vihapuhetta ja terrorismin ihannointia; </w:t>
            </w:r>
            <w:r>
              <w:rPr>
                <w:b/>
                <w:i/>
              </w:rPr>
              <w:t>palauttaa mieliin parlamentin 11. huhtikuuta 2024 hyväksymän vastuuvapauspäätöslauselman 199 kohdan, jossa lokakuun 7. päivän 2023 julmuudet yhdistetään palestiinalaishallinnon oppimateriaaleissa olevaan vihaan yllyttävään sisältöön;</w:t>
            </w:r>
            <w:r>
              <w:t xml:space="preserve"> korostaa, että unionin olisi annettava palestiinalaishallinnolle rahoitustukea koulutuksen alalla edellyttäen oppikirjasisällön yhdenmukaistamista Unescon normien kanssa</w:t>
            </w:r>
            <w:r>
              <w:rPr>
                <w:b/>
                <w:i/>
              </w:rPr>
              <w:t>, kuten unionin opetusministerit päättivät Pariisissa 17. maaliskuuta 2015, kaikkien juutalaisvastaisten viittausten poistamista ja vihaan ja väkivaltaan yllyttävien esimerkkien poistamista, kuten vastuuvapauspäätöksiin liitetyissä päätöslauselmissa on toistuvasti pyydetty</w:t>
            </w:r>
            <w:r>
              <w:t xml:space="preserve">; muistuttaa, että palestiinalaisia oppikirjoja koskevassa komission arvioinnissa, joka perustuu unionin rahoittamaan Georg Eckert -instituutin raporttiin, </w:t>
            </w:r>
            <w:r>
              <w:rPr>
                <w:b/>
                <w:i/>
              </w:rPr>
              <w:t>tuodaan selkeästi esiin, että hyvin ongelmallisen sisällön jatkuva esiintyminen on edelleen vakava huolenaihe;</w:t>
            </w:r>
            <w:r>
              <w:t xml:space="preserve"> </w:t>
            </w:r>
            <w:r>
              <w:rPr>
                <w:b/>
                <w:i/>
              </w:rPr>
              <w:t>toteaa, että komissio aikoo harjoittaa tiivistä valvontaa sen varmistamiseksi, ettei unionin varoja osoiteta suoraan tai välillisesti tällaisten oppimateriaalien, mukaan lukien YK:n järjestöjen tarjoamat oppimateriaalit, laatimiseen, niiden käyttöön palestiinalaislapsille annettavassa opetuksessa tai niiden asettamiseen heidän saatavilleen</w:t>
            </w:r>
            <w:r>
              <w:t>;</w:t>
            </w:r>
          </w:p>
        </w:tc>
        <w:tc>
          <w:tcPr>
            <w:tcW w:w="4876" w:type="dxa"/>
            <w:tcBorders>
              <w:top w:val="nil"/>
              <w:left w:val="nil"/>
              <w:bottom w:val="nil"/>
              <w:right w:val="nil"/>
            </w:tcBorders>
          </w:tcPr>
          <w:p>
            <w:pPr>
              <w:pStyle w:val="Normal6a"/>
            </w:pPr>
            <w:r>
              <w:t>122.</w:t>
            </w:r>
            <w:r>
              <w:tab/>
            </w:r>
            <w:r>
              <w:t xml:space="preserve">kehottaa palestiinalaishallintoa poistamaan kaikki oppimateriaalit ja opetussisällöt, jotka eivät ole Unescon normien mukaisia, erityisesti ne, jotka sisältävät unionin tukeman holokaustin muistoa kunnioittavan kansainvälisen liiton luokittelun mukaan antisemitistisiksi määriteltyjä elementtejä, väkivaltaan yllyttämistä, vihapuhetta ja terrorismin ihannointia; korostaa, että unionin olisi annettava palestiinalaishallinnolle rahoitustukea koulutuksen alalla edellyttäen oppikirjasisällön yhdenmukaistamista Unescon normien kanssa; muistuttaa, että palestiinalaisia oppikirjoja koskevassa komission arvioinnissa, joka perustuu unionin rahoittamaan Georg Eckert -instituutin raporttiin, </w:t>
            </w:r>
            <w:r>
              <w:rPr>
                <w:b/>
                <w:i/>
              </w:rPr>
              <w:t>korostetaan monitahoista kuvaa, josta käy ilmi, että i) oppikirjoissa noudatetaan Unescon normeja ja sovelletaan kriteerejä, jotka ovat näkyvästi esillä kansainvälisessä koulutuskeskustelussa, muun muassa painotetaan voimakkaasti ihmisoikeuksia, ii) ne ilmentävät Israelin ja Palestiinan konfliktiin liittyvää vastarintanarratiivia ja iii) niissä esiintyy vihamielisyyttä Israelia kohtaan;</w:t>
            </w:r>
            <w:r>
              <w:t xml:space="preserve"> </w:t>
            </w:r>
            <w:r>
              <w:rPr>
                <w:b/>
                <w:i/>
              </w:rPr>
              <w:t>toteaa, ettei unioni rahoita palestiinalaisia oppikirjoja eivätkä ne ole myöskään UNRWA:n vastuulla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122.</w:t>
            </w:r>
            <w:r>
              <w:tab/>
            </w:r>
            <w:r>
              <w:t>kehottaa palestiinalaishallintoa poistamaan seuraavaan kouluvuoteen mennessä kaikki oppimateriaalit ja opetussisällöt, jotka eivät ole Unescon normien mukaisia, erityisesti ne, jotka sisältävät unionin tukeman holokaustin muistoa kunnioittavan kansainvälisen liiton luokittelun mukaan antisemitistisiksi määriteltyjä elementtejä, väkivaltaan yllyttämistä, vihapuhetta ja terrorismin ihannointia; palauttaa mieliin parlamentin 11. huhtikuuta 2024 hyväksymän vastuuvapauspäätöslauselman 199 kohdan, jossa lokakuun 7. päivän 2023 julmuudet yhdistetään palestiinalaishallinnon oppimateriaaleissa olevaan vihaan yllyttävään sisältöön; korostaa, että unionin olisi annettava palestiinalaishallinnolle rahoitustukea koulutuksen alalla edellyttäen oppikirjasisällön yhdenmukaistamista Unescon normien kanssa, kuten unionin opetusministerit päättivät Pariisissa 17. maaliskuuta 2015, kaikkien juutalaisvastaisten viittausten poistamista ja vihaan ja väkivaltaan yllyttävien esimerkkien poistamista, kuten vastuuvapauspäätöksiin liitetyissä päätöslauselmissa on toistuvasti pyydetty; muistuttaa, että palestiinalaisia oppikirjoja koskevassa komission arvioinnissa, joka perustuu unionin rahoittamaan Georg Eckert -instituutin raporttiin, tuodaan selkeästi esiin, että hyvin ongelmallisen sisällön jatkuva esiintyminen on edelleen vakava huolenaihe; toteaa, että komissio aikoo harjoittaa tiivistä valvontaa sen varmistamiseksi, ettei unionin varoja osoiteta suoraan tai välillisesti tällaisten oppimateriaalien, mukaan lukien YK:n järjestöjen tarjoamat oppimateriaalit, laatimiseen, niiden käyttöön palestiinalaislapsille annettavassa opetuksessa tai niiden asettamiseen heidän saatavilleen;</w:t>
            </w:r>
          </w:p>
        </w:tc>
        <w:tc>
          <w:tcPr>
            <w:tcW w:w="4876" w:type="dxa"/>
            <w:tcBorders>
              <w:top w:val="nil"/>
              <w:left w:val="nil"/>
              <w:bottom w:val="nil"/>
              <w:right w:val="nil"/>
            </w:tcBorders>
          </w:tcPr>
          <w:p>
            <w:pPr>
              <w:pStyle w:val="Normal6a"/>
            </w:pPr>
            <w:r>
              <w:t>122.</w:t>
            </w:r>
            <w:r>
              <w:tab/>
            </w:r>
            <w:r>
              <w:t xml:space="preserve">kehottaa palestiinalaishallintoa poistamaan seuraavaan kouluvuoteen mennessä kaikki oppimateriaalit ja opetussisällöt, jotka eivät ole Unescon normien mukaisia, erityisesti ne, jotka sisältävät unionin tukeman holokaustin muistoa kunnioittavan kansainvälisen liiton luokittelun mukaan antisemitistisiksi määriteltyjä elementtejä, väkivaltaan yllyttämistä, vihapuhetta ja terrorismin ihannointia; palauttaa mieliin parlamentin 11. huhtikuuta 2024 hyväksymän vastuuvapauspäätöslauselman 199 kohdan, jossa lokakuun 7. päivän 2023 julmuudet yhdistetään palestiinalaishallinnon oppimateriaaleissa olevaan vihaan yllyttävään sisältöön; korostaa, että unionin olisi annettava palestiinalaishallinnolle rahoitustukea koulutuksen alalla edellyttäen oppikirjasisällön yhdenmukaistamista Unescon normien kanssa, kuten unionin opetusministerit päättivät Pariisissa 17. maaliskuuta 2015, kaikkien juutalaisvastaisten viittausten poistamista ja vihaan ja väkivaltaan yllyttävien esimerkkien poistamista, kuten vastuuvapauspäätöksiin liitetyissä päätöslauselmissa on toistuvasti pyydetty; muistuttaa, että palestiinalaisia oppikirjoja koskevassa komission arvioinnissa, joka perustuu unionin rahoittamaan Georg Eckert -instituutin raporttiin, tuodaan selkeästi esiin, että hyvin ongelmallisen sisällön jatkuva esiintyminen on edelleen vakava huolenaihe; toteaa, että komissio aikoo harjoittaa tiivistä valvontaa sen varmistamiseksi, ettei unionin varoja osoiteta suoraan tai välillisesti tällaisten oppimateriaalien, mukaan lukien YK:n järjestöjen tarjoamat oppimateriaalit, laatimiseen, niiden käyttöön palestiinalaislapsille annettavassa opetuksessa tai niiden asettamiseen heidän saatavilleen; </w:t>
            </w:r>
            <w:r>
              <w:rPr>
                <w:b/>
                <w:i/>
              </w:rPr>
              <w:t>korostaa, ettei palestiinalaishallinto ole koskaan täyttänyt näitä ehtoja, mutta Euroopan unioni jatkaa silti sille vuosikaudet antamaansa rahoitustukea;</w:t>
            </w:r>
            <w:r>
              <w:t xml:space="preserve"> </w:t>
            </w:r>
            <w:r>
              <w:rPr>
                <w:b/>
                <w:i/>
              </w:rPr>
              <w:t>korostaa, että tässä yhteydessä Euroopan unionin puheet ja periaatteet eivät merkitse mitään;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122.</w:t>
            </w:r>
            <w:r>
              <w:tab/>
            </w:r>
            <w:r>
              <w:rPr>
                <w:b/>
                <w:i/>
              </w:rPr>
              <w:t>kehottaa palestiinalaishallintoa poistamaan</w:t>
            </w:r>
            <w:r>
              <w:t xml:space="preserve"> seuraavaan kouluvuoteen mennessä kaikki oppimateriaalit ja opetussisällöt, jotka eivät ole Unescon normien mukaisia, erityisesti ne, jotka sisältävät unionin tukeman holokaustin muistoa kunnioittavan kansainvälisen liiton luokittelun mukaan antisemitistisiksi määriteltyjä elementtejä, väkivaltaan yllyttämistä, vihapuhetta ja terrorismin ihannointia; palauttaa mieliin parlamentin 11. huhtikuuta 2024 hyväksymän vastuuvapauspäätöslauselman 199 kohdan, jossa lokakuun 7. päivän 2023 julmuudet yhdistetään palestiinalaishallinnon oppimateriaaleissa olevaan vihaan yllyttävään sisältöön; korostaa, että unionin olisi annettava palestiinalaishallinnolle rahoitustukea koulutuksen alalla edellyttäen oppikirjasisällön yhdenmukaistamista Unescon normien kanssa</w:t>
            </w:r>
            <w:r>
              <w:rPr>
                <w:b/>
                <w:i/>
              </w:rPr>
              <w:t>, kuten unionin opetusministerit päättivät Pariisissa 17. maaliskuuta 2015, kaikkien juutalaisvastaisten viittausten poistamista ja vihaan ja väkivaltaan yllyttävien esimerkkien poistamista</w:t>
            </w:r>
            <w:r>
              <w:t>, kuten vastuuvapauspäätöksiin liitetyissä päätöslauselmissa on toistuvasti pyydetty; muistuttaa, että palestiinalaisia oppikirjoja koskevassa komission arvioinnissa, joka perustuu unionin rahoittamaan Georg Eckert -instituutin raporttiin, tuodaan selkeästi esiin, että hyvin ongelmallisen sisällön jatkuva esiintyminen on edelleen vakava huolenaihe; toteaa, että komissio aikoo harjoittaa tiivistä valvontaa sen varmistamiseksi, ettei unionin varoja osoiteta suoraan tai välillisesti tällaisten oppimateriaalien, mukaan lukien YK:n järjestöjen tarjoamat oppimateriaalit, laatimiseen, niiden käyttöön palestiinalaislapsille annettavassa opetuksessa tai niiden asettamiseen heidän saatavilleen;</w:t>
            </w:r>
          </w:p>
        </w:tc>
        <w:tc>
          <w:tcPr>
            <w:tcW w:w="4876" w:type="dxa"/>
            <w:tcBorders>
              <w:top w:val="nil"/>
              <w:left w:val="nil"/>
              <w:bottom w:val="nil"/>
              <w:right w:val="nil"/>
            </w:tcBorders>
          </w:tcPr>
          <w:p>
            <w:pPr>
              <w:pStyle w:val="Normal6a"/>
            </w:pPr>
            <w:r>
              <w:t>122.</w:t>
            </w:r>
            <w:r>
              <w:tab/>
            </w:r>
            <w:r>
              <w:rPr>
                <w:b/>
                <w:i/>
              </w:rPr>
              <w:t>muistuttaa, että palestiinalaishallinnon on poistettava</w:t>
            </w:r>
            <w:r>
              <w:t xml:space="preserve"> seuraavaan kouluvuoteen mennessä kaikki oppimateriaalit ja opetussisällöt, jotka eivät ole Unescon normien mukaisia, erityisesti ne, jotka sisältävät unionin tukeman holokaustin muistoa kunnioittavan kansainvälisen liiton luokittelun mukaan antisemitistisiksi määriteltyjä elementtejä, väkivaltaan yllyttämistä, vihapuhetta ja terrorismin ihannointia; palauttaa mieliin parlamentin 11. huhtikuuta 2024 hyväksymän vastuuvapauspäätöslauselman 199 kohdan, jossa lokakuun 7. päivän 2023 julmuudet yhdistetään palestiinalaishallinnon oppimateriaaleissa olevaan vihaan yllyttävään sisältöön; korostaa, että unionin olisi annettava palestiinalaishallinnolle rahoitustukea koulutuksen alalla edellyttäen oppikirjasisällön yhdenmukaistamista Unescon normien kanssa, kuten vastuuvapauspäätöksiin liitetyissä päätöslauselmissa on toistuvasti pyydetty; muistuttaa, että palestiinalaisia oppikirjoja koskevassa komission arvioinnissa, joka perustuu unionin rahoittamaan Georg Eckert -instituutin raporttiin, tuodaan selkeästi esiin, että hyvin ongelmallisen sisällön jatkuva esiintyminen on edelleen vakava huolenaihe; toteaa, että komissio aikoo harjoittaa tiivistä valvontaa sen varmistamiseksi, ettei unionin varoja osoiteta suoraan tai välillisesti tällaisten oppimateriaalien, mukaan lukien YK:n järjestöjen tarjoamat oppimateriaalit, laatimiseen, niiden käyttöön palestiinalaislapsille annettavassa opetuksessa tai niiden asettamiseen heidän saatavilleen;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122.</w:t>
            </w:r>
            <w:r>
              <w:tab/>
            </w:r>
            <w:r>
              <w:t xml:space="preserve">kehottaa palestiinalaishallintoa poistamaan seuraavaan kouluvuoteen mennessä kaikki oppimateriaalit ja opetussisällöt, jotka eivät ole Unescon normien mukaisia, erityisesti ne, jotka sisältävät unionin tukeman holokaustin muistoa kunnioittavan kansainvälisen liiton luokittelun mukaan antisemitistisiksi määriteltyjä elementtejä, väkivaltaan yllyttämistä, vihapuhetta ja terrorismin ihannointia; palauttaa mieliin parlamentin 11. huhtikuuta 2024 hyväksymän vastuuvapauspäätöslauselman 199 kohdan, jossa lokakuun 7. päivän 2023 julmuudet yhdistetään palestiinalaishallinnon oppimateriaaleissa olevaan vihaan yllyttävään sisältöön; korostaa, että unionin </w:t>
            </w:r>
            <w:r>
              <w:rPr>
                <w:b/>
                <w:i/>
              </w:rPr>
              <w:t>olisi annettava</w:t>
            </w:r>
            <w:r>
              <w:t xml:space="preserve"> palestiinalaishallinnolle </w:t>
            </w:r>
            <w:r>
              <w:rPr>
                <w:b/>
                <w:i/>
              </w:rPr>
              <w:t>rahoitustukea</w:t>
            </w:r>
            <w:r>
              <w:t xml:space="preserve"> koulutuksen alalla </w:t>
            </w:r>
            <w:r>
              <w:rPr>
                <w:b/>
                <w:i/>
              </w:rPr>
              <w:t>edellyttäen oppikirjasisällön yhdenmukaistamista</w:t>
            </w:r>
            <w:r>
              <w:t xml:space="preserve"> Unescon normien </w:t>
            </w:r>
            <w:r>
              <w:rPr>
                <w:b/>
                <w:i/>
              </w:rPr>
              <w:t>kanssa, kuten</w:t>
            </w:r>
            <w:r>
              <w:t xml:space="preserve"> unionin </w:t>
            </w:r>
            <w:r>
              <w:rPr>
                <w:b/>
                <w:i/>
              </w:rPr>
              <w:t>opetusministerit päättivät</w:t>
            </w:r>
            <w:r>
              <w:t xml:space="preserve"> Pariisissa 17. maaliskuuta 2015</w:t>
            </w:r>
            <w:r>
              <w:rPr>
                <w:b/>
                <w:i/>
              </w:rPr>
              <w:t>, kaikkien juutalaisvastaisten viittausten poistamista ja</w:t>
            </w:r>
            <w:r>
              <w:t xml:space="preserve"> vihaan ja väkivaltaan </w:t>
            </w:r>
            <w:r>
              <w:rPr>
                <w:b/>
                <w:i/>
              </w:rPr>
              <w:t>yllyttävien esimerkkien poistamista</w:t>
            </w:r>
            <w:r>
              <w:t>, kuten vastuuvapauspäätöksiin liitetyissä päätöslauselmissa on toistuvasti pyydetty; muistuttaa, että palestiinalaisia oppikirjoja koskevassa komission arvioinnissa, joka perustuu unionin rahoittamaan Georg Eckert -instituutin raporttiin, tuodaan selkeästi esiin, että hyvin ongelmallisen sisällön jatkuva esiintyminen on edelleen vakava huolenaihe; toteaa, että komissio aikoo harjoittaa tiivistä valvontaa sen varmistamiseksi, ettei unionin varoja osoiteta suoraan tai välillisesti tällaisten oppimateriaalien, mukaan lukien YK:n järjestöjen tarjoamat oppimateriaalit, laatimiseen, niiden käyttöön palestiinalaislapsille annettavassa opetuksessa tai niiden asettamiseen heidän saatavilleen;</w:t>
            </w:r>
          </w:p>
        </w:tc>
        <w:tc>
          <w:tcPr>
            <w:tcW w:w="4876" w:type="dxa"/>
            <w:tcBorders>
              <w:top w:val="nil"/>
              <w:left w:val="nil"/>
              <w:bottom w:val="nil"/>
              <w:right w:val="nil"/>
            </w:tcBorders>
          </w:tcPr>
          <w:p>
            <w:pPr>
              <w:pStyle w:val="Normal6a"/>
            </w:pPr>
            <w:r>
              <w:t>122.</w:t>
            </w:r>
            <w:r>
              <w:tab/>
            </w:r>
            <w:r>
              <w:t xml:space="preserve">kehottaa palestiinalaishallintoa poistamaan seuraavaan kouluvuoteen mennessä kaikki oppimateriaalit ja opetussisällöt, jotka eivät ole Unescon normien mukaisia, erityisesti ne, jotka sisältävät unionin tukeman holokaustin muistoa kunnioittavan kansainvälisen liiton luokittelun mukaan antisemitistisiksi määriteltyjä elementtejä, väkivaltaan yllyttämistä, vihapuhetta ja terrorismin ihannointia; palauttaa mieliin parlamentin 11. huhtikuuta 2024 hyväksymän vastuuvapauspäätöslauselman 199 kohdan, jossa lokakuun 7. päivän 2023 julmuudet yhdistetään palestiinalaishallinnon oppimateriaaleissa olevaan vihaan yllyttävään sisältöön; korostaa, että unionin </w:t>
            </w:r>
            <w:r>
              <w:rPr>
                <w:b/>
                <w:i/>
              </w:rPr>
              <w:t>rahoitustuki</w:t>
            </w:r>
            <w:r>
              <w:t xml:space="preserve"> palestiinalaishallinnolle koulutuksen alalla </w:t>
            </w:r>
            <w:r>
              <w:rPr>
                <w:b/>
                <w:i/>
              </w:rPr>
              <w:t>olisi keskeytettävä siihen asti, että oppikirjasisältö on</w:t>
            </w:r>
            <w:r>
              <w:t xml:space="preserve"> Unescon normien </w:t>
            </w:r>
            <w:r>
              <w:rPr>
                <w:b/>
                <w:i/>
              </w:rPr>
              <w:t>mukaista, ja että tämä perustuu</w:t>
            </w:r>
            <w:r>
              <w:t xml:space="preserve"> unionin </w:t>
            </w:r>
            <w:r>
              <w:rPr>
                <w:b/>
                <w:i/>
              </w:rPr>
              <w:t>opetusministerien</w:t>
            </w:r>
            <w:r>
              <w:t xml:space="preserve"> Pariisissa 17. maaliskuuta 2015 </w:t>
            </w:r>
            <w:r>
              <w:rPr>
                <w:b/>
                <w:i/>
              </w:rPr>
              <w:t>tekemään päätökseen, ja että kaikki juutalaisvastaiset viittaukset sekä</w:t>
            </w:r>
            <w:r>
              <w:t xml:space="preserve"> vihaan ja väkivaltaan </w:t>
            </w:r>
            <w:r>
              <w:rPr>
                <w:b/>
                <w:i/>
              </w:rPr>
              <w:t>yllyttävät esimerkit on poistettava</w:t>
            </w:r>
            <w:r>
              <w:t>, kuten vastuuvapauspäätöksiin liitetyissä päätöslauselmissa on toistuvasti pyydetty; muistuttaa, että palestiinalaisia oppikirjoja koskevassa komission arvioinnissa, joka perustuu unionin rahoittamaan Georg Eckert -instituutin raporttiin, tuodaan selkeästi esiin, että hyvin ongelmallisen sisällön jatkuva esiintyminen on edelleen vakava huolenaihe; toteaa, että komissio aikoo harjoittaa tiivistä valvontaa sen varmistamiseksi, ettei unionin varoja osoiteta suoraan tai välillisesti tällaisten oppimateriaalien, mukaan lukien YK:n järjestöjen tarjoamat oppimateriaalit, laatimiseen, niiden käyttöön palestiinalaislapsille annettavassa opetuksessa tai niiden asettamiseen heidän saatavilleen;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Tamás Deutsch, Virginie Joron,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122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122 d.</w:t>
            </w:r>
            <w:r>
              <w:tab/>
            </w:r>
            <w:r>
              <w:rPr>
                <w:b/>
                <w:i/>
              </w:rPr>
              <w:t>tuomitsee sen, ettei UNRWA ole pannut täytäntöön suosituksia 34 ja 35, joissa vaaditaan oppikirjasisältöjen tarkistamista Israelin kanssa ja nimenomaisesti kielletään vihapuhe, väkivaltaan yllyttäminen ja antisemitistiset viittaukset oppikirjoissa ja UNRWA:n kouluissa paikallisesti laadituissa täydentävissä oppimateriaaleissa;</w:t>
            </w:r>
            <w:r>
              <w:t xml:space="preserve"> </w:t>
            </w:r>
            <w:r>
              <w:rPr>
                <w:b/>
                <w:i/>
              </w:rPr>
              <w:t>pyytää komissiota asettamaan varojen myöntämisen edellytykseksi, ettei varoja myönnetä tai sidota suoraan tai välillisesti oppimateriaaliin tai henkilöstöön, joka on kytköksissä terrorismiin, radikalisoitumiseen tai väkivaltaan yllyttämiseen, ja valvomaan tarkasti tämän ehdon toteutumista;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Tamás Deutsch, Virginie Joron,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122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122 d.</w:t>
            </w:r>
            <w:r>
              <w:tab/>
            </w:r>
            <w:r>
              <w:rPr>
                <w:b/>
                <w:i/>
              </w:rPr>
              <w:t>tuomitsee UNRWA:n harjoittaman humanitaaristen ponnistelujen kyynisen hyödyntämisen ja sen osallistumisen palestiinalaisten lasten indoktrinaatioon Gazassa;</w:t>
            </w:r>
            <w:r>
              <w:t xml:space="preserve"> </w:t>
            </w:r>
            <w:r>
              <w:rPr>
                <w:b/>
                <w:i/>
              </w:rPr>
              <w:t>palauttaa mieliin Euroopan parlamentin huhtikuussa 2024 antaman komission vastuuvapauspäätöslauselman (199 kohta), jossa 7. lokakuuta 2023 tehtyjen julmuuksien katsotaan liittyvän selvästi UNRWA:n kouluissa käytettyjen oppimateriaalien väkivaltaiseen ja antisemitistiseen sisältöön;</w:t>
            </w:r>
            <w:r>
              <w:t xml:space="preserve"> </w:t>
            </w:r>
            <w:r>
              <w:rPr>
                <w:b/>
                <w:i/>
              </w:rPr>
              <w:t>muistuttaa ja panee erittäin huolestuneena merkille, että YK:n UNRWA:ta koskevan puolueettomuuden arvioinnin tuloksissa todettiin, että UNRWA:n oppimateriaaleihin kuuluu sisältöä, joka on vahvasti puolueellista ja ristiriidassa YK:n arvojen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Tamás Deutsch, Virginie Joron,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122 a.</w:t>
            </w:r>
            <w:r>
              <w:tab/>
            </w:r>
            <w:r>
              <w:rPr>
                <w:b/>
                <w:i/>
              </w:rPr>
              <w:t>tuomitsee sen, että palestiinalaishallinto edistää järjestelmällisesti koulutusjärjestelmässään vihaa, antisemitismiä ja väkivaltaan yllyttämistä, mikä on myötävaikuttanut suoraan palestiinalaisnuorten radikalisoitumiseen ja 7. lokakuuta 2023 tapahtuneisiin julmuuksiin;</w:t>
            </w:r>
            <w:r>
              <w:t xml:space="preserve"> </w:t>
            </w:r>
            <w:r>
              <w:rPr>
                <w:b/>
                <w:i/>
              </w:rPr>
              <w:t>ilmaisee syvän huolensa siitä, että EU:n varoilla ylläpidetään edelleen koulutusjärjestelmää, joka ihailee terrorismia, yllyttää vihaan juutalaisia ja israelilaisia kohtaan ja heikentää mahdollisuuksia rauhaan ja rinnakkaiseloon EU:n jatkuvasta sitoutumisesta ja taloudellisesta tuesta huolimatta, ja tuomitsee tämän;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Tamás Deutsch, Virginie Joron,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122 b.</w:t>
            </w:r>
            <w:r>
              <w:tab/>
            </w:r>
            <w:r>
              <w:rPr>
                <w:b/>
                <w:i/>
              </w:rPr>
              <w:t>painottaa Euroopan parlamentin aiemmin myöntämää vastuuvapautta ja vaatii sen mukaisesti, että kaiken palestiinalaishallinnolle annettavan EU:n taloudellisen tuen edellytyksenä on antisemitistisen ja vihaan tai väkivaltaan yllyttävän sisällön täydellinen ja todennettavissa oleva poistaminen palestiinalaishallinnon opetussuunnitelmasta kaikkien luokka-asteiden ja oppiaineiden osalta;</w:t>
            </w:r>
            <w:r>
              <w:t xml:space="preserve"> </w:t>
            </w:r>
            <w:r>
              <w:rPr>
                <w:b/>
                <w:i/>
              </w:rPr>
              <w:t>kehottaa jäädyttämään EU:n rahoituksen, kunnes nämä uudistukset pannaan kaikilta osin täytäntöön kaikkien luokka-asteiden ja oppiaineiden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122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122 c.</w:t>
            </w:r>
            <w:r>
              <w:tab/>
            </w:r>
            <w:r>
              <w:rPr>
                <w:b/>
                <w:i/>
              </w:rPr>
              <w:t>kehottaa komissiota julkistamaan kaikki tulevien uudistusten tulokset ja jakamaan ne Euroopan parlamentin kanssa sen varmistamiseksi, että tehdyt muutokset ovat olennaisia ja pysyviä ja että oppikirjat todella ovat kaikilta osin rauhaa ja suvaitsevaisuutta koskevien Unescon normien mukaisia;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Tamás Deutsch, Virginie Joron,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123 a.</w:t>
            </w:r>
            <w:r>
              <w:tab/>
            </w:r>
            <w:r>
              <w:rPr>
                <w:b/>
                <w:i/>
              </w:rPr>
              <w:t>kehottaa toimielintä omistautumaan täydellisesti rauhan edistämiseen ja Ukrainan sodan lopettamiseen niin pian kuin mahdollista sekä rauhan säilyttämiseen ja Euroopan turvallisuuden vahvistamiseen ja tekemään tämän eteen kaiken voitavansa kaikkia saatavilla olevia toimenpiteitä ja resursseja käyttäen; on vakuuttunut siitä, että konfliktia ei voida ratkaista sotilaallisin keinoin ja että rauha on ainoa toteuttamiskelpoinen ja kestävä ratkaisu;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Tamás Deutsch, Virginie Joron,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123 b.</w:t>
            </w:r>
            <w:r>
              <w:tab/>
            </w:r>
            <w:r>
              <w:rPr>
                <w:b/>
                <w:i/>
              </w:rPr>
              <w:t>korostaa, että Ukraina sai EU:lta vuosina 2022 ja 2023 ennennäkemätöntä tukea, joka oli suuruudeltaan jopa 25,2 miljardia euroa, ja vuoden 2024 loppuun mennessä EU:lta ja jäsenvaltioilta yhteensä 134 miljardia euroa, ja vaatii, että EU:n taloudelliset edut ja varojen suojeleminen varmistetaan ja taataan samalla tavalla kuin Euroopan unionissa;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124.</w:t>
            </w:r>
            <w:r>
              <w:tab/>
            </w:r>
            <w:r>
              <w:t>suhtautuu myönteisesti siihen, että OLAF tarjoaa viranomaisille kohdennettua petostentorjunta-apua, ja tukee Ukrainan liittymistä unionin petostentorjuntaohjelmaan; panee merkille, että kesäkuussa 2024 voimaan tulleessa Ukrainan tukivälineen puitesopimuksessa määrätään oikeudellisesti sitovista järjestelyistä, jotka koskevat tukivälineen varojen hallinnointia, valvontaa, seurantaa, arviointia, raportointia ja tarkastusta, sekä toimenpiteistä sääntöjenvastaisuuksien, petosten, korruption ja eturistiriitojen ehkäisemiseksi, tutkimiseksi ja korjaamiseksi ja että siinä on myös määräyksiä OLAFin ja EPPOn tehtävistä; suhtautuu niin ikään myönteisesti siihen, että Ukrainan tukivälineestä annetun asetuksen 36 artiklan nojalla komissio perusti kesäkuussa 2024 tilintarkastuslautakunnan, jonka tehtävänä on auttaa komissiota arvioimaan Ukrainan hallinto- ja valvontajärjestelmien vaikuttavuutta tukivälineestä tarjottujen varojen osalta ja torjumaan Ukrainan tukivälineestä myönnettävien unionin varojen huonoa hoitoa;</w:t>
            </w:r>
          </w:p>
        </w:tc>
        <w:tc>
          <w:tcPr>
            <w:tcW w:w="4876" w:type="dxa"/>
            <w:tcBorders>
              <w:top w:val="nil"/>
              <w:left w:val="nil"/>
              <w:bottom w:val="nil"/>
              <w:right w:val="nil"/>
            </w:tcBorders>
          </w:tcPr>
          <w:p>
            <w:pPr>
              <w:pStyle w:val="Normal6a"/>
            </w:pPr>
            <w:r>
              <w:t>124.</w:t>
            </w:r>
            <w:r>
              <w:tab/>
            </w:r>
            <w:r>
              <w:t xml:space="preserve">suhtautuu myönteisesti siihen, että OLAF tarjoaa viranomaisille kohdennettua petostentorjunta-apua, ja tukee Ukrainan liittymistä unionin petostentorjuntaohjelmaan; panee merkille, että kesäkuussa 2024 voimaan tulleessa Ukrainan tukivälineen puitesopimuksessa määrätään oikeudellisesti sitovista järjestelyistä, jotka koskevat tukivälineen varojen hallinnointia, valvontaa, seurantaa, arviointia, raportointia ja tarkastusta, sekä toimenpiteistä sääntöjenvastaisuuksien, petosten, korruption ja eturistiriitojen ehkäisemiseksi, tutkimiseksi ja korjaamiseksi ja että siinä on myös määräyksiä OLAFin ja EPPOn tehtävistä; suhtautuu niin ikään myönteisesti siihen, että Ukrainan tukivälineestä annetun asetuksen 36 artiklan nojalla komissio perusti kesäkuussa 2024 tilintarkastuslautakunnan, jonka tehtävänä on auttaa komissiota arvioimaan Ukrainan hallinto- ja valvontajärjestelmien vaikuttavuutta tukivälineestä tarjottujen varojen osalta ja torjumaan Ukrainan tukivälineestä myönnettävien unionin varojen huonoa hoitoa; </w:t>
            </w:r>
            <w:r>
              <w:rPr>
                <w:b/>
                <w:i/>
              </w:rPr>
              <w:t>vaatii, että Ukrainalle osoitettujen EU:n varojen on oltava täysin avoimia ja niihin on sovellettava tiukkoja korruption vastaisia valvontatoimia;</w:t>
            </w:r>
            <w:r>
              <w:t xml:space="preserve"> </w:t>
            </w:r>
            <w:r>
              <w:rPr>
                <w:b/>
                <w:i/>
              </w:rPr>
              <w:t>kehottaa komissiota antamaan säännöllisesti yksityiskohtaisia julkisia kertomuksia siitä, miten EU:n rahoitustukea käytetään Ukrainassa, ja varmistamaan, ettei sillä rahoiteta oligarkkisia verkostoja tai poliittista eliittiä;</w:t>
            </w:r>
            <w:r>
              <w:t xml:space="preserve"> </w:t>
            </w:r>
            <w:r>
              <w:rPr>
                <w:b/>
                <w:i/>
              </w:rPr>
              <w:t>kehottaa EU:ta kunnioittamaan jäsenvaltioiden itsemääräämisoikeutta niiden diplomaattisissa ja taloudellisissa suhteissa kolmansiin maihin sen sijaan, että se käytettäisi rahoitusvälineitä poliittisen pakottamisen välineenä;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124.</w:t>
            </w:r>
            <w:r>
              <w:tab/>
            </w:r>
            <w:r>
              <w:t>suhtautuu myönteisesti siihen, että OLAF tarjoaa viranomaisille kohdennettua petostentorjunta-apua, ja tukee Ukrainan liittymistä unionin petostentorjuntaohjelmaan; panee merkille, että kesäkuussa 2024 voimaan tulleessa Ukrainan tukivälineen puitesopimuksessa määrätään oikeudellisesti sitovista järjestelyistä, jotka koskevat tukivälineen varojen hallinnointia, valvontaa, seurantaa, arviointia, raportointia ja tarkastusta, sekä toimenpiteistä sääntöjenvastaisuuksien, petosten, korruption ja eturistiriitojen ehkäisemiseksi, tutkimiseksi ja korjaamiseksi ja että siinä on myös määräyksiä OLAFin ja EPPOn tehtävistä; suhtautuu niin ikään myönteisesti siihen, että Ukrainan tukivälineestä annetun asetuksen 36 artiklan nojalla komissio perusti kesäkuussa 2024 tilintarkastuslautakunnan, jonka tehtävänä on auttaa komissiota arvioimaan Ukrainan hallinto- ja valvontajärjestelmien vaikuttavuutta tukivälineestä tarjottujen varojen osalta ja torjumaan Ukrainan tukivälineestä myönnettävien unionin varojen huonoa hoitoa;</w:t>
            </w:r>
          </w:p>
        </w:tc>
        <w:tc>
          <w:tcPr>
            <w:tcW w:w="4876" w:type="dxa"/>
            <w:tcBorders>
              <w:top w:val="nil"/>
              <w:left w:val="nil"/>
              <w:bottom w:val="nil"/>
              <w:right w:val="nil"/>
            </w:tcBorders>
          </w:tcPr>
          <w:p>
            <w:pPr>
              <w:pStyle w:val="Normal6a"/>
            </w:pPr>
            <w:r>
              <w:t>124.</w:t>
            </w:r>
            <w:r>
              <w:tab/>
            </w:r>
            <w:r>
              <w:t xml:space="preserve">suhtautuu myönteisesti siihen, että OLAF tarjoaa viranomaisille kohdennettua petostentorjunta-apua, ja tukee Ukrainan liittymistä unionin petostentorjuntaohjelmaan; panee merkille, että kesäkuussa 2024 voimaan tulleessa Ukrainan tukivälineen puitesopimuksessa määrätään oikeudellisesti sitovista järjestelyistä, jotka koskevat tukivälineen varojen hallinnointia, valvontaa, seurantaa, arviointia, raportointia ja tarkastusta, sekä toimenpiteistä sääntöjenvastaisuuksien, petosten, korruption ja eturistiriitojen ehkäisemiseksi, tutkimiseksi ja korjaamiseksi ja että siinä on myös määräyksiä OLAFin ja EPPOn tehtävistä; suhtautuu niin ikään myönteisesti siihen, että Ukrainan tukivälineestä annetun asetuksen 36 artiklan nojalla komissio perusti kesäkuussa 2024 tilintarkastuslautakunnan, jonka tehtävänä on auttaa komissiota arvioimaan Ukrainan hallinto- ja valvontajärjestelmien vaikuttavuutta tukivälineestä tarjottujen varojen osalta ja torjumaan Ukrainan tukivälineestä myönnettävien unionin varojen huonoa hoitoa; </w:t>
            </w:r>
            <w:r>
              <w:rPr>
                <w:b/>
                <w:i/>
              </w:rPr>
              <w:t>kehottaa komissiota tiedottamaan Euroopan parlamentille säännöllisesti tilintarkastuslautakunnan toiminnasta ja havainnoista, jotta voidaan varmistaa asianmukainen parlamentaarinen valvonta;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Tamás Deutsch, 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124 a.</w:t>
            </w:r>
            <w:r>
              <w:tab/>
            </w:r>
            <w:r>
              <w:rPr>
                <w:b/>
                <w:i/>
              </w:rPr>
              <w:t>muistuttaa komissiota tilintarkastustuomioistuimen suosituksista, joiden mukaan on ratkaisevan tärkeää asettaa Ukrainalle tiukemmat tukiehdot, kun annetaan institutionaalista tukea oikeus-, lainvalvonta- ja syyttäjälaitoksille, ja korostaa lahjomattomuutta ja uudistuksiin sitoutumista koskevia kriteerejä erityisesti kun on kyse korruption torjunnasta Ukrainassa sekä keskittyä EU:n rahoitusosuuksiin;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124 a.</w:t>
            </w:r>
            <w:r>
              <w:tab/>
            </w:r>
            <w:r>
              <w:rPr>
                <w:b/>
                <w:i/>
              </w:rPr>
              <w:t>kehottaa kohdentamaan uudelleen kaikki otsakkeeseen 6 kuuluvat ulkoisen toiminnan varat Ukrainalle ainakin siihen asti, kun Eurooppaan on palautettu rauha;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124 b.</w:t>
            </w:r>
            <w:r>
              <w:tab/>
            </w:r>
            <w:r>
              <w:rPr>
                <w:b/>
                <w:i/>
              </w:rPr>
              <w:t>katsoo, että on ratkaisevan tärkeää asettaa komission tuelle tiukemmat ehdot sekä parantaa seurantaa ja julkista raportointijärjestelmää selkeiden ja täsmällisten tavoitteiden sekä ennalta määritettyjen tavoitearvojen ja indikaattorien avulla erityisesti kun on kyse korruption torjunnasta Ukrainassa ja keskittyä EU:n rahoitusosuuksiin;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124 a.</w:t>
            </w:r>
            <w:r>
              <w:tab/>
            </w:r>
            <w:r>
              <w:rPr>
                <w:b/>
                <w:i/>
              </w:rPr>
              <w:t>muistuttaa, että kehitysavulla ja erityisesti budjettituella pyritään vahvistamaan kumppanuutta unionin kumppanimaiden kanssa, edistämään kestävää kehitystä, poistamaan köyhyyttä, vähentämään eriarvoisuutta ja lujittamaan rauhaa ja demokratiaa, jotta voidaan viime kädessä edistää kestävän kehityksen tavoitteiden saavuttamista;</w:t>
            </w:r>
            <w:r>
              <w:t xml:space="preserve"> </w:t>
            </w:r>
            <w:r>
              <w:rPr>
                <w:b/>
                <w:i/>
              </w:rPr>
              <w:t>toteaa, että unionin budjettitukea on ohjattava kansainvälisesti sovituilla Busanin tuloksellisuusperiaatteilla, joita ovat muun muassa kumppanimaiden omavastuullisuus, tulospainotteisuus, osallistavuus ja vastuuvelvollisuus;</w:t>
            </w:r>
            <w:r>
              <w:t xml:space="preserve"> </w:t>
            </w:r>
            <w:r>
              <w:rPr>
                <w:b/>
                <w:i/>
              </w:rPr>
              <w:t>korostaa, että budjettituki edistää avoimuutta ja hyvää hallintotapaa ja edesauttaa siten myös korruption ja petosten torjuntaa;</w:t>
            </w:r>
            <w:r>
              <w:t xml:space="preserve"> </w:t>
            </w:r>
            <w:r>
              <w:rPr>
                <w:b/>
                <w:i/>
              </w:rPr>
              <w:t>muistuttaa, että budjettituen on vastattava kumppanimaiden tarpeita sekä unionin keskeisiä toimintapolitiikkoja;</w:t>
            </w:r>
            <w:r>
              <w:t xml:space="preserve"> </w:t>
            </w:r>
            <w:r>
              <w:rPr>
                <w:b/>
                <w:i/>
              </w:rPr>
              <w:t>muistuttaa, että on myös tarpeen mitata ohjelmien tuloksellisuutta ja vaikutusta kumppanimaihin ja siviiliväestöön;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124 b.</w:t>
            </w:r>
            <w:r>
              <w:tab/>
            </w:r>
            <w:r>
              <w:rPr>
                <w:b/>
                <w:i/>
              </w:rPr>
              <w:t>kehottaa komissiota tilintarkastustuomioistuimen lausunnossaan 03/2024 esittämien suositusten mukaisesti sisällyttämään uuteen monivuotista rahoituskehystä koskevaan lainsäädäntöehdotukseen ulkosuhdetoimien takuujärjestelyä koskevat suositukset, jotka täydentävät komission arviointia, mukaan lukien rahoituslähteiden yhdistämisen (avustusten) käytön lisääminen vähiten kehittyneissä, hauraissa tai konflikteista kärsivissä maissa ja aktiivinen koordinointi sidosryhmien, kuten kansalaisyhteiskunnan, kanssa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Counter Balance on antanut panoksensa tarkistukseen.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124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124 c.</w:t>
            </w:r>
            <w:r>
              <w:tab/>
            </w:r>
            <w:r>
              <w:rPr>
                <w:b/>
                <w:i/>
              </w:rPr>
              <w:t>on huolissaan EKKR+:n varojen kohdentamisesta uuden joustavan investointituen määrärahojen puitteissa sellaisten maiden hyväksi, joissa Global Gateway -investoinnit on helpompi toteuttaa, vähiten kehittyneiden, hauraiden ja konflikteista kärsivien maiden priorisoinnin kustannuksella;</w:t>
            </w:r>
            <w:r>
              <w:t xml:space="preserve"> </w:t>
            </w:r>
            <w:r>
              <w:rPr>
                <w:b/>
                <w:i/>
              </w:rPr>
              <w:t>kehottaa ilmoittamaan sen rahoituksen määrän, jota EKKR+:sta on myönnetty ja josta on tehty sopimus näissä maissa, ja ilmoittamaan avoimesti, miten vähiten kehittyneille maille niiden suuntaa-antavien monivuotisten ohjelmien puitteissa myönnettävien määrärahojen kiintiötä noudatetaan alueellisista suuntaa-antavista monivuotisista ohjelmista myönnettävässä rahoituksessa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Counter Balance on antanut panoksensa tarkistukseen.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124 a.</w:t>
            </w:r>
            <w:r>
              <w:tab/>
            </w:r>
            <w:r>
              <w:rPr>
                <w:b/>
                <w:i/>
              </w:rPr>
              <w:t>panee huolestuneena merkille tuoreet tiedot komission maksaman Afrikan, Karibian ja Tyynenmeren valtioiden järjestön (AKT) sihteeristöä koskevan tarkastuskertomusluonnoksen havainnoista, joissa esitetään epäilyjä petoksista sekä maksamattomista palkoista ja muista vastuista;</w:t>
            </w:r>
            <w:r>
              <w:t xml:space="preserve"> </w:t>
            </w:r>
            <w:r>
              <w:rPr>
                <w:b/>
                <w:i/>
              </w:rPr>
              <w:t>panee merkille, että kuten on raportoitu, Euroopan komissio maksoi sihteeristölle 3,7 miljoonaa euroa vuonna 2023 ja pyrkii perimään takaisin 3,6 miljoonaa euroa maaliskuusta 2024 alkaen;</w:t>
            </w:r>
            <w:r>
              <w:t xml:space="preserve"> </w:t>
            </w:r>
            <w:r>
              <w:rPr>
                <w:b/>
                <w:i/>
              </w:rPr>
              <w:t>pyytää komissiota varmistamaan täyden avoimuuden ja vastuuvelvollisuuden, myöntämään oikeuden tutustua tarkastuskertomukseen ja tiedottamaan Euroopan parlamentin jäsenille toteutetuista konkreettisista toimista;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125.</w:t>
            </w:r>
            <w:r>
              <w:tab/>
            </w:r>
            <w:r>
              <w:t>panee merkille, että tilintarkastustuomioistuin tarkasti toimien sääntöjenmukaisuuden tutkimalla 140 tapahtuman otoksen, joka oli edustava EKR:jen kaiken tyyppisten maksujen osalta; toteaa lisäksi, että otokseen sisältyvistä tapahtumista 31 liittyi Euroopan unionin Afrikka-hätärahastoon, 87 oli 14 EU:n edustuston</w:t>
            </w:r>
            <w:r>
              <w:rPr>
                <w:vertAlign w:val="superscript"/>
              </w:rPr>
              <w:t>13</w:t>
            </w:r>
            <w:r>
              <w:t>hyväksymiä ja 19 oli komission päätoimipaikan hyväksymiä;</w:t>
            </w:r>
          </w:p>
        </w:tc>
        <w:tc>
          <w:tcPr>
            <w:tcW w:w="4876" w:type="dxa"/>
            <w:tcBorders>
              <w:top w:val="nil"/>
              <w:left w:val="nil"/>
              <w:bottom w:val="nil"/>
              <w:right w:val="nil"/>
            </w:tcBorders>
          </w:tcPr>
          <w:p>
            <w:pPr>
              <w:pStyle w:val="Normal6a"/>
            </w:pPr>
            <w:r>
              <w:t>125.</w:t>
            </w:r>
            <w:r>
              <w:tab/>
            </w:r>
            <w:r>
              <w:t xml:space="preserve">panee merkille, että tilintarkastustuomioistuin tarkasti toimien sääntöjenmukaisuuden tutkimalla 140 tapahtuman otoksen, joka oli edustava EKR:jen kaiken tyyppisten maksujen osalta; toteaa lisäksi, että otokseen sisältyvistä tapahtumista 31 liittyi Euroopan unionin Afrikka-hätärahastoon </w:t>
            </w:r>
            <w:r>
              <w:rPr>
                <w:b/>
                <w:i/>
              </w:rPr>
              <w:t>ja niiden kokonaismäärä oli viisi miljardia euroa</w:t>
            </w:r>
            <w:r>
              <w:t>, 87 oli 14 EU:n edustuston hyväksymiä</w:t>
            </w:r>
            <w:r>
              <w:rPr>
                <w:vertAlign w:val="superscript"/>
              </w:rPr>
              <w:t>13</w:t>
            </w:r>
            <w:r>
              <w:t xml:space="preserve"> ja 19 oli komission päätoimipaikan hyväksymiä;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Angola, Benin, Norsunluurannikko, Fidži, Ghana, Guinea-Bissau, Kenia, Madagaskar, Malawi, Mauritius, Mosambik, Gambia, Togo ja Uganda.</w:t>
            </w:r>
          </w:p>
        </w:tc>
        <w:tc>
          <w:tcPr>
            <w:tcW w:w="4876" w:type="dxa"/>
            <w:tcBorders>
              <w:top w:val="nil"/>
              <w:left w:val="nil"/>
              <w:bottom w:val="nil"/>
              <w:right w:val="nil"/>
            </w:tcBorders>
          </w:tcPr>
          <w:p>
            <w:pPr>
              <w:pStyle w:val="Normal6a"/>
            </w:pPr>
            <w:r>
              <w:rPr>
                <w:vertAlign w:val="superscript"/>
              </w:rPr>
              <w:t>13</w:t>
            </w:r>
            <w:r>
              <w:t xml:space="preserve"> </w:t>
            </w:r>
            <w:r>
              <w:t>Angola, Benin, Norsunluurannikko, Fidži, Ghana, Guinea-Bissau, Kenia, Madagaskar, Malawi, Mauritius, Mosambik, Gambia, Togo ja Uganda.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126.</w:t>
            </w:r>
            <w:r>
              <w:tab/>
            </w:r>
            <w:r>
              <w:t>panee huolestuneena merkille, että tarkastetuista 140 tapahtumasta 62:een (44,3 prosenttiin) sisältyi virheitä, kun vuonna 2022 määrä oli 57 (40,7 prosenttia) ja tapahtumien määrä sama; korostaa lisäksi, että tilintarkastustuomioistuin kvantifioi 52 virhettä (48 vuonna 2022) ja arvioi niiden perusteella varainhoitovuoden 2023 virhetasoksi 8,9 prosenttia (7,1 prosenttia vuonna 2022);</w:t>
            </w:r>
          </w:p>
        </w:tc>
        <w:tc>
          <w:tcPr>
            <w:tcW w:w="4876" w:type="dxa"/>
            <w:tcBorders>
              <w:top w:val="nil"/>
              <w:left w:val="nil"/>
              <w:bottom w:val="nil"/>
              <w:right w:val="nil"/>
            </w:tcBorders>
          </w:tcPr>
          <w:p>
            <w:pPr>
              <w:pStyle w:val="Normal6a"/>
            </w:pPr>
            <w:r>
              <w:t>126.</w:t>
            </w:r>
            <w:r>
              <w:tab/>
            </w:r>
            <w:r>
              <w:t>panee huolestuneena merkille, että tarkastetuista 140 tapahtumasta 62:een (44,3 prosenttiin) sisältyi virheitä, kun vuonna 2022 määrä oli 57 (40,7 prosenttia) ja tapahtumien määrä sama; korostaa lisäksi, että tilintarkastustuomioistuin kvantifioi 52 virhettä (48 vuonna 2022) ja arvioi niiden perusteella varainhoitovuoden 2023 virhetasoksi 8,9 prosenttia (7,1 prosenttia vuonna 2022)</w:t>
            </w:r>
            <w:r>
              <w:rPr>
                <w:b/>
                <w:i/>
              </w:rPr>
              <w:t>, minkä perusteella tilintarkastustuomioistuin antoi kielteisen lausunnon EKR:n menojen laillisuudesta ja asianmukaisuudesta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126 a.</w:t>
            </w:r>
            <w:r>
              <w:tab/>
            </w:r>
            <w:r>
              <w:rPr>
                <w:b/>
                <w:i/>
              </w:rPr>
              <w:t>on tyrmistynyt tähän rahastoon liittyvästä sotkusta, koska sille osoitetuilla viidellä miljardilla euroa oli tarkoitus auttaa pitämään ihmiset alkuperämaissaan ja vähentää heidän muuttoaan Eurooppaan, mutta Euroopan tilintarkastustuomioistuimen kertomuksen mukaan rahastolla onkin saattanut olla päinvastainen vaikutus;</w:t>
            </w:r>
            <w:r>
              <w:t xml:space="preserve"> </w:t>
            </w:r>
            <w:r>
              <w:rPr>
                <w:b/>
                <w:i/>
              </w:rPr>
              <w:t>pitää valitettavana, etteivät hankkeet ole vastanneet paikallisen väestön erityisiin, jatkuviin tai kiireellisiin tarpeisiin ja että hankkeille on annettu päällekkäistä rahoitusta tai kohtuuttomia maksuja, esimerkiksi tehosekoittimien hankintaan sähköttömiin kouluihin;</w:t>
            </w:r>
            <w:r>
              <w:t xml:space="preserve"> </w:t>
            </w:r>
            <w:r>
              <w:rPr>
                <w:b/>
                <w:i/>
              </w:rPr>
              <w:t>pitää valitettavana jäljitettävissä olevien tietojen puutetta ja sitä, että Euroopan tilintarkastustuomioistuimen on vaikea suorittaa tarkastustyötään, koska lopulliset edunsaajat eivät ole tavoitettavissa tai löydettävissä, jotta EU:n varoilla rahoitettujen hankkeiden vaikuttavuus voitaisiin todentaa;</w:t>
            </w:r>
            <w:r>
              <w:t xml:space="preserve"> </w:t>
            </w:r>
            <w:r>
              <w:rPr>
                <w:b/>
                <w:i/>
              </w:rPr>
              <w:t>kehottaa lopettamaan muut saman mallin mukaisesti toimivat erityisrahastot, sillä varojen kohdentamisen tarkastaminen vaikuttaa mahdottomalta;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128 a.</w:t>
            </w:r>
            <w:r>
              <w:tab/>
            </w:r>
            <w:r>
              <w:rPr>
                <w:b/>
                <w:i/>
              </w:rPr>
              <w:t>toteaa, että EKR:jen talousarvion toteuttaminen rajoittuu nyt ennen 31. joulukuuta 2020 tehtyjen sitoumusten perusteella suoritettaviin maksuihin ja että nyt sovelletaan NDICI – Globaali Eurooppa -välineen ja unionin yleisen talousarvion sääntöjä;</w:t>
            </w:r>
            <w:r>
              <w:t xml:space="preserve"> </w:t>
            </w:r>
            <w:r>
              <w:rPr>
                <w:b/>
                <w:i/>
              </w:rPr>
              <w:t>kehottaa noudattamaan tiukasti ihmisoikeuksiin perustuvaa lähestymistapaa, jossa ihmisoikeudet ovat kaikkien toimien keskiössä, kyseistä lähestymistapaa koskevan komission välineistön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130 a.</w:t>
            </w:r>
            <w:r>
              <w:tab/>
            </w:r>
            <w:r>
              <w:rPr>
                <w:b/>
                <w:i/>
              </w:rPr>
              <w:t>pitää valitettavana, että komissio on sopinut järjestelyistä Yhdistyneiden kansakuntien kanssa rahoituksesta ja hallinnosta tehdyssä puitesopimuksessa, joka rajoittaa järjestelmällisten sääntöjenvastaisten menojen havaitsemista ja niiden takaisinperintää*;</w:t>
            </w:r>
            <w:r>
              <w:rPr>
                <w:b/>
                <w:i/>
              </w:rPr>
              <w:t>kehottaa komissiota tekemään yhteistyötä YK:n kanssa näiden järjestelyjen tarkistamiseksi;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Euroopan tilintarkastustuomioistuimen erityiskertomus nro 7/2024, kohta 31.</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131 a.</w:t>
            </w:r>
            <w:r>
              <w:tab/>
            </w:r>
            <w:r>
              <w:rPr>
                <w:b/>
                <w:i/>
              </w:rPr>
              <w:t>on erittäin huolissaan havainnoista, jotka Euroopan tilintarkastustuomioistuin esitti erityiskertomuksessaan 17/2024 ”EU:n Afrikka-hätärahasto – Tuki jäi kohdentamattomaksi uusista lähestymistavoista huolimatta”;</w:t>
            </w:r>
            <w:r>
              <w:t xml:space="preserve"> </w:t>
            </w:r>
            <w:r>
              <w:rPr>
                <w:b/>
                <w:i/>
              </w:rPr>
              <w:t>muistuttaa, että tilintarkastustuomioistuimen mukaan komissio ei pysty määrittämään tehokkaimpia ja vaikuttavimpia lähestymistapoja sääntelemättömän muuttoliikkeen ja pakkomuuton vähentämiseksi Afrikassa ja raportoimaan niistä;</w:t>
            </w:r>
            <w:r>
              <w:t xml:space="preserve"> </w:t>
            </w:r>
            <w:r>
              <w:rPr>
                <w:b/>
                <w:i/>
              </w:rPr>
              <w:t>pitää valitettavana, että uudessa seurantajärjestelmässä kootaan yhteen tietoja kaikista Afrikka-hätärahaston hankkeista, mutta se kärsii tietojen tarkkuutta koskevista ongelmista;</w:t>
            </w:r>
            <w:r>
              <w:t xml:space="preserve"> </w:t>
            </w:r>
            <w:r>
              <w:rPr>
                <w:b/>
                <w:i/>
              </w:rPr>
              <w:t>panee merkille, että EU:n Afrikka-hätärahasto on määrä lakkauttaa asteittain vuonna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131 a.</w:t>
            </w:r>
            <w:r>
              <w:tab/>
            </w:r>
            <w:r>
              <w:rPr>
                <w:b/>
                <w:i/>
              </w:rPr>
              <w:t>muistuttaa, että EKR:jen puitteissa perustettiin kaksi EU:n erityisrahastoa: Euroopan unionin Afrikka-hätärahasto vakauden lisäämiseksi sekä sääntelemättömän muuttoliikkeen ja pakkomuuton perimmäisten syiden ehkäisemiseksi (jäljempänä ’Afrikka-hätärahasto’) ja Euroopan unionin Bêkou-erityisrahasto Keski-Afrikan tasavallan tueksi (jäljempänä ’Bêkou-erityisrahasto’); muistuttaa parlamentin pysyvästä kannasta, jonka mukaan komission olisi varmistettava, että uudeksi kehitysvälineeksi mahdollisesti perustettavat erityisrahastot ovat aina unionin yleisen strategian ja kehityspolitiikan tavoitteiden mukaisia eli niillä pyritään SEUT-sopimuksen 208 artiklan mukaisesti vähentämään köyhyyttä ja lopulta poistamaan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131 b.</w:t>
            </w:r>
            <w:r>
              <w:tab/>
            </w:r>
            <w:r>
              <w:rPr>
                <w:b/>
                <w:i/>
              </w:rPr>
              <w:t>palauttaa mieliin, että Afrikka-hätärahastosta on otettu käyttöön yli 5 miljardia euroa, joista 88 prosenttia (4,4 miljardia euroa) on peräisin Euroopan kehitysrahastosta ja EU:n talousarviosta;</w:t>
            </w:r>
            <w:r>
              <w:t xml:space="preserve"> </w:t>
            </w:r>
            <w:r>
              <w:rPr>
                <w:b/>
                <w:i/>
              </w:rPr>
              <w:t>palauttaa mieliin, että rahastossa keskitytään kolmeen keskeiseen alueeseen,</w:t>
            </w:r>
            <w:r>
              <w:t xml:space="preserve"> </w:t>
            </w:r>
            <w:r>
              <w:rPr>
                <w:b/>
                <w:i/>
              </w:rPr>
              <w:t>jotka ovat Sahel ja Tšad-järven alue, Afrikan sarvi ja Pohjois-Afrikka, ja että siitä tuetaan yhteensä 27:ää Afrikan maata;</w:t>
            </w:r>
            <w:r>
              <w:t xml:space="preserve"> </w:t>
            </w:r>
            <w:r>
              <w:rPr>
                <w:b/>
                <w:i/>
              </w:rPr>
              <w:t>pitää valitettavana, että parlamentin useista pyynnöistä huolimatta näiden varojen hallinnointi- ja kohdentamisprosessi ei edelleenkään ole avoin, eikä voida varmistaa, ovatko nämä toimet virallisen kehitysavun periaatteiden mukaisia;</w:t>
            </w:r>
            <w:r>
              <w:t xml:space="preserve"> </w:t>
            </w:r>
            <w:r>
              <w:rPr>
                <w:b/>
                <w:i/>
              </w:rPr>
              <w:t>muistuttaa, että tilintarkastustuomioistuimen mukaan seuranta- ja raportointijärjestelmä ei ole tarkka;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131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131 c.</w:t>
            </w:r>
            <w:r>
              <w:tab/>
            </w:r>
            <w:r>
              <w:rPr>
                <w:b/>
                <w:i/>
              </w:rPr>
              <w:t>korostaa, että tilintarkastustuomioistuimen erityiskertomuksessa 17/2024 EU:n Afrikka-hätärahastosta todetaan, että ihmisoikeusriskejä ei käsitelty kattavasti niiden tunnistamista vaikeassa ympäristössä koskevasta innovatiivisesta lähestymistavasta huolimatta;</w:t>
            </w:r>
            <w:r>
              <w:t xml:space="preserve"> </w:t>
            </w:r>
            <w:r>
              <w:rPr>
                <w:b/>
                <w:i/>
              </w:rPr>
              <w:t>pitää valitettavana erityisesti havaintoa siitä, että mahdollisten ihmisoikeusriskien arviointi ei ollut kattavaa ja että ihmisoikeuksien seuranta ja niistä raportointi ei ollut riittävän luotettavaa;</w:t>
            </w:r>
            <w:r>
              <w:t xml:space="preserve"> </w:t>
            </w:r>
            <w:r>
              <w:rPr>
                <w:b/>
                <w:i/>
              </w:rPr>
              <w:t>pitää valitettavana, että Afrikka-hätärahaston puitteissa on jo useaan otteeseen todettu vakavia ihmisoikeusloukkauksia;</w:t>
            </w:r>
            <w:r>
              <w:t xml:space="preserve"> </w:t>
            </w:r>
            <w:r>
              <w:rPr>
                <w:b/>
                <w:i/>
              </w:rPr>
              <w:t>korostaa erityisesti, että viranomaisille ja Libyan rannikkovartiostolle annettu tuki on edistänyt räikeitä loukkauksia, mielivaltaisia pidätyksiä ja palauttamiskiellon periaatteen noudattamatta jättämistä;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132 kohta – vi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a)</w:t>
            </w:r>
            <w:r>
              <w:tab/>
            </w:r>
            <w:r>
              <w:rPr>
                <w:b/>
                <w:i/>
              </w:rPr>
              <w:t>lisäämään näyttöön perustuvaa toimien kohdentamista maantieteellisiin alueisiin ja edunsaajiin ja tarkentamaan raportointia saavutuksista sekä pyrkimään Afrikka-hätärahaston ja/tai tulevien kehitystoimien lopettamiseen, myös NDICI – Globaali Eurooppa -välineen kautta;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Virginie Joron, Julien Sanchez, Filip Turek,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133 kohta – 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korostamaan, että EKR:stä myönnettävän rahoituksen ehdoksi olisi asetettava takaisinottoa ja uudelleenkotouttamista koskevien sopimusten tehokas täytäntöönpano;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133 kohta – 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varmistamaan toimien täytäntöönpanoa koskevat tiukat seuranta- sekä ennakko- ja jälkitarkastusmekanismit, jotta voidaan taata, että UNRWA toimii kaikilta osin humanitaarisia periaatteita ja neutraaliusperiaatetta noudattaen, myös tulevassa EU:n ja</w:t>
            </w:r>
            <w:r>
              <w:t xml:space="preserve"> UNRWA:n </w:t>
            </w:r>
            <w:r>
              <w:rPr>
                <w:b/>
                <w:i/>
              </w:rPr>
              <w:t>yhteisessä julkilausumassa sekä ehdollista EU:n apua koskevissa tulevissa rahoituspäätöksissä</w:t>
            </w:r>
            <w:r>
              <w:t>;</w:t>
            </w:r>
          </w:p>
        </w:tc>
        <w:tc>
          <w:tcPr>
            <w:tcW w:w="4876" w:type="dxa"/>
            <w:tcBorders>
              <w:top w:val="nil"/>
              <w:left w:val="nil"/>
              <w:bottom w:val="nil"/>
              <w:right w:val="nil"/>
            </w:tcBorders>
          </w:tcPr>
          <w:p>
            <w:pPr>
              <w:pStyle w:val="Normal6a"/>
            </w:pPr>
            <w:r>
              <w:t>i)</w:t>
            </w:r>
            <w:r>
              <w:tab/>
            </w:r>
            <w:r>
              <w:rPr>
                <w:b/>
                <w:i/>
              </w:rPr>
              <w:t>lopettamaan</w:t>
            </w:r>
            <w:r>
              <w:t xml:space="preserve"> UNRWA:n </w:t>
            </w:r>
            <w:r>
              <w:rPr>
                <w:b/>
                <w:i/>
              </w:rPr>
              <w:t>rahoituksen</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Pasquale Tridico,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133 kohta – 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varmistamaan toimien täytäntöönpanoa koskevat tiukat seuranta- sekä ennakko- ja jälkitarkastusmekanismit</w:t>
            </w:r>
            <w:r>
              <w:t xml:space="preserve">, jotta voidaan taata, että UNRWA toimii kaikilta osin humanitaarisia periaatteita ja neutraaliusperiaatetta noudattaen, </w:t>
            </w:r>
            <w:r>
              <w:rPr>
                <w:b/>
                <w:i/>
              </w:rPr>
              <w:t>myös tulevassa EU:n ja UNRWA:n yhteisessä julkilausumassa sekä ehdollista EU:n apua koskevissa tulevissa rahoituspäätöksissä</w:t>
            </w:r>
            <w:r>
              <w:t>;</w:t>
            </w:r>
          </w:p>
        </w:tc>
        <w:tc>
          <w:tcPr>
            <w:tcW w:w="4876" w:type="dxa"/>
            <w:tcBorders>
              <w:top w:val="nil"/>
              <w:left w:val="nil"/>
              <w:bottom w:val="nil"/>
              <w:right w:val="nil"/>
            </w:tcBorders>
          </w:tcPr>
          <w:p>
            <w:pPr>
              <w:pStyle w:val="Normal6a"/>
            </w:pPr>
            <w:r>
              <w:t>i)</w:t>
            </w:r>
            <w:r>
              <w:tab/>
            </w:r>
            <w:r>
              <w:rPr>
                <w:b/>
                <w:i/>
              </w:rPr>
              <w:t>jatkamaan sovittujen avustusehtojen seurantaa Colonnan raportin mukaisesti</w:t>
            </w:r>
            <w:r>
              <w:t xml:space="preserve">, jotta voidaan taata, että UNRWA toimii kaikilta osin humanitaarisia periaatteita ja neutraaliusperiaatetta noudattaen, </w:t>
            </w:r>
            <w:r>
              <w:rPr>
                <w:b/>
                <w:i/>
              </w:rPr>
              <w:t>kuten on todistettu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133 kohta – 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varmistamaan toimien täytäntöönpanoa koskevat tiukat seuranta- sekä ennakko- ja jälkitarkastusmekanismit</w:t>
            </w:r>
            <w:r>
              <w:t>, jotta voidaan taata, että UNRWA toimii kaikilta osin humanitaarisia periaatteita ja neutraaliusperiaatetta noudattaen, myös tulevassa EU:n ja UNRWA:n yhteisessä julkilausumassa sekä ehdollista EU:n apua koskevissa tulevissa rahoituspäätöksissä;</w:t>
            </w:r>
          </w:p>
        </w:tc>
        <w:tc>
          <w:tcPr>
            <w:tcW w:w="4876" w:type="dxa"/>
            <w:tcBorders>
              <w:top w:val="nil"/>
              <w:left w:val="nil"/>
              <w:bottom w:val="nil"/>
              <w:right w:val="nil"/>
            </w:tcBorders>
          </w:tcPr>
          <w:p>
            <w:pPr>
              <w:pStyle w:val="Normal6a"/>
            </w:pPr>
            <w:r>
              <w:t>i)</w:t>
            </w:r>
            <w:r>
              <w:tab/>
            </w:r>
            <w:r>
              <w:rPr>
                <w:b/>
                <w:i/>
              </w:rPr>
              <w:t>jatkamaan seurantaa ja yhteistyötä UNRWA:n kanssa sovittujen toimien täytäntöönpanon varmistamiseksi</w:t>
            </w:r>
            <w:r>
              <w:t>, jotta voidaan taata, että UNRWA toimii kaikilta osin humanitaarisia periaatteita ja neutraaliusperiaatetta noudattaen, myös tulevassa EU:n ja UNRWA:n yhteisessä julkilausumassa sekä ehdollista EU:n apua koskevissa tulevissa rahoituspäätöksissä</w:t>
            </w:r>
            <w:r>
              <w:rPr>
                <w:b/>
                <w:i/>
                <w:vertAlign w:val="superscript"/>
              </w:rPr>
              <w:t>1 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UNRWA on antanut panoksensa tarkistukseen.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133 kohta – ii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a)</w:t>
            </w:r>
            <w:r>
              <w:tab/>
            </w:r>
            <w:r>
              <w:rPr>
                <w:b/>
                <w:i/>
              </w:rPr>
              <w:t>lisäämään Ukrainalle myönnetyn tuen käytön seurantaa ja valvontaa ja määrittämään lisää keinoja varmistaa, että EU:n taloudellisia etuja suojataan asianmukaisesti huolimatta siitä, että varoja maksetaan poikkeuksellisen riskialttiissa ympäristössä ja sodan aiheuttaman epävarmuuden vallitessa;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133 kohta – ii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b)</w:t>
            </w:r>
            <w:r>
              <w:tab/>
            </w:r>
            <w:r>
              <w:rPr>
                <w:b/>
                <w:i/>
              </w:rPr>
              <w:t>on ratkaisevan tärkeää asettaa tiukemmat ehdot annettaessa institutionaalista tukea oikeus-, lainvalvonta- ja syyttäjälaitoksille Ukrainassa sekä korostaa lahjomattomuutta ja uudistuksiin sitoutumista koskevia kriteerejä;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133 kohta – ii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a)</w:t>
            </w:r>
            <w:r>
              <w:tab/>
            </w:r>
            <w:r>
              <w:rPr>
                <w:b/>
                <w:i/>
              </w:rPr>
              <w:t>lopettamaan välittömästi terroristijärjestöihin läheisissä yhteyksissä olevien liikkeiden tai yhteisöjen rahoitus Euroopassa ja kolmansissa maissa;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133 kohta – i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pyytämään terroristijärjestöille suoraan tai välillisesti maksettujen summien takaisinmaksua ja varmistamaan 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135 a.</w:t>
            </w:r>
            <w:r>
              <w:tab/>
            </w:r>
            <w:r>
              <w:rPr>
                <w:b/>
                <w:i/>
              </w:rPr>
              <w:t>suhtautuu myönteisesti komission viimeaikaisiin pyrkimyksiin uuden yksinkertaistamispaketin luomiseksi, mutta uskoo vakaasti, että EU:n on mentävä pidemmälle ja hyväksyttävä tehokkaampia toimenpiteitä kilpailukyvyn parantamiseksi ja sääntelyn ja EU:n hallinnon virtaviivaistamiseksi; suosittelee arvioimaan, miten DOGE-tyyppinen (Department of Government Efficiency) uudistuspaketti voitaisiin panna täytäntöön ja miten se voisi edistää Euroopan unionin ja sen julkishallinnon hallinnon tehokkuutta;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137.</w:t>
            </w:r>
            <w:r>
              <w:tab/>
            </w:r>
            <w:r>
              <w:t>arvostaa sitä, että naisten edustus johtotehtävissä kasvoi 46,1 prosentista vuoden 2022 joulukuussa 47,8 prosenttiin vuoden 2023 joulukuussa</w:t>
            </w:r>
            <w:r>
              <w:rPr>
                <w:b/>
                <w:i/>
              </w:rPr>
              <w:t>, joten sukupuolten tasapuolisen edustuksen varmistamisessa edistyttiin hyvin</w:t>
            </w:r>
            <w:r>
              <w:t>; kannustaa komissiota keskittymään jatkossakin sukupuolten tasapuolisen edustuksen varmistamiseen ja säilyttämiseen kaikilla hallintotasoilla;</w:t>
            </w:r>
          </w:p>
        </w:tc>
        <w:tc>
          <w:tcPr>
            <w:tcW w:w="4876" w:type="dxa"/>
            <w:tcBorders>
              <w:top w:val="nil"/>
              <w:left w:val="nil"/>
              <w:bottom w:val="nil"/>
              <w:right w:val="nil"/>
            </w:tcBorders>
          </w:tcPr>
          <w:p>
            <w:pPr>
              <w:pStyle w:val="Normal6a"/>
            </w:pPr>
            <w:r>
              <w:t>137.</w:t>
            </w:r>
            <w:r>
              <w:tab/>
            </w:r>
            <w:r>
              <w:t>arvostaa sitä, että naisten edustus johtotehtävissä kasvoi 46,1 prosentista vuoden 2022 joulukuussa 47,8 prosenttiin vuoden 2023 joulukuussa; kannustaa komissiota keskittymään jatkossakin sukupuolten tasapuolisen edustuksen varmistamiseen ja säilyttämiseen kaikilla hallintotasoilla;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137.</w:t>
            </w:r>
            <w:r>
              <w:tab/>
            </w:r>
            <w:r>
              <w:t>arvostaa sitä, että naisten edustus johtotehtävissä kasvoi 46,1 prosentista vuoden 2022 joulukuussa 47,8 prosenttiin vuoden 2023 joulukuussa, joten sukupuolten tasapuolisen edustuksen varmistamisessa edistyttiin hyvin; kannustaa komissiota keskittymään jatkossakin sukupuolten tasapuolisen edustuksen varmistamiseen ja säilyttämiseen kaikilla hallintotasoilla;</w:t>
            </w:r>
          </w:p>
        </w:tc>
        <w:tc>
          <w:tcPr>
            <w:tcW w:w="4876" w:type="dxa"/>
            <w:tcBorders>
              <w:top w:val="nil"/>
              <w:left w:val="nil"/>
              <w:bottom w:val="nil"/>
              <w:right w:val="nil"/>
            </w:tcBorders>
          </w:tcPr>
          <w:p>
            <w:pPr>
              <w:pStyle w:val="Normal6a"/>
            </w:pPr>
            <w:r>
              <w:t>137.</w:t>
            </w:r>
            <w:r>
              <w:tab/>
            </w:r>
            <w:r>
              <w:t xml:space="preserve">arvostaa sitä, että naisten edustus johtotehtävissä kasvoi 46,1 prosentista vuoden 2022 joulukuussa 47,8 prosenttiin vuoden 2023 joulukuussa, joten sukupuolten tasapuolisen edustuksen varmistamisessa edistyttiin hyvin; kannustaa komissiota keskittymään jatkossakin sukupuolten tasapuolisen edustuksen varmistamiseen ja säilyttämiseen kaikilla hallintotasoilla; </w:t>
            </w:r>
            <w:r>
              <w:rPr>
                <w:b/>
                <w:i/>
              </w:rPr>
              <w:t>muistuttaa, että Euroopan unionista tehdyn sopimuksen mukaan EU ja sen toimielimet edistävät yhteisvastuuta sekä naisten ja miesten tasa-arvoa;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138.</w:t>
            </w:r>
            <w:r>
              <w:tab/>
            </w:r>
            <w:r>
              <w:t xml:space="preserve">panee tyytyväisenä merkille, että komissio on ottanut käyttöön toimintaperiaatteita parantaakseen työ- ja yksityiselämän välistä tasapainoa ja henkilöstön hyvinvointia, mukaan lukien oikeus olla tavoittamattomissa; on myös ilahtunut siitä, että häirinnän ehkäisemisestä ja torjunnasta annettiin uusi päätös, </w:t>
            </w:r>
            <w:r>
              <w:rPr>
                <w:b/>
                <w:i/>
              </w:rPr>
              <w:t>ja pitää näitä tärkeinä osatekijöinä varmistettaessa, että komissio on houkutteleva työpaikka kaikille</w:t>
            </w:r>
            <w:r>
              <w:t>;</w:t>
            </w:r>
          </w:p>
        </w:tc>
        <w:tc>
          <w:tcPr>
            <w:tcW w:w="4876" w:type="dxa"/>
            <w:tcBorders>
              <w:top w:val="nil"/>
              <w:left w:val="nil"/>
              <w:bottom w:val="nil"/>
              <w:right w:val="nil"/>
            </w:tcBorders>
          </w:tcPr>
          <w:p>
            <w:pPr>
              <w:pStyle w:val="Normal6a"/>
            </w:pPr>
            <w:r>
              <w:t>138.</w:t>
            </w:r>
            <w:r>
              <w:tab/>
            </w:r>
            <w:r>
              <w:t xml:space="preserve">panee tyytyväisenä merkille, että komissio on ottanut käyttöön toimintaperiaatteita parantaakseen työ- ja yksityiselämän välistä tasapainoa ja henkilöstön hyvinvointia, mukaan lukien oikeus olla tavoittamattomissa; on myös ilahtunut siitä, että häirinnän ehkäisemisestä ja torjunnasta annettiin uusi päätös, </w:t>
            </w:r>
            <w:r>
              <w:rPr>
                <w:b/>
                <w:i/>
              </w:rPr>
              <w:t>jolla perustettiin johtavan häirintäyhdyshenkilön toimi, ja että tämä yhdyshenkilö on keskeinen toimija häirinnän torjunnassa;</w:t>
            </w:r>
            <w:r>
              <w:t xml:space="preserve"> </w:t>
            </w:r>
            <w:r>
              <w:rPr>
                <w:b/>
                <w:i/>
              </w:rPr>
              <w:t>korostaa, että tälle toimelle on annettava asianmukaiset resurssit moninaisten haastavien tehtävien tehokasta hoitamista varten</w:t>
            </w:r>
            <w:r>
              <w:rPr>
                <w:b/>
                <w:i/>
                <w:vertAlign w:val="superscript"/>
              </w:rPr>
              <w:t>1 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Komission häirinnänehkäisyverkosto on antanut panoksensa tarkistukseen.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138 a.</w:t>
            </w:r>
            <w:r>
              <w:tab/>
            </w:r>
            <w:r>
              <w:rPr>
                <w:b/>
                <w:i/>
              </w:rPr>
              <w:t>on erittäin huolissaan siitä, että korruptiontorjuntakehystä ja oikeusvaltiomenettelyjä koskevista neuvotteluista jäsenvaltioiden kanssa viimeisten viiden vuoden aikana vastannut entinen komission jäsen on tällä hetkellä rahanpesua ja muita korruptioon liittyviä rikoksia koskevan rikostutkinnan kohteena;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138 a.</w:t>
            </w:r>
            <w:r>
              <w:tab/>
            </w:r>
            <w:r>
              <w:rPr>
                <w:b/>
                <w:i/>
              </w:rPr>
              <w:t>korostaa, että viimeaikaiset väitteet ja meneillään olevat tutkimukset entisen oikeusasioista vastanneen komission jäsenen taloudellisista väärinkäytöksistä osoittavat, että EU:n taloushallinto on edelleen haavoittuvainen;</w:t>
            </w:r>
            <w:r>
              <w:t xml:space="preserve"> </w:t>
            </w:r>
            <w:r>
              <w:rPr>
                <w:b/>
                <w:i/>
              </w:rPr>
              <w:t>korostaa, että tällaiset tapaukset vahingoittavat vakavasti EU:n toimielinten mainetta ja heikentävät kansalaisten luottamusta;</w:t>
            </w:r>
            <w:r>
              <w:t xml:space="preserve"> </w:t>
            </w:r>
            <w:r>
              <w:rPr>
                <w:b/>
                <w:i/>
              </w:rPr>
              <w:t>kehottaa komissiota vahvistamaan edelleen sisäisiä valvontamekanismejaan, varmistamaan eettisten normien tiukan täytäntöönpanon ja lisäämään varainhoidon valvonnan avoimuutta mahdollisten väärinkäytösten estämiseksi;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138 a.</w:t>
            </w:r>
            <w:r>
              <w:tab/>
            </w:r>
            <w:r>
              <w:rPr>
                <w:b/>
                <w:i/>
              </w:rPr>
              <w:t>on erittäin huolestunut tapauksesta, joka liittyy liikenteen ja liikkumisen pääosaston entiseen pääjohtajaan, jonka OLAF tiedotusvälineiden antamien tietojen mukaan havaitsi ottaneen Qatarilta vastaan lentomatkoja ja lahjoja johtaessaan EU:n ja Qatarin välistä lentoliikennesopimusta koskevia neuvotteluja ja paljastaneen vastineeksi luottamuksellisia tietoja;</w:t>
            </w:r>
            <w:r>
              <w:t xml:space="preserve"> </w:t>
            </w:r>
            <w:r>
              <w:rPr>
                <w:b/>
                <w:i/>
              </w:rPr>
              <w:t>pitää valitettavana, että huolimatta siitä, että OLAF välitti havaintonsa komission puheenjohtajalle heinäkuussa 2024, vaikuttaa siltä, ettei asiaa ole saatettu Euroopan syyttäjänviraston (EPPO) eikä toimivaltaisten Belgian viranomaisten käsiteltäväksi;</w:t>
            </w:r>
            <w:r>
              <w:t xml:space="preserve"> </w:t>
            </w:r>
            <w:r>
              <w:rPr>
                <w:b/>
                <w:i/>
              </w:rPr>
              <w:t>kehottaa tutkimaan, miksi tätä raporttia ei ilmeisesti ole jaettu asianomaisten syyttäjäviranomaisten kanssa, ja korostaa, että tarvitaan selkeä ja järjestelmällinen lähestymistapa sen varmistamiseksi, että kaikki OLAFin tutkimat tapaukset, joihin liittyy mahdollisia asiaan liittyviä rikoksia, siirretään viipymättä EPPOn ja toimivaltaisten kansallisten viranomaisten käsiteltäväksi;</w:t>
            </w:r>
            <w:r>
              <w:t xml:space="preserve"> </w:t>
            </w:r>
            <w:r>
              <w:rPr>
                <w:b/>
                <w:i/>
              </w:rPr>
              <w:t>kehottaa komissiota vahvistamaan oikeudellista ja menettelyjä koskevaa kehystä tällaisten epäonnistumisten ehkäisemiseksi tulevaisuudessa;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138 a.</w:t>
            </w:r>
            <w:r>
              <w:tab/>
            </w:r>
            <w:r>
              <w:rPr>
                <w:b/>
                <w:i/>
              </w:rPr>
              <w:t>on erittäin huolissaan siitä, että OLAF käynnisti vuonna 2023 tutkimuksen tapauksesta, jossa oli osallisena liikenteen ja liikkumisen pääosaston entinen pääjohtaja, joka otti vastaan ilmaislahjoja Qatarista itselleen ja perheelleen, kun komissio neuvotteli EU:n ja Qatarin välisestä ilmatilan käyttöä koskevasta sopimuksesta;</w:t>
            </w:r>
            <w:r>
              <w:t xml:space="preserve"> </w:t>
            </w:r>
            <w:r>
              <w:rPr>
                <w:b/>
                <w:i/>
              </w:rPr>
              <w:t>pyytää saada tietoa tutkimusten päätelmistä ja on huolissaan siitä, etteivät EPPO ja kansallinen oikeusjärjestelmä osallistuneet menettelyyn;</w:t>
            </w:r>
            <w:r>
              <w:t xml:space="preserve"> </w:t>
            </w:r>
            <w:r>
              <w:rPr>
                <w:b/>
                <w:i/>
              </w:rPr>
              <w:t>on erityisen huolissaan siitä, että johtaja työskentelee edelleen komissiossa eikä hänelle ilmeisesti ole määrätty seuraamuksia tutkimuksen tulosten perusteella;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139.</w:t>
            </w:r>
            <w:r>
              <w:tab/>
            </w:r>
            <w:r>
              <w:rPr>
                <w:b/>
                <w:i/>
              </w:rPr>
              <w:t>panee tyytyväisenä merkille, että komissio on antanut päivitetyt versiot suuntaviivoista</w:t>
            </w:r>
            <w:r>
              <w:t xml:space="preserve">, jotka koskevat komission jäsenten osallistumisessa Euroopan parlamentin vaalikampanjaan sovellettavia eettisiä normeja, ja </w:t>
            </w:r>
            <w:r>
              <w:rPr>
                <w:b/>
                <w:i/>
              </w:rPr>
              <w:t>suuntaviivoista</w:t>
            </w:r>
            <w:r>
              <w:t>, jotka koskevat komission jäsenten osallistumista vaalikampanjoihin jäsenvaltiotasolla; on myös ilahtunut siitä, että komissio hyväksyi maaliskuussa 2023 kauan kaivatut vahvistetut säännöt virkamatkoista ja kolmansien osapuolten maksamista kuluista;</w:t>
            </w:r>
          </w:p>
        </w:tc>
        <w:tc>
          <w:tcPr>
            <w:tcW w:w="4876" w:type="dxa"/>
            <w:tcBorders>
              <w:top w:val="nil"/>
              <w:left w:val="nil"/>
              <w:bottom w:val="nil"/>
              <w:right w:val="nil"/>
            </w:tcBorders>
          </w:tcPr>
          <w:p>
            <w:pPr>
              <w:pStyle w:val="Normal6a"/>
            </w:pPr>
            <w:r>
              <w:t>139.</w:t>
            </w:r>
            <w:r>
              <w:tab/>
            </w:r>
            <w:r>
              <w:rPr>
                <w:b/>
                <w:i/>
              </w:rPr>
              <w:t>katsoo, että komission sisäiset eturistiriitoja ja korruptiota koskevat säännöt ovat epäonnistuneet täysin huolimatta siitä, että suuntaviivat</w:t>
            </w:r>
            <w:r>
              <w:t xml:space="preserve">, jotka koskevat komission jäsenten osallistumisessa Euroopan parlamentin vaalikampanjaan sovellettavia eettisiä normeja, ja </w:t>
            </w:r>
            <w:r>
              <w:rPr>
                <w:b/>
                <w:i/>
              </w:rPr>
              <w:t>suuntaviivat</w:t>
            </w:r>
            <w:r>
              <w:t>, jotka koskevat komission jäsenten osallistumista vaalikampanjoihin jäsenvaltiotasolla</w:t>
            </w:r>
            <w:r>
              <w:rPr>
                <w:b/>
                <w:i/>
              </w:rPr>
              <w:t>, on päivitetty</w:t>
            </w:r>
            <w:r>
              <w:t xml:space="preserve">; on myös ilahtunut siitä, että komissio hyväksyi maaliskuussa 2023 kauan kaivatut vahvistetut säännöt virkamatkoista ja kolmansien osapuolten maksamista kuluista </w:t>
            </w:r>
            <w:r>
              <w:rPr>
                <w:b/>
                <w:i/>
              </w:rPr>
              <w:t>sen jälkeen, kun oli paljastunut, että liikenteen ja liikkumisen pääosaston pääjohtaja oli ottanut vieraalta maalta vastaan ilmaiset liikematkaluokan lentoliput yhdeksän kertaa kuuden vuoden aikana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139 a.</w:t>
            </w:r>
            <w:r>
              <w:tab/>
            </w:r>
            <w:r>
              <w:rPr>
                <w:b/>
                <w:i/>
              </w:rPr>
              <w:t>ilmaisee syvän huolensa liikenteen ja liikkumisen pääosaston entisen pääjohtajan tapauksesta, sillä hänen väitetään hyväksyneen ylellisiä matkoja ja etuja Qatarilta neuvotellessaan EU:n ja Qatarin välisestä ilmailusopimuksesta;</w:t>
            </w:r>
            <w:r>
              <w:t xml:space="preserve"> </w:t>
            </w:r>
            <w:r>
              <w:rPr>
                <w:b/>
                <w:i/>
              </w:rPr>
              <w:t>katsoo, että kyseessä on eettisten normien ja avoimuuden vakava rikkominen, joka on vahingoittanut vakavasti EU:n toimielinten uskottavuutta;</w:t>
            </w:r>
            <w:r>
              <w:t xml:space="preserve"> </w:t>
            </w:r>
            <w:r>
              <w:rPr>
                <w:b/>
                <w:i/>
              </w:rPr>
              <w:t>vaatii komissiota tarkistamaan perusteellisesti eturistiriitoja koskevia toimintalinjojaan ja täytäntöönpanomekanismejaan, jotta vastaava asiaton vaikuttaminen ja mahdollinen korruptio voidaan estää tulevaisuudessa;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139 a.</w:t>
            </w:r>
            <w:r>
              <w:tab/>
            </w:r>
            <w:r>
              <w:rPr>
                <w:b/>
                <w:i/>
              </w:rPr>
              <w:t>pitää valitettavana, ettei Euroopan komissio aluksi tunnustanut mitään rikkomusta; uskoo vakaasti, että voimassa olevat eturistiriitoja koskevat säännöt ovat osoittautuneet tehottomiksi, sillä korkea-arvoiselle virkamiehelle oli mahdollista ottaa vastaan maksuttomia lentolippuja ja majoituksia kolmannesta maasta usean vuoden ajan, kun otetaan huomioon, että hän itse tulojen ja menojen hyväksyjänä vahvisti, etteivät hänen omat matkansa muodostaneet eturistiriitaa;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139 b.</w:t>
            </w:r>
            <w:r>
              <w:tab/>
            </w:r>
            <w:r>
              <w:rPr>
                <w:b/>
                <w:i/>
              </w:rPr>
              <w:t>tuomitsee käytännön, jossa ei anneta seuraamuksia, sillä selkeästä eturistiriidasta ja toimielimen sisäisten eettisten menettelyjen rikkomisesta sekä OLAFin päätökseen saatetusta tutkintakertomuksesta huolimatta pääjohtaja on edelleen komission palveluksessa;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139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139 c.</w:t>
            </w:r>
            <w:r>
              <w:tab/>
            </w:r>
            <w:r>
              <w:rPr>
                <w:b/>
                <w:i/>
              </w:rPr>
              <w:t>katsoo, että skandaalien laajuudella ja sillä, että kyseiset henkilöt ovat jatkaneet tätä laitonta toimintaa toimielimessä useiden vuosien ajan,</w:t>
            </w:r>
            <w:r>
              <w:t xml:space="preserve"> </w:t>
            </w:r>
            <w:r>
              <w:rPr>
                <w:b/>
                <w:i/>
              </w:rPr>
              <w:t>olisi oltava seurauksia toimielimelle ja sen elimille, jotka vastaavat Euroopan unionin taloudellisten etujen suojaamisesta ja varmistamisesta;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139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139 d.</w:t>
            </w:r>
            <w:r>
              <w:tab/>
            </w:r>
            <w:r>
              <w:rPr>
                <w:b/>
                <w:i/>
              </w:rPr>
              <w:t>on painokkaasti sitä mieltä, että varainhoitovuotta 2023 koskevan vastuuvapauden myöntäminen Euroopan komissiolle lähettäisi väärän viestin muille toimielimille ja Euroopan unionin kansalaisille, koska ainakin kolmen vuotta 2023 koskevan merkittävän tapauksen käsittely ja tutkimus ovat edelleen kesken;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139 a.</w:t>
            </w:r>
            <w:r>
              <w:tab/>
            </w:r>
            <w:r>
              <w:rPr>
                <w:b/>
                <w:i/>
              </w:rPr>
              <w:t>panee huolestuneena merkille, että komission tutkinta- ja kurinpitotoimiston (IDOC) mukaan vuonna 2023 seksuaalista häirintää tai työpaikkahäirintää koskevasta 25 virallisesta valituksesta useimmat on hylätty ilman hallinnollisen tutkimuksen aloittamista ja vain yksi tapaus kummastakin häirinnän lajista on tunnustettu häirinnäksi ja niistä on ollut seuraamuksena pelkkä huomautus;</w:t>
            </w:r>
            <w:r>
              <w:t xml:space="preserve"> </w:t>
            </w:r>
            <w:r>
              <w:rPr>
                <w:b/>
                <w:i/>
              </w:rPr>
              <w:t>on erittäin huolissaan siitä, että viimeisten 18 vuoden aikana vain viisi työpaikkahäirintää ja viisi seksuaalista häirintää koskevaa tapausta on tunnustettu häirinnäksi, ja pelkää, että tämä on osoitus merkittävistä institutionaalista sokeista pisteistä komissiossa, kun otetaan huomioon, että toimielimen palveluksessa on jopa 32 000 henkilöstön jäsentä;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139 a.</w:t>
            </w:r>
            <w:r>
              <w:tab/>
            </w:r>
            <w:r>
              <w:rPr>
                <w:b/>
                <w:i/>
              </w:rPr>
              <w:t>toteaa, että demokratiassa hallitusten on tarkoitus käsitellä käynnissä olevia asioita vaalikampanjan aikana tai vaalien jälkeen ennen uuden hallituksen nimittämistä;</w:t>
            </w:r>
            <w:r>
              <w:t xml:space="preserve"> </w:t>
            </w:r>
            <w:r>
              <w:rPr>
                <w:b/>
                <w:i/>
              </w:rPr>
              <w:t>pitää valitettavana, ettei ole olemassa tyhjentävää luetteloa käynnissä olevia asioita koskevien toimien tyypeistä eikä poliittisesti arkaluonteisista toimista, joita komission jäsenet eivät voi toteuttaa vaalikampanjan aikana tai vaalien jälkeisen siirtymäkauden aikana uuden komission viralliseen hyväksymiseen asti, sillä perussopimuksissa Euroopan parlamentille annetaan lainsäädäntö- ja talousarviotehtävien lisäksi poliittista valvontavaltaa;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139 b.</w:t>
            </w:r>
            <w:r>
              <w:tab/>
            </w:r>
            <w:r>
              <w:rPr>
                <w:b/>
                <w:i/>
              </w:rPr>
              <w:t>kehottaa komissiota välttämään viestintään liittyviä menoja vaalien aikana;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142 a.</w:t>
            </w:r>
            <w:r>
              <w:tab/>
            </w:r>
            <w:r>
              <w:rPr>
                <w:b/>
                <w:i/>
              </w:rPr>
              <w:t>on huolissaan siitä, että virkamiehet ja parlamentin jäsenet, joilla on autoimmuunisairauksia, neurologisia sairauksia, keuhkoahtaumatauti, pitkäkestoinen covid-19-tauti tai diagnosoimattomia ja harvinaisia sairauksia, saavat toimielinten sairausvakuutusjärjestelmässä riittämätöntä ja heikkotasoista hoitoa;</w:t>
            </w:r>
            <w:r>
              <w:t xml:space="preserve"> </w:t>
            </w:r>
            <w:r>
              <w:rPr>
                <w:b/>
                <w:i/>
              </w:rPr>
              <w:t>toteaa, että potilaat, joilla on näitä oireita, eivät usein saa korvauksia diagnostisista testeistään;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142 a.</w:t>
            </w:r>
            <w:r>
              <w:tab/>
            </w:r>
            <w:r>
              <w:rPr>
                <w:b/>
                <w:i/>
              </w:rPr>
              <w:t>pitää pöyristyttävänä ja mahdottomana hyväksyä, että entinen komission jäsen on myöntänyt joka vuosi EU:n varoja kansalaisjärjestöille lobatakseen komission omaa poliittista asialistaa eli edistääkseen komission vihreää politiikkaa ja ideologiaa;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142 b.</w:t>
            </w:r>
            <w:r>
              <w:tab/>
            </w:r>
            <w:r>
              <w:rPr>
                <w:b/>
                <w:i/>
              </w:rPr>
              <w:t>katsoo, että vastuuvapausmenettely olisi keskeytettävä, kunnes kaikki komission ja kansalaisjärjestöjen väliset sopimukset on julkistettu ja kaikesta komission kansalaisjärjestöille antamasta rahoituksesta on tehty täydellinen ja riippumaton tarkastus;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142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142 c.</w:t>
            </w:r>
            <w:r>
              <w:tab/>
            </w:r>
            <w:r>
              <w:rPr>
                <w:b/>
                <w:i/>
              </w:rPr>
              <w:t>tuomitsee jyrkästi äskettäin hyväksytyn komission päätöksen (2024/3080), jolla muutetaan sääntöjä tekstiviestien tallentamisesta komission puhelimiin ja edistetään tekstiviestien automaattista katoamista koko toimielimessä; katsoo, että tämä antaa väärän viestin asiakirjojen avoimuudesta ja saatavuudesta yleisölle;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143 a.</w:t>
            </w:r>
            <w:r>
              <w:tab/>
            </w:r>
            <w:r>
              <w:rPr>
                <w:b/>
                <w:i/>
              </w:rPr>
              <w:t>muistuttaa, että oikeusasiamies on arvostellut Euroopan komissiota ja sen henkilöstön pyöröovi-ilmiön hallintamenettelyä (OI/1/2021/KR).</w:t>
            </w:r>
            <w:r>
              <w:t xml:space="preserve"> </w:t>
            </w:r>
            <w:r>
              <w:rPr>
                <w:b/>
                <w:i/>
              </w:rPr>
              <w:t>toteaa, että komissio oli estänyt ainoastaan kaksi tapausta strategisen tutkimuksen aikana tutkitusta sadasta tapauksesta; panee merkille, että oikeusasiamies totesi, että komission olisi sovellettava vankempaa lähestymistapaa, kun sen ylin henkilöstö siirtyy pian lähdön jälkeen yksityissektorin tehtäviin;</w:t>
            </w:r>
            <w:r>
              <w:t xml:space="preserve"> </w:t>
            </w:r>
            <w:r>
              <w:rPr>
                <w:b/>
                <w:i/>
              </w:rPr>
              <w:t>toteaa, että komissio antoi kuitenkin entiselle komission jäsenelle ja Ranskan entiselle valtiovarainministerille Thierry Bretonille (2019–2024) luvan liittyä (uudelleen) Bank of America -pankin kansainväliseen neuvoa-antavaan komiteaan;</w:t>
            </w:r>
            <w:r>
              <w:t xml:space="preserve"> </w:t>
            </w:r>
            <w:r>
              <w:rPr>
                <w:b/>
                <w:i/>
              </w:rPr>
              <w:t>toteaa, että tämä tehtävä vie häneltä vain kolme päivää vuodessa ja että hän on ilmoittanut, ettei kyseessä ole palkallinen työ eikä työntekijän asema, mikä herättää kysymyksiä hänen tarkoitusperistään ja asemastaan;</w:t>
            </w:r>
            <w:r>
              <w:t xml:space="preserve"> </w:t>
            </w:r>
            <w:r>
              <w:rPr>
                <w:b/>
                <w:i/>
              </w:rPr>
              <w:t>toteaa, että hän palaa aiempiin tehtäviinsä (2013–2019);</w:t>
            </w:r>
            <w:r>
              <w:t xml:space="preserve"> </w:t>
            </w:r>
            <w:r>
              <w:rPr>
                <w:b/>
                <w:i/>
              </w:rPr>
              <w:t>pitää valitettavana, ettei menettely takaa avoimuutta palkan tai korvauksen suhteen;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143 b.</w:t>
            </w:r>
            <w:r>
              <w:tab/>
            </w:r>
            <w:r>
              <w:rPr>
                <w:b/>
                <w:i/>
              </w:rPr>
              <w:t>kehottaa komissiota kieltämään komission jäsenten tai pääjohtajien pyöröovi-ilmiön Euroopan ulkopuolisiin merkittävän kokoisiin yrityksiin tai organisaatioihin toimikautensa päättyessä;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143 a.</w:t>
            </w:r>
            <w:r>
              <w:tab/>
            </w:r>
            <w:r>
              <w:rPr>
                <w:b/>
                <w:i/>
              </w:rPr>
              <w:t>kehottaa komissiota asettamaan vakinaisen henkilöstön etusijalle ulkopuolisiin konsultteihin ja sopimussuhteiseen henkilöstöön nähden, jotta voidaan taata laadukkaat työolot ja estää tietämyksen ja kokemuksen häviäminen;</w:t>
            </w:r>
            <w:r>
              <w:t xml:space="preserve"> </w:t>
            </w:r>
            <w:r>
              <w:rPr>
                <w:b/>
                <w:i/>
              </w:rPr>
              <w:t>kehottaa antamaan tältä osin joustovaraa pääosastoille, joiden henkilöstötaulukossa on paljon kansallisia asiantuntijoita, ja sallimaan näiden tointen muuttaminen väliaikaisiksi toimiksi, jotta voidaan varmistaa parempi asiantuntemuksen säilyttäminen, operatiivinen toimivuus ja toiminnan jatkuvuus;</w:t>
            </w:r>
            <w:r>
              <w:t xml:space="preserve"> </w:t>
            </w:r>
            <w:r>
              <w:rPr>
                <w:b/>
                <w:i/>
              </w:rPr>
              <w:t>vaatii lisäksi välttämään tehtävien ulkoistamista konsulttitoimistoille silloin, kun osaamista on saatavilla sisäisesti;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143 a.</w:t>
            </w:r>
            <w:r>
              <w:tab/>
            </w:r>
            <w:r>
              <w:rPr>
                <w:b/>
                <w:i/>
              </w:rPr>
              <w:t>huomauttaa, että vuonna 2023 tehtiin oma-aloitteinen tutkimus, joka paljasti, että Euroopan komissio ei noudata lakisääteisiä määräaikoja merkittävässä osassa tapauksia, joissa henkilöt esittävät uudistettuja pyyntöjä asiakirjoihin tutustumista koskevien päätösten tarkistamiseksi, ja kehottaa Euroopan komissiota puuttumaan kiireellisesti systeemisiin viivästyksiin asiakirjoihin tutustumista koskevien pyyntöjen käsittelyssä;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143 a.</w:t>
            </w:r>
            <w:r>
              <w:tab/>
            </w:r>
            <w:r>
              <w:rPr>
                <w:b/>
                <w:i/>
              </w:rPr>
              <w:t>panee merkille, että OLAF sai vuonna 2023 päätökseen yhdeksän komissiota koskevaa tutkimusta ja että seitsemän tutkimuksen käsittelyn päätteeksi annettiin suosituksia;</w:t>
            </w:r>
            <w:r>
              <w:t xml:space="preserve"> </w:t>
            </w:r>
            <w:r>
              <w:rPr>
                <w:b/>
                <w:i/>
              </w:rPr>
              <w:t>kehottaa komissiota antamaan Euroopan parlamentille yksityiskohtaisia tietoja siitä, miten se on pannut täytäntöön OLAFin suositukset kussakin tapauksessa, jotta varmistetaan täysi avoimuus ja vastuuvelvollisuus näiden tapausten seurannassa;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143 b.</w:t>
            </w:r>
            <w:r>
              <w:tab/>
            </w:r>
            <w:r>
              <w:rPr>
                <w:b/>
                <w:i/>
              </w:rPr>
              <w:t>on huolissaan siitä, että komissio on viime vuosina ulkoistanut yhä enemmän vaikutustenarviointeja ulkopuolisille yrityksille, mikä on herättänyt huolta mahdollisista eturistiriidoista erityisesti silloin, kun näillä yrityksillä on liiketaloudellisia intressejä arvioimillaan aloilla;</w:t>
            </w:r>
            <w:r>
              <w:t xml:space="preserve"> </w:t>
            </w:r>
            <w:r>
              <w:rPr>
                <w:b/>
                <w:i/>
              </w:rPr>
              <w:t>kehottaa komissiota vahvistamaan julkisia hankintamenettelyjä koskevien ohjeiden meneillään olevan tarkistuksen yhteydessä säännöksiä, joilla pyritään ehkäisemään mahdolliset eturistiriidat ja antamaan parempaa ohjausta henkilöstölle, joka käsittelee toimintapolitiikkaan liittyviä palveluhankintasopimuksia koskevia julkisia hankintamenettelyjä</w:t>
            </w:r>
            <w:r>
              <w:rPr>
                <w:b/>
                <w:i/>
                <w:vertAlign w:val="superscript"/>
              </w:rPr>
              <w:t>1 a</w:t>
            </w:r>
            <w:r>
              <w:rPr>
                <w:b/>
                <w:i/>
              </w:rPr>
              <w:t>;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TI on antanut panoksensa tähän tarkistukseen.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143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143 c.</w:t>
            </w:r>
            <w:r>
              <w:tab/>
            </w:r>
            <w:r>
              <w:rPr>
                <w:b/>
                <w:i/>
              </w:rPr>
              <w:t>kehottaa komissiota sisällyttämään menettelyihinsä ja valvontakomiteoihinsa tai eettisiin komiteoihinsa yhden tai useamman opposition jäsenen näiden komiteoiden riippumattomuuden lisäämiseksi;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143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143 d.</w:t>
            </w:r>
            <w:r>
              <w:tab/>
            </w:r>
            <w:r>
              <w:rPr>
                <w:b/>
                <w:i/>
              </w:rPr>
              <w:t>panee merkille, että komissio ei vastaa parlamentin häiritseviin kysymyksiin sovituissa määräajoissa;</w:t>
            </w:r>
            <w:r>
              <w:t xml:space="preserve"> </w:t>
            </w:r>
            <w:r>
              <w:rPr>
                <w:b/>
                <w:i/>
              </w:rPr>
              <w:t>panee merkille, ettei komissio ole vastannut parlamentin 17. heinäkuuta esittämään kysymykseen ympäristöstä ja vihreän kehityksen ohjelmasta vastaavan komission varapuheenjohtajan neuvonantajan siirtymisestä ns. pyöröoven kautta erääseen kaasuyhtiöön.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143 b.</w:t>
            </w:r>
            <w:r>
              <w:tab/>
            </w:r>
            <w:r>
              <w:rPr>
                <w:b/>
                <w:i/>
              </w:rPr>
              <w:t>panee merkille Euroopan komission ennennäkemättömät väärinkäytökset, kun se on kieltäytynyt toimittamasta asiakirjoja ja tekstiviestejä, jotka liittyvät neuvotteluihin julkisista varoista rahoitetuista covid-19-rokotteiden hankintasopimuksista;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143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143 e.</w:t>
            </w:r>
            <w:r>
              <w:tab/>
            </w:r>
            <w:r>
              <w:rPr>
                <w:b/>
                <w:i/>
              </w:rPr>
              <w:t>toteaa, että Euroopan syyttäjänvirasto tutkii covid-rokotteiden hankintoja ja Qatar-skandaalia erittäin hitaasti;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Csaba Molnár,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143 a.</w:t>
            </w:r>
            <w:r>
              <w:tab/>
            </w:r>
            <w:r>
              <w:rPr>
                <w:b/>
                <w:i/>
              </w:rPr>
              <w:t>tuomitsee hiljattain raportoidun järjestelmällisen vakoilun, jonka Unkarin hallitus on organisoinut ja joka on kohdistunut OLAFin henkilöstöön sen tutkiessa Unkarin pääministerin vävyyn sidoksissa olevan Elios-yrityksen mahdollista syyllistymistä EU:n varojen väärinkäyttöön;</w:t>
            </w:r>
            <w:r>
              <w:t xml:space="preserve"> </w:t>
            </w:r>
            <w:r>
              <w:rPr>
                <w:b/>
                <w:i/>
              </w:rPr>
              <w:t>korostaa, että OLAF ja EPPO, jotka ovat EU:n petostentorjuntarakenteen kulmakiviä, ovat valitettavasti alttiina tällaisille uhille kolmansien maiden lisäksi myös EU:n jäsenvaltioissa;</w:t>
            </w:r>
            <w:r>
              <w:t xml:space="preserve"> </w:t>
            </w:r>
            <w:r>
              <w:rPr>
                <w:b/>
                <w:i/>
              </w:rPr>
              <w:t>painottaa, että tällaiset toimet heikentävät vakavasti oikeusvaltioperiaatetta ja EU:n toimielinten eheyttä;</w:t>
            </w:r>
            <w:r>
              <w:t xml:space="preserve"> </w:t>
            </w:r>
            <w:r>
              <w:rPr>
                <w:b/>
                <w:i/>
              </w:rPr>
              <w:t>kehottaa ottamaan pikaisesti käyttöön tehokkaita suojelutoimenpiteitä jäsenvaltioissa virkamatkalla oleville EU:n toimielinten henkilöstön jäsenille ja estetään jatkossa tällaiset rikkomukset, joita ei voida hyväksyä;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144 a.</w:t>
            </w:r>
            <w:r>
              <w:tab/>
            </w:r>
            <w:r>
              <w:rPr>
                <w:b/>
                <w:i/>
              </w:rPr>
              <w:t>pitää valitettavina woke-/HLBT-ideologiaan liittyviä menoja (pisoaarien poistaminen WC-tilojen muuntamiseksi sukupuolineutraaleiksi vessoiksi jne.) ja aktivismia, joita ei kaivata kouluihin;</w:t>
            </w:r>
            <w:r>
              <w:t xml:space="preserve"> </w:t>
            </w:r>
            <w:r>
              <w:rPr>
                <w:b/>
                <w:i/>
              </w:rPr>
              <w:t>on huolissaan sellaisen hlbtqia+-sääntökirjan levittämisestä, jossa opettajia kielletään käyttämästä sanoja ”poika”, ”tytär”, ”isä” ja ”äiti” ja vaaditaan, että historian oppikirjoissa käytetään hlbtqia+-aiheisia esimerkkejä ja koulun kirjastossa on saatavilla kirjoja, lehtiä tai elokuvia hlbtqia+-aiheista;</w:t>
            </w:r>
            <w:r>
              <w:t xml:space="preserve"> </w:t>
            </w:r>
            <w:r>
              <w:rPr>
                <w:b/>
                <w:i/>
              </w:rPr>
              <w:t>on huolissaan HLBT-aiheisen piirustuskilpailun, jossa on HLBT-aiheinen palkinto, järjestämisestä;</w:t>
            </w:r>
            <w:r>
              <w:t xml:space="preserve"> </w:t>
            </w:r>
            <w:r>
              <w:rPr>
                <w:b/>
                <w:i/>
              </w:rPr>
              <w:t>pitää valitettavana, että ulkopuolelta tulevilla aikuisilla aktivisteilla on mahdollisuus kohdata joitakin lapsia tässä kouluun liittyvässä asiayhteydessä ja että he eivät halua, että vanhemmille kerrotaan siitä;</w:t>
            </w:r>
            <w:r>
              <w:t xml:space="preserve"> </w:t>
            </w:r>
            <w:r>
              <w:rPr>
                <w:b/>
                <w:i/>
              </w:rPr>
              <w:t>on huolissaan siitä, että ”pride-kerhot” ovat avoimia sekä aikuisille että lapsille;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147 kohta – v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a)</w:t>
            </w:r>
            <w:r>
              <w:tab/>
            </w:r>
            <w:r>
              <w:rPr>
                <w:b/>
                <w:i/>
              </w:rPr>
              <w:t>kehottaa Euroopan komissiota toimimaan roolimallina erityisesti muiden kuin tavanomaisten sairauksien ja harvinaisten sairauksien osalta;</w:t>
            </w:r>
            <w:r>
              <w:t xml:space="preserve"> </w:t>
            </w:r>
            <w:r>
              <w:rPr>
                <w:b/>
                <w:i/>
              </w:rPr>
              <w:t>kehottaa komissiota laajentamaan teknistä tietämystään näistä tapauksista ja niiden käsittelyä;</w:t>
            </w:r>
            <w:r>
              <w:t xml:space="preserve"> </w:t>
            </w:r>
            <w:r>
              <w:rPr>
                <w:b/>
                <w:i/>
              </w:rPr>
              <w:t>kehottaa komissiota laajentamaan korvattavien testien luetteloa siten, että siihen sisällytetään laajempi kirjo laboratoriotestejä ja muita diagnoosimenetelmiä ja -kokeita sekä hoitoja;</w:t>
            </w:r>
            <w:r>
              <w:t xml:space="preserve"> </w:t>
            </w:r>
            <w:r>
              <w:rPr>
                <w:b/>
                <w:i/>
              </w:rPr>
              <w:t>kehottaa komissiota tekemään tämän ensisijaisena asiana;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Csaba Molnár,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147 kohta – v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a)</w:t>
            </w:r>
            <w:r>
              <w:tab/>
            </w:r>
            <w:r>
              <w:rPr>
                <w:b/>
                <w:i/>
              </w:rPr>
              <w:t>varmistamaan vahvojen suojamekanismien nopean käyttöönoton EU:n jäsenvaltioissa ja kolmansissa maissa virkamatkalla oleville EU:n toimielinten henkilöstön jäsenille heidän oikeuksiensa turvaamiseksi;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147 kohta – vi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a)</w:t>
            </w:r>
            <w:r>
              <w:tab/>
            </w:r>
            <w:r>
              <w:rPr>
                <w:b/>
                <w:i/>
              </w:rPr>
              <w:t>lisäämään henkilöstön määrää johtavan häirintäyhdyshenkilön toimistossa merkittävästi eli vähintään neljällä AD-tason toimella häirinnän tehokkaan torjunnan varmistamiseksi</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Komission häirinnänehkäisyverkosto on antanut panoksensa tarkistukseen.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147 kohta – vi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b)</w:t>
            </w:r>
            <w:r>
              <w:tab/>
            </w:r>
            <w:r>
              <w:rPr>
                <w:b/>
                <w:i/>
              </w:rPr>
              <w:t>laatimaan kertomuksen, jossa analysoidaan syitä, joiden vuoksi suurin osa häirintää koskevista valituksista (avunpyynnöistä) komissiossa hylätään, useimmat niistä niin, ettei niistä ole edes aloitettu hallinnollista tutkimusta, ja jossa suositellaan, miten tällainen virallisen menettelyn toimimattomuus voidaan korjata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Komission häirinnänehkäisyverkosto on antanut panoksensa tarkistukseen.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147 kohta – vi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c)</w:t>
            </w:r>
            <w:r>
              <w:tab/>
            </w:r>
            <w:r>
              <w:rPr>
                <w:b/>
                <w:i/>
              </w:rPr>
              <w:t>varmistamaan, että vuodesta 2025 alkaen tutkinta- ja kurinpitotoimisto (IDOC) tai OLAF toteuttavat häirintätapauksissa esitettyjen avunpyyntöjen johdosta asianmukaisen hallinnollisen tutkimuksen sen varmistamiseksi, että häirintään syyllistyneet saatetaan vastuuseen ja heille määrätään seuraamuksia oikeassa suhteessa heidän rikkomuksiinsa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Komission häirinnänehkäisyverkosto on antanut panoksensa tarkistukseen.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148.</w:t>
            </w:r>
            <w:r>
              <w:tab/>
            </w:r>
            <w:r>
              <w:t>panee merkille, että 27:ää elpymis- ja palautumissuunnitelmaa tarkistettiin vuonna 2023 ja että tarkistukset vaikuttivat olemassa olevien suunnitelmien täytäntöönpanovauhtiin ja aiheuttivat viivästyksiä; toteaa, että elpymis- ja palautumissuunnitelmien tarkistamiseen vaikuttivat osaltaan energian hintojen nousu, korkea inflaatio ja toimitusketjujen häiriöt, joiden taustalla oli Venäjän provosoimaton hyökkäyssota Ukrainaa vastaan, sekä joissakin tapauksissa luonnonkatastrofit; painottaa, että elpymis- ja palautumissuunnitelmien tarkistamisen aiheuttamat viivästykset pahensivat jo olemassa olleita viivästyksiä, mikä näkyy merkittävissä eroissa maksupyyntöjen alustavan aikataulun sekä sen välillä, milloin jäsenvaltiot tosiasiallisesti toimittivat nämä pyynnöt komissiolle; on edelleen huolestunut riskistä, joka koskee elpymis- ja palautumissuunnitelmien puutteellista täytäntöönpanoa sekä sitä, ettei niissä sovittuja välitavoitteita ja tavoitteita saavuteta;</w:t>
            </w:r>
          </w:p>
        </w:tc>
        <w:tc>
          <w:tcPr>
            <w:tcW w:w="4876" w:type="dxa"/>
            <w:tcBorders>
              <w:top w:val="nil"/>
              <w:left w:val="nil"/>
              <w:bottom w:val="nil"/>
              <w:right w:val="nil"/>
            </w:tcBorders>
          </w:tcPr>
          <w:p>
            <w:pPr>
              <w:pStyle w:val="Normal6a"/>
            </w:pPr>
            <w:r>
              <w:t>148.</w:t>
            </w:r>
            <w:r>
              <w:tab/>
            </w:r>
            <w:r>
              <w:t xml:space="preserve">panee merkille, että 27:ää elpymis- ja palautumissuunnitelmaa tarkistettiin vuonna 2023 ja että tarkistukset vaikuttivat olemassa olevien suunnitelmien täytäntöönpanovauhtiin ja aiheuttivat viivästyksiä; toteaa, että elpymis- ja palautumissuunnitelmien tarkistamiseen vaikuttivat osaltaan energian hintojen nousu, korkea inflaatio ja toimitusketjujen häiriöt, joiden taustalla oli Venäjän provosoimaton hyökkäyssota Ukrainaa vastaan, sekä joissakin tapauksissa luonnonkatastrofit; painottaa, että elpymis- ja palautumissuunnitelmien tarkistamisen aiheuttamat viivästykset pahensivat jo olemassa olleita viivästyksiä, mikä näkyy merkittävissä eroissa maksupyyntöjen alustavan aikataulun sekä sen välillä, milloin jäsenvaltiot tosiasiallisesti toimittivat nämä pyynnöt komissiolle; on edelleen huolestunut riskistä, joka koskee elpymis- ja palautumissuunnitelmien puutteellista täytäntöönpanoa sekä sitä, ettei niissä sovittuja välitavoitteita ja tavoitteita saavuteta; </w:t>
            </w:r>
            <w:r>
              <w:rPr>
                <w:b/>
                <w:i/>
              </w:rPr>
              <w:t>korostaa, että tarvitaan tehostettuja seurantamekanismeja sen varmistamiseksi, että viivästykset eivät vaikuta suhteettomasti keskeisiin vihreää ja sosiaalista siirtymää koskeviin hankkeisiin;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148.</w:t>
            </w:r>
            <w:r>
              <w:tab/>
            </w:r>
            <w:r>
              <w:t>panee merkille, että 27:ää elpymis- ja palautumissuunnitelmaa tarkistettiin vuonna 2023 ja että tarkistukset vaikuttivat olemassa olevien suunnitelmien täytäntöönpanovauhtiin ja aiheuttivat viivästyksiä; toteaa, että elpymis- ja palautumissuunnitelmien tarkistamiseen vaikuttivat osaltaan energian hintojen nousu, korkea inflaatio ja toimitusketjujen häiriöt, joiden taustalla oli Venäjän provosoimaton hyökkäyssota Ukrainaa vastaan, sekä joissakin tapauksissa luonnonkatastrofit; painottaa, että elpymis- ja palautumissuunnitelmien tarkistamisen aiheuttamat viivästykset pahensivat jo olemassa olleita viivästyksiä, mikä näkyy merkittävissä eroissa maksupyyntöjen alustavan aikataulun sekä sen välillä, milloin jäsenvaltiot tosiasiallisesti toimittivat nämä pyynnöt komissiolle; on edelleen huolestunut riskistä, joka koskee elpymis- ja palautumissuunnitelmien puutteellista täytäntöönpanoa sekä sitä, ettei niissä sovittuja välitavoitteita ja tavoitteita saavuteta;</w:t>
            </w:r>
          </w:p>
        </w:tc>
        <w:tc>
          <w:tcPr>
            <w:tcW w:w="4876" w:type="dxa"/>
            <w:tcBorders>
              <w:top w:val="nil"/>
              <w:left w:val="nil"/>
              <w:bottom w:val="nil"/>
              <w:right w:val="nil"/>
            </w:tcBorders>
          </w:tcPr>
          <w:p>
            <w:pPr>
              <w:pStyle w:val="Normal6a"/>
            </w:pPr>
            <w:r>
              <w:t>148.</w:t>
            </w:r>
            <w:r>
              <w:tab/>
            </w:r>
            <w:r>
              <w:t xml:space="preserve">panee merkille, että 27:ää elpymis- ja palautumissuunnitelmaa tarkistettiin vuonna 2023 ja että tarkistukset vaikuttivat olemassa olevien suunnitelmien täytäntöönpanovauhtiin ja aiheuttivat viivästyksiä; </w:t>
            </w:r>
            <w:r>
              <w:rPr>
                <w:b/>
                <w:i/>
              </w:rPr>
              <w:t>panee samalla merkille, että jäsenvaltioiden poliittiset painopisteet voivat muuttua vaalien jälkeen;</w:t>
            </w:r>
            <w:r>
              <w:t xml:space="preserve"> toteaa, että elpymis- ja palautumissuunnitelmien tarkistamiseen vaikuttivat osaltaan energian hintojen nousu, korkea inflaatio ja toimitusketjujen häiriöt, joiden taustalla oli Venäjän provosoimaton hyökkäyssota Ukrainaa vastaan, sekä joissakin tapauksissa luonnonkatastrofit; painottaa, että elpymis- ja palautumissuunnitelmien tarkistamisen aiheuttamat viivästykset pahensivat jo olemassa olleita viivästyksiä, mikä näkyy merkittävissä eroissa maksupyyntöjen alustavan aikataulun sekä sen välillä, milloin jäsenvaltiot tosiasiallisesti toimittivat nämä pyynnöt komissiolle; on edelleen huolestunut riskistä, joka koskee elpymis- ja palautumissuunnitelmien puutteellista täytäntöönpanoa sekä sitä, ettei niissä sovittuja välitavoitteita ja tavoitteita saavuteta;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148 a.</w:t>
            </w:r>
            <w:r>
              <w:tab/>
            </w:r>
            <w:r>
              <w:rPr>
                <w:b/>
                <w:i/>
              </w:rPr>
              <w:t>kehottaa komissiota kunnioittamaan kaikkien jäsenvaltioiden tasa-arvoa perussopimuksia sovellettaessa ja korostaa tarvetta varmistaa, että jokaisella jäsenvaltiolla on tasavertainen mahdollisuus käyttää elpymis- ja palautumistukivälinettä, koska tällä hetkellä kaikkia jäsenvaltioita ei kohdella eikä tueta rahastoista tasapuolisesti, mikä heikentää merkittävästi sisämarkkinoiden toimintaa;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149.</w:t>
            </w:r>
            <w:r>
              <w:tab/>
            </w:r>
            <w:r>
              <w:t>panee erittäin huolestuneena merkille tilintarkastustuomioistuimen presidentin lausunnon, jonka mukaan noin puolet elpymis- ja palautumistukivälineen maksuista ei ollut saavuttanut reaalitaloutta</w:t>
            </w:r>
            <w:r>
              <w:rPr>
                <w:b/>
                <w:i/>
              </w:rPr>
              <w:t>, ja kysyy, olisiko toinen puolikas voitu käyttää joko korvaamaan toistuvia talousarviomenoja tai tuottamaan</w:t>
            </w:r>
            <w:r>
              <w:t xml:space="preserve"> voittoa </w:t>
            </w:r>
            <w:r>
              <w:rPr>
                <w:b/>
                <w:i/>
              </w:rPr>
              <w:t>jäsenvaltioille koronnousun kautta</w:t>
            </w:r>
            <w:r>
              <w:t>;</w:t>
            </w:r>
          </w:p>
        </w:tc>
        <w:tc>
          <w:tcPr>
            <w:tcW w:w="4876" w:type="dxa"/>
            <w:tcBorders>
              <w:top w:val="nil"/>
              <w:left w:val="nil"/>
              <w:bottom w:val="nil"/>
              <w:right w:val="nil"/>
            </w:tcBorders>
          </w:tcPr>
          <w:p>
            <w:pPr>
              <w:pStyle w:val="Normal6a"/>
            </w:pPr>
            <w:r>
              <w:t>149.</w:t>
            </w:r>
            <w:r>
              <w:tab/>
            </w:r>
            <w:r>
              <w:t>panee erittäin huolestuneena merkille tilintarkastustuomioistuimen presidentin lausunnon, jonka mukaan noin puolet elpymis- ja palautumistukivälineen maksuista ei ollut saavuttanut reaalitaloutta</w:t>
            </w:r>
            <w:r>
              <w:rPr>
                <w:b/>
                <w:i/>
              </w:rPr>
              <w:t>;</w:t>
            </w:r>
            <w:r>
              <w:t xml:space="preserve"> </w:t>
            </w:r>
            <w:r>
              <w:rPr>
                <w:b/>
                <w:i/>
              </w:rPr>
              <w:t>panee merkille, että lähes kaksi miljoonaa yritystä on jo saanut elpymis- ja palautumistukivälineestä rahallista tai luontoissuorituksina annettavaa tukea ja että tähän tarkoitukseen on varattu yli 47 miljardia euroa vuoteen 2026 mennessä;</w:t>
            </w:r>
            <w:r>
              <w:t xml:space="preserve"> </w:t>
            </w:r>
            <w:r>
              <w:rPr>
                <w:b/>
                <w:i/>
              </w:rPr>
              <w:t>panee merkille, että vuonna 2023 tilintarkastustuomioistuin havaitsi tarkastettujen 667 välitavoitteen joukosta vain kolme mahdollista toistuvien talousarviomenojen korvaamista koskevaa tapausta;</w:t>
            </w:r>
            <w:r>
              <w:t xml:space="preserve"> </w:t>
            </w:r>
            <w:r>
              <w:rPr>
                <w:b/>
                <w:i/>
              </w:rPr>
              <w:t>panee myös merkille, että tilintarkastustuomioistuin tai komissio eivät ole missään vaiheessa havainneet mitään viitteitä siitä, että jäsenvaltiot olisivat tuottaneet</w:t>
            </w:r>
            <w:r>
              <w:t xml:space="preserve"> voittoa </w:t>
            </w:r>
            <w:r>
              <w:rPr>
                <w:b/>
                <w:i/>
              </w:rPr>
              <w:t>elpymis- ja palautumistukivälineestä saadusta rahoituksesta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150.</w:t>
            </w:r>
            <w:r>
              <w:tab/>
            </w:r>
            <w:r>
              <w:t>muistuttaa, että elpymis- ja palautumistukiväline on tuloksellisuuteen perustuva väliaikainen elpymisväline eli maksut on kytketty kansallisiin elpymis- ja palautumissuunnitelmiin sisältyviin uudistuksiin ja investointeihin liittyvien välitavoitteiden ja tavoitteiden tyydyttävään saavuttamiseen; muistuttaa, että kunkin kansallisen suunnitelman olisi vastattava tuloksellisesti kaikkiin EU-ohjausjakson yhteydessä ja erityisesti neuvoston antamissa maakohtaisissa suosituksissa yksilöityihin haasteisiin tai merkittävään osaan niistä;</w:t>
            </w:r>
          </w:p>
        </w:tc>
        <w:tc>
          <w:tcPr>
            <w:tcW w:w="4876" w:type="dxa"/>
            <w:tcBorders>
              <w:top w:val="nil"/>
              <w:left w:val="nil"/>
              <w:bottom w:val="nil"/>
              <w:right w:val="nil"/>
            </w:tcBorders>
          </w:tcPr>
          <w:p>
            <w:pPr>
              <w:pStyle w:val="Normal6a"/>
            </w:pPr>
            <w:r>
              <w:t>150.</w:t>
            </w:r>
            <w:r>
              <w:tab/>
            </w:r>
            <w:r>
              <w:t xml:space="preserve">muistuttaa, että elpymis- ja palautumistukiväline on tuloksellisuuteen perustuva väliaikainen elpymisväline eli maksut on kytketty kansallisiin elpymis- ja palautumissuunnitelmiin sisältyviin uudistuksiin ja investointeihin liittyvien välitavoitteiden ja tavoitteiden tyydyttävään saavuttamiseen; muistuttaa, että kunkin kansallisen suunnitelman olisi vastattava tuloksellisesti </w:t>
            </w:r>
            <w:r>
              <w:rPr>
                <w:b/>
                <w:i/>
              </w:rPr>
              <w:t>pandemian taloudellisiin ja sosiaalisiin seurauksiin, vihreään ja digitaaliseen siirtymään ja</w:t>
            </w:r>
            <w:r>
              <w:t xml:space="preserve"> kaikkiin EU-ohjausjakson yhteydessä ja erityisesti neuvoston antamissa maakohtaisissa suosituksissa yksilöityihin haasteisiin tai merkittävään osaan niistä; </w:t>
            </w:r>
            <w:r>
              <w:rPr>
                <w:b/>
                <w:i/>
              </w:rPr>
              <w:t>panee tyytyväisenä merkille, että tarkkailua ja raportointia koskevan asetuksen ansiosta niiden maakohtaisten suositusten osuus, joissa on edistytty, on kasvanut 17 prosenttia vuosina 2021–2023;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150.</w:t>
            </w:r>
            <w:r>
              <w:tab/>
            </w:r>
            <w:r>
              <w:t>muistuttaa, että elpymis- ja palautumistukiväline on tuloksellisuuteen perustuva väliaikainen elpymisväline eli maksut on kytketty kansallisiin elpymis- ja palautumissuunnitelmiin sisältyviin uudistuksiin ja investointeihin liittyvien välitavoitteiden ja tavoitteiden tyydyttävään saavuttamiseen; muistuttaa, että kunkin kansallisen suunnitelman olisi vastattava tuloksellisesti kaikkiin EU-ohjausjakson yhteydessä ja erityisesti neuvoston antamissa maakohtaisissa suosituksissa yksilöityihin haasteisiin tai merkittävään osaan niistä;</w:t>
            </w:r>
          </w:p>
        </w:tc>
        <w:tc>
          <w:tcPr>
            <w:tcW w:w="4876" w:type="dxa"/>
            <w:tcBorders>
              <w:top w:val="nil"/>
              <w:left w:val="nil"/>
              <w:bottom w:val="nil"/>
              <w:right w:val="nil"/>
            </w:tcBorders>
          </w:tcPr>
          <w:p>
            <w:pPr>
              <w:pStyle w:val="Normal6a"/>
            </w:pPr>
            <w:r>
              <w:t>150.</w:t>
            </w:r>
            <w:r>
              <w:tab/>
            </w:r>
            <w:r>
              <w:t xml:space="preserve">muistuttaa, että elpymis- ja palautumistukiväline on tuloksellisuuteen perustuva väliaikainen elpymisväline eli maksut on kytketty kansallisiin elpymis- ja palautumissuunnitelmiin sisältyviin uudistuksiin ja investointeihin liittyvien välitavoitteiden ja tavoitteiden tyydyttävään saavuttamiseen; </w:t>
            </w:r>
            <w:r>
              <w:rPr>
                <w:b/>
                <w:i/>
              </w:rPr>
              <w:t>korostaa, että elpymis- ja palautumistukivälineen vaikuttavuutta on arvioitava paitsi maksujen suorittamisen perusteella myös siltä kannalta, onko sillä saatu aikaan konkreettisia pitkän aikavälin parannuksia sosiaaliseen häiriönsietokykyyn ja ympäristökestävyyteen;</w:t>
            </w:r>
            <w:r>
              <w:t xml:space="preserve"> muistuttaa, että kunkin kansallisen suunnitelman olisi vastattava tuloksellisesti kaikkiin EU-ohjausjakson yhteydessä ja erityisesti neuvoston antamissa maakohtaisissa suosituksissa yksilöityihin haasteisiin tai merkittävään osaan niistä;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150.</w:t>
            </w:r>
            <w:r>
              <w:tab/>
            </w:r>
            <w:r>
              <w:t>muistuttaa, että elpymis- ja palautumistukiväline on tuloksellisuuteen perustuva väliaikainen elpymisväline eli maksut on kytketty kansallisiin elpymis- ja palautumissuunnitelmiin sisältyviin uudistuksiin ja investointeihin liittyvien välitavoitteiden ja tavoitteiden tyydyttävään saavuttamiseen; muistuttaa, että kunkin kansallisen suunnitelman olisi vastattava tuloksellisesti kaikkiin EU-ohjausjakson yhteydessä ja erityisesti neuvoston antamissa maakohtaisissa suosituksissa yksilöityihin haasteisiin tai merkittävään osaan niistä;</w:t>
            </w:r>
          </w:p>
        </w:tc>
        <w:tc>
          <w:tcPr>
            <w:tcW w:w="4876" w:type="dxa"/>
            <w:tcBorders>
              <w:top w:val="nil"/>
              <w:left w:val="nil"/>
              <w:bottom w:val="nil"/>
              <w:right w:val="nil"/>
            </w:tcBorders>
          </w:tcPr>
          <w:p>
            <w:pPr>
              <w:pStyle w:val="Normal6a"/>
            </w:pPr>
            <w:r>
              <w:t>150.</w:t>
            </w:r>
            <w:r>
              <w:tab/>
            </w:r>
            <w:r>
              <w:t xml:space="preserve">muistuttaa, että elpymis- ja palautumistukiväline on tuloksellisuuteen perustuva väliaikainen elpymisväline eli maksut on kytketty kansallisiin elpymis- ja palautumissuunnitelmiin sisältyviin uudistuksiin ja investointeihin liittyvien välitavoitteiden ja tavoitteiden tyydyttävään saavuttamiseen; muistuttaa, että </w:t>
            </w:r>
            <w:r>
              <w:rPr>
                <w:b/>
                <w:i/>
              </w:rPr>
              <w:t>elpymis- ja palautumistukivälinettä koskevassa asetuksessa ei määritellä, mitä ”tavoitteiden ja välitavoitteiden tyydyttävällä saavuttamisella” tarkoitetaan;</w:t>
            </w:r>
            <w:r>
              <w:t xml:space="preserve"> </w:t>
            </w:r>
            <w:r>
              <w:rPr>
                <w:b/>
                <w:i/>
              </w:rPr>
              <w:t>muistuttaa, että</w:t>
            </w:r>
            <w:r>
              <w:t xml:space="preserve"> kunkin kansallisen suunnitelman olisi vastattava tuloksellisesti kaikkiin EU-ohjausjakson yhteydessä ja erityisesti neuvoston antamissa maakohtaisissa suosituksissa yksilöityihin haasteisiin tai merkittävään osaan niistä;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150.</w:t>
            </w:r>
            <w:r>
              <w:tab/>
            </w:r>
            <w:r>
              <w:t>muistuttaa, että elpymis- ja palautumistukiväline on tuloksellisuuteen perustuva väliaikainen elpymisväline eli maksut on kytketty kansallisiin elpymis- ja palautumissuunnitelmiin sisältyviin uudistuksiin ja investointeihin liittyvien välitavoitteiden ja tavoitteiden tyydyttävään saavuttamiseen; muistuttaa, että kunkin kansallisen suunnitelman olisi vastattava tuloksellisesti kaikkiin EU-ohjausjakson yhteydessä ja erityisesti neuvoston antamissa maakohtaisissa suosituksissa yksilöityihin haasteisiin tai merkittävään osaan niistä;</w:t>
            </w:r>
          </w:p>
        </w:tc>
        <w:tc>
          <w:tcPr>
            <w:tcW w:w="4876" w:type="dxa"/>
            <w:tcBorders>
              <w:top w:val="nil"/>
              <w:left w:val="nil"/>
              <w:bottom w:val="nil"/>
              <w:right w:val="nil"/>
            </w:tcBorders>
          </w:tcPr>
          <w:p>
            <w:pPr>
              <w:pStyle w:val="Normal6a"/>
            </w:pPr>
            <w:r>
              <w:t>150.</w:t>
            </w:r>
            <w:r>
              <w:tab/>
            </w:r>
            <w:r>
              <w:t xml:space="preserve">muistuttaa, että elpymis- ja palautumistukiväline on tuloksellisuuteen perustuva </w:t>
            </w:r>
            <w:r>
              <w:rPr>
                <w:b/>
                <w:i/>
              </w:rPr>
              <w:t>ja kertaluonteinen</w:t>
            </w:r>
            <w:r>
              <w:t xml:space="preserve"> väliaikainen elpymisväline eli maksut on kytketty kansallisiin elpymis- ja palautumissuunnitelmiin sisältyviin uudistuksiin ja investointeihin liittyvien välitavoitteiden ja tavoitteiden tyydyttävään saavuttamiseen; muistuttaa, että kunkin kansallisen suunnitelman olisi vastattava tuloksellisesti kaikkiin EU-ohjausjakson yhteydessä ja erityisesti neuvoston antamissa maakohtaisissa suosituksissa yksilöityihin haasteisiin tai merkittävään osaan niistä;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150 a.</w:t>
            </w:r>
            <w:r>
              <w:tab/>
            </w:r>
            <w:r>
              <w:rPr>
                <w:b/>
                <w:i/>
              </w:rPr>
              <w:t>nostaa esiin vakavan tilanteen, jossa täytäntöönpano- ja käyttöasteet vaihtelivat eri jäsenvaltioissa 0–76,6 prosentin välillä 9. tammikuuta 2025, ja toteaa, että kolmessa suurimmassa jäsenvaltiossa on kolme suurinta käyttöastetta;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150 b.</w:t>
            </w:r>
            <w:r>
              <w:tab/>
            </w:r>
            <w:r>
              <w:rPr>
                <w:b/>
                <w:i/>
              </w:rPr>
              <w:t>epäilee vahvasti, pystyykö elpymis- ja palautumistukiväline täyttämään toimeksiantonsa nykyisten huomattavien käyttöasteiden erojen ja varojen saantia koskevien vaikeuksien vuoksi, vai voiko se pikemminkin vahvistaa ja laajentaa jo olemassa olevaa epätasapainoa ja eroja jäsenvaltioiden välillä EU:ssa sen sijaan, että sen avulla jäsenvaltioista tulisi kestävämpiä, selviytymiskykyisempiä ja paremmin valmistautuneita uusiin haasteisiin;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151.</w:t>
            </w:r>
            <w:r>
              <w:tab/>
            </w:r>
            <w:r>
              <w:t>panee merkille, että vuonna 2023 komissio maksoi yhteensä 75 miljardia euroa ja lisäksi ennakkomaksuina 7,1 miljardia euroa, joten kokonaismaksut vuoden 2023 lopussa olivat 220,8 miljardia euroa, joista avustuksia oli 141,6 miljardia euroa (40 prosenttia elpymis- ja palautumistukivälineen määrärahoissa avustuksiin varatusta 357 miljardin euron kokonaismäärästä) ja lainoja 79,2 miljardia euroa (27 prosenttia välineen määrärahoissa lainoihin varatusta 291 miljardin euron kokonaismäärästä);</w:t>
            </w:r>
          </w:p>
        </w:tc>
        <w:tc>
          <w:tcPr>
            <w:tcW w:w="4876" w:type="dxa"/>
            <w:tcBorders>
              <w:top w:val="nil"/>
              <w:left w:val="nil"/>
              <w:bottom w:val="nil"/>
              <w:right w:val="nil"/>
            </w:tcBorders>
          </w:tcPr>
          <w:p>
            <w:pPr>
              <w:pStyle w:val="Normal6a"/>
            </w:pPr>
            <w:r>
              <w:t>151.</w:t>
            </w:r>
            <w:r>
              <w:tab/>
            </w:r>
            <w:r>
              <w:t xml:space="preserve">panee merkille, että vuonna 2023 komissio maksoi yhteensä 75 miljardia euroa ja lisäksi ennakkomaksuina 7,1 miljardia euroa, joten kokonaismaksut vuoden 2023 lopussa olivat 220,8 miljardia euroa, joista avustuksia oli 141,6 miljardia euroa (40 prosenttia elpymis- ja palautumistukivälineen määrärahoissa avustuksiin varatusta 357 miljardin euron kokonaismäärästä) ja lainoja 79,2 miljardia euroa (27 prosenttia välineen määrärahoissa lainoihin varatusta 291 miljardin euron kokonaismäärästä); </w:t>
            </w:r>
            <w:r>
              <w:rPr>
                <w:b/>
                <w:i/>
              </w:rPr>
              <w:t>vaatii yksityiskohtaisia raportointivaatimuksia siitä, miten jäsenvaltiot jakavat varoja, jotta voidaan estää toistuvien talousarviomenojen korvaaminen ja varmistaa, että varat hyödyttävät aiottuja edunsaajia;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151 a.</w:t>
            </w:r>
            <w:r>
              <w:tab/>
            </w:r>
            <w:r>
              <w:rPr>
                <w:b/>
                <w:i/>
              </w:rPr>
              <w:t>muistuttaa, että elpymis- ja palautumistukiväline on väliaikainen ja kertaluonteinen väline, jolla vastataan covid-19-pandemian ja myöhemmin Venäjän ja Ukrainan välisen sodan kielteisiin taloudellisiin seurauksiin;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152.</w:t>
            </w:r>
            <w:r>
              <w:tab/>
            </w:r>
            <w:r>
              <w:t>panee merkille, että tilintarkastustuomioistuin antoi varauman sisältävän lausunnon elpymis- ja palautumistukivälineen menojen laillisuudesta ja sääntöjenmukaisuudesta vuonna 2023; on huolissaan siitä, että tilintarkastustuomioistuimen mukaan kaikkiaan 23:sta vuonna 2023 suoritetusta elpymis- ja palautumistukivälineen maksusta seitsemässä havaittiin kvantitatiivisesti ilmaistavia virheitä ja kuudessa näistä maksuista virhetaso oli olennainen; panee merkille, että tilintarkastustuomioistuimen mukaan lukuun ottamatta näitä seikkoja varainhoitovuoden 2023 tileissä hyväksytyt elpymis- ja palautumistukivälineen menot ovat kaikilta olennaisilta osiltaan lailliset ja sääntöjenmukaiset; panee merkille, että elpymis- ja palautumistukivälineen varainkäyttömalli perustuu välitavoitteiden ja tavoitteiden arviointeihin, jotka komission on määrä tehdä, mutta tilintarkastustuomioistuin ei pysty tarkistamaan välitavoitteita ja tavoitteita, joten se ei esitä virhetasoa vaan arvioi, että sen havaintojen taloudellinen vähimmäisvaikutus ylittää olennaisuusrajan;</w:t>
            </w:r>
          </w:p>
        </w:tc>
        <w:tc>
          <w:tcPr>
            <w:tcW w:w="4876" w:type="dxa"/>
            <w:tcBorders>
              <w:top w:val="nil"/>
              <w:left w:val="nil"/>
              <w:bottom w:val="nil"/>
              <w:right w:val="nil"/>
            </w:tcBorders>
          </w:tcPr>
          <w:p>
            <w:pPr>
              <w:pStyle w:val="Normal6a"/>
            </w:pPr>
            <w:r>
              <w:t>152.</w:t>
            </w:r>
            <w:r>
              <w:tab/>
            </w:r>
            <w:r>
              <w:t xml:space="preserve">panee merkille, että tilintarkastustuomioistuin antoi varauman sisältävän lausunnon elpymis- ja palautumistukivälineen menojen laillisuudesta ja sääntöjenmukaisuudesta vuonna 2023; on huolissaan siitä, että tilintarkastustuomioistuimen mukaan kaikkiaan 23:sta vuonna 2023 suoritetusta elpymis- ja palautumistukivälineen maksusta seitsemässä havaittiin kvantitatiivisesti ilmaistavia virheitä ja kuudessa näistä maksuista virhetaso oli olennainen; panee merkille, että tilintarkastustuomioistuimen mukaan lukuun ottamatta näitä seikkoja varainhoitovuoden 2023 tileissä hyväksytyt elpymis- ja palautumistukivälineen menot ovat kaikilta olennaisilta osiltaan lailliset ja sääntöjenmukaiset; panee merkille, että elpymis- ja palautumistukivälineen varainkäyttömalli perustuu välitavoitteiden ja tavoitteiden arviointeihin, jotka komission on määrä tehdä, mutta tilintarkastustuomioistuin ei pysty tarkistamaan välitavoitteita ja tavoitteita, joten se ei esitä virhetasoa vaan arvioi, että sen havaintojen taloudellinen vähimmäisvaikutus ylittää olennaisuusrajan; </w:t>
            </w:r>
            <w:r>
              <w:rPr>
                <w:b/>
                <w:i/>
              </w:rPr>
              <w:t>on vakuuttunut siitä, että jäsenvaltioiden olisi kannettava taloudellinen vastuu maksun suorittamisen jälkeen havaituista virheistä, sillä näin varmistetaan vastuuvelvollisuus ja vähennetään vilpillisiä hakemuksia;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152.</w:t>
            </w:r>
            <w:r>
              <w:tab/>
            </w:r>
            <w:r>
              <w:t xml:space="preserve">panee merkille, että tilintarkastustuomioistuin antoi varauman sisältävän lausunnon elpymis- ja palautumistukivälineen menojen laillisuudesta ja sääntöjenmukaisuudesta vuonna 2023; on huolissaan siitä, että tilintarkastustuomioistuimen mukaan kaikkiaan 23:sta vuonna 2023 suoritetusta elpymis- ja palautumistukivälineen maksusta seitsemässä havaittiin kvantitatiivisesti ilmaistavia virheitä ja kuudessa näistä maksuista virhetaso oli olennainen; panee merkille, että tilintarkastustuomioistuimen mukaan lukuun ottamatta näitä seikkoja varainhoitovuoden 2023 tileissä hyväksytyt elpymis- ja palautumistukivälineen menot ovat kaikilta olennaisilta osiltaan lailliset ja sääntöjenmukaiset; panee merkille, että elpymis- ja palautumistukivälineen </w:t>
            </w:r>
            <w:r>
              <w:rPr>
                <w:b/>
                <w:i/>
              </w:rPr>
              <w:t>varainkäyttömalli</w:t>
            </w:r>
            <w:r>
              <w:t xml:space="preserve"> perustuu välitavoitteiden ja tavoitteiden </w:t>
            </w:r>
            <w:r>
              <w:rPr>
                <w:b/>
                <w:i/>
              </w:rPr>
              <w:t>arviointeihin, jotka</w:t>
            </w:r>
            <w:r>
              <w:t xml:space="preserve"> komission on määrä tehdä</w:t>
            </w:r>
            <w:r>
              <w:rPr>
                <w:b/>
                <w:i/>
              </w:rPr>
              <w:t>, mutta</w:t>
            </w:r>
            <w:r>
              <w:t xml:space="preserve"> tilintarkastustuomioistuin </w:t>
            </w:r>
            <w:r>
              <w:rPr>
                <w:b/>
                <w:i/>
              </w:rPr>
              <w:t>ei pysty tarkistamaan välitavoitteita ja tavoitteita, joten se</w:t>
            </w:r>
            <w:r>
              <w:t xml:space="preserve"> ei esitä virhetasoa vaan arvioi, että sen havaintojen taloudellinen vähimmäisvaikutus ylittää olennaisuusrajan;</w:t>
            </w:r>
          </w:p>
        </w:tc>
        <w:tc>
          <w:tcPr>
            <w:tcW w:w="4876" w:type="dxa"/>
            <w:tcBorders>
              <w:top w:val="nil"/>
              <w:left w:val="nil"/>
              <w:bottom w:val="nil"/>
              <w:right w:val="nil"/>
            </w:tcBorders>
          </w:tcPr>
          <w:p>
            <w:pPr>
              <w:pStyle w:val="Normal6a"/>
            </w:pPr>
            <w:r>
              <w:t>152.</w:t>
            </w:r>
            <w:r>
              <w:tab/>
            </w:r>
            <w:r>
              <w:t xml:space="preserve">panee merkille, että tilintarkastustuomioistuin antoi varauman sisältävän lausunnon elpymis- ja palautumistukivälineen menojen laillisuudesta ja sääntöjenmukaisuudesta vuonna 2023; on huolissaan siitä, että tilintarkastustuomioistuimen mukaan kaikkiaan 23:sta vuonna 2023 suoritetusta elpymis- ja palautumistukivälineen maksusta seitsemässä havaittiin kvantitatiivisesti ilmaistavia virheitä ja kuudessa näistä maksuista virhetaso oli olennainen; panee merkille, että tilintarkastustuomioistuimen mukaan lukuun ottamatta näitä seikkoja varainhoitovuoden 2023 tileissä hyväksytyt elpymis- ja palautumistukivälineen menot ovat kaikilta olennaisilta osiltaan lailliset ja sääntöjenmukaiset; panee merkille, että elpymis- ja palautumistukivälineen </w:t>
            </w:r>
            <w:r>
              <w:rPr>
                <w:b/>
                <w:i/>
              </w:rPr>
              <w:t>menomallin luonne</w:t>
            </w:r>
            <w:r>
              <w:t xml:space="preserve"> perustuu välitavoitteiden ja tavoitteiden </w:t>
            </w:r>
            <w:r>
              <w:rPr>
                <w:b/>
                <w:i/>
              </w:rPr>
              <w:t>arviointiin, joka</w:t>
            </w:r>
            <w:r>
              <w:t xml:space="preserve"> komission on määrä tehdä</w:t>
            </w:r>
            <w:r>
              <w:rPr>
                <w:b/>
                <w:i/>
              </w:rPr>
              <w:t>;</w:t>
            </w:r>
            <w:r>
              <w:t xml:space="preserve"> </w:t>
            </w:r>
            <w:r>
              <w:rPr>
                <w:b/>
                <w:i/>
              </w:rPr>
              <w:t>panee merkille, että vuonna 2023</w:t>
            </w:r>
            <w:r>
              <w:t xml:space="preserve"> tilintarkastustuomioistuin </w:t>
            </w:r>
            <w:r>
              <w:rPr>
                <w:b/>
                <w:i/>
              </w:rPr>
              <w:t>tarkasti 452 välitavoitetta ja tavoitetta, jotka sisältyivät 23 avustusmaksuun, ja että elpymis- ja palautumistukivälineen varainkäyttömallin vuoksi tilintarkastustuomioistuin</w:t>
            </w:r>
            <w:r>
              <w:t xml:space="preserve"> ei esitä virhetasoa vaan arvioi, että sen havaintojen taloudellinen vähimmäisvaikutus ylittää olennaisuusrajan;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152 a.</w:t>
            </w:r>
            <w:r>
              <w:tab/>
            </w:r>
            <w:r>
              <w:rPr>
                <w:b/>
                <w:i/>
              </w:rPr>
              <w:t>ilmaisee syvän huolensa siitä, että tilintarkastustuomioistuin ei pystynyt todentamaan virheellisten tai tukeen oikeuttamattomien elpymis- ja palautumistukivälineen maksujen todellista taloudellista vaikutusta välitavoitteisiin ja tavoitteisiin perustuvan arviointimallin luontaisten rajoitusten vuoksi;</w:t>
            </w:r>
            <w:r>
              <w:t xml:space="preserve"> </w:t>
            </w:r>
            <w:r>
              <w:rPr>
                <w:b/>
                <w:i/>
              </w:rPr>
              <w:t>kehottaa komissiota kehittämään avoimemman virheiden seurantamenetelmän virheellisen kohdentamisen ja tehottomuuden estämiseksi;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panee merkille, että tilintarkastustuomioistuin tarkasti 325 vuoden 2023 avustusten maksupyyntöihin sisältyneistä 542 välitavoitteesta ja 127 niihin sisältyneistä 135 tavoitteesta; pitää valitettavana, että tilintarkastustuomioistuin havaitsi niistä 16:ssa sääntöjenmukaisuusongelmia (2,4 prosenttia kokonaismäärästä); on huolissaan siitä, että tilintarkastustuomioistuin katsoo, että seitsemän välitavoitteen ja tavoitteen vaatimukset eivät olleet täyttyneet tyydyttävästi kuudessa maksussa ja että komissio oli kuitenkin suorittanut asianomaiset maksut; toteaa, että tilintarkastustuomioistuimen päätelmät perustuvat kattavaan tarkastustyöhön, ja pitää valitettavana, että komissio kiistää osan tilintarkastustuomioistuimen päätelmistä; panee merkille, että kaikkia elpymis- ja palautumistukivälineen maksuja on arvioitava komission ilmoittaman ja soveltaman kehyksen perusteella ja että komission on otettava kunkin maksun osalta huomioon myös talous- ja rahoituskomitean lausunto ja jäsenvaltioiden asiantuntijoiden komiteamenettelyn mukaisesti suorittama valvonta;</w:t>
            </w:r>
          </w:p>
        </w:tc>
        <w:tc>
          <w:tcPr>
            <w:tcW w:w="4876" w:type="dxa"/>
            <w:tcBorders>
              <w:top w:val="nil"/>
              <w:left w:val="nil"/>
              <w:bottom w:val="nil"/>
              <w:right w:val="nil"/>
            </w:tcBorders>
          </w:tcPr>
          <w:p>
            <w:pPr>
              <w:pStyle w:val="Normal6a"/>
            </w:pPr>
            <w:r>
              <w:t>153.</w:t>
            </w:r>
            <w:r>
              <w:tab/>
            </w:r>
            <w:r>
              <w:t xml:space="preserve">panee merkille, että tilintarkastustuomioistuin tarkasti 325 vuoden 2023 avustusten maksupyyntöihin sisältyneistä 542 välitavoitteesta ja 127 niihin sisältyneistä 135 tavoitteesta; pitää valitettavana, että tilintarkastustuomioistuin havaitsi niistä 16:ssa sääntöjenmukaisuusongelmia (2,4 prosenttia kokonaismäärästä); on huolissaan siitä, että tilintarkastustuomioistuin katsoo, että seitsemän välitavoitteen ja tavoitteen vaatimukset eivät olleet täyttyneet tyydyttävästi kuudessa maksussa ja että komissio oli kuitenkin suorittanut asianomaiset maksut; toteaa, että tilintarkastustuomioistuimen päätelmät perustuvat kattavaan tarkastustyöhön, ja pitää valitettavana, että komissio kiistää osan tilintarkastustuomioistuimen päätelmistä; panee merkille, että kaikkia elpymis- ja palautumistukivälineen maksuja on arvioitava komission ilmoittaman ja soveltaman kehyksen perusteella ja että komission on otettava kunkin maksun osalta huomioon myös talous- ja rahoituskomitean lausunto ja jäsenvaltioiden asiantuntijoiden komiteamenettelyn mukaisesti suorittama valvonta; </w:t>
            </w:r>
            <w:r>
              <w:rPr>
                <w:b/>
                <w:i/>
              </w:rPr>
              <w:t>pyytää komissiota varmistamaan, että kaikista kiistanalaisista maksuista, jotka liittyvät välitavoitteiden ja tavoitteiden epätyydyttävään saavuttamiseen, tehdään riippumaton ulkoinen arviointi, jotta voidaan vahvistaa ihmisten luottamusta prosessiin;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panee merkille, että tilintarkastustuomioistuin tarkasti 325 vuoden 2023 avustusten maksupyyntöihin sisältyneistä 542 välitavoitteesta ja 127 niihin sisältyneistä 135 tavoitteesta; pitää valitettavana, että tilintarkastustuomioistuin havaitsi niistä 16:ssa sääntöjenmukaisuusongelmia (2,4 prosenttia kokonaismäärästä); on huolissaan siitä, että tilintarkastustuomioistuin katsoo, että seitsemän välitavoitteen ja tavoitteen vaatimukset eivät olleet täyttyneet tyydyttävästi kuudessa maksussa ja että komissio oli kuitenkin suorittanut asianomaiset maksut; toteaa, että tilintarkastustuomioistuimen päätelmät perustuvat kattavaan tarkastustyöhön, ja pitää valitettavana, että komissio kiistää osan tilintarkastustuomioistuimen päätelmistä; panee merkille, että kaikkia elpymis- ja palautumistukivälineen maksuja on arvioitava komission ilmoittaman ja soveltaman kehyksen perusteella ja että komission on otettava kunkin maksun osalta huomioon myös talous- ja rahoituskomitean lausunto ja jäsenvaltioiden asiantuntijoiden komiteamenettelyn mukaisesti suorittama valvonta;</w:t>
            </w:r>
          </w:p>
        </w:tc>
        <w:tc>
          <w:tcPr>
            <w:tcW w:w="4876" w:type="dxa"/>
            <w:tcBorders>
              <w:top w:val="nil"/>
              <w:left w:val="nil"/>
              <w:bottom w:val="nil"/>
              <w:right w:val="nil"/>
            </w:tcBorders>
          </w:tcPr>
          <w:p>
            <w:pPr>
              <w:pStyle w:val="Normal6a"/>
            </w:pPr>
            <w:r>
              <w:t>153.</w:t>
            </w:r>
            <w:r>
              <w:tab/>
            </w:r>
            <w:r>
              <w:t xml:space="preserve">panee merkille, että tilintarkastustuomioistuin tarkasti 325 vuoden 2023 avustusten maksupyyntöihin sisältyneistä 542 välitavoitteesta ja 127 niihin sisältyneistä 135 tavoitteesta; pitää valitettavana, että tilintarkastustuomioistuin havaitsi niistä 16:ssa sääntöjenmukaisuusongelmia (2,4 prosenttia kokonaismäärästä); on huolissaan siitä, että tilintarkastustuomioistuin katsoo, että seitsemän välitavoitteen ja tavoitteen vaatimukset eivät olleet täyttyneet tyydyttävästi kuudessa maksussa ja että komissio oli kuitenkin suorittanut asianomaiset maksut; toteaa, että tilintarkastustuomioistuimen päätelmät perustuvat kattavaan tarkastustyöhön, ja pitää valitettavana, että komissio kiistää osan tilintarkastustuomioistuimen päätelmistä; panee merkille, että kaikkia elpymis- ja palautumistukivälineen maksuja on arvioitava komission ilmoittaman ja soveltaman kehyksen perusteella ja että komission on otettava kunkin maksun osalta huomioon myös talous- ja rahoituskomitean lausunto ja jäsenvaltioiden asiantuntijoiden komiteamenettelyn mukaisesti suorittama valvonta; </w:t>
            </w:r>
            <w:r>
              <w:rPr>
                <w:b/>
                <w:i/>
              </w:rPr>
              <w:t>suosittelee, että otetaan käyttöön reaaliaikaisia maksujen ja menojen seurantajärjestelmiä, jotta estetään varojen virheellinen kohdentaminen elpymis- ja palautumistukivälineen ja monivuotisen rahoituskehyksen puitteissa;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154.</w:t>
            </w:r>
            <w:r>
              <w:tab/>
            </w:r>
            <w:r>
              <w:t>panee erityisen huolestuneena merkille, että tilintarkastustuomioistuin havaitsi yhdeksän tapausta, joissa sen mukaan on kyse tukeen oikeuttamattomista välitavoitteista ja tavoitteista, sillä ne liittyivät aiemmin ennen tukikelpoisuuskautta aloitettuun hankkeeseen, jota oli jatkettu, tai niillä oli korvattu toistuvia kansallisia talousarviomenoja; on eri mieltä komission näkemyksestä, että tukikelpoisuusaika koskee vain tietyn hankkeen töiden aloituspäivää eikä valmistelu- tai suunnitteluvaiheen alkua; pitää valitettavana, että tällainen näkemys johti siihen, että elpymis- ja palautumissuunnitelmiin sisällytettiin ennen elpymis- ja palautumistukivälineen tukikelpoisuusaikaa suunniteltuja toimenpiteitä, mikä herättää epäilyksiä elpymis- ja palautumissuunnitelmien lisäarvosta;</w:t>
            </w:r>
          </w:p>
        </w:tc>
        <w:tc>
          <w:tcPr>
            <w:tcW w:w="4876" w:type="dxa"/>
            <w:tcBorders>
              <w:top w:val="nil"/>
              <w:left w:val="nil"/>
              <w:bottom w:val="nil"/>
              <w:right w:val="nil"/>
            </w:tcBorders>
          </w:tcPr>
          <w:p>
            <w:pPr>
              <w:pStyle w:val="Normal6a"/>
            </w:pPr>
            <w:r>
              <w:t>154.</w:t>
            </w:r>
            <w:r>
              <w:tab/>
            </w:r>
            <w:r>
              <w:t xml:space="preserve">panee erityisen huolestuneena merkille, että tilintarkastustuomioistuin havaitsi yhdeksän tapausta, joissa sen mukaan on kyse tukeen oikeuttamattomista välitavoitteista ja tavoitteista, sillä ne liittyivät aiemmin ennen tukikelpoisuuskautta aloitettuun hankkeeseen, jota oli jatkettu, tai niillä oli korvattu toistuvia kansallisia talousarviomenoja; on eri mieltä komission näkemyksestä, että tukikelpoisuusaika koskee vain tietyn hankkeen töiden aloituspäivää eikä valmistelu- tai suunnitteluvaiheen alkua; pitää valitettavana, että tällainen näkemys johti siihen, että elpymis- ja palautumissuunnitelmiin sisällytettiin ennen elpymis- ja palautumistukivälineen tukikelpoisuusaikaa suunniteltuja toimenpiteitä, mikä herättää epäilyksiä elpymis- ja palautumissuunnitelmien lisäarvosta; </w:t>
            </w:r>
            <w:r>
              <w:rPr>
                <w:b/>
                <w:i/>
              </w:rPr>
              <w:t>kehottaa komissiota ottamaan käyttöön tiukempia todentamismekanismeja, jotta estetään sellaisten olemassa olevien hankkeiden sisällyttäminen elpymis- ja palautumistukivälineeseen, jotka eivät tuota lisäarvoa;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154.</w:t>
            </w:r>
            <w:r>
              <w:tab/>
            </w:r>
            <w:r>
              <w:t xml:space="preserve">panee erityisen huolestuneena merkille, että tilintarkastustuomioistuin havaitsi yhdeksän tapausta, joissa sen mukaan on kyse tukeen oikeuttamattomista välitavoitteista ja tavoitteista, sillä ne liittyivät aiemmin ennen tukikelpoisuuskautta aloitettuun hankkeeseen, jota oli jatkettu, tai niillä oli korvattu toistuvia kansallisia talousarviomenoja; </w:t>
            </w:r>
            <w:r>
              <w:rPr>
                <w:b/>
                <w:i/>
              </w:rPr>
              <w:t>on eri mieltä</w:t>
            </w:r>
            <w:r>
              <w:t xml:space="preserve"> komission </w:t>
            </w:r>
            <w:r>
              <w:rPr>
                <w:b/>
                <w:i/>
              </w:rPr>
              <w:t>näkemyksestä</w:t>
            </w:r>
            <w:r>
              <w:t xml:space="preserve">, että tukikelpoisuusaika koskee vain tietyn hankkeen töiden aloituspäivää eikä valmistelu- tai suunnitteluvaiheen alkua; pitää valitettavana, että tällainen näkemys johti siihen, että elpymis- ja palautumissuunnitelmiin sisällytettiin ennen elpymis- ja palautumistukivälineen tukikelpoisuusaikaa suunniteltuja toimenpiteitä, </w:t>
            </w:r>
            <w:r>
              <w:rPr>
                <w:b/>
                <w:i/>
              </w:rPr>
              <w:t>mikä herättää epäilyksiä</w:t>
            </w:r>
            <w:r>
              <w:t xml:space="preserve"> elpymis- ja </w:t>
            </w:r>
            <w:r>
              <w:rPr>
                <w:b/>
                <w:i/>
              </w:rPr>
              <w:t>palautumissuunnitelmien lisäarvosta</w:t>
            </w:r>
            <w:r>
              <w:t>;</w:t>
            </w:r>
          </w:p>
        </w:tc>
        <w:tc>
          <w:tcPr>
            <w:tcW w:w="4876" w:type="dxa"/>
            <w:tcBorders>
              <w:top w:val="nil"/>
              <w:left w:val="nil"/>
              <w:bottom w:val="nil"/>
              <w:right w:val="nil"/>
            </w:tcBorders>
          </w:tcPr>
          <w:p>
            <w:pPr>
              <w:pStyle w:val="Normal6a"/>
            </w:pPr>
            <w:r>
              <w:t>154.</w:t>
            </w:r>
            <w:r>
              <w:tab/>
            </w:r>
            <w:r>
              <w:t xml:space="preserve">panee erityisen huolestuneena merkille, että tilintarkastustuomioistuin havaitsi yhdeksän </w:t>
            </w:r>
            <w:r>
              <w:rPr>
                <w:b/>
                <w:i/>
              </w:rPr>
              <w:t>mahdollista</w:t>
            </w:r>
            <w:r>
              <w:t xml:space="preserve"> tapausta, joissa sen mukaan on kyse tukeen oikeuttamattomista välitavoitteista ja tavoitteista, sillä ne liittyivät aiemmin ennen tukikelpoisuuskautta aloitettuun hankkeeseen, jota oli jatkettu, tai niillä oli korvattu toistuvia kansallisia talousarviomenoja; </w:t>
            </w:r>
            <w:r>
              <w:rPr>
                <w:b/>
                <w:i/>
              </w:rPr>
              <w:t>pitää valitettavana sitä, ettei elpymis- ja palutumistukivälineessä ole konkreettista viittausta, ja panee merkille</w:t>
            </w:r>
            <w:r>
              <w:t xml:space="preserve"> komission </w:t>
            </w:r>
            <w:r>
              <w:rPr>
                <w:b/>
                <w:i/>
              </w:rPr>
              <w:t>tulkinnan</w:t>
            </w:r>
            <w:r>
              <w:t xml:space="preserve">, että tukikelpoisuusaika koskee vain tietyn hankkeen töiden aloituspäivää eikä valmistelu- tai suunnitteluvaiheen alkua; pitää valitettavana, että tällainen näkemys johti siihen, että elpymis- ja palautumissuunnitelmiin sisällytettiin ennen elpymis- ja palautumistukivälineen tukikelpoisuusaikaa suunniteltuja toimenpiteitä, </w:t>
            </w:r>
            <w:r>
              <w:rPr>
                <w:b/>
                <w:i/>
              </w:rPr>
              <w:t>mutta toteaa, että kaikissa toimenpiteissä on noudatettava</w:t>
            </w:r>
            <w:r>
              <w:t xml:space="preserve"> elpymis- ja </w:t>
            </w:r>
            <w:r>
              <w:rPr>
                <w:b/>
                <w:i/>
              </w:rPr>
              <w:t>palautumistukivälinettä koskevassa asetuksessa vahvistettuja soveltamisalaa, tavoitteita ja tukikelpoisuusehtoja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154 a.</w:t>
            </w:r>
            <w:r>
              <w:tab/>
            </w:r>
            <w:r>
              <w:rPr>
                <w:b/>
                <w:i/>
              </w:rPr>
              <w:t>varoittaa, että jo olemassa olevien hankkeiden sisällyttäminen elpymis- ja palautumistukivälineen kehykseen ja toistuvien talousarviomenojen korvaaminen siinä heikentävät täydentävyysperiaatetta ja muuttavat välineen tosiasiallisesti jäsenvaltioiden sääntömääräisten budjettien takaoven rahoitusmekanismiksi sen sijaan, että edistettäisiin aitoa kriisin jälkeistä elpymistä ja palautumiskykyä;</w:t>
            </w:r>
            <w:r>
              <w:t xml:space="preserve"> </w:t>
            </w:r>
            <w:r>
              <w:rPr>
                <w:b/>
                <w:i/>
              </w:rPr>
              <w:t>kehottaa tekemään kiireellisesti uudelleentarkastelun, jotta voidaan estää elpymis- ja palautumistukivälineen päämäärän heikentyminen entisestään;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155 a.</w:t>
            </w:r>
            <w:r>
              <w:tab/>
            </w:r>
            <w:r>
              <w:rPr>
                <w:b/>
                <w:i/>
              </w:rPr>
              <w:t>kehottaa sekä komissiota että EU:n jäsenvaltioita toteuttamaan tehokkaampia toimia, jotta voidaan havaita sääntöjenvastaisuudet elpymis- ja palautumistukivälineen varojen käytössä ja periä takaisin aiheettomasti suoritetut maksut;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panee huolestuneena merkille tilintarkastustuomioistuimen havainnon, jonka mukaan Next Generation EU -välineen lainanotto voi yli kaksinkertaistua vuoteen 2026 mennessä, kun taas suurin osa takaisinmaksusta lykätään tuleviin monivuotisiin rahoituskehyksiin; palauttaa mieliin, että Next Generation EU -välineen lainan takaisinmaksu on aloitettava ennen vuoden 2027 loppua, jos budjettikohdassa on edelleen käyttämättömiä määrärahoja Next Generation EU -välineen rahoituskustannusten kattamiseksi, ja takaisinmaksu on saatettava päätökseen viimeistään vuonna 2058; toteaa, että unionin talousarvioon kohdistuvan riskin odotetaan vuosina 2024 ja 2025 kasvavan vuoden 2023 lopussa todettua riskiä suuremmaksi pääasiassa elpymis- ja palautumistukivälineen lainojen vuoksi; on huolestunut siitä, että markkinaolosuhteiden mahdolliset muutokset voivat lisätä lainanottokustannuksia, jotka on rahoitettava unionin talousarviosta avustuksiin liittyvän Next Generation EU -välineen velan tapauksessa;</w:t>
            </w:r>
          </w:p>
        </w:tc>
        <w:tc>
          <w:tcPr>
            <w:tcW w:w="4876" w:type="dxa"/>
            <w:tcBorders>
              <w:top w:val="nil"/>
              <w:left w:val="nil"/>
              <w:bottom w:val="nil"/>
              <w:right w:val="nil"/>
            </w:tcBorders>
          </w:tcPr>
          <w:p>
            <w:pPr>
              <w:pStyle w:val="Normal6a"/>
            </w:pPr>
            <w:r>
              <w:t>157.</w:t>
            </w:r>
            <w:r>
              <w:tab/>
            </w:r>
            <w:r>
              <w:t xml:space="preserve">panee </w:t>
            </w:r>
            <w:r>
              <w:rPr>
                <w:b/>
                <w:i/>
              </w:rPr>
              <w:t>erittäin</w:t>
            </w:r>
            <w:r>
              <w:t xml:space="preserve"> huolestuneena merkille tilintarkastustuomioistuimen havainnon, jonka mukaan Next Generation EU -välineen lainanotto voi yli kaksinkertaistua vuoteen 2026 mennessä, kun taas suurin osa takaisinmaksusta lykätään tuleviin monivuotisiin rahoituskehyksiin; palauttaa mieliin, että Next Generation EU -välineen lainan takaisinmaksu on aloitettava ennen vuoden 2027 loppua, jos budjettikohdassa on edelleen käyttämättömiä määrärahoja Next Generation EU -välineen rahoituskustannusten kattamiseksi, ja takaisinmaksu on saatettava päätökseen viimeistään vuonna 2058; toteaa, että unionin talousarvioon kohdistuvan riskin odotetaan vuosina 2024 ja 2025 kasvavan vuoden 2023 lopussa todettua riskiä suuremmaksi pääasiassa elpymis- ja palautumistukivälineen lainojen vuoksi; on huolestunut siitä, että markkinaolosuhteiden mahdolliset muutokset voivat lisätä lainanottokustannuksia, jotka on rahoitettava unionin talousarviosta avustuksiin liittyvän Next Generation EU -välineen velan tapauksessa; </w:t>
            </w:r>
            <w:r>
              <w:rPr>
                <w:b/>
                <w:i/>
              </w:rPr>
              <w:t>on huolissaan siitä, ettei Next Generation EU -välineen yhteisen velan takaisinmaksusuunnitelmaa ole vieläkään olemassa;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panee huolestuneena merkille tilintarkastustuomioistuimen havainnon, jonka mukaan Next Generation EU -välineen lainanotto voi yli kaksinkertaistua vuoteen 2026 mennessä, kun taas suurin osa takaisinmaksusta lykätään tuleviin monivuotisiin rahoituskehyksiin; palauttaa mieliin, että Next Generation EU -välineen lainan takaisinmaksu on aloitettava ennen vuoden 2027 loppua, jos budjettikohdassa on edelleen käyttämättömiä määrärahoja Next Generation EU -välineen rahoituskustannusten kattamiseksi, ja takaisinmaksu on saatettava päätökseen viimeistään vuonna 2058; toteaa, että unionin talousarvioon kohdistuvan riskin odotetaan vuosina 2024 ja 2025 kasvavan vuoden 2023 lopussa todettua riskiä suuremmaksi pääasiassa elpymis- ja palautumistukivälineen lainojen vuoksi; on huolestunut siitä, että markkinaolosuhteiden mahdolliset muutokset voivat lisätä lainanottokustannuksia, jotka on rahoitettava unionin talousarviosta avustuksiin liittyvän Next Generation EU -välineen velan tapauksessa;</w:t>
            </w:r>
          </w:p>
        </w:tc>
        <w:tc>
          <w:tcPr>
            <w:tcW w:w="4876" w:type="dxa"/>
            <w:tcBorders>
              <w:top w:val="nil"/>
              <w:left w:val="nil"/>
              <w:bottom w:val="nil"/>
              <w:right w:val="nil"/>
            </w:tcBorders>
          </w:tcPr>
          <w:p>
            <w:pPr>
              <w:pStyle w:val="Normal6a"/>
            </w:pPr>
            <w:r>
              <w:t>157.</w:t>
            </w:r>
            <w:r>
              <w:tab/>
            </w:r>
            <w:r>
              <w:t xml:space="preserve">panee huolestuneena merkille tilintarkastustuomioistuimen havainnon, jonka mukaan Next Generation EU -välineen lainanotto voi yli kaksinkertaistua vuoteen 2026 mennessä, kun taas suurin osa takaisinmaksusta lykätään tuleviin monivuotisiin rahoituskehyksiin; palauttaa mieliin, että Next Generation EU -välineen lainan takaisinmaksu on aloitettava ennen vuoden 2027 loppua, jos budjettikohdassa on edelleen käyttämättömiä määrärahoja Next Generation EU -välineen rahoituskustannusten kattamiseksi, ja takaisinmaksu on saatettava päätökseen viimeistään vuonna 2058; toteaa, että unionin talousarvioon kohdistuvan riskin odotetaan vuosina 2024 ja 2025 kasvavan vuoden 2023 lopussa todettua riskiä suuremmaksi pääasiassa elpymis- ja palautumistukivälineen lainojen vuoksi; on huolestunut siitä, että markkinaolosuhteiden mahdolliset muutokset voivat lisätä lainanottokustannuksia, jotka on rahoitettava unionin talousarviosta avustuksiin liittyvän Next Generation EU -välineen velan tapauksessa; </w:t>
            </w:r>
            <w:r>
              <w:rPr>
                <w:b/>
                <w:i/>
              </w:rPr>
              <w:t>muistuttaa tässä yhteydessä yhteisen lainanoton riskeistä ja tehottomuudesta;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158 a.</w:t>
            </w:r>
            <w:r>
              <w:tab/>
            </w:r>
            <w:r>
              <w:rPr>
                <w:b/>
                <w:i/>
              </w:rPr>
              <w:t>panee merkille tilintarkastustuomioistuimen erityiskertomuksessa 13/2024 esitetyt havainnot, joiden mukaan hitaan käyttöönoton muita syitä olivat toimenpiteet, jotka eivät soveltuneet elpymis- ja palautumistukivälineen aikatauluun, ja niiden toteutukseen tarvittavan ajan aliarviointi (julkisia hankintoja ja valtiontukia koskevien sääntöjen vuoksi)</w:t>
            </w:r>
            <w:r>
              <w:t xml:space="preserve"> </w:t>
            </w:r>
            <w:r>
              <w:rPr>
                <w:b/>
                <w:i/>
              </w:rPr>
              <w:t>sekä epävarmuus täytäntöönpanosäännöistä ja siitä, miten niitä olisi sovellettava, mukaan lukien ”ei merkittävää haittaa” -periaatetta ja sen noudattamista koskevien ohjeiden puuttuminen;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161.</w:t>
            </w:r>
            <w:r>
              <w:tab/>
            </w:r>
            <w:r>
              <w:t>ilmaisee syvän huolensa tilintarkastustuomioistuimen huomautuksesta, jonka mukaan jäsenvaltioiden valvontajärjestelmien täytäntöönpanossa on edelleen puutteita, sillä tämä vaarantaa maksupyyntöjen perustana olevien täydellisten ja tarkkojen tietojen saatavuuden, kyseisiin pyyntöihin pääsyn valvontaa varten ja jäsenvaltioiden valvontajärjestelmien tehokkaan toiminnan unionin taloudellisten etujen suojaamiseksi; muistuttaa, että elpymis- ja palautumistukivälinettä koskevan asetuksen mukaan jäsenvaltioiden valvontajärjestelmillä on keskeinen rooli unionin taloudellisten etujen tehokkaan suojelun varmistamisessa; kehottaa komissiota ryhtymään tarvittaessa määrätietoisiin ja nopeisiin toimiin ja hyödyntämään kaikilta osin elpymis- ja palautumistukivälinettä koskevan asetuksen säännöksiä, jos jäsenvaltioiden valvontajärjestelmissä on edelleen puutteita;</w:t>
            </w:r>
          </w:p>
        </w:tc>
        <w:tc>
          <w:tcPr>
            <w:tcW w:w="4876" w:type="dxa"/>
            <w:tcBorders>
              <w:top w:val="nil"/>
              <w:left w:val="nil"/>
              <w:bottom w:val="nil"/>
              <w:right w:val="nil"/>
            </w:tcBorders>
          </w:tcPr>
          <w:p>
            <w:pPr>
              <w:pStyle w:val="Normal6a"/>
            </w:pPr>
            <w:r>
              <w:t>161.</w:t>
            </w:r>
            <w:r>
              <w:tab/>
            </w:r>
            <w:r>
              <w:t>ilmaisee syvän huolensa tilintarkastustuomioistuimen huomautuksesta, jonka mukaan jäsenvaltioiden valvontajärjestelmien täytäntöönpanossa on edelleen puutteita, sillä tämä vaarantaa maksupyyntöjen perustana olevien täydellisten ja tarkkojen tietojen saatavuuden, kyseisiin pyyntöihin pääsyn valvontaa varten ja jäsenvaltioiden valvontajärjestelmien tehokkaan toiminnan unionin taloudellisten etujen suojaamiseksi; muistuttaa, että elpymis- ja palautumistukivälinettä koskevan asetuksen mukaan jäsenvaltioiden valvontajärjestelmillä on keskeinen rooli unionin taloudellisten etujen tehokkaan suojelun varmistamisessa; kehottaa komissiota ryhtymään tarvittaessa määrätietoisiin ja nopeisiin toimiin</w:t>
            </w:r>
            <w:r>
              <w:rPr>
                <w:b/>
                <w:i/>
              </w:rPr>
              <w:t>, mukaan lukien rahoitusoikaisujen määrääminen,</w:t>
            </w:r>
            <w:r>
              <w:t xml:space="preserve"> ja hyödyntämään kaikilta osin elpymis- ja palautumistukivälinettä koskevan asetuksen säännöksiä, jos jäsenvaltioiden valvontajärjestelmissä on edelleen puutteita;</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163.</w:t>
            </w:r>
            <w:r>
              <w:tab/>
            </w:r>
            <w:r>
              <w:t xml:space="preserve">panee merkille komission huomautuksen, jonka mukaan elpymis- ja palautumistukivälinettä koskevan asetuksen mukaisesti päällekkäinen rahoitus liittyy nimenomaisesti </w:t>
            </w:r>
            <w:r>
              <w:rPr>
                <w:b/>
                <w:i/>
              </w:rPr>
              <w:t>kustannuksiin</w:t>
            </w:r>
            <w:r>
              <w:t>, joten päällekkäistä rahoitusta ei voi olla, jos jäsenvaltio ei ole esittänyt arvioituja kustannuksia osana kansallista suunnitelmaansa; panee merkille, että komissio korostaa, että kustannuksia aiheuttamattomat uudistukset eivät lisää määrärahoja mutta ne ovat kuitenkin olennainen edellytys sille, että komissio antaa elpymis- ja palautumissuunnitelmista myönteisen arvion, ja niiden täysimääräinen täytäntöönpano on olennainen edellytys asianomaisten maksujen suorittamiselle; huomauttaa, että komissio myönsi pian tilintarkastustuomioistuimen paikan päällä tekemän tarkastustyön jälkeen havainneensa ensimmäiset kaksi mahdollista tapausta, joissa on kyse päällekkäisestä rahoituksesta;</w:t>
            </w:r>
          </w:p>
        </w:tc>
        <w:tc>
          <w:tcPr>
            <w:tcW w:w="4876" w:type="dxa"/>
            <w:tcBorders>
              <w:top w:val="nil"/>
              <w:left w:val="nil"/>
              <w:bottom w:val="nil"/>
              <w:right w:val="nil"/>
            </w:tcBorders>
          </w:tcPr>
          <w:p>
            <w:pPr>
              <w:pStyle w:val="Normal6a"/>
            </w:pPr>
            <w:r>
              <w:t>163.</w:t>
            </w:r>
            <w:r>
              <w:tab/>
            </w:r>
            <w:r>
              <w:t xml:space="preserve">panee merkille komission huomautuksen, jonka mukaan elpymis- ja palautumistukivälinettä koskevan asetuksen mukaisesti päällekkäinen rahoitus liittyy nimenomaisesti </w:t>
            </w:r>
            <w:r>
              <w:rPr>
                <w:b/>
                <w:i/>
              </w:rPr>
              <w:t>talousarviokustannuksiin</w:t>
            </w:r>
            <w:r>
              <w:t xml:space="preserve">, joten päällekkäistä rahoitusta ei voi olla, jos jäsenvaltio ei ole esittänyt </w:t>
            </w:r>
            <w:r>
              <w:rPr>
                <w:b/>
                <w:i/>
              </w:rPr>
              <w:t>tiettyyn toimenpiteeseen liittyviä</w:t>
            </w:r>
            <w:r>
              <w:t xml:space="preserve"> arvioituja kustannuksia osana kansallista suunnitelmaansa; panee merkille, että komissio korostaa, että kustannuksia aiheuttamattomat uudistukset eivät lisää määrärahoja mutta ne ovat kuitenkin olennainen edellytys sille, että komissio antaa elpymis- ja palautumissuunnitelmista myönteisen arvion, ja niiden täysimääräinen täytäntöönpano on olennainen edellytys asianomaisten maksujen suorittamiselle; huomauttaa, että komissio myönsi pian tilintarkastustuomioistuimen paikan päällä tekemän tarkastustyön jälkeen havainneensa ensimmäiset kaksi mahdollista tapausta, joissa on kyse päällekkäisestä rahoituksesta;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164.</w:t>
            </w:r>
            <w:r>
              <w:tab/>
            </w:r>
            <w:r>
              <w:rPr>
                <w:b/>
                <w:i/>
              </w:rPr>
              <w:t>korostaa</w:t>
            </w:r>
            <w:r>
              <w:t xml:space="preserve">, että elpymis- ja </w:t>
            </w:r>
            <w:r>
              <w:rPr>
                <w:b/>
                <w:i/>
              </w:rPr>
              <w:t>palautumissuunnitelmiin ei pääsääntöisesti pitäisi sisällyttää toimenpiteitä</w:t>
            </w:r>
            <w:r>
              <w:t xml:space="preserve">, jotka sisältyvät jo muihin EU:n rahoitusta (esim. koheesiovaroja, maataloustukea jne.) saaviin kansallisiin suunnitelmiin, </w:t>
            </w:r>
            <w:r>
              <w:rPr>
                <w:b/>
                <w:i/>
              </w:rPr>
              <w:t>vaikka niistä ei aiheutuisi kustannuksia, sillä niiden sisällyttäminen herättää epäilyksiä elpymis- ja palautumistukivälineen lisäarvosta</w:t>
            </w:r>
            <w:r>
              <w:t>; painottaa, että erilaisen täytäntöönpanomallin vuoksi elpymis- ja palautumistukivälineen ja muiden EU:n rahoitusvälineiden välinen päällekkäinen rahoitus saattaa olla vaikeampi havaita, ja kehottaa komissiota jatkossakin valppauteen ja proaktiivisuuteen mahdollisten päällekkäistä rahoitusta koskevien tilanteiden havaitsemisessa;</w:t>
            </w:r>
          </w:p>
        </w:tc>
        <w:tc>
          <w:tcPr>
            <w:tcW w:w="4876" w:type="dxa"/>
            <w:tcBorders>
              <w:top w:val="nil"/>
              <w:left w:val="nil"/>
              <w:bottom w:val="nil"/>
              <w:right w:val="nil"/>
            </w:tcBorders>
          </w:tcPr>
          <w:p>
            <w:pPr>
              <w:pStyle w:val="Normal6a"/>
            </w:pPr>
            <w:r>
              <w:t>164.</w:t>
            </w:r>
            <w:r>
              <w:tab/>
            </w:r>
            <w:r>
              <w:rPr>
                <w:b/>
                <w:i/>
              </w:rPr>
              <w:t>muistuttaa</w:t>
            </w:r>
            <w:r>
              <w:t xml:space="preserve">, että elpymis- ja </w:t>
            </w:r>
            <w:r>
              <w:rPr>
                <w:b/>
                <w:i/>
              </w:rPr>
              <w:t>palautumistukivälinettä koskevan asetuksen 9 artiklassa vahvistetaan unionin ohjelmien ja rahoitusvälineiden täydentävyys ja täydentävä rahoitus keskeisinä periaatteina;</w:t>
            </w:r>
            <w:r>
              <w:t xml:space="preserve"> </w:t>
            </w:r>
            <w:r>
              <w:rPr>
                <w:b/>
                <w:i/>
              </w:rPr>
              <w:t>katsoo, että näiden periaatteiden noudattamiseksi mutta päällekkäisen rahoituksen riskin välttämiseksi toimenpiteet</w:t>
            </w:r>
            <w:r>
              <w:t xml:space="preserve">, jotka sisältyvät jo muihin EU:n rahoitusta (esim. koheesiovaroja, maataloustukea jne.) saaviin kansallisiin suunnitelmiin, </w:t>
            </w:r>
            <w:r>
              <w:rPr>
                <w:b/>
                <w:i/>
              </w:rPr>
              <w:t>olisi kuvattava huolellisesti kansallisissa elpymis- ja palautumissuunnitelmissa, jotta mahdollinen päällekkäisen rahoituksen riski voidaan tunnistaa paremmin, vaikka niistä ei aiheutuisi kustannuksia</w:t>
            </w:r>
            <w:r>
              <w:t>; painottaa, että erilaisen täytäntöönpanomallin vuoksi elpymis- ja palautumistukivälineen ja muiden EU:n rahoitusvälineiden välinen päällekkäinen rahoitus saattaa olla vaikeampi havaita, ja kehottaa komissiota jatkossakin valppauteen ja proaktiivisuuteen mahdollisten päällekkäistä rahoitusta koskevien tilanteiden havaitsemisessa;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164.</w:t>
            </w:r>
            <w:r>
              <w:tab/>
            </w:r>
            <w:r>
              <w:t>korostaa, että elpymis- ja palautumissuunnitelmiin ei pääsääntöisesti pitäisi sisällyttää toimenpiteitä, jotka sisältyvät jo muihin EU:n rahoitusta (esim. koheesiovaroja, maataloustukea jne.) saaviin kansallisiin suunnitelmiin, vaikka niistä ei aiheutuisi kustannuksia</w:t>
            </w:r>
            <w:r>
              <w:rPr>
                <w:b/>
                <w:i/>
              </w:rPr>
              <w:t>, sillä niiden sisällyttäminen herättää epäilyksiä elpymis- ja palautumistukivälineen lisäarvosta</w:t>
            </w:r>
            <w:r>
              <w:t>; painottaa, että erilaisen täytäntöönpanomallin vuoksi elpymis- ja palautumistukivälineen ja muiden EU:n rahoitusvälineiden välinen päällekkäinen rahoitus saattaa olla vaikeampi havaita, ja kehottaa komissiota jatkossakin valppauteen ja proaktiivisuuteen mahdollisten päällekkäistä rahoitusta koskevien tilanteiden havaitsemisessa;</w:t>
            </w:r>
          </w:p>
        </w:tc>
        <w:tc>
          <w:tcPr>
            <w:tcW w:w="4876" w:type="dxa"/>
            <w:tcBorders>
              <w:top w:val="nil"/>
              <w:left w:val="nil"/>
              <w:bottom w:val="nil"/>
              <w:right w:val="nil"/>
            </w:tcBorders>
          </w:tcPr>
          <w:p>
            <w:pPr>
              <w:pStyle w:val="Normal6a"/>
            </w:pPr>
            <w:r>
              <w:t>164.</w:t>
            </w:r>
            <w:r>
              <w:tab/>
            </w:r>
            <w:r>
              <w:t>korostaa, että elpymis- ja palautumissuunnitelmiin ei pääsääntöisesti pitäisi sisällyttää toimenpiteitä, jotka sisältyvät jo muihin EU:n rahoitusta (esim. koheesiovaroja, maataloustukea jne.) saaviin kansallisiin suunnitelmiin, vaikka niistä ei aiheutuisi kustannuksia; painottaa, että erilaisen täytäntöönpanomallin vuoksi elpymis- ja palautumistukivälineen ja muiden EU:n rahoitusvälineiden välinen päällekkäinen rahoitus saattaa olla vaikeampi havaita, ja kehottaa komissiota jatkossakin valppauteen ja proaktiivisuuteen mahdollisten päällekkäistä rahoitusta koskevien tilanteiden havaitsemisessa;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164 a.</w:t>
            </w:r>
            <w:r>
              <w:tab/>
            </w:r>
            <w:r>
              <w:rPr>
                <w:b/>
                <w:i/>
              </w:rPr>
              <w:t>tuomitsee sen, ettei komissio ole antanut riittäviä suojatoimia, joilla estettäisiin hankkeiden päällekkäinen rahoitus sekä elpymis- ja palautumistukivälineestä että muista EU:n rahoitusvälineistä;</w:t>
            </w:r>
            <w:r>
              <w:t xml:space="preserve"> </w:t>
            </w:r>
            <w:r>
              <w:rPr>
                <w:b/>
                <w:i/>
              </w:rPr>
              <w:t>kehottaa ottamaan käyttöön automaattisen ristiintarkastusjärjestelmän elpymis- ja palautumistukivälineen ja koheesiorahastojen, yhteisen maatalouspolitiikan ja EU:n muiden rahoitusohjelmien välillä päällekkäisten hakemusten havaitsemiseksi ja poistamiseksi;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165.</w:t>
            </w:r>
            <w:r>
              <w:tab/>
            </w:r>
            <w:r>
              <w:t>ilmaisee huolensa tilintarkastustuomioistuimen katsauksessaan 01/2023 ”Koheesiopolitiikan ja elpymis- ja palautumistukivälineen kautta myönnettävä EU:n rahoitus: Vertaileva analyysi” esittämästä havainnosta, että elpymis- ja palautumistukivälineen menoihin liittyvistä petoksista ilmoittamisesta puuttuu yhä standardoitu lähestymistapa, johon sisältyisi vahva koordinointi ja yhteistyö jäsenvaltioiden välillä, ja että jäsenvaltiot eivät ole velvollisia raportoimaan epäillyistä petostapauksista yhdennetyssä tietojärjestelmässä vaan jokaisen maksupyynnön liitteenä olevassa johdon vahvistuslausumassa, joskin jäsenvaltiot ovat raportoineet tapauksista myös johdon vahvistuslausumien ulkopuolella; pahoittelee, ettei kuitenkaan ole selkeitä ohjeita siitä, milloin epäillystä petoksesta olisi tarkalleen ottaen ilmoitettava, onko olemassa ilmoituskynnys ja mitä vakiotietoja kustakin tapauksesta ja toteutetuista korjaavista toimenpiteistä olisi ilmoitettava;</w:t>
            </w:r>
          </w:p>
        </w:tc>
        <w:tc>
          <w:tcPr>
            <w:tcW w:w="4876" w:type="dxa"/>
            <w:tcBorders>
              <w:top w:val="nil"/>
              <w:left w:val="nil"/>
              <w:bottom w:val="nil"/>
              <w:right w:val="nil"/>
            </w:tcBorders>
          </w:tcPr>
          <w:p>
            <w:pPr>
              <w:pStyle w:val="Normal6a"/>
            </w:pPr>
            <w:r>
              <w:t>165.</w:t>
            </w:r>
            <w:r>
              <w:tab/>
            </w:r>
            <w:r>
              <w:t xml:space="preserve">ilmaisee huolensa tilintarkastustuomioistuimen katsauksessaan 01/2023 ”Koheesiopolitiikan ja elpymis- ja palautumistukivälineen kautta myönnettävä EU:n rahoitus: Vertaileva analyysi” esittämästä havainnosta, että elpymis- ja palautumistukivälineen menoihin liittyvistä petoksista ilmoittamisesta puuttuu yhä standardoitu lähestymistapa, johon sisältyisi vahva koordinointi ja yhteistyö jäsenvaltioiden välillä, ja että jäsenvaltiot eivät ole velvollisia raportoimaan epäillyistä petostapauksista yhdennetyssä tietojärjestelmässä vaan jokaisen maksupyynnön liitteenä olevassa johdon vahvistuslausumassa, joskin jäsenvaltiot ovat raportoineet tapauksista myös johdon vahvistuslausumien ulkopuolella; pahoittelee, ettei kuitenkaan ole selkeitä ohjeita siitä, milloin epäillystä petoksesta olisi tarkalleen ottaen ilmoitettava, onko olemassa ilmoituskynnys ja mitä vakiotietoja kustakin tapauksesta ja toteutetuista korjaavista toimenpiteistä olisi ilmoitettava; </w:t>
            </w:r>
            <w:r>
              <w:rPr>
                <w:b/>
                <w:i/>
              </w:rPr>
              <w:t>tukee lisäksi tilintarkastustuomioistuimen samassa tarkastuksessa 01/2023 komissiolle esittämää pyyntöä saada jäsenvaltioilta riittävä varmuus petosten, korruption ja eturistiriitojen ehkäisemistä, havaitsemista ja korjaamista koskevien kansallisten järjestelmien vaikuttavuudesta;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165 a.</w:t>
            </w:r>
            <w:r>
              <w:tab/>
            </w:r>
            <w:r>
              <w:rPr>
                <w:b/>
                <w:i/>
              </w:rPr>
              <w:t>on huolissaan siitä, että vuonna 2023 komission oli otettava käyttöön kymmenen ylimääräistä valvontaa koskevaa välitavoitetta seitsemälle jäsenvaltiolle niiden valvontajärjestelmissä havaittujen puutteiden korjaamiseksi;</w:t>
            </w:r>
            <w:r>
              <w:t xml:space="preserve"> </w:t>
            </w:r>
            <w:r>
              <w:rPr>
                <w:b/>
                <w:i/>
              </w:rPr>
              <w:t>palauttaa mieliin tilintarkastustuomioistuimen arvion, jonka mukaan valvontaa koskevat välitavoitteet otettiin käyttöön siksi, etteivät jäsenvaltioiden järjestelmät olleet täysin toimivia, kun suunnitelmia alettiin panna täytäntöön, mikä aiheutti vakavan riskin elpymis- ja palautumistukivälineen menojen sääntöjenmukaisuudelle ja taloudellisten etujen suojaamiselle, ja kannattaa tätä arviota;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165 a.</w:t>
            </w:r>
            <w:r>
              <w:tab/>
            </w:r>
            <w:r>
              <w:rPr>
                <w:b/>
                <w:i/>
              </w:rPr>
              <w:t>varoittaa, että elpymis- ja palautumistukivälinettä koskevat petostapaukset, joista jäsenvaltioiden on ilmoitettava itse, jäävät edelleen merkittävissä määrin ilmoittamatta, mikä antaa harhaanjohtavan kuvan talouden eheydestä;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165 a.</w:t>
            </w:r>
            <w:r>
              <w:tab/>
            </w:r>
            <w:r>
              <w:rPr>
                <w:b/>
                <w:i/>
              </w:rPr>
              <w:t>pitää erittäin valitettavana avoimuuden puutetta elpymis- ja palautumistukivälineen varoihin liittyvistä petoksista raportoinnissa ja vaatii, että kaikki jäsenvaltiot noudattavat standardoituja raportointivelvoitteita ja käyttävät sääntöjenvastaisuuksien hallinnointijärjestelmää (IMS);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166.</w:t>
            </w:r>
            <w:r>
              <w:tab/>
            </w:r>
            <w:r>
              <w:t>kehottaa komissiota olemaan hyväksymättä mitään elpymis- ja palautumissuunnitelmien tarkistusta, joka saattaa johtaa siihen, että suunnitelmiin pakataan uudelleen olemassa olevia tai suunniteltuja uudistuksia tai investointeja</w:t>
            </w:r>
            <w:r>
              <w:rPr>
                <w:b/>
                <w:i/>
              </w:rPr>
              <w:t>;</w:t>
            </w:r>
            <w:r>
              <w:t xml:space="preserve"> </w:t>
            </w:r>
            <w:r>
              <w:rPr>
                <w:b/>
                <w:i/>
              </w:rPr>
              <w:t>katsoo, että tämä olisi ristiriidassa</w:t>
            </w:r>
            <w:r>
              <w:t xml:space="preserve"> elpymis- ja </w:t>
            </w:r>
            <w:r>
              <w:rPr>
                <w:b/>
                <w:i/>
              </w:rPr>
              <w:t>palautumistukivälineen periaatteiden kanssa ja heikentäisi sen lisäarvoa</w:t>
            </w:r>
            <w:r>
              <w:t>;</w:t>
            </w:r>
          </w:p>
        </w:tc>
        <w:tc>
          <w:tcPr>
            <w:tcW w:w="4876" w:type="dxa"/>
            <w:tcBorders>
              <w:top w:val="nil"/>
              <w:left w:val="nil"/>
              <w:bottom w:val="nil"/>
              <w:right w:val="nil"/>
            </w:tcBorders>
          </w:tcPr>
          <w:p>
            <w:pPr>
              <w:pStyle w:val="Normal6a"/>
            </w:pPr>
            <w:r>
              <w:t>166.</w:t>
            </w:r>
            <w:r>
              <w:tab/>
            </w:r>
            <w:r>
              <w:t>kehottaa komissiota olemaan hyväksymättä mitään elpymis- ja palautumissuunnitelmien tarkistusta, joka saattaa johtaa siihen, että suunnitelmiin pakataan uudelleen olemassa olevia tai suunniteltuja uudistuksia tai investointeja</w:t>
            </w:r>
            <w:r>
              <w:rPr>
                <w:b/>
                <w:i/>
              </w:rPr>
              <w:t>, jos niissä ei noudateta</w:t>
            </w:r>
            <w:r>
              <w:t xml:space="preserve"> elpymis- ja </w:t>
            </w:r>
            <w:r>
              <w:rPr>
                <w:b/>
                <w:i/>
              </w:rPr>
              <w:t>palautumistukivälinettä koskevassa asetuksessa vahvistettuja ehtoja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166.</w:t>
            </w:r>
            <w:r>
              <w:tab/>
            </w:r>
            <w:r>
              <w:rPr>
                <w:b/>
                <w:i/>
              </w:rPr>
              <w:t>kehottaa komissiota olemaan hyväksymättä mitään</w:t>
            </w:r>
            <w:r>
              <w:t xml:space="preserve"> elpymis- ja palautumissuunnitelmien </w:t>
            </w:r>
            <w:r>
              <w:rPr>
                <w:b/>
                <w:i/>
              </w:rPr>
              <w:t>tarkistusta, joka saattaa johtaa siihen, että suunnitelmiin pakataan uudelleen olemassa olevia tai suunniteltuja uudistuksia tai investointeja;</w:t>
            </w:r>
            <w:r>
              <w:t xml:space="preserve"> </w:t>
            </w:r>
            <w:r>
              <w:rPr>
                <w:b/>
                <w:i/>
              </w:rPr>
              <w:t>katsoo, että tämä olisi ristiriidassa elpymis- ja palautumistukivälineen periaatteiden kanssa ja heikentäisi sen lisäarvoa</w:t>
            </w:r>
            <w:r>
              <w:t>;</w:t>
            </w:r>
          </w:p>
        </w:tc>
        <w:tc>
          <w:tcPr>
            <w:tcW w:w="4876" w:type="dxa"/>
            <w:tcBorders>
              <w:top w:val="nil"/>
              <w:left w:val="nil"/>
              <w:bottom w:val="nil"/>
              <w:right w:val="nil"/>
            </w:tcBorders>
          </w:tcPr>
          <w:p>
            <w:pPr>
              <w:pStyle w:val="Normal6a"/>
            </w:pPr>
            <w:r>
              <w:t>166.</w:t>
            </w:r>
            <w:r>
              <w:tab/>
            </w:r>
            <w:r>
              <w:rPr>
                <w:b/>
                <w:i/>
              </w:rPr>
              <w:t>huomauttaa, että</w:t>
            </w:r>
            <w:r>
              <w:t xml:space="preserve"> elpymis- ja palautumissuunnitelmien </w:t>
            </w:r>
            <w:r>
              <w:rPr>
                <w:b/>
                <w:i/>
              </w:rPr>
              <w:t>tarkistuksilla olisi aina pyrittävä luomaan lisäarvoa ja lisäämään synenergioita;</w:t>
            </w:r>
            <w:r>
              <w:t xml:space="preserve"> </w:t>
            </w:r>
            <w:r>
              <w:rPr>
                <w:b/>
                <w:i/>
              </w:rPr>
              <w:t>on huolissaan, että joillain jäsenvaltioilla voi olla taipumusta pakata suunnitelmiin uudelleen olemassa olevia tai suunniteltuja uudistuksia tai investointeja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187 a.</w:t>
            </w:r>
            <w:r>
              <w:tab/>
            </w:r>
            <w:r>
              <w:rPr>
                <w:b/>
                <w:i/>
              </w:rPr>
              <w:t>toivoo komission lisäävän elpymis- ja palautumistukivälineestä rahoitettujen hankkeiden jälkitarkastusten ja paikan päällä tehtävien tarkastusten määrää, erityisesti korkean riskin toimialoilla, kuten digitaalisessa infrastruktuurissa ja energia-alalla, sillä aiemmissa EU:n rahoitusohjelmissa on havaittu niissä merkittäviä sääntöjenvastaisuuksia;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168 a.</w:t>
            </w:r>
            <w:r>
              <w:tab/>
            </w:r>
            <w:r>
              <w:rPr>
                <w:b/>
                <w:i/>
              </w:rPr>
              <w:t>korostaa, että viivästykset elpymis- ja palautumistukivälineen varojen maksuissa ja käytössä hidastavat taloudellista palautumista ja aiheuttavat lisäksi merkittävän riskin heikkolaatuisista viime hetken menoeristä elpymis- ja tukivälineen kauden loppua kohti;</w:t>
            </w:r>
            <w:r>
              <w:t xml:space="preserve"> </w:t>
            </w:r>
            <w:r>
              <w:rPr>
                <w:b/>
                <w:i/>
              </w:rPr>
              <w:t>pyytää komissiolta tiukempia väliarviointeja, jotta voidaan välttää "käytä-tai-menetä"-tilanteen syntyminen, sillä se voi johtaa tuhlaukseen ja varojen vääränlaiseen kohdentamiseen;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168 b.</w:t>
            </w:r>
            <w:r>
              <w:tab/>
            </w:r>
            <w:r>
              <w:rPr>
                <w:b/>
                <w:i/>
              </w:rPr>
              <w:t>huomauttaa erittäin huolestuneena, että jäsenvaltiot voivat strategisesti luopua viimeisistä maksupyynnöistään, jotta ne voivat välttää poliittisesti arkojen välitavoitteiden ja tavoitteiden täyttämisen ja laistaa näin tarvittavista, mutta epäsuosituista uudistuksista;</w:t>
            </w:r>
            <w:r>
              <w:t xml:space="preserve"> </w:t>
            </w:r>
            <w:r>
              <w:rPr>
                <w:b/>
                <w:i/>
              </w:rPr>
              <w:t>kehottaa komissiota ottamaan käyttöön taloudelliset seuraamukset elpymis- ja palautumistukivälineen puutteellisesta täytäntöönpanosta, mikä ehkäisisi maksurakenteen manipulointia;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173.</w:t>
            </w:r>
            <w:r>
              <w:tab/>
            </w:r>
            <w:r>
              <w:t xml:space="preserve">on huolestunut siitä, että tilintarkastustuomioistuin ilmoittaa vuosikertomuksissaan, että vuoden 2023 loppuun mennessä EPPOssa oli vireillä 206 tutkintaa, jotka liittyvät elpymis- ja palautumistukivälineen toimenpiteiden täytäntöönpanemiseksi käytettyihin varoihin ja koskevat mahdollisia arviolta yli 1,8 miljardin euron vahinkoja (sekä kansallista että EU:n rahoitusta); panee merkille, että nämä 206 vireillä olevaa </w:t>
            </w:r>
            <w:r>
              <w:rPr>
                <w:b/>
                <w:i/>
              </w:rPr>
              <w:t>tutkimusta</w:t>
            </w:r>
            <w:r>
              <w:t xml:space="preserve"> koskevat kymmentä jäsenvaltiota ja noin 75 prosenttia niistä koskee tapauksia yhdessä maassa; korostaa, että vaikka yhtään tutkintaa ei ole vielä saatu päätökseen, EPPOn esittämät luvut vahvistavat, että elpymis- ja palautumistukivälineeseen kohdistuu petosriski, ja että ne asettavat kyseenalaiseksi jäsenvaltioiden toimittamien vahvistuslausumien luotettavuuden havaituista petoksista ja toteutetuista korjaavista toimenpiteistä raportoinnin osalta;</w:t>
            </w:r>
          </w:p>
        </w:tc>
        <w:tc>
          <w:tcPr>
            <w:tcW w:w="4876" w:type="dxa"/>
            <w:tcBorders>
              <w:top w:val="nil"/>
              <w:left w:val="nil"/>
              <w:bottom w:val="nil"/>
              <w:right w:val="nil"/>
            </w:tcBorders>
          </w:tcPr>
          <w:p>
            <w:pPr>
              <w:pStyle w:val="Normal6a"/>
            </w:pPr>
            <w:r>
              <w:t>173.</w:t>
            </w:r>
            <w:r>
              <w:tab/>
            </w:r>
            <w:r>
              <w:t xml:space="preserve">on huolestunut siitä, että tilintarkastustuomioistuin ilmoittaa vuosikertomuksissaan, että vuoden 2023 loppuun mennessä EPPOssa oli vireillä 206 tutkintaa, jotka liittyvät elpymis- ja palautumistukivälineen toimenpiteiden täytäntöönpanemiseksi käytettyihin varoihin ja koskevat mahdollisia arviolta yli 1,8 miljardin euron vahinkoja (sekä kansallista että EU:n rahoitusta); panee merkille, että nämä 206 vireillä olevaa </w:t>
            </w:r>
            <w:r>
              <w:rPr>
                <w:b/>
                <w:i/>
              </w:rPr>
              <w:t>tutkintaa</w:t>
            </w:r>
            <w:r>
              <w:t xml:space="preserve"> koskevat kymmentä jäsenvaltiota ja noin 75 prosenttia niistä koskee tapauksia yhdessä maassa; korostaa, että vaikka yhtään tutkintaa ei ole vielä saatu päätökseen, EPPOn esittämät luvut vahvistavat, että elpymis- ja palautumistukivälineeseen kohdistuu petosriski, ja että ne asettavat kyseenalaiseksi jäsenvaltioiden toimittamien vahvistuslausumien luotettavuuden havaituista petoksista ja toteutetuista korjaavista toimenpiteistä raportoinnin osalta; </w:t>
            </w:r>
            <w:r>
              <w:rPr>
                <w:b/>
                <w:i/>
              </w:rPr>
              <w:t>katsoo, että petosten havaitsemismekanismien vahvistaminen pikaisesti on tarpeen, mukaan lukien pakollinen petosriskien arvioiminen kaikissa laajoissa elpymis- ja palautumistukivälineen hankkeissa;</w:t>
            </w:r>
            <w:r>
              <w:t xml:space="preserve"> </w:t>
            </w:r>
            <w:r>
              <w:rPr>
                <w:b/>
                <w:i/>
              </w:rPr>
              <w:t>vaatii komissiota varmistamaan, että Euroopan syyttäjänvirastolla (EPPO) on riittävät resurssit tutkia elpymis- ja palautumistukivälineen menoihin liittyviä petostapauksia, kun otetaan huomioon tutkintojen määrän kasvu ja suuret arvioidut vahingot;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173.</w:t>
            </w:r>
            <w:r>
              <w:tab/>
            </w:r>
            <w:r>
              <w:t xml:space="preserve">on huolestunut siitä, että tilintarkastustuomioistuin ilmoittaa vuosikertomuksissaan, että vuoden 2023 loppuun mennessä EPPOssa oli vireillä 206 tutkintaa, jotka liittyvät elpymis- ja palautumistukivälineen toimenpiteiden täytäntöönpanemiseksi käytettyihin varoihin ja koskevat mahdollisia arviolta yli 1,8 miljardin euron vahinkoja (sekä kansallista että EU:n rahoitusta); panee merkille, että nämä 206 vireillä olevaa </w:t>
            </w:r>
            <w:r>
              <w:rPr>
                <w:b/>
                <w:i/>
              </w:rPr>
              <w:t>tutkimusta</w:t>
            </w:r>
            <w:r>
              <w:t xml:space="preserve"> koskevat kymmentä jäsenvaltiota ja noin 75 prosenttia niistä koskee tapauksia yhdessä maassa; korostaa, että vaikka yhtään tutkintaa ei ole vielä saatu päätökseen, EPPOn esittämät luvut vahvistavat, että elpymis- ja palautumistukivälineeseen kohdistuu petosriski, ja että ne asettavat kyseenalaiseksi jäsenvaltioiden toimittamien vahvistuslausumien luotettavuuden havaituista petoksista ja toteutetuista korjaavista toimenpiteistä raportoinnin osalta;</w:t>
            </w:r>
          </w:p>
        </w:tc>
        <w:tc>
          <w:tcPr>
            <w:tcW w:w="4876" w:type="dxa"/>
            <w:tcBorders>
              <w:top w:val="nil"/>
              <w:left w:val="nil"/>
              <w:bottom w:val="nil"/>
              <w:right w:val="nil"/>
            </w:tcBorders>
          </w:tcPr>
          <w:p>
            <w:pPr>
              <w:pStyle w:val="Normal6a"/>
            </w:pPr>
            <w:r>
              <w:t>173.</w:t>
            </w:r>
            <w:r>
              <w:tab/>
            </w:r>
            <w:r>
              <w:t xml:space="preserve">on huolestunut siitä, että tilintarkastustuomioistuin ilmoittaa vuosikertomuksissaan, että vuoden 2023 loppuun mennessä EPPOssa oli vireillä 206 tutkintaa </w:t>
            </w:r>
            <w:r>
              <w:rPr>
                <w:b/>
                <w:i/>
              </w:rPr>
              <w:t>(EPPOn vuosikertomuksessa 233)</w:t>
            </w:r>
            <w:r>
              <w:t xml:space="preserve">, jotka liittyvät elpymis- ja palautumistukivälineen toimenpiteiden täytäntöönpanemiseksi käytettyihin varoihin ja koskevat mahdollisia arviolta yli 1,8 miljardin euron vahinkoja (sekä kansallista että EU:n rahoitusta); panee merkille, että nämä 206 vireillä olevaa </w:t>
            </w:r>
            <w:r>
              <w:rPr>
                <w:b/>
                <w:i/>
              </w:rPr>
              <w:t>tutkintaa</w:t>
            </w:r>
            <w:r>
              <w:t xml:space="preserve"> koskevat kymmentä jäsenvaltiota ja noin 75 prosenttia niistä koskee tapauksia yhdessä maassa</w:t>
            </w:r>
            <w:r>
              <w:rPr>
                <w:b/>
                <w:i/>
              </w:rPr>
              <w:t>, nimittäin Italiassa;</w:t>
            </w:r>
            <w:r>
              <w:t xml:space="preserve"> </w:t>
            </w:r>
            <w:r>
              <w:rPr>
                <w:b/>
                <w:i/>
              </w:rPr>
              <w:t>on huolestunut, että vuoden 2023 lopussa jäsenvaltioiden vahvistuslausumissa ei ole kerrottu yhdestäkään havaitusta petostapauksesta, mikä tarkoittaa, että jäsenvaltiot eivät raportoineet yhtään EPPOn avoimista tapauksista itse, ja herättää epäilyksiä jäsenvaltioiden kyvyistä havaita ja torjua petoksia</w:t>
            </w:r>
            <w:r>
              <w:t>; korostaa, että vaikka yhtään tutkintaa ei ole vielä saatu päätökseen, EPPOn esittämät luvut vahvistavat, että elpymis- ja palautumistukivälineeseen kohdistuu petosriski, ja että ne asettavat kyseenalaiseksi jäsenvaltioiden toimittamien vahvistuslausumien luotettavuuden havaituista petoksista ja toteutetuista korjaavista toimenpiteistä raportoinnin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176 a.</w:t>
            </w:r>
            <w:r>
              <w:tab/>
            </w:r>
            <w:r>
              <w:rPr>
                <w:b/>
                <w:i/>
              </w:rPr>
              <w:t>muistuttaa elpymis- ja palautumistukivälineen täysin olennaisesta osasta vaikean taloudellisen taantuman ja sosiaalisen kriisin ehkäisemisessä covid-19-pandemian jälkeen ja sen tehokkuudesta kriisinhallintavälineenä;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177.</w:t>
            </w:r>
            <w:r>
              <w:tab/>
            </w:r>
            <w:r>
              <w:t>panee merkille, että jäsenvaltioiden olisi elpymis- ja palautumistukivälineen valvontaa ja tarkastuksia varten otettava käyttöön järjestelyjä korruption, petosten ja eturistiriitojen ehkäisemiseksi, havaitsemiseksi ja korjaamiseksi ja että komissio suorittaa välitavoitteiden ja tavoitteiden jälki- ja järjestelmätarkastuksia; korostaa, että tilintarkastustuomioistuimen rooliin liittyy vielä jonkin verran epäselvyyttä, sillä se on laatinut strategian (kautta 2021–2025 koskeva strategia) Next Generation EU -ohjelmaa ja elpymis- ja palautumistukivälinettä koskevien tehtäviensä hoitamiseksi, mitä jotkin jäsenvaltiot pitävät tarpeettomana päällekkäisyytenä ja hallinnollisena rasitteena; on huolestunut siitä, että komissio totesi sekä 21. helmikuuta 2024 päivätyssä elpymis- ja palautumistukivälineen väliarvioinnissaan että 10. lokakuuta 2024 julkaistussa elpymis- ja palautumistukivälinettä koskevassa vuosikertomuksessaan, että jäsenvaltioiden viranomaiset kaikilla tasoilla pitivät tarkastus- ja valvontamenettelyjä liian monimutkaisina ja että jäsenvaltiot valittivat kansallisten viranomaisten, komission ja tilintarkastustuomioistuimen päällekkäisistä tarkastuksista;</w:t>
            </w:r>
          </w:p>
        </w:tc>
        <w:tc>
          <w:tcPr>
            <w:tcW w:w="4876" w:type="dxa"/>
            <w:tcBorders>
              <w:top w:val="nil"/>
              <w:left w:val="nil"/>
              <w:bottom w:val="nil"/>
              <w:right w:val="nil"/>
            </w:tcBorders>
          </w:tcPr>
          <w:p>
            <w:pPr>
              <w:pStyle w:val="Normal6a"/>
            </w:pPr>
            <w:r>
              <w:t>177.</w:t>
            </w:r>
            <w:r>
              <w:tab/>
            </w:r>
            <w:r>
              <w:t xml:space="preserve">panee merkille, että jäsenvaltioiden olisi elpymis- ja palautumistukivälineen valvontaa ja tarkastuksia varten otettava käyttöön järjestelyjä korruption, petosten ja eturistiriitojen ehkäisemiseksi, havaitsemiseksi ja korjaamiseksi ja että komissio suorittaa välitavoitteiden ja tavoitteiden jälki- ja järjestelmätarkastuksia; korostaa, että tilintarkastustuomioistuimen rooliin liittyy vielä jonkin verran epäselvyyttä, sillä se on laatinut strategian (kautta 2021–2025 koskeva strategia) Next Generation EU -ohjelmaa ja elpymis- ja palautumistukivälinettä koskevien tehtäviensä hoitamiseksi, mitä jotkin jäsenvaltiot pitävät tarpeettomana päällekkäisyytenä ja hallinnollisena rasitteena; on huolestunut siitä, että komissio totesi sekä 21. helmikuuta 2024 päivätyssä elpymis- ja palautumistukivälineen väliarvioinnissaan että 10. lokakuuta 2024 julkaistussa elpymis- ja palautumistukivälinettä koskevassa vuosikertomuksessaan, että jäsenvaltioiden viranomaiset kaikilla tasoilla pitivät tarkastus- ja valvontamenettelyjä liian monimutkaisina ja että jäsenvaltiot valittivat kansallisten viranomaisten, komission ja tilintarkastustuomioistuimen päällekkäisistä tarkastuksista; </w:t>
            </w:r>
            <w:r>
              <w:rPr>
                <w:b/>
                <w:i/>
              </w:rPr>
              <w:t>tukee täysin tilintarkastustuomioistuimen elpymis- ja palautumistukivälinettä koskevaa työtä ja panee merkille yllättyneenä, että ensimmäistä kertaa tilintarkastustuomioistuimen kertomuksessa ei ole ainoastaan komission vastauksia vaan myös tilintarkastustuomioistuimen vastaus komission antamiin vastauksiin, ja panee sen johdosta huolestuneena merkille, että komissio haastaa tilintarkastustuomioistuimen toimeksiannon, sillä "komissio kiistää tilintarkastustuomioituimen tarkastustavan tietyt näkökohdat" esittämällä näkemyksiä "havainnoista, jotka eivät sisälly tilintarkastustuomioistuimen kertomukseen" ja se ei "esitä taustalla vaikuttavia osatekijöitä tarkasti ja kattavasti"</w:t>
            </w:r>
            <w:r>
              <w:rPr>
                <w:b/>
                <w:i/>
                <w:vertAlign w:val="superscript"/>
              </w:rPr>
              <w:t>1a</w:t>
            </w:r>
            <w:r>
              <w:rPr>
                <w:b/>
                <w:i/>
              </w:rPr>
              <w:t>;</w:t>
            </w:r>
            <w:r>
              <w:t xml:space="preserve"> </w:t>
            </w:r>
            <w:r>
              <w:rPr>
                <w:b/>
                <w:i/>
              </w:rPr>
              <w:t>pitää myönteisenä, että pyydettäessä näkemyksiä asiasta talousarvion valvontavaliokunnassa 10. lokakuuta 2024 pidetyn Euroopan tilintarkastustuomioistuimen esityksen aikana komissio on myöntänyt ja hyväksynyt, että tilintarkastustuomioistuimella on täysi tilintarkastustoimeksianto elpymis- ja palautumistukivälineeseen, ja tämä on yksi perusteista, kun parlamentti antaa vastuuvapauden elpymis- ja palautumistukivälineen varojen käytöstä;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Euroopan tilintarkastustuomioistuin, 2023 vuosikertomukset, s. 545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177.</w:t>
            </w:r>
            <w:r>
              <w:tab/>
            </w:r>
            <w:r>
              <w:t>panee merkille, että jäsenvaltioiden olisi elpymis- ja palautumistukivälineen valvontaa ja tarkastuksia varten otettava käyttöön järjestelyjä korruption, petosten ja eturistiriitojen ehkäisemiseksi, havaitsemiseksi ja korjaamiseksi ja että komissio suorittaa välitavoitteiden ja tavoitteiden jälki- ja järjestelmätarkastuksia; korostaa, että tilintarkastustuomioistuimen rooliin liittyy vielä jonkin verran epäselvyyttä, sillä se on laatinut strategian (kautta 2021–2025 koskeva strategia) Next Generation EU -ohjelmaa ja elpymis- ja palautumistukivälinettä koskevien tehtäviensä hoitamiseksi, mitä jotkin jäsenvaltiot pitävät tarpeettomana päällekkäisyytenä ja hallinnollisena rasitteena; on huolestunut siitä, että komissio totesi sekä 21. helmikuuta 2024 päivätyssä elpymis- ja palautumistukivälineen väliarvioinnissaan että 10. lokakuuta 2024 julkaistussa elpymis- ja palautumistukivälinettä koskevassa vuosikertomuksessaan, että jäsenvaltioiden viranomaiset kaikilla tasoilla pitivät tarkastus- ja valvontamenettelyjä liian monimutkaisina ja että jäsenvaltiot valittivat kansallisten viranomaisten, komission ja tilintarkastustuomioistuimen päällekkäisistä tarkastuksista;</w:t>
            </w:r>
          </w:p>
        </w:tc>
        <w:tc>
          <w:tcPr>
            <w:tcW w:w="4876" w:type="dxa"/>
            <w:tcBorders>
              <w:top w:val="nil"/>
              <w:left w:val="nil"/>
              <w:bottom w:val="nil"/>
              <w:right w:val="nil"/>
            </w:tcBorders>
          </w:tcPr>
          <w:p>
            <w:pPr>
              <w:pStyle w:val="Normal6a"/>
            </w:pPr>
            <w:r>
              <w:t>177.</w:t>
            </w:r>
            <w:r>
              <w:tab/>
            </w:r>
            <w:r>
              <w:t xml:space="preserve">panee merkille, että jäsenvaltioiden olisi elpymis- ja palautumistukivälineen valvontaa ja tarkastuksia varten otettava käyttöön järjestelyjä korruption, petosten ja eturistiriitojen ehkäisemiseksi, havaitsemiseksi ja korjaamiseksi ja että komissio suorittaa välitavoitteiden ja tavoitteiden jälki- ja järjestelmätarkastuksia; korostaa, että tilintarkastustuomioistuimen rooliin liittyy vielä jonkin verran epäselvyyttä, sillä se on laatinut strategian (kautta 2021–2025 koskeva strategia) Next Generation EU -ohjelmaa ja elpymis- ja palautumistukivälinettä koskevien tehtäviensä hoitamiseksi, mitä jotkin jäsenvaltiot pitävät tarpeettomana päällekkäisyytenä ja hallinnollisena rasitteena; on huolestunut siitä, että komissio totesi sekä 21. helmikuuta 2024 päivätyssä elpymis- ja palautumistukivälineen väliarvioinnissaan että 10. lokakuuta 2024 julkaistussa elpymis- ja palautumistukivälinettä koskevassa vuosikertomuksessaan, että jäsenvaltioiden viranomaiset kaikilla tasoilla pitivät tarkastus- ja valvontamenettelyjä liian monimutkaisina ja että jäsenvaltiot valittivat kansallisten viranomaisten, komission ja tilintarkastustuomioistuimen päällekkäisistä tarkastuksista; </w:t>
            </w:r>
            <w:r>
              <w:rPr>
                <w:b/>
                <w:i/>
              </w:rPr>
              <w:t>suosittelee, että jäsenvaltiot, jotka valittavat velvollisuudesta tehdä yhteistyötä tilintarkastustuomioistuimen kanssa, luopuvat elpymis- ja palautumistukivälineen varoista ja lopettavat osallistumisen ohjelmaan;</w:t>
            </w:r>
            <w:r>
              <w:t xml:space="preserve"> </w:t>
            </w:r>
            <w:r>
              <w:rPr>
                <w:b/>
                <w:i/>
              </w:rPr>
              <w:t>korostaa jälleen kerran, että monien jäsenvaltioiden valvontajärjestelmät ovat hyvin heikot ja epäluotettavat;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177.</w:t>
            </w:r>
            <w:r>
              <w:tab/>
            </w:r>
            <w:r>
              <w:rPr>
                <w:b/>
                <w:i/>
              </w:rPr>
              <w:t>panee merkille</w:t>
            </w:r>
            <w:r>
              <w:t>, että jäsenvaltioiden olisi elpymis- ja palautumistukivälineen valvontaa ja tarkastuksia varten otettava käyttöön järjestelyjä korruption, petosten ja eturistiriitojen ehkäisemiseksi, havaitsemiseksi ja korjaamiseksi ja että komissio suorittaa välitavoitteiden ja tavoitteiden jälki- ja järjestelmätarkastuksia; korostaa, että tilintarkastustuomioistuimen rooliin liittyy vielä jonkin verran epäselvyyttä, sillä se on laatinut strategian (kautta 2021–2025 koskeva strategia) Next Generation EU -ohjelmaa ja elpymis- ja palautumistukivälinettä koskevien tehtäviensä hoitamiseksi, mitä jotkin jäsenvaltiot pitävät tarpeettomana päällekkäisyytenä ja hallinnollisena rasitteena; on huolestunut siitä, että komissio totesi sekä 21. helmikuuta 2024 päivätyssä elpymis- ja palautumistukivälineen väliarvioinnissaan että 10. lokakuuta 2024 julkaistussa elpymis- ja palautumistukivälinettä koskevassa vuosikertomuksessaan, että jäsenvaltioiden viranomaiset kaikilla tasoilla pitivät tarkastus- ja valvontamenettelyjä liian monimutkaisina ja että jäsenvaltiot valittivat kansallisten viranomaisten, komission ja tilintarkastustuomioistuimen päällekkäisistä tarkastuksista;</w:t>
            </w:r>
          </w:p>
        </w:tc>
        <w:tc>
          <w:tcPr>
            <w:tcW w:w="4876" w:type="dxa"/>
            <w:tcBorders>
              <w:top w:val="nil"/>
              <w:left w:val="nil"/>
              <w:bottom w:val="nil"/>
              <w:right w:val="nil"/>
            </w:tcBorders>
          </w:tcPr>
          <w:p>
            <w:pPr>
              <w:pStyle w:val="Normal6a"/>
            </w:pPr>
            <w:r>
              <w:t>177.</w:t>
            </w:r>
            <w:r>
              <w:tab/>
            </w:r>
            <w:r>
              <w:rPr>
                <w:b/>
                <w:i/>
              </w:rPr>
              <w:t>painottaa</w:t>
            </w:r>
            <w:r>
              <w:t>, että jäsenvaltioiden olisi elpymis- ja palautumistukivälineen valvontaa ja tarkastuksia varten otettava käyttöön järjestelyjä korruption, petosten ja eturistiriitojen ehkäisemiseksi, havaitsemiseksi ja korjaamiseksi ja että komissio suorittaa välitavoitteiden ja tavoitteiden jälki- ja järjestelmätarkastuksia; korostaa, että tilintarkastustuomioistuimen rooliin liittyy vielä jonkin verran epäselvyyttä, sillä se on laatinut strategian (kautta 2021–2025 koskeva strategia) Next Generation EU -ohjelmaa ja elpymis- ja palautumistukivälinettä koskevien tehtäviensä hoitamiseksi, mitä jotkin jäsenvaltiot pitävät tarpeettomana päällekkäisyytenä ja hallinnollisena rasitteena; on huolestunut siitä, että komissio totesi sekä 21. helmikuuta 2024 päivätyssä elpymis- ja palautumistukivälineen väliarvioinnissaan että 10. lokakuuta 2024 julkaistussa elpymis- ja palautumistukivälinettä koskevassa vuosikertomuksessaan, että jäsenvaltioiden viranomaiset kaikilla tasoilla pitivät tarkastus- ja valvontamenettelyjä liian monimutkaisina ja että jäsenvaltiot valittivat kansallisten viranomaisten, komission ja tilintarkastustuomioistuimen päällekkäisistä tarkastuksista;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177 a.</w:t>
            </w:r>
            <w:r>
              <w:tab/>
            </w:r>
            <w:r>
              <w:rPr>
                <w:b/>
                <w:i/>
              </w:rPr>
              <w:t>korostaa, että komission arvio välitavoitteiden saavuttamisesta ei ole avoin vaan pikemminkin poliittinen, eikä se sisällä puolueettomia ja selkeitä standardeja ja määräaikoja;</w:t>
            </w:r>
            <w:r>
              <w:t xml:space="preserve"> </w:t>
            </w:r>
            <w:r>
              <w:rPr>
                <w:b/>
                <w:i/>
              </w:rPr>
              <w:t>muistuttaa tässä yhteydessä komission harkintavallasta;</w:t>
            </w:r>
            <w:r>
              <w:t xml:space="preserve"> </w:t>
            </w:r>
            <w:r>
              <w:rPr>
                <w:b/>
                <w:i/>
              </w:rPr>
              <w:t>pitää valitettavana, että tämän seurauksena keskeisiä välitavoitteita on mahdollista käyttää poliittisina kiristysvälineinä;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178 a.</w:t>
            </w:r>
            <w:r>
              <w:tab/>
            </w:r>
            <w:r>
              <w:rPr>
                <w:b/>
                <w:i/>
              </w:rPr>
              <w:t>korostaa elpymis- ja palautumistukivälineen vaikutusta yrityksille ja pk-yrityksille EU:ssa;</w:t>
            </w:r>
            <w:r>
              <w:t xml:space="preserve"> </w:t>
            </w:r>
            <w:r>
              <w:rPr>
                <w:b/>
                <w:i/>
              </w:rPr>
              <w:t>panee merkille, että elpymis- ja palautumistukivälineestä on maksettu pk-yrityksille suorina tukina 78 miljardia euroa, mikä on 12 prosenttia elpymis- ja palautumistukivälineen kokonaismenoista, ja että laajemmin yrityksiä hyödyttävien toimenpiteiden arvo on yhteensä 152 miljardia euroa (23 prosenttia elpymis- ja palautumistukivälineen kokonaismenoista);</w:t>
            </w:r>
            <w:r>
              <w:t xml:space="preserve"> </w:t>
            </w:r>
            <w:r>
              <w:rPr>
                <w:b/>
                <w:i/>
              </w:rPr>
              <w:t>panee merkille, että 2,75 miljoonaa pk-yritystä, eli noin 11 prosenttia kaikista aktiivista pk-yrityksistä EU:ssa, on saanut tukea elpymis- ja palautumistukivälineen kautta;</w:t>
            </w:r>
            <w:r>
              <w:t xml:space="preserve"> </w:t>
            </w:r>
            <w:r>
              <w:rPr>
                <w:b/>
                <w:i/>
              </w:rPr>
              <w:t>korostaa, että lähes 600 000 yritystä on hyötynyt digitalisaatioaloitteista, ja vihreän siirtymän hankkeisiin, kuten uusiutuvaan energiaan ja vetyyn liittyviin hankkeisiin, on kohdennettu 5,2 miljardia euroa;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178 a.</w:t>
            </w:r>
            <w:r>
              <w:tab/>
            </w:r>
            <w:r>
              <w:rPr>
                <w:b/>
                <w:i/>
              </w:rPr>
              <w:t>ilmaisee syvän huolensa siitä, että vihreän siirtymän moottorina esitetty elpymis- ja palautumistukiväline on tasoittanut tietä viherpesulle;</w:t>
            </w:r>
            <w:r>
              <w:t xml:space="preserve"> </w:t>
            </w:r>
            <w:r>
              <w:rPr>
                <w:b/>
                <w:i/>
              </w:rPr>
              <w:t>panee merkille, että monilta välineessä "vihreiksi" luokitelluilta investoinneilta puuttuu luotettavat kestävyyskriteerit, mikä tarkoittaa, että jäsenvaltiot voivat rahoittaa ympäristövaikutuksiltaan kyseenalaisia hankkeita;</w:t>
            </w:r>
            <w:r>
              <w:t xml:space="preserve"> </w:t>
            </w:r>
            <w:r>
              <w:rPr>
                <w:b/>
                <w:i/>
              </w:rPr>
              <w:t>pitää tuomittavana, että käytössä ei ole tiukkaa luokittelua, jolla voitaisiin varmistaa, että kaikki elpymis- ja palautumistukivälineestä rahoitetut hankkeet aidosti hyödyttävät EU:n ilmastotavoitteita ja että välineestä ei muodostu rahoitusmuotoa, jolla perinteiset menot pinnallisesti brändätään uudelleen "vihreinä";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178 a.</w:t>
            </w:r>
            <w:r>
              <w:tab/>
            </w:r>
            <w:r>
              <w:rPr>
                <w:b/>
                <w:i/>
              </w:rPr>
              <w:t>panee merkille, että yksi elpymis- ja palautumistukivälineen tavoitteista on auttaa jäsenvaltioita panemaan täytäntöön kunnianhimoisia uudistuksia ja investointeja, jotka parantavat niiden talouden ja yhteiskunnan kestävyyttä, häiriönsietokykyä ja valmiutta vihreään ja digitaaliseen siirtymään;</w:t>
            </w:r>
            <w:r>
              <w:t xml:space="preserve"> </w:t>
            </w:r>
            <w:r>
              <w:rPr>
                <w:b/>
                <w:i/>
              </w:rPr>
              <w:t>korostaa huolestuneena tilintarkastustuomioistuimen havaintoa sen erityiskertomuksessa 15/2024, jossa nostetaan esiin jäsenvaltioiden toimittamien tietojen vähäinen merkityksellisyys ja vertailukelpoisuus sekä heikko laatu, minkä vuoksi tiedot eivät ole riittäviä, jotta voitaisiin arvioida ilmastonmuutokseen sopeutumisen edistymistä jäsenvaltioissa;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178 a.</w:t>
            </w:r>
            <w:r>
              <w:tab/>
            </w:r>
            <w:r>
              <w:rPr>
                <w:b/>
                <w:i/>
              </w:rPr>
              <w:t>kannustaa komissiota ottamaan käyttöön "vihreän pisteytyksen" menetelmän elpymis- ja palautumistukivälineen puitteissa, jotta investointien ympäristövaikutuksia voidaan seurata ja varmistaa, että ne ovat yhdenmukaiset EU:n ilmastotavoitteiden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178 a.</w:t>
            </w:r>
            <w:r>
              <w:tab/>
            </w:r>
            <w:r>
              <w:rPr>
                <w:b/>
                <w:i/>
              </w:rPr>
              <w:t>kehottaa komissiota laatimaan puolueettoman ja selkeän analyysin siitä, miten uudistusten ja investointien täytäntöönpano elpymis- ja palautumistukivälineen kansallisten elpymis- ja palautumissuunnitelmien puitteissa vaikutti jäsenvaltioiden talouksiin ja kiinnittämään erityistä huomiota BKT:n kasvuun, kilpailukykyyn ja köyhyyteen;</w:t>
            </w:r>
            <w:r>
              <w:t xml:space="preserve"> </w:t>
            </w:r>
            <w:r>
              <w:rPr>
                <w:b/>
                <w:i/>
              </w:rPr>
              <w:t>katsoo, että tällaiset arvioinnit ovat keskeisessä osassa, jotta voidaan puolueettomasti arvioida uudistusten ja investointien yhdistelmän todellista tehokkuutta;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178 b.</w:t>
            </w:r>
            <w:r>
              <w:tab/>
            </w:r>
            <w:r>
              <w:rPr>
                <w:b/>
                <w:i/>
              </w:rPr>
              <w:t>peräänkuuluttaa strukturoitua vaikutustenarviointia kaikille elpymis- ja palautumistukivälineestä rahoitettaville hankkeille, jotta voidaan varmistaa, että varoista saadaan konkreettista taloudellista, sosiaalista ja ympäristöhyötyä;</w:t>
            </w:r>
            <w:r>
              <w:t xml:space="preserve"> </w:t>
            </w:r>
            <w:r>
              <w:rPr>
                <w:b/>
                <w:i/>
              </w:rPr>
              <w:t>varoittaa, että ilman selkeitä seurantamekanismeja on vaara, että varat sulautuvat kansallisiin budjetteihin ilman selkeitä vaikutuksia;</w:t>
            </w:r>
            <w:r>
              <w:t xml:space="preserve"> </w:t>
            </w:r>
            <w:r>
              <w:rPr>
                <w:b/>
                <w:i/>
              </w:rPr>
              <w:t>kehottaa komissiota perustamaan tuloksellisuuden arviointikehyksen, jotta väärinkäyttöä voidaan ehkäistä;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179.</w:t>
            </w:r>
            <w:r>
              <w:tab/>
            </w:r>
            <w:r>
              <w:t xml:space="preserve">korostaa huolestuneena, että rajatylittävien hankkeiden helpottamisessa ei ole onnistuttu; pitää valitettavana, että vaikka elpymis- ja palautumissuunnitelmiin sisällytettiin useita yhteistä etua koskeviin tärkeisiin hankkeisiin liittyviä toimenpiteitä ja REPowerEU-lukuihin rajatylittäviä toimenpiteitä, tukivälineen kansalliset hallintoviranomaiset eivät ole riittävästi edistäneet rajatylittävää yhteistyötä; </w:t>
            </w:r>
            <w:r>
              <w:rPr>
                <w:b/>
                <w:i/>
              </w:rPr>
              <w:t>on</w:t>
            </w:r>
            <w:r>
              <w:t xml:space="preserve"> vahvasti sitä mieltä, että EU:n rahoitus pitäisi kytkeä paremmin yhteisten unionin tavoitteiden saavuttamiseen ja sen pitäisi tuottaa EU:n lisäarvoa;</w:t>
            </w:r>
          </w:p>
        </w:tc>
        <w:tc>
          <w:tcPr>
            <w:tcW w:w="4876" w:type="dxa"/>
            <w:tcBorders>
              <w:top w:val="nil"/>
              <w:left w:val="nil"/>
              <w:bottom w:val="nil"/>
              <w:right w:val="nil"/>
            </w:tcBorders>
          </w:tcPr>
          <w:p>
            <w:pPr>
              <w:pStyle w:val="Normal6a"/>
            </w:pPr>
            <w:r>
              <w:t>179.</w:t>
            </w:r>
            <w:r>
              <w:tab/>
            </w:r>
            <w:r>
              <w:t xml:space="preserve">korostaa huolestuneena, että rajatylittävien hankkeiden helpottamisessa ei ole onnistuttu; pitää valitettavana, että vaikka elpymis- ja palautumissuunnitelmiin sisällytettiin useita yhteistä etua koskeviin tärkeisiin hankkeisiin liittyviä toimenpiteitä ja REPowerEU-lukuihin rajatylittäviä toimenpiteitä, tukivälineen kansalliset hallintoviranomaiset eivät ole riittävästi edistäneet rajatylittävää yhteistyötä; </w:t>
            </w:r>
            <w:r>
              <w:rPr>
                <w:b/>
                <w:i/>
              </w:rPr>
              <w:t>panee merkille elpymis- ja palautumistukivälineen väliarvioinnin havainnon, että 25–33 prosenttia sen kokonaisvaikutuksesta BKT:hen aiheutui ulkoisvaikutuksista jäsenvaltioiden välillä;</w:t>
            </w:r>
            <w:r>
              <w:t xml:space="preserve"> </w:t>
            </w:r>
            <w:r>
              <w:rPr>
                <w:b/>
                <w:i/>
              </w:rPr>
              <w:t>panee merkille, että kansalliset elpymis- ja palautumissuunnitelmat sisältävät rajatylittäviä hankkeita, erityisesti energia-, vety- ja mikroelektroniikkahankkeita, jotka vahvistavat sisämarkkinoita ja lieventävät taloudellisia eroja;</w:t>
            </w:r>
            <w:r>
              <w:t xml:space="preserve"> </w:t>
            </w:r>
            <w:r>
              <w:rPr>
                <w:b/>
                <w:i/>
              </w:rPr>
              <w:t>panee merkille, että REPowerEU-suunnitelma on tehostanut EU:n energia-alan häiriönsietokykyä, tukenut yhteyksien laajentamista ja uusiutuvien energialähteiden integrointia jäsenvaltioissa;</w:t>
            </w:r>
            <w:r>
              <w:t xml:space="preserve"> </w:t>
            </w:r>
            <w:r>
              <w:rPr>
                <w:b/>
                <w:i/>
              </w:rPr>
              <w:t>on joka tapauksessa</w:t>
            </w:r>
            <w:r>
              <w:t xml:space="preserve"> vahvasti sitä mieltä, että EU:n rahoitus pitäisi kytkeä paremmin yhteisten unionin tavoitteiden saavuttamiseen ja sen pitäisi tuottaa EU:n lisäarvoa;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180.</w:t>
            </w:r>
            <w:r>
              <w:tab/>
            </w:r>
            <w:r>
              <w:t xml:space="preserve">painottaa, että 10. lokakuuta 2024 julkaistussa elpymis- ja palautumistukivälineen täytäntöönpanoa koskevassa komission vuosikertomuksessa otettiin esille jäsenvaltioiden alue- ja paikallisviranomaisten, kansalaisyhteiskunnan organisaatioiden, työmarkkinaosapuolten ja muiden asiaan liittyvien sidosryhmien riittämätön osallistuminen kansallisten elpymis- ja palautumissuunnitelmien valmisteluun ja täytäntöönpanoon; kehottaa </w:t>
            </w:r>
            <w:r>
              <w:rPr>
                <w:b/>
                <w:i/>
              </w:rPr>
              <w:t>ottamaan ne tiiviisti mukaan kansallisten</w:t>
            </w:r>
            <w:r>
              <w:t xml:space="preserve"> elpymis- ja palautumissuunnitelmien täytäntöönpanoon </w:t>
            </w:r>
            <w:r>
              <w:rPr>
                <w:b/>
                <w:i/>
              </w:rPr>
              <w:t>paikan päällä</w:t>
            </w:r>
            <w:r>
              <w:t>;</w:t>
            </w:r>
          </w:p>
        </w:tc>
        <w:tc>
          <w:tcPr>
            <w:tcW w:w="4876" w:type="dxa"/>
            <w:tcBorders>
              <w:top w:val="nil"/>
              <w:left w:val="nil"/>
              <w:bottom w:val="nil"/>
              <w:right w:val="nil"/>
            </w:tcBorders>
          </w:tcPr>
          <w:p>
            <w:pPr>
              <w:pStyle w:val="Normal6a"/>
            </w:pPr>
            <w:r>
              <w:t>180.</w:t>
            </w:r>
            <w:r>
              <w:tab/>
            </w:r>
            <w:r>
              <w:t xml:space="preserve">painottaa, että 10. lokakuuta 2024 julkaistussa elpymis- ja palautumistukivälineen täytäntöönpanoa koskevassa komission vuosikertomuksessa otettiin esille jäsenvaltioiden alue- ja paikallisviranomaisten, kansalaisyhteiskunnan organisaatioiden, työmarkkinaosapuolten ja muiden asiaan liittyvien sidosryhmien riittämätön osallistuminen kansallisten elpymis- ja palautumissuunnitelmien valmisteluun ja täytäntöönpanoon; kehottaa </w:t>
            </w:r>
            <w:r>
              <w:rPr>
                <w:b/>
                <w:i/>
              </w:rPr>
              <w:t>komissiota varmistamaan, että kansalliset viranomaiset osallistuvat merkityksellisesti paikallisten yhteisöjen, työntekijäjärjestöjen ja ympäristöjärjestöjen kanssa</w:t>
            </w:r>
            <w:r>
              <w:t xml:space="preserve"> elpymis- ja palautumissuunnitelmien täytäntöönpanoon </w:t>
            </w:r>
            <w:r>
              <w:rPr>
                <w:b/>
                <w:i/>
              </w:rPr>
              <w:t>vahvistaakseen yhteiskunnallista ja taloudellista vaikutustaan mahdollisimman paljon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181 a.</w:t>
            </w:r>
            <w:r>
              <w:tab/>
            </w:r>
            <w:r>
              <w:rPr>
                <w:b/>
                <w:i/>
              </w:rPr>
              <w:t>on huolestunut siitä, että unionin velka nousee edelleen ja suuri osa tästä lisäyksestä johtuu väliaikaisesta Next Generation EU-välineestä;</w:t>
            </w:r>
            <w:r>
              <w:t xml:space="preserve"> </w:t>
            </w:r>
            <w:r>
              <w:rPr>
                <w:b/>
                <w:i/>
              </w:rPr>
              <w:t>on huolissaan siitä, että kasvaneella velalla ja siihen liittyvillä korkeammilla korkokustannuksilla on pitkän aikavälin vaikutuksia EU:n julkisen talouden vakauteen, sillä se voi mahdollisesti lisätä taloudellista rasitetta ja heikentää valmiuksia vastata tuleviin haasteisiin tai investoida keskeisiin strategisiin aloihin;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181 a.</w:t>
            </w:r>
            <w:r>
              <w:tab/>
            </w:r>
            <w:r>
              <w:rPr>
                <w:b/>
                <w:i/>
              </w:rPr>
              <w:t>pitää valitettavana, että välitavoitteiden, tavoitteiden ja todellisuudessa täytäntöönpantujen hankkeiden välillä ei ole selkeää yhteistä teemaa;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181 b.</w:t>
            </w:r>
            <w:r>
              <w:tab/>
            </w:r>
            <w:r>
              <w:rPr>
                <w:b/>
                <w:i/>
              </w:rPr>
              <w:t>pitää valitettavana ajallista viivettä kansallisten elpymis- ja palautumissuunnitelmien laatimisen, välitavoitteiden ja tavoitteiden saavuttamisen ja hankkeiden todellisen täytäntöönpanon välillä;</w:t>
            </w:r>
            <w:r>
              <w:t xml:space="preserve"> </w:t>
            </w:r>
            <w:r>
              <w:rPr>
                <w:b/>
                <w:i/>
              </w:rPr>
              <w:t>panee merkille, että tämä johtaa usein siihen, että hankkeet eivät kyseisessä tilanteessa ole enää yhtä soveltuvia tai merkityksellisiä;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181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181 c.</w:t>
            </w:r>
            <w:r>
              <w:tab/>
            </w:r>
            <w:r>
              <w:rPr>
                <w:b/>
                <w:i/>
              </w:rPr>
              <w:t>pitää valitettavana, että elpymis- ja palautumistukiväline ei ole riittävän joustava vastatakseen kehittyviin kriiseihin ripeästi;</w:t>
            </w:r>
            <w:r>
              <w:t xml:space="preserve"> </w:t>
            </w:r>
            <w:r>
              <w:rPr>
                <w:b/>
                <w:i/>
              </w:rPr>
              <w:t>esimerkkinä tästä ovat luonnonkatastrofit, kuten Kreikan tulipalot kesällä 2023 tai Espanjan vakavat tulvat vuonna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182.</w:t>
            </w:r>
            <w:r>
              <w:tab/>
            </w:r>
            <w:r>
              <w:t>palauttaa mieliin, että vaikka jäsenvaltiot eivät ole velvollisia julkaisemaan kaikkia tietoja lopullisista saajista, elpymis- ja palautumistukivälinettä koskevan asetuksen muuttamisesta annetussa Euroopan parlamentin ja neuvoston asetuksessa (EU) 2023/435</w:t>
            </w:r>
            <w:r>
              <w:rPr>
                <w:vertAlign w:val="superscript"/>
              </w:rPr>
              <w:t>14</w:t>
            </w:r>
            <w:r>
              <w:t>jäsenvaltioita vaaditaan julkaisemaan tiedot sadasta lopullisesta saajasta, jotka saavat eniten rahoitusta elpymis- ja palautumistukivälineestä; on ilahtunut siitä, että komissio julkaisi 10. lokakuuta 2024 osana elpymis- ja palautumistukivälinettä koskevaa vuoden 2024 vuosikertomusta erillisen liitteen selventääkseen lopullisten saajien käsitettä elpymis- ja palautumistukivälinettä koskevassa asetuksessa ja sataa eniten rahoitusta saavaa lopullista saajaa koskevien tietojen julkaisemisen laajuutta; ilmaisee huolensa siitä, miten komissio tulkitsee elpymis- ja palautumistukivälineen mukaista ”lopullisen saajan” käsitettä, sillä lopulliset saajat luetellaan usein vain ministeriön tasolla, kuvaukset ovat epämääräisiä ja monet esimerkit ovat lähes kaikilla jäsenvaltioiden toimittamilla listoilla; toistaa vaatimuksensa siitä, että sadan eniten rahoitusta saavan lopullisen saajan luettelossa esitetään tosiasiallinen luonnollinen henkilö tai yhteisö, joka on viimeisenä lenkkinä rahansiirtoketjussa; on huolissaan siitä, että muutoin on ongelmallista mitata elpymis- ja palautumistukivälineen varojen vaikutusta ja taata näkyvyys kansalaisille;</w:t>
            </w:r>
          </w:p>
        </w:tc>
        <w:tc>
          <w:tcPr>
            <w:tcW w:w="4876" w:type="dxa"/>
            <w:tcBorders>
              <w:top w:val="nil"/>
              <w:left w:val="nil"/>
              <w:bottom w:val="nil"/>
              <w:right w:val="nil"/>
            </w:tcBorders>
          </w:tcPr>
          <w:p>
            <w:pPr>
              <w:pStyle w:val="Normal6a"/>
            </w:pPr>
            <w:r>
              <w:t>182.</w:t>
            </w:r>
            <w:r>
              <w:tab/>
            </w:r>
            <w:r>
              <w:t>palauttaa mieliin, että vaikka jäsenvaltiot eivät ole velvollisia julkaisemaan kaikkia tietoja lopullisista saajista, elpymis- ja palautumistukivälinettä koskevan asetuksen muuttamisesta annetussa Euroopan parlamentin ja neuvoston asetuksessa (EU) 2023/435</w:t>
            </w:r>
            <w:r>
              <w:rPr>
                <w:vertAlign w:val="superscript"/>
              </w:rPr>
              <w:t>14</w:t>
            </w:r>
            <w:r>
              <w:rPr>
                <w:b/>
                <w:i/>
              </w:rPr>
              <w:t> </w:t>
            </w:r>
            <w:r>
              <w:t>jäsenvaltioita vaaditaan julkaisemaan tiedot sadasta lopullisesta saajasta, jotka saavat eniten rahoitusta elpymis- ja palautumistukivälineestä; on ilahtunut siitä, että komissio julkaisi 10. lokakuuta 2024 osana elpymis- ja palautumistukivälinettä koskevaa vuoden 2024 vuosikertomusta erillisen liitteen selventääkseen lopullisten saajien käsitettä elpymis- ja palautumistukivälinettä koskevassa asetuksessa ja sataa eniten rahoitusta saavaa lopullista saajaa koskevien tietojen julkaisemisen laajuutta; ilmaisee huolensa siitä, miten komissio tulkitsee elpymis- ja palautumistukivälineen mukaista ”lopullisen saajan” käsitettä, sillä lopulliset saajat luetellaan usein vain ministeriön tasolla, kuvaukset ovat epämääräisiä ja monet esimerkit ovat lähes kaikilla jäsenvaltioiden toimittamilla listoilla; toistaa vaatimuksensa siitä, että sadan eniten rahoitusta saavan lopullisen saajan luettelossa esitetään tosiasiallinen luonnollinen henkilö tai yhteisö, joka on viimeisenä lenkkinä rahansiirtoketjussa</w:t>
            </w:r>
            <w:r>
              <w:rPr>
                <w:b/>
                <w:i/>
              </w:rPr>
              <w:t>, ja luettelo julkaistaan yleisesti saatavilla olevassa tietokannassa, jotta vastuuvelvollisuutta voi parantaa ja mahdollistetaan riippumaton valvonta</w:t>
            </w:r>
            <w:r>
              <w:t xml:space="preserve">; on huolissaan siitä, että muutoin on ongelmallista mitata elpymis- ja palautumistukivälineen varojen vaikutusta ja taata näkyvyys kansalaisille; </w:t>
            </w:r>
            <w:r>
              <w:rPr>
                <w:b/>
                <w:i/>
              </w:rPr>
              <w:t>korostaa, että jos komissio kieltäytyy edelleen varmistamasta täyttä avoimuutta, parlamentin on harkittava kaikkia käytössään olevia keinoja, jotta sääntöjen noudattamisen täytäntöönpano onnistuu, mukaan lukien oikeustoimet, jotta voidaan välttää samanlaisten tulkintojen tekemiseltä muun rahoitusalan sääntelyn avoimuussäännöksiin, esimerkiksi Ukrainan tukivälineeseen;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Euroopan parlamentin ja neuvoston asetus (EU) 2023/435, annettu 27. helmikuuta 2023, asetuksen (EU) 2021/241 muuttamisesta elpymis- ja palautumissuunnitelmien REPowerEU-lukujen osalta sekä asetusten (EU) 1303/2013, (EU) 2021/1060 ja (EU) 2021/1755 ja direktiivin 2003/87/EY muuttamisesta (EUVL L 63, 28.2.2023, s. 1; ELI: http://data.europa.eu/eli/reg/2023/435/oj).</w:t>
            </w:r>
          </w:p>
        </w:tc>
        <w:tc>
          <w:tcPr>
            <w:tcW w:w="4876" w:type="dxa"/>
            <w:tcBorders>
              <w:top w:val="nil"/>
              <w:left w:val="nil"/>
              <w:bottom w:val="nil"/>
              <w:right w:val="nil"/>
            </w:tcBorders>
          </w:tcPr>
          <w:p>
            <w:pPr>
              <w:pStyle w:val="Normal6a"/>
            </w:pPr>
            <w:r>
              <w:rPr>
                <w:vertAlign w:val="superscript"/>
              </w:rPr>
              <w:t>14</w:t>
            </w:r>
            <w:r>
              <w:t xml:space="preserve"> </w:t>
            </w:r>
            <w:r>
              <w:t>Euroopan parlamentin ja neuvoston asetus (EU) 2023/435, annettu 27. helmikuuta 2023, asetuksen (EU) 2021/241 muuttamisesta elpymis- ja palautumissuunnitelmien REPowerEU-lukujen osalta sekä asetusten (EU) 1303/2013, (EU) 2021/1060 ja (EU) 2021/1755 ja direktiivin 2003/87/EY muuttamisesta (EUVL L 63, 28.2.2023, s. 1; ELI: http://data.europa.eu/eli/reg/2023/435/oj).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182.</w:t>
            </w:r>
            <w:r>
              <w:tab/>
            </w:r>
            <w:r>
              <w:t>palauttaa mieliin, että vaikka jäsenvaltiot eivät ole velvollisia julkaisemaan kaikkia tietoja lopullisista saajista, elpymis- ja palautumistukivälinettä koskevan asetuksen muuttamisesta annetussa Euroopan parlamentin ja neuvoston asetuksessa (EU) 2023/435</w:t>
            </w:r>
            <w:r>
              <w:rPr>
                <w:vertAlign w:val="superscript"/>
              </w:rPr>
              <w:t>14</w:t>
            </w:r>
            <w:r>
              <w:t>jäsenvaltioita vaaditaan julkaisemaan tiedot sadasta lopullisesta saajasta, jotka saavat eniten rahoitusta elpymis- ja palautumistukivälineestä; on ilahtunut siitä, että komissio julkaisi 10. lokakuuta 2024 osana elpymis- ja palautumistukivälinettä koskevaa vuoden 2024 vuosikertomusta erillisen liitteen selventääkseen lopullisten saajien käsitettä elpymis- ja palautumistukivälinettä koskevassa asetuksessa ja sataa eniten rahoitusta saavaa lopullista saajaa koskevien tietojen julkaisemisen laajuutta; ilmaisee huolensa siitä, miten komissio tulkitsee elpymis- ja palautumistukivälineen mukaista ”lopullisen saajan” käsitettä, sillä lopulliset saajat luetellaan usein vain ministeriön tasolla, kuvaukset ovat epämääräisiä ja monet esimerkit ovat lähes kaikilla jäsenvaltioiden toimittamilla listoilla; toistaa vaatimuksensa siitä, että sadan eniten rahoitusta saavan lopullisen saajan luettelossa esitetään tosiasiallinen luonnollinen henkilö tai yhteisö, joka on viimeisenä lenkkinä rahansiirtoketjussa; on huolissaan siitä, että muutoin on ongelmallista mitata elpymis- ja palautumistukivälineen varojen vaikutusta ja taata näkyvyys kansalaisille;</w:t>
            </w:r>
          </w:p>
        </w:tc>
        <w:tc>
          <w:tcPr>
            <w:tcW w:w="4876" w:type="dxa"/>
            <w:tcBorders>
              <w:top w:val="nil"/>
              <w:left w:val="nil"/>
              <w:bottom w:val="nil"/>
              <w:right w:val="nil"/>
            </w:tcBorders>
          </w:tcPr>
          <w:p>
            <w:pPr>
              <w:pStyle w:val="Normal6a"/>
            </w:pPr>
            <w:r>
              <w:t>182.</w:t>
            </w:r>
            <w:r>
              <w:tab/>
            </w:r>
            <w:r>
              <w:t>palauttaa mieliin, että vaikka jäsenvaltiot eivät ole velvollisia julkaisemaan kaikkia tietoja lopullisista saajista, elpymis- ja palautumistukivälinettä koskevan asetuksen muuttamisesta annetussa Euroopan parlamentin ja neuvoston asetuksessa (EU) 2023/435</w:t>
            </w:r>
            <w:r>
              <w:rPr>
                <w:vertAlign w:val="superscript"/>
              </w:rPr>
              <w:t>14</w:t>
            </w:r>
            <w:r>
              <w:rPr>
                <w:b/>
                <w:i/>
              </w:rPr>
              <w:t> </w:t>
            </w:r>
            <w:r>
              <w:t xml:space="preserve">jäsenvaltioita vaaditaan julkaisemaan tiedot sadasta lopullisesta saajasta, jotka saavat eniten rahoitusta elpymis- ja palautumistukivälineestä; on ilahtunut siitä, että komissio julkaisi 10. lokakuuta 2024 osana elpymis- ja palautumistukivälinettä koskevaa vuoden 2024 vuosikertomusta erillisen liitteen selventääkseen lopullisten saajien käsitettä elpymis- ja palautumistukivälinettä koskevassa asetuksessa ja sataa eniten rahoitusta saavaa lopullista saajaa koskevien tietojen julkaisemisen laajuutta; ilmaisee huolensa siitä, miten komissio tulkitsee elpymis- ja palautumistukivälineen mukaista ”lopullisen saajan” käsitettä, sillä lopulliset saajat luetellaan usein vain ministeriön tasolla, kuvaukset ovat epämääräisiä ja monet esimerkit ovat lähes kaikilla jäsenvaltioiden toimittamilla listoilla; toistaa vaatimuksensa siitä, että sadan eniten rahoitusta saavan lopullisen saajan luettelossa esitetään tosiasiallinen luonnollinen henkilö tai yhteisö, joka on viimeisenä lenkkinä rahansiirtoketjussa </w:t>
            </w:r>
            <w:r>
              <w:rPr>
                <w:b/>
                <w:i/>
              </w:rPr>
              <w:t>samalla kunnioittaen EU:n tietosuojalainsäädännön oikeudellista kehystä</w:t>
            </w:r>
            <w:r>
              <w:t>; on huolissaan siitä, että muutoin on ongelmallista mitata elpymis- ja palautumistukivälineen varojen vaikutusta ja taata näkyvyys kansalaisille</w:t>
            </w:r>
            <w:r>
              <w:rPr>
                <w:b/>
                <w:i/>
              </w:rPr>
              <w:t>, vaikka ottaa tässä yhteydessä huomioon myös kaikki tulostaululla ja suunnitelmakartalla julkaistut tiedot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Euroopan parlamentin ja neuvoston asetus (EU) 2023/435, annettu 27. helmikuuta 2023, asetuksen (EU) 2021/241 muuttamisesta elpymis- ja palautumissuunnitelmien REPowerEU-lukujen osalta sekä asetusten (EU) 1303/2013, (EU) 2021/1060 ja (EU) 2021/1755 ja direktiivin 2003/87/EY muuttamisesta (EUVL L 63, 28.2.2023, s. 1; ELI: http://data.europa.eu/eli/reg/2023/435/oj).</w:t>
            </w:r>
          </w:p>
        </w:tc>
        <w:tc>
          <w:tcPr>
            <w:tcW w:w="4876" w:type="dxa"/>
            <w:tcBorders>
              <w:top w:val="nil"/>
              <w:left w:val="nil"/>
              <w:bottom w:val="nil"/>
              <w:right w:val="nil"/>
            </w:tcBorders>
          </w:tcPr>
          <w:p>
            <w:pPr>
              <w:pStyle w:val="Normal6a"/>
            </w:pPr>
            <w:r>
              <w:rPr>
                <w:vertAlign w:val="superscript"/>
              </w:rPr>
              <w:t>14</w:t>
            </w:r>
            <w:r>
              <w:t xml:space="preserve"> </w:t>
            </w:r>
            <w:r>
              <w:t>Euroopan parlamentin ja neuvoston asetus (EU) 2023/435, annettu 27. helmikuuta 2023, asetuksen (EU) 2021/241 muuttamisesta elpymis- ja palautumissuunnitelmien REPowerEU-lukujen osalta sekä asetusten (EU) 1303/2013, (EU) 2021/1060 ja (EU) 2021/1755 ja direktiivin 2003/87/EY muuttamisesta (EUVL L 63, 28.2.2023, s. 1; ELI: http://data.europa.eu/eli/reg/2023/435/oj).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182.</w:t>
            </w:r>
            <w:r>
              <w:tab/>
            </w:r>
            <w:r>
              <w:t>palauttaa mieliin, että vaikka jäsenvaltiot eivät ole velvollisia julkaisemaan kaikkia tietoja lopullisista saajista, elpymis- ja palautumistukivälinettä koskevan asetuksen muuttamisesta annetussa Euroopan parlamentin ja neuvoston asetuksessa (EU) 2023/435</w:t>
            </w:r>
            <w:r>
              <w:rPr>
                <w:vertAlign w:val="superscript"/>
              </w:rPr>
              <w:t>14</w:t>
            </w:r>
            <w:r>
              <w:t>jäsenvaltioita vaaditaan julkaisemaan tiedot sadasta lopullisesta saajasta, jotka saavat eniten rahoitusta elpymis- ja palautumistukivälineestä; on ilahtunut siitä, että komissio julkaisi 10. lokakuuta 2024 osana elpymis- ja palautumistukivälinettä koskevaa vuoden 2024 vuosikertomusta erillisen liitteen selventääkseen lopullisten saajien käsitettä elpymis- ja palautumistukivälinettä koskevassa asetuksessa ja sataa eniten rahoitusta saavaa lopullista saajaa koskevien tietojen julkaisemisen laajuutta; ilmaisee huolensa siitä, miten komissio tulkitsee elpymis- ja palautumistukivälineen mukaista ”lopullisen saajan” käsitettä, sillä lopulliset saajat luetellaan usein vain ministeriön tasolla, kuvaukset ovat epämääräisiä ja monet esimerkit ovat lähes kaikilla jäsenvaltioiden toimittamilla listoilla; toistaa vaatimuksensa siitä, että sadan eniten rahoitusta saavan lopullisen saajan luettelossa esitetään tosiasiallinen luonnollinen henkilö tai yhteisö, joka on viimeisenä lenkkinä rahansiirtoketjussa; on huolissaan siitä, että muutoin on ongelmallista mitata elpymis- ja palautumistukivälineen varojen vaikutusta ja taata näkyvyys kansalaisille;</w:t>
            </w:r>
          </w:p>
        </w:tc>
        <w:tc>
          <w:tcPr>
            <w:tcW w:w="4876" w:type="dxa"/>
            <w:tcBorders>
              <w:top w:val="nil"/>
              <w:left w:val="nil"/>
              <w:bottom w:val="nil"/>
              <w:right w:val="nil"/>
            </w:tcBorders>
          </w:tcPr>
          <w:p>
            <w:pPr>
              <w:pStyle w:val="Normal6a"/>
            </w:pPr>
            <w:r>
              <w:t>182.</w:t>
            </w:r>
            <w:r>
              <w:tab/>
            </w:r>
            <w:r>
              <w:t>palauttaa mieliin, että vaikka jäsenvaltiot eivät ole velvollisia julkaisemaan kaikkia tietoja lopullisista saajista, elpymis- ja palautumistukivälinettä koskevan asetuksen muuttamisesta annetussa Euroopan parlamentin ja neuvoston asetuksessa (EU) 2023/435</w:t>
            </w:r>
            <w:r>
              <w:rPr>
                <w:vertAlign w:val="superscript"/>
              </w:rPr>
              <w:t>14</w:t>
            </w:r>
            <w:r>
              <w:rPr>
                <w:b/>
                <w:i/>
              </w:rPr>
              <w:t> </w:t>
            </w:r>
            <w:r>
              <w:t xml:space="preserve">jäsenvaltioita vaaditaan julkaisemaan tiedot sadasta lopullisesta saajasta, jotka saavat eniten rahoitusta elpymis- ja palautumistukivälineestä; on ilahtunut siitä, että komissio julkaisi 10. lokakuuta 2024 osana elpymis- ja palautumistukivälinettä koskevaa vuoden 2024 vuosikertomusta erillisen liitteen selventääkseen lopullisten saajien käsitettä elpymis- ja palautumistukivälinettä koskevassa asetuksessa ja sataa eniten rahoitusta saavaa lopullista saajaa koskevien tietojen julkaisemisen laajuutta; ilmaisee </w:t>
            </w:r>
            <w:r>
              <w:rPr>
                <w:b/>
                <w:i/>
              </w:rPr>
              <w:t>syvän</w:t>
            </w:r>
            <w:r>
              <w:t xml:space="preserve"> huolensa siitä, miten komissio tulkitsee elpymis- ja palautumistukivälineen mukaista ”lopullisen saajan” käsitettä, sillä lopulliset saajat luetellaan usein vain ministeriön tasolla, kuvaukset ovat epämääräisiä ja monet esimerkit ovat lähes kaikilla jäsenvaltioiden toimittamilla listoilla; toistaa vaatimuksensa siitä, että sadan eniten rahoitusta saavan lopullisen saajan luettelossa esitetään tosiasiallinen luonnollinen henkilö tai yhteisö, joka on viimeisenä lenkkinä rahansiirtoketjussa; on huolissaan siitä, että muutoin on ongelmallista mitata elpymis- ja palautumistukivälineen varojen vaikutusta ja taata näkyvyys kansalaisille;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Euroopan parlamentin ja neuvoston asetus (EU) 2023/435, annettu 27. helmikuuta 2023, asetuksen (EU) 2021/241 muuttamisesta elpymis- ja palautumissuunnitelmien REPowerEU-lukujen osalta sekä asetusten (EU) 1303/2013, (EU) 2021/1060 ja (EU) 2021/1755 ja direktiivin 2003/87/EY muuttamisesta (EUVL L 63, 28.2.2023, s. 1; ELI: http://data.europa.eu/eli/reg/2023/435/oj).</w:t>
            </w:r>
          </w:p>
        </w:tc>
        <w:tc>
          <w:tcPr>
            <w:tcW w:w="4876" w:type="dxa"/>
            <w:tcBorders>
              <w:top w:val="nil"/>
              <w:left w:val="nil"/>
              <w:bottom w:val="nil"/>
              <w:right w:val="nil"/>
            </w:tcBorders>
          </w:tcPr>
          <w:p>
            <w:pPr>
              <w:pStyle w:val="Normal6a"/>
            </w:pPr>
            <w:r>
              <w:rPr>
                <w:vertAlign w:val="superscript"/>
              </w:rPr>
              <w:t>14</w:t>
            </w:r>
            <w:r>
              <w:t xml:space="preserve"> </w:t>
            </w:r>
            <w:r>
              <w:t>Euroopan parlamentin ja neuvoston asetus (EU) 2023/435, annettu 27. helmikuuta 2023, asetuksen (EU) 2021/241 muuttamisesta elpymis- ja palautumissuunnitelmien REPowerEU-lukujen osalta sekä asetusten (EU) 1303/2013, (EU) 2021/1060 ja (EU) 2021/1755 ja direktiivin 2003/87/EY muuttamisesta (EUVL L 63, 28.2.2023, s. 1; ELI: http://data.europa.eu/eli/reg/2023/435/oj).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182 a.</w:t>
            </w:r>
            <w:r>
              <w:tab/>
            </w:r>
            <w:r>
              <w:rPr>
                <w:b/>
                <w:i/>
              </w:rPr>
              <w:t>panee merkille, että mahdottomuus varmistaa elpymis- ja palautumistukivälineen rahoituksen lopullisia edunsaajia on vakava riski EU:n varojen avoimuudelle ja jäljitettävyydelle ja siten EU:n taloudellisten etujen suojelulle;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183 a.</w:t>
            </w:r>
            <w:r>
              <w:tab/>
            </w:r>
            <w:r>
              <w:rPr>
                <w:b/>
                <w:i/>
              </w:rPr>
              <w:t>pitää tuomittavana, että komission arvio elpymis- ja palautumistukivälineen välitavoitteiden saavuttamisesta ei ole avoin vaan pikemminkin poliittinen, eikä se sisällä puolueettomia ja selkeitä standardeja ja määräaikoja;</w:t>
            </w:r>
            <w:r>
              <w:t xml:space="preserve"> </w:t>
            </w:r>
            <w:r>
              <w:rPr>
                <w:b/>
                <w:i/>
              </w:rPr>
              <w:t>muistuttaa tässä yhteydessä komission harkintavallasta;</w:t>
            </w:r>
            <w:r>
              <w:t xml:space="preserve"> </w:t>
            </w:r>
            <w:r>
              <w:rPr>
                <w:b/>
                <w:i/>
              </w:rPr>
              <w:t>pitää valitettavana, että tämän seurauksena keskeisiä välitavoitteita on mahdollista käyttää poliittisina kiristysvälineinä;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186.</w:t>
            </w:r>
            <w:r>
              <w:tab/>
            </w:r>
            <w:r>
              <w:t xml:space="preserve">kehottaa komissiota </w:t>
            </w:r>
            <w:r>
              <w:rPr>
                <w:b/>
                <w:i/>
              </w:rPr>
              <w:t>torjumaan kaikki</w:t>
            </w:r>
            <w:r>
              <w:t xml:space="preserve"> elpymis- ja palautumissuunnitelmien </w:t>
            </w:r>
            <w:r>
              <w:rPr>
                <w:b/>
                <w:i/>
              </w:rPr>
              <w:t>tarkistamispyynnöt, joilla</w:t>
            </w:r>
            <w:r>
              <w:t xml:space="preserve"> alennettaisiin suunnitelman yleistä tavoitetasoa tai poistettaisiin suunnitelmista merkittäviä rakenneuudistuksia, ja priorisoimaan suunnitelmissa maakohtaisiin suosituksiin liittyvien toimenpiteiden loppuunsaattamisen; kehottaa lisäksi komissiota tehostamaan teknistä apuaan jäsenvaltioille, jotka ovat jääneet muista jälkeen elpymis- ja palautumistukivälineen täytäntöönpanossa;</w:t>
            </w:r>
          </w:p>
        </w:tc>
        <w:tc>
          <w:tcPr>
            <w:tcW w:w="4876" w:type="dxa"/>
            <w:tcBorders>
              <w:top w:val="nil"/>
              <w:left w:val="nil"/>
              <w:bottom w:val="nil"/>
              <w:right w:val="nil"/>
            </w:tcBorders>
          </w:tcPr>
          <w:p>
            <w:pPr>
              <w:pStyle w:val="Normal6a"/>
            </w:pPr>
            <w:r>
              <w:t>186.</w:t>
            </w:r>
            <w:r>
              <w:tab/>
            </w:r>
            <w:r>
              <w:t xml:space="preserve">kehottaa komissiota </w:t>
            </w:r>
            <w:r>
              <w:rPr>
                <w:b/>
                <w:i/>
              </w:rPr>
              <w:t>harkitsemaan tarkkaan kaikkien</w:t>
            </w:r>
            <w:r>
              <w:t xml:space="preserve"> elpymis- ja palautumissuunnitelmien </w:t>
            </w:r>
            <w:r>
              <w:rPr>
                <w:b/>
                <w:i/>
              </w:rPr>
              <w:t>tarkistamispyyntöjen hyväksymistä, jos niillä</w:t>
            </w:r>
            <w:r>
              <w:t xml:space="preserve"> alennettaisiin suunnitelman yleistä tavoitetasoa tai poistettaisiin suunnitelmista merkittäviä rakenneuudistuksia, ja priorisoimaan suunnitelmissa maakohtaisiin suosituksiin liittyvien toimenpiteiden loppuunsaattamisen; kehottaa lisäksi komissiota tehostamaan teknistä apuaan jäsenvaltioille, jotka ovat jääneet muista jälkeen elpymis- ja palautumistukivälineen täytäntöönpanossa;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187 a.</w:t>
            </w:r>
            <w:r>
              <w:tab/>
            </w:r>
            <w:r>
              <w:rPr>
                <w:b/>
                <w:i/>
              </w:rPr>
              <w:t>pyytää komissiota antamaan uuden elpymis- ja palautumistukivälineen raportointivälineen FENIXin kaikilta osin mahdollisimman pian tilintarkastustuomioistuimen käyttöön;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tasapainottamaan tarkastus- ja valvontavaatimukset huolellisesti tulevista tuloksellisuuteen perustuvista välineistä jäsenvaltioille ja tuensaajille aiheutuvan hallinnolliseen rasitteen kanssa;</w:t>
            </w:r>
          </w:p>
        </w:tc>
        <w:tc>
          <w:tcPr>
            <w:tcW w:w="4876" w:type="dxa"/>
            <w:tcBorders>
              <w:top w:val="nil"/>
              <w:left w:val="nil"/>
              <w:bottom w:val="nil"/>
              <w:right w:val="nil"/>
            </w:tcBorders>
          </w:tcPr>
          <w:p>
            <w:pPr>
              <w:pStyle w:val="Normal6a"/>
            </w:pPr>
            <w:r>
              <w:t>i)</w:t>
            </w:r>
            <w:r>
              <w:tab/>
            </w:r>
            <w:r>
              <w:t>tasapainottamaan tarkastus- ja valvontavaatimukset huolellisesti tulevista tuloksellisuuteen perustuvista välineistä jäsenvaltioille ja tuensaajille aiheutuvan hallinnolliseen rasitteen kanssa</w:t>
            </w:r>
            <w:r>
              <w:rPr>
                <w:b/>
                <w:i/>
              </w:rPr>
              <w:t>, mutta ylläpitämään riittävän valvonta- ja tarkastustason, joka varmistaa unionin taloudellisten etujen riittävän suojan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iv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a)</w:t>
            </w:r>
            <w:r>
              <w:tab/>
            </w:r>
            <w:r>
              <w:rPr>
                <w:b/>
                <w:i/>
              </w:rPr>
              <w:t>järjestelmällisesti kirjaamaan kaikki sääntöjenvastaisuudet ja petokset, jotka vaikuttavat elpymis- ja palautumistukivälineen varoihin, ja seuraamaan niitä;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v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t>soveltamaan johdonmukaisesti ja tarkasti ”lopullisiin saajiin” liittyviä elpymis- ja palautumistukivälinettä koskevan asetuksen säännöksiä tarkistamalla elpymis- ja palautumissuunnitelmia koskevaa ohjeistusta REPowerEU-suunnitelman yhteydessä ja viestimään jäsenvaltioiden kanssa ”lopullisten saajien” määritelmän asianmukaisesta soveltamisesta;</w:t>
            </w:r>
          </w:p>
        </w:tc>
        <w:tc>
          <w:tcPr>
            <w:tcW w:w="4876" w:type="dxa"/>
            <w:tcBorders>
              <w:top w:val="nil"/>
              <w:left w:val="nil"/>
              <w:bottom w:val="nil"/>
              <w:right w:val="nil"/>
            </w:tcBorders>
          </w:tcPr>
          <w:p>
            <w:pPr>
              <w:pStyle w:val="Normal6a"/>
            </w:pPr>
            <w:r>
              <w:t>v)</w:t>
            </w:r>
            <w:r>
              <w:tab/>
            </w:r>
            <w:r>
              <w:t xml:space="preserve">soveltamaan johdonmukaisesti ja tarkasti ”lopullisiin saajiin” liittyviä elpymis- ja palautumistukivälinettä koskevan asetuksen säännöksiä tarkistamalla elpymis- ja palautumissuunnitelmia koskevaa ohjeistusta REPowerEU-suunnitelman yhteydessä ja viestimään jäsenvaltioiden kanssa ”lopullisten saajien” määritelmän asianmukaisesta soveltamisesta; </w:t>
            </w:r>
            <w:r>
              <w:rPr>
                <w:b/>
                <w:i/>
              </w:rPr>
              <w:t>tekemään ehdotuksia, joissa jäsenvaltioita edellytetään julkaisemaan kaikki lopulliset edunsaajat;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vi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virtaviivaistamaan välitavoitteita ja tavoitteita koskevaa valvontaansa ottamalla käyttöön yhtenäisen tarkastustavan, jolloin voitaisiin vähentää hallinnollista rasitetta, vahvistamalla tarkastusvastuut komission ja tilintarkastustuomioistuimen välillä sekä koordinoimalla tarkastusten aikatauluja ja vaatimuksia kaksinkertaisen työn ja päällekkäisen valvonnan ja tarkastuksen välttämiseksi;</w:t>
            </w:r>
          </w:p>
        </w:tc>
        <w:tc>
          <w:tcPr>
            <w:tcW w:w="4876" w:type="dxa"/>
            <w:tcBorders>
              <w:top w:val="nil"/>
              <w:left w:val="nil"/>
              <w:bottom w:val="nil"/>
              <w:right w:val="nil"/>
            </w:tcBorders>
          </w:tcPr>
          <w:p>
            <w:pPr>
              <w:pStyle w:val="Normal6a"/>
            </w:pPr>
            <w:r>
              <w:t>vi)</w:t>
            </w:r>
            <w:r>
              <w:tab/>
            </w:r>
            <w:r>
              <w:t>virtaviivaistamaan välitavoitteita ja tavoitteita koskevaa valvontaansa ottamalla käyttöön yhtenäisen tarkastustavan, jolloin voitaisiin vähentää hallinnollista rasitetta, vahvistamalla tarkastusvastuut komission ja tilintarkastustuomioistuimen välillä sekä koordinoimalla tarkastusten aikatauluja ja vaatimuksia kaksinkertaisen työn ja päällekkäisen valvonnan ja tarkastuksen välttämiseksi</w:t>
            </w:r>
            <w:r>
              <w:rPr>
                <w:b/>
                <w:i/>
              </w:rPr>
              <w:t>, mutta samaan aikaan varmistaen unionin taloudellisten etujen täyden suojan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vii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tukemaan jäsenvaltioita siinä, että tietoteknisistä järjestelmistä saadaan aidosti yhteentoimivia, jotta voidaan helpottaa tehokasta tiedonkeruuta, raportointia ja tietojenvaihtoa eri hallintoyksiköiden/virastojen välillä ja näin minimoida päällekkäisen rahoituksen riskit, aktiivisesti tehdä ristiintarkistuksia asiaan liittyvien tietokantojen välillä sekä viestiä jäsenvaltioiden kanssa niiden hallinnollisista valmiuksista sen varmistamiseksi, ettei päällekkäistä rahoitusta esiinny;</w:t>
            </w:r>
          </w:p>
        </w:tc>
        <w:tc>
          <w:tcPr>
            <w:tcW w:w="4876" w:type="dxa"/>
            <w:tcBorders>
              <w:top w:val="nil"/>
              <w:left w:val="nil"/>
              <w:bottom w:val="nil"/>
              <w:right w:val="nil"/>
            </w:tcBorders>
          </w:tcPr>
          <w:p>
            <w:pPr>
              <w:pStyle w:val="Normal6a"/>
            </w:pPr>
            <w:r>
              <w:t>vii)</w:t>
            </w:r>
            <w:r>
              <w:tab/>
            </w:r>
            <w:r>
              <w:t xml:space="preserve">tukemaan jäsenvaltioita siinä, että tietoteknisistä järjestelmistä saadaan aidosti yhteentoimivia, jotta voidaan helpottaa tehokasta tiedonkeruuta, raportointia ja tietojenvaihtoa eri hallintoyksiköiden/virastojen välillä ja näin minimoida päällekkäisen rahoituksen riskit, aktiivisesti tehdä ristiintarkistuksia asiaan liittyvien tietokantojen välillä sekä viestiä jäsenvaltioiden kanssa niiden hallinnollisista valmiuksista sen varmistamiseksi, ettei päällekkäistä rahoitusta esiinny; </w:t>
            </w:r>
            <w:r>
              <w:rPr>
                <w:b/>
                <w:i/>
              </w:rPr>
              <w:t>panee tässä suhteessa merkille Kroatian ja Italian myönteisinä esimerkkeinä, jotka esiteltiin Euroopan tilintarkastustuomioistuimen EU:n elpymis- ja palautumisrahoituksen avoimuutta ja jäljitettävyyttä käsittelevässä konferenssissa lokakuussa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viii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 xml:space="preserve">tekemään tiiviisti yhteistyötä jäsenvaltioiden kanssa sen varmistamiseksi, että välitavoitteet ja tavoitteet, erityisesti rakenteelliset tai maakohtaisiin suosituksiin liittyvät, pannaan kaikilta osin ja huolellisesti täytäntöön ja että elpymis- ja palautumissuunnitelmien tarkistusta ei hyväksytä, jos siinä alennettaisiin niiden tavoitetasoa tai heikennettäisiin merkittäviä toimenpiteitä; </w:t>
            </w:r>
            <w:r>
              <w:rPr>
                <w:b/>
                <w:i/>
              </w:rPr>
              <w:t>torjumaan kaikenlaisen suunnitelmien tarkistamisen, jossa elpymis- ja palautumissuunnitelmiin ”pakattaisiin uudelleen” suunniteltuja tai olemassa olevia toimenpiteitä;</w:t>
            </w:r>
          </w:p>
        </w:tc>
        <w:tc>
          <w:tcPr>
            <w:tcW w:w="4876" w:type="dxa"/>
            <w:tcBorders>
              <w:top w:val="nil"/>
              <w:left w:val="nil"/>
              <w:bottom w:val="nil"/>
              <w:right w:val="nil"/>
            </w:tcBorders>
          </w:tcPr>
          <w:p>
            <w:pPr>
              <w:pStyle w:val="Normal6a"/>
            </w:pPr>
            <w:r>
              <w:t>viii)</w:t>
            </w:r>
            <w:r>
              <w:tab/>
            </w:r>
            <w:r>
              <w:t>tekemään tiiviisti yhteistyötä jäsenvaltioiden kanssa sen varmistamiseksi, että välitavoitteet ja tavoitteet, erityisesti rakenteelliset tai maakohtaisiin suosituksiin liittyvät, pannaan kaikilta osin ja huolellisesti täytäntöön ja että elpymis- ja palautumissuunnitelmien tarkistusta ei hyväksytä, jos siinä alennettaisiin niiden tavoitetasoa tai heikennettäisiin merkittäviä toimenpiteitä;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viii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 xml:space="preserve">tekemään tiiviisti yhteistyötä jäsenvaltioiden kanssa sen varmistamiseksi, että välitavoitteet ja tavoitteet, erityisesti rakenteelliset tai maakohtaisiin suosituksiin liittyvät, pannaan kaikilta osin ja huolellisesti täytäntöön ja että elpymis- ja palautumissuunnitelmien </w:t>
            </w:r>
            <w:r>
              <w:rPr>
                <w:b/>
                <w:i/>
              </w:rPr>
              <w:t>tarkistusta ei hyväksytä</w:t>
            </w:r>
            <w:r>
              <w:t xml:space="preserve">, jos siinä alennettaisiin niiden tavoitetasoa tai heikennettäisiin merkittäviä toimenpiteitä; </w:t>
            </w:r>
            <w:r>
              <w:rPr>
                <w:b/>
                <w:i/>
              </w:rPr>
              <w:t>torjumaan kaikenlaisen</w:t>
            </w:r>
            <w:r>
              <w:t xml:space="preserve"> suunnitelmien </w:t>
            </w:r>
            <w:r>
              <w:rPr>
                <w:b/>
                <w:i/>
              </w:rPr>
              <w:t>tarkistamisen</w:t>
            </w:r>
            <w:r>
              <w:t>, jossa elpymis- ja palautumissuunnitelmiin ”pakattaisiin uudelleen” suunniteltuja tai olemassa olevia toimenpiteitä;</w:t>
            </w:r>
          </w:p>
        </w:tc>
        <w:tc>
          <w:tcPr>
            <w:tcW w:w="4876" w:type="dxa"/>
            <w:tcBorders>
              <w:top w:val="nil"/>
              <w:left w:val="nil"/>
              <w:bottom w:val="nil"/>
              <w:right w:val="nil"/>
            </w:tcBorders>
          </w:tcPr>
          <w:p>
            <w:pPr>
              <w:pStyle w:val="Normal6a"/>
            </w:pPr>
            <w:r>
              <w:t>viii)</w:t>
            </w:r>
            <w:r>
              <w:tab/>
            </w:r>
            <w:r>
              <w:t xml:space="preserve">tekemään tiiviisti yhteistyötä jäsenvaltioiden kanssa sen varmistamiseksi, että välitavoitteet ja tavoitteet, erityisesti rakenteelliset tai maakohtaisiin suosituksiin liittyvät, pannaan kaikilta osin ja huolellisesti täytäntöön ja että </w:t>
            </w:r>
            <w:r>
              <w:rPr>
                <w:b/>
                <w:i/>
              </w:rPr>
              <w:t>harkitaan tarkkaan</w:t>
            </w:r>
            <w:r>
              <w:t xml:space="preserve"> elpymis- ja palautumissuunnitelmien </w:t>
            </w:r>
            <w:r>
              <w:rPr>
                <w:b/>
                <w:i/>
              </w:rPr>
              <w:t>mahdollisen tarkistuksen hyväksymistä</w:t>
            </w:r>
            <w:r>
              <w:t xml:space="preserve">, jos siinä alennettaisiin niiden tavoitetasoa tai heikennettäisiin merkittäviä toimenpiteitä; </w:t>
            </w:r>
            <w:r>
              <w:rPr>
                <w:b/>
                <w:i/>
              </w:rPr>
              <w:t>harkitsemaan tarkkaan hyväksytäänkö kaikenlaiset</w:t>
            </w:r>
            <w:r>
              <w:t xml:space="preserve"> suunnitelmien </w:t>
            </w:r>
            <w:r>
              <w:rPr>
                <w:b/>
                <w:i/>
              </w:rPr>
              <w:t>tarkistamiset</w:t>
            </w:r>
            <w:r>
              <w:t>, jossa elpymis- ja palautumissuunnitelmiin ”pakattaisiin uudelleen” suunniteltuja tai olemassa olevia toimenpiteitä;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Olivier Chastel, Vlad Vasile-Voiculescu,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x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 a)</w:t>
            </w:r>
            <w:r>
              <w:tab/>
            </w:r>
            <w:r>
              <w:rPr>
                <w:b/>
                <w:i/>
              </w:rPr>
              <w:t>kehittämään metodin, joka perustuu datan laadulle ja vertailukelpoisuudelle, jotta voidaan arvioida vihreän siirtymän ja ilmastonmuutokseen sopeutumisen edistymistä jäsenvaltioissa ja varmistaa, että toimet täytäntöönpannaan koko välineessä;</w:t>
            </w:r>
            <w:r>
              <w:t xml:space="preserve"> </w:t>
            </w:r>
            <w:r>
              <w:rPr>
                <w:b/>
                <w:i/>
              </w:rPr>
              <w:t>edistämään pitkän aikavälin ratkaisuja ilmastonmuutokseen sopeutumisessa ja vihreässä siirtymässä;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xii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xii a)</w:t>
            </w:r>
            <w:r>
              <w:tab/>
            </w:r>
            <w:r>
              <w:rPr>
                <w:b/>
                <w:i/>
              </w:rPr>
              <w:t>kun elpymis- ja palautumissuunnitelmaan esitetään muutoksia, tarkastelemaan perusteellisesti uusia ja olemassa olevia toimia ja sitä, voisivatko ne korvata toistuvat talousarviomenot ja rikkoisivatko ne elpymis- ja palautumissuunnitelman muita tukikelpoisuusedellytyksiä;</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xii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xii a)</w:t>
            </w:r>
            <w:r>
              <w:tab/>
            </w:r>
            <w:r>
              <w:rPr>
                <w:b/>
                <w:i/>
              </w:rPr>
              <w:t>tarjoamaan jäsenvaltioille koulutusta ja tukea, jotta ne voivat lisätä hallinnollisia valmiuksia, kuten erityistaitojen ja -tietojen koulutusta ja esimerkkejä parhaista käytännöistä;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xvi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xvi)</w:t>
            </w:r>
            <w:r>
              <w:tab/>
            </w:r>
            <w:r>
              <w:t>varmistamaan, että elpymis- ja palautumissuunnitelmien kaikki tulevat tarkistukset ja yleensä niiden täytäntöönpano toteutetaan tiiviissä yhteistyössä paikallis- ja alueviranomaisten kanssa ja niitä kuullen;</w:t>
            </w:r>
          </w:p>
        </w:tc>
        <w:tc>
          <w:tcPr>
            <w:tcW w:w="4876" w:type="dxa"/>
            <w:tcBorders>
              <w:top w:val="nil"/>
              <w:left w:val="nil"/>
              <w:bottom w:val="nil"/>
              <w:right w:val="nil"/>
            </w:tcBorders>
          </w:tcPr>
          <w:p>
            <w:pPr>
              <w:pStyle w:val="Normal6a"/>
            </w:pPr>
            <w:r>
              <w:t>xvi)</w:t>
            </w:r>
            <w:r>
              <w:tab/>
            </w:r>
            <w:r>
              <w:t>varmistamaan, että elpymis- ja palautumissuunnitelmien kaikki tulevat tarkistukset ja yleensä niiden täytäntöönpano toteutetaan tiiviissä yhteistyössä paikallis- ja alueviranomaisten</w:t>
            </w:r>
            <w:r>
              <w:rPr>
                <w:b/>
                <w:i/>
              </w:rPr>
              <w:t>, kansallisyhteiskunnan järjestöjen, työmarkkinaosapuolien ja muiden asiaan liittyvien sidosryhmien</w:t>
            </w:r>
            <w:r>
              <w:t xml:space="preserve"> kanssa ja niitä kuullen;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Csaba Molnár, 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xvi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xvi)</w:t>
            </w:r>
            <w:r>
              <w:tab/>
            </w:r>
            <w:r>
              <w:t>varmistamaan, että elpymis- ja palautumissuunnitelmien kaikki tulevat tarkistukset ja yleensä niiden täytäntöönpano toteutetaan tiiviissä yhteistyössä paikallis- ja alueviranomaisten kanssa ja niitä kuullen;</w:t>
            </w:r>
          </w:p>
        </w:tc>
        <w:tc>
          <w:tcPr>
            <w:tcW w:w="4876" w:type="dxa"/>
            <w:tcBorders>
              <w:top w:val="nil"/>
              <w:left w:val="nil"/>
              <w:bottom w:val="nil"/>
              <w:right w:val="nil"/>
            </w:tcBorders>
          </w:tcPr>
          <w:p>
            <w:pPr>
              <w:pStyle w:val="Normal6a"/>
            </w:pPr>
            <w:r>
              <w:t>xvi)</w:t>
            </w:r>
            <w:r>
              <w:tab/>
            </w:r>
            <w:r>
              <w:t xml:space="preserve">varmistamaan, että elpymis- ja palautumissuunnitelmien kaikki tulevat tarkistukset ja yleensä niiden täytäntöönpano toteutetaan tiiviissä yhteistyössä paikallis- ja alueviranomaisten </w:t>
            </w:r>
            <w:r>
              <w:rPr>
                <w:b/>
                <w:i/>
              </w:rPr>
              <w:t>ja kansalaisyhteiskunnan</w:t>
            </w:r>
            <w:r>
              <w:t xml:space="preserve"> kanssa ja niitä kuullen;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xvi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a)</w:t>
            </w:r>
            <w:r>
              <w:tab/>
            </w:r>
            <w:r>
              <w:rPr>
                <w:b/>
                <w:i/>
              </w:rPr>
              <w:t>harkitsemaan tarkkaan ja arvioimaan tulosbudjetointiin Euroopan tilintarkastustuomioistuimen ja Euroopan parlamentin talousarvion valvontavaliokunnan havaintojen perusteella liittyviä heikkouksia sekä ryhtymään toimiin näiden heikkouksien suhteen ennakoivasti suunniteltaessa uusia tulevaisuuden ohjelmia, mukaan lukien tulevat tulosperusteiset ohjelmat;</w:t>
            </w:r>
            <w:r>
              <w:t xml:space="preserve"> </w:t>
            </w:r>
            <w:r>
              <w:rPr>
                <w:b/>
                <w:i/>
              </w:rPr>
              <w:t>varmistamaan, että aiemmista ja nykyisistä toimista opittu sisällytettävä mukaan uusien toimien suunnittelussa;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Tamás Deutsch, Virginie Joron,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188 kohta – xvi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xvi a)</w:t>
            </w:r>
            <w:r>
              <w:tab/>
            </w:r>
            <w:r>
              <w:rPr>
                <w:b/>
                <w:i/>
              </w:rPr>
              <w:t>tutkimaan ja ehdottamaan mahdollisia ratkaisuja elpymis- ja palautumistukivälineen täytäntöönpanolle asetetun määräajan lykkäämiseen;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770.057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188</w:t>
    </w:r>
    <w:r>
      <w:fldChar w:fldCharType="end"/>
    </w:r>
    <w:r>
      <w:t>/</w:t>
    </w:r>
    <w:r>
      <w:fldChar w:fldCharType="begin"/>
    </w:r>
    <w:r>
      <w:instrText xml:space="preserve"> NUMPAGES </w:instrText>
    </w:r>
    <w:r>
      <w:fldChar w:fldCharType="separate"/>
    </w:r>
    <w:r>
      <w:t>189</w:t>
    </w:r>
    <w:r>
      <w:fldChar w:fldCharType="end"/>
    </w:r>
    <w:r>
      <w:tab/>
    </w:r>
    <w:r>
      <w:rPr>
        <w:rStyle w:val="HideTWBExt"/>
      </w:rPr>
      <w:t>&lt;PathFdR&gt;</w:t>
    </w:r>
    <w:r>
      <w:t>AM\1315983FI.docx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AM\1315983FI.docx</w:t>
    </w:r>
    <w:r>
      <w:rPr>
        <w:rStyle w:val="HideTWBExt"/>
      </w:rPr>
      <w:t>&lt;/PathFdR&gt;</w:t>
    </w:r>
    <w:r>
      <w:tab/>
    </w:r>
    <w:r>
      <w:fldChar w:fldCharType="begin"/>
    </w:r>
    <w:r>
      <w:instrText xml:space="preserve"> PAGE </w:instrText>
    </w:r>
    <w:r>
      <w:fldChar w:fldCharType="separate"/>
    </w:r>
    <w:r>
      <w:t>189</w:t>
    </w:r>
    <w:r>
      <w:fldChar w:fldCharType="end"/>
    </w:r>
    <w:r>
      <w:t>/</w:t>
    </w:r>
    <w:r>
      <w:fldChar w:fldCharType="begin"/>
    </w:r>
    <w:r>
      <w:instrText xml:space="preserve"> NUMPAGES </w:instrText>
    </w:r>
    <w:r>
      <w:fldChar w:fldCharType="separate"/>
    </w:r>
    <w:r>
      <w:t>189</w:t>
    </w:r>
    <w:r>
      <w:fldChar w:fldCharType="end"/>
    </w:r>
    <w:r>
      <w:tab/>
    </w:r>
    <w:r>
      <w:t>PE</w:t>
    </w:r>
    <w:r>
      <w:rPr>
        <w:rStyle w:val="HideTWBExt"/>
      </w:rPr>
      <w:t>&lt;NoPE&gt;</w:t>
    </w:r>
    <w:r>
      <w:t>770.057</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AM\1315983FI.docx</w:t>
    </w:r>
    <w:r>
      <w:rPr>
        <w:rStyle w:val="HideTWBExt"/>
      </w:rPr>
      <w:t>&lt;/PathFdR&gt;</w:t>
    </w:r>
    <w:r>
      <w:tab/>
    </w:r>
    <w:r>
      <w:tab/>
    </w:r>
    <w:r>
      <w:t>PE</w:t>
    </w:r>
    <w:r>
      <w:rPr>
        <w:rStyle w:val="HideTWBExt"/>
      </w:rPr>
      <w:t>&lt;NoPE&gt;</w:t>
    </w:r>
    <w:r>
      <w:t>770.057</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189</Pages>
  <Words>31835</Words>
  <Characters>270066</Characters>
  <Application>Microsoft Office Word</Application>
  <DocSecurity>0</DocSecurity>
  <Lines>1</Lines>
  <Paragraphs>2791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1315983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149610</vt:lpwstr>
  </property>
  <property fmtid="{D5CDD505-2E9C-101B-9397-08002B2CF9AE}" pid="7" name="dmxml.render.traceId">
    <vt:lpwstr>67dd6c3b3f38174a28029faa5a3ac7e9</vt:lpwstr>
  </property>
  <property fmtid="{D5CDD505-2E9C-101B-9397-08002B2CF9AE}" pid="8" name="FooterPath">
    <vt:lpwstr>AM\1315983FI.docx</vt:lpwstr>
  </property>
  <property fmtid="{D5CDD505-2E9C-101B-9397-08002B2CF9AE}" pid="9" name="PE Number">
    <vt:lpwstr>770.057</vt:lpwstr>
  </property>
  <property fmtid="{D5CDD505-2E9C-101B-9397-08002B2CF9AE}" pid="10" name="UID">
    <vt:lpwstr>eu.europa.europarl-DIN1-2025-0000039921_02.00-fi-01.00_text-xml</vt:lpwstr>
  </property>
</Properties>
</file>