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2025/2033</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{22/09/2025}</w:t>
      </w:r>
      <w:r>
        <w:t>22.9.2025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86</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Marit Maij</w:t>
      </w:r>
      <w:r>
        <w:rPr>
          <w:rStyle w:val="HideTWBExt"/>
        </w:rPr>
        <w:t>&lt;/Rapporteur&gt;</w:t>
      </w:r>
    </w:p>
    <w:p>
      <w:pPr>
        <w:pStyle w:val="CoverNormal24a"/>
      </w:pPr>
      <w:r>
        <w:rPr>
          <w:rStyle w:val="HideTWBExt"/>
        </w:rPr>
        <w:t>&lt;DocRefPE&gt;</w:t>
      </w:r>
      <w:r>
        <w:t>(PE775.770v02-00)</w:t>
      </w:r>
      <w:r>
        <w:rPr>
          <w:rStyle w:val="HideTWBExt"/>
        </w:rPr>
        <w:t>&lt;/DocRefPE&gt;</w:t>
      </w:r>
    </w:p>
    <w:p>
      <w:pPr>
        <w:pStyle w:val="CoverNormal"/>
      </w:pPr>
      <w:r>
        <w:rPr>
          <w:rStyle w:val="HideTWBExt"/>
        </w:rPr>
        <w:t>&lt;Titre&gt;</w:t>
      </w:r>
      <w:r>
        <w:t>Vuoden 2024 talousarvio - arvio sukupuolten tasa-arvon valtavirtaistamisen menetelmän soveltamisesta EU:n talousarviossa</w:t>
      </w:r>
      <w:r>
        <w:rPr>
          <w:rStyle w:val="HideTWBExt"/>
        </w:rPr>
        <w:t>&lt;/Titre&gt;</w:t>
      </w:r>
    </w:p>
    <w:p>
      <w:pPr>
        <w:pStyle w:val="CoverNormal24a"/>
      </w:pPr>
      <w:r>
        <w:rPr>
          <w:rStyle w:val="HideTWBExt"/>
        </w:rPr>
        <w:t>&lt;DocRef&gt;</w:t>
      </w:r>
      <w:r>
        <w:t>(2025/2033(INI))</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9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16. heinäkuuta 2025 annetun komission ehdotuksen neuvoston asetukseksi vuosia 2028–2034 koskevan monivuotisen rahoituskehyksen vahvistamisesta (COM(2025)0571),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9 b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16. heinäkuuta 2025 annetun komission ehdotuksen Euroopan parlamentin ja neuvoston asetukseksi talousarvion menojen seurantaa ja tuloksellisuutta koskevan kehyksen sekä unionin ohjelmia ja toimintaa koskevien muiden horisontaalisten sääntöjen vahvistamisesta (COM(2025)0545) ja siihen liittyvän vaikutustenarvioinnin (SWD(2025)0590),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13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7. maaliskuuta 2025 annetun komission tiedonannon ”Naisten oikeuksien edistämissuunnitelma” (COM(2025)0097),</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14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21. tammikuuta 2021 antamansa päätöslauselman sukupuolten tasa-arvoa koskevasta EU-strategiasta</w:t>
            </w:r>
            <w:r>
              <w:rPr>
                <w:b/>
                <w:i/>
                <w:vertAlign w:val="superscript"/>
              </w:rPr>
              <w:t>7</w:t>
            </w:r>
            <w:r>
              <w:rPr>
                <w:b/>
                <w:i/>
              </w:rPr>
              <w:t>,</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EUVL C 456, 10.11.2021, s. 208.</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15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10. maaliskuuta 2022 antamansa päätöslauselman sukupuolten tasa-arvon valtavirtaistamisesta Euroopan parlamentin toiminnassa – vuosikertomus 2020</w:t>
            </w:r>
            <w:r>
              <w:rPr>
                <w:b/>
                <w:i/>
                <w:vertAlign w:val="superscript"/>
              </w:rPr>
              <w:t>8</w:t>
            </w:r>
            <w:r>
              <w:rPr>
                <w:b/>
                <w:i/>
              </w:rPr>
              <w:t>,</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8</w:t>
            </w:r>
            <w:r>
              <w:t xml:space="preserve"> </w:t>
            </w:r>
            <w:r>
              <w:rPr>
                <w:b/>
                <w:i/>
              </w:rPr>
              <w:t>EUVL C 347, 9.9.2022, s. 139.</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24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26. toukokuuta 2021 annetun Euroopan tilintarkastustuomioistuimen erityiskertomuksen 10/2021 aiheesta ”Sukupuolten tasa-arvon valtavirtaistaminen EU:n talousarvioon: aika siirtyä sanoista tekoihin”,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25 viite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ottaa huomioon Euroopan parlamentin tutkimuspalvelun (EPRS) helmikuussa 2025 julkaiseman katsauksen ”Gender-responsive budgeting: State of play and opportunities for the European Parliament’s 10th term”,</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25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budjettivaliokunnan ja talousarvion valvontavaliokunnan teettämän tutkimuksen ”European Union gender budgeting – state of play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ottaa huomioon, että sukupuolten tasa-arvo on osaksi unionin primaarilainsäädäntöä otettu tavoite ja periaate, jonka olisi oltava kaikkien unionin politiikkojen keskiössä,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A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a.</w:t>
            </w:r>
            <w:r>
              <w:tab/>
            </w:r>
            <w:r>
              <w:rPr>
                <w:b/>
                <w:i/>
              </w:rPr>
              <w:t>toteaa, että on olennaisen tärkeää nimenomaisesti selventää, että käsitteellä ’sukupuolten tasa-arvo’, johon viitataan yleisesti, tarkoitetaan tässä mietinnössä erityisesti miesten ja naisten välistä tasa-arvoa ottaen huomioon miehiä ja naisia määrittävät erilaiset biologiset ja geneettiset tosiseikat ja niitä kunnioittaen;</w:t>
            </w:r>
            <w:r>
              <w:t xml:space="preserve"> </w:t>
            </w:r>
            <w:r>
              <w:rPr>
                <w:b/>
                <w:i/>
              </w:rPr>
              <w:t>ottaa huomioon, että käsitteillä ’mies’ ja ’nainen’ tarkoitetaan vakiintuneen tieteellisen tietämyksen mukaisesti yksilöitä, jotka ovat biologisesti kahta eri sukupuolta;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ottaa huomioon, että sukupuolten tasa-arvon </w:t>
            </w:r>
            <w:r>
              <w:rPr>
                <w:b/>
                <w:i/>
              </w:rPr>
              <w:t>valtavirtaistaminen on</w:t>
            </w:r>
            <w:r>
              <w:t xml:space="preserve"> maailmanlaajuisesti tunnustettu strategia </w:t>
            </w:r>
            <w:r>
              <w:rPr>
                <w:b/>
                <w:i/>
              </w:rPr>
              <w:t>sen varmistamiseksi, että sukupuolinäkökulma otetaan huomioon</w:t>
            </w:r>
            <w:r>
              <w:t xml:space="preserve"> suunniteltaessa, pantaessa täytäntöön ja arvioitaessa </w:t>
            </w:r>
            <w:r>
              <w:rPr>
                <w:b/>
                <w:i/>
              </w:rPr>
              <w:t>kaikkia</w:t>
            </w:r>
            <w:r>
              <w:t xml:space="preserve"> toimintapolitiikkoja, ohjelmia ja toimenpiteitä </w:t>
            </w:r>
            <w:r>
              <w:rPr>
                <w:b/>
                <w:i/>
              </w:rPr>
              <w:t>sukupuolten tasa-arvon edistämiseksi ja syrjinnän torjumiseksi</w:t>
            </w:r>
            <w:r>
              <w:t>;</w:t>
            </w:r>
          </w:p>
        </w:tc>
        <w:tc>
          <w:tcPr>
            <w:tcW w:w="4876" w:type="dxa"/>
            <w:tcBorders>
              <w:top w:val="nil"/>
              <w:left w:val="nil"/>
              <w:bottom w:val="nil"/>
              <w:right w:val="nil"/>
            </w:tcBorders>
          </w:tcPr>
          <w:p>
            <w:pPr>
              <w:pStyle w:val="Normal6a"/>
            </w:pPr>
            <w:r>
              <w:t>B.</w:t>
            </w:r>
            <w:r>
              <w:tab/>
            </w:r>
            <w:r>
              <w:t xml:space="preserve">ottaa huomioon, että sukupuolten tasa-arvon </w:t>
            </w:r>
            <w:r>
              <w:rPr>
                <w:b/>
                <w:i/>
              </w:rPr>
              <w:t>edistäminen ja syrjinnän torjunta ovat</w:t>
            </w:r>
            <w:r>
              <w:t xml:space="preserve"> maailmanlaajuisesti tunnustettu strategia </w:t>
            </w:r>
            <w:r>
              <w:rPr>
                <w:b/>
                <w:i/>
              </w:rPr>
              <w:t>sukupuolinäkökulman huomioimiseksi</w:t>
            </w:r>
            <w:r>
              <w:t xml:space="preserve"> suunniteltaessa, pantaessa täytäntöön ja arvioitaessa </w:t>
            </w:r>
            <w:r>
              <w:rPr>
                <w:b/>
                <w:i/>
              </w:rPr>
              <w:t>tiettyjä EU:n</w:t>
            </w:r>
            <w:r>
              <w:t xml:space="preserve"> toimintapolitiikkoja, ohjelmia ja toimenpiteitä;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pitää kuitenkin valitettavana, että sukupuolikysymykseen osoitetaan EU:ssa ja maailmanlaajuisesti näinkin merkittävää rahoitusta, kun otetaan huomioon EU:n jäsenvaltioiden kansalaisten jo useiden vuosien ajan kohtaamat käytännön taloudelliset, sosiaaliset ja turvallisuuteen liittyvä ongelmat;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ottaa huomioon, että Euroopan neuvoston määritelmän mukaan sukupuolitietoisella budjetoinnilla tarkoitetaan talousarvioiden sukupuolilähtöistä arviointia</w:t>
            </w:r>
            <w:r>
              <w:rPr>
                <w:b/>
                <w:i/>
              </w:rPr>
              <w:t>, jossa sukupuolinäkökulma sisällytetään kaikkiin talousarvioprosessin vaiheisiin ja tuloja ja menoja järjestetään uudelleen sukupuolten tasa-arvon edistämiseksi</w:t>
            </w:r>
            <w:r>
              <w:t>;</w:t>
            </w:r>
          </w:p>
        </w:tc>
        <w:tc>
          <w:tcPr>
            <w:tcW w:w="4876" w:type="dxa"/>
            <w:tcBorders>
              <w:top w:val="nil"/>
              <w:left w:val="nil"/>
              <w:bottom w:val="nil"/>
              <w:right w:val="nil"/>
            </w:tcBorders>
          </w:tcPr>
          <w:p>
            <w:pPr>
              <w:pStyle w:val="Normal6a"/>
            </w:pPr>
            <w:r>
              <w:t>C.</w:t>
            </w:r>
            <w:r>
              <w:tab/>
            </w:r>
            <w:r>
              <w:t>ottaa huomioon, että Euroopan neuvoston määritelmän mukaan sukupuolitietoisella budjetoinnilla tarkoitetaan talousarvioiden sukupuolilähtöistä arviointia;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ottaa huomioon, että EIGE kuvailee sukupuolitietoista budjetointia työkaluksi, jonka avulla päätöksentekijät voivat edistää vastuunottoa ja avoimuutta</w:t>
            </w:r>
            <w:r>
              <w:rPr>
                <w:b/>
                <w:i/>
              </w:rPr>
              <w:t>,</w:t>
            </w:r>
            <w:r>
              <w:t xml:space="preserve"> lisätä kaikkien sukupuolten tasapainoista osallistumista talousarvioprosessiin </w:t>
            </w:r>
            <w:r>
              <w:rPr>
                <w:b/>
                <w:i/>
              </w:rPr>
              <w:t>ja edistää sukupuolten tasa-arvoa</w:t>
            </w:r>
            <w:r>
              <w:t>;</w:t>
            </w:r>
          </w:p>
        </w:tc>
        <w:tc>
          <w:tcPr>
            <w:tcW w:w="4876" w:type="dxa"/>
            <w:tcBorders>
              <w:top w:val="nil"/>
              <w:left w:val="nil"/>
              <w:bottom w:val="nil"/>
              <w:right w:val="nil"/>
            </w:tcBorders>
          </w:tcPr>
          <w:p>
            <w:pPr>
              <w:pStyle w:val="Normal6a"/>
            </w:pPr>
            <w:r>
              <w:t>D.</w:t>
            </w:r>
            <w:r>
              <w:tab/>
            </w:r>
            <w:r>
              <w:t xml:space="preserve">ottaa huomioon, että EIGE kuvailee sukupuolitietoista budjetointia työkaluksi, jonka avulla päätöksentekijät voivat edistää vastuunottoa ja avoimuutta </w:t>
            </w:r>
            <w:r>
              <w:rPr>
                <w:b/>
                <w:i/>
              </w:rPr>
              <w:t>ja</w:t>
            </w:r>
            <w:r>
              <w:t xml:space="preserve"> lisätä kaikkien sukupuolten tasapainoista osallistumista talousarvioprosessiin;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ottaa huomioon, että sukupuolten tasa-arvon sisällyttäminen horisontaalisena painopisteenä unionin talousarvioon on ollut jo pitkään sekä talousarvion valvontavaliokunnan että parlamentin huolenaiheena ja sitä pidetään </w:t>
            </w:r>
            <w:r>
              <w:rPr>
                <w:b/>
                <w:i/>
              </w:rPr>
              <w:t>keskeisenä</w:t>
            </w:r>
            <w:r>
              <w:t xml:space="preserve"> kriteerinä unionin talousarvion täytäntöönpanon ja unionin moitteettoman varainhoidon arvioinnissa;</w:t>
            </w:r>
          </w:p>
        </w:tc>
        <w:tc>
          <w:tcPr>
            <w:tcW w:w="4876" w:type="dxa"/>
            <w:tcBorders>
              <w:top w:val="nil"/>
              <w:left w:val="nil"/>
              <w:bottom w:val="nil"/>
              <w:right w:val="nil"/>
            </w:tcBorders>
          </w:tcPr>
          <w:p>
            <w:pPr>
              <w:pStyle w:val="Normal6a"/>
            </w:pPr>
            <w:r>
              <w:t>F.</w:t>
            </w:r>
            <w:r>
              <w:tab/>
            </w:r>
            <w:r>
              <w:t xml:space="preserve">ottaa huomioon, että sukupuolten tasa-arvon sisällyttäminen horisontaalisena painopisteenä unionin talousarvioon on ollut jo pitkään sekä talousarvion valvontavaliokunnan että parlamentin huolenaiheena ja sitä pidetään </w:t>
            </w:r>
            <w:r>
              <w:rPr>
                <w:b/>
                <w:i/>
              </w:rPr>
              <w:t>tärkeänä</w:t>
            </w:r>
            <w:r>
              <w:t xml:space="preserve"> kriteerinä unionin talousarvion täytäntöönpanon ja unionin moitteettoman varainhoidon arvioinnissa; </w:t>
            </w:r>
            <w:r>
              <w:rPr>
                <w:b/>
                <w:i/>
              </w:rPr>
              <w:t>toteaa tässä yhteydessä, että parlamentin ja erityisesti sen talousarvion valvontavaliokunnan olisi oltava tältä osin esimerkillisiä;</w:t>
            </w:r>
            <w:r>
              <w:t xml:space="preserve"> </w:t>
            </w:r>
            <w:r>
              <w:rPr>
                <w:b/>
                <w:i/>
              </w:rPr>
              <w:t>pitää valitettavana, että tämä huoli asiasta ei käytännössä näy mitenkään, sillä valiokunnan puheenjohtajistossa on neljä miestä ja yksi nainen, mikä on vastoin työjärjestyksen 219 artiklassa vahvistettuja sukupuolten tasapuolista edustusta koskevia sisäisiä sääntöjä ja odotuksia sukupuolten tasa-arvosta, jota valiokunta kaikesta huolimatta väittää puolustavansa EU:n talousarvioissa;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ottaa huomioon, että sukupuolten tasa-arvon sisällyttäminen horisontaalisena painopisteenä unionin talousarvioon on ollut jo pitkään sekä talousarvion valvontavaliokunnan että parlamentin huolenaiheena ja sitä pidetään keskeisenä kriteerinä unionin talousarvion täytäntöönpanon ja unionin moitteettoman varainhoidon arvioinnissa;</w:t>
            </w:r>
          </w:p>
        </w:tc>
        <w:tc>
          <w:tcPr>
            <w:tcW w:w="4876" w:type="dxa"/>
            <w:tcBorders>
              <w:top w:val="nil"/>
              <w:left w:val="nil"/>
              <w:bottom w:val="nil"/>
              <w:right w:val="nil"/>
            </w:tcBorders>
          </w:tcPr>
          <w:p>
            <w:pPr>
              <w:pStyle w:val="Normal6a"/>
            </w:pPr>
            <w:r>
              <w:t>F.</w:t>
            </w:r>
            <w:r>
              <w:tab/>
            </w:r>
            <w:r>
              <w:t xml:space="preserve">ottaa huomioon, että sukupuolten tasa-arvon sisällyttäminen horisontaalisena painopisteenä unionin talousarvioon on ollut jo pitkään sekä talousarvion valvontavaliokunnan että parlamentin huolenaiheena ja sitä pidetään keskeisenä kriteerinä unionin talousarvion täytäntöönpanon ja unionin moitteettoman varainhoidon </w:t>
            </w:r>
            <w:r>
              <w:rPr>
                <w:b/>
                <w:i/>
              </w:rPr>
              <w:t>sekä talousarvion tuloksellisuuden ja oikeasuhteisuuden</w:t>
            </w:r>
            <w:r>
              <w:t xml:space="preserve"> arvioinnissa;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sukupuolten tasa-arvon valtavirtaistamista EU:n talousarviossa vahvistetaan vuosien 2021–2027 monivuotiseen rahoituskehykseen liitetyllä toimielinten välisellä sopimuksella, johon sisältyy muun muassa vaatimuksia tehostaa sukupuolivaikutusten arviointia paremman sääntelyn puitteiden mukaisissa vaikutustenarvioinneissa ja muissa arvioinneissa ja kehittää vuodesta 2023 alkaen pilottihankkeena sovellettava menetelmä, jolla mitataan sukupuolten tasa-arvon edistämiseen ohjelmatasolla liittyviä menoja;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sukupuolten tasa-arvon edistäminen edellyttää sukupuolitietoista budjetointia koskevaa intersektionaalista lähestymistapaa, jossa otetaan huomioon rodullistettuihin ryhmiin kuuluvien naisten, vammaisten henkilöiden, hlbtiq+ -henkilöiden ja maahanmuuttajien kohtaama moninkertainen syrjintä, jotta varmistetaan, että EU:n varoilla edistetään tasa-arvoa kaikissa ulottuvuuksissa;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a.</w:t>
            </w:r>
            <w:r>
              <w:tab/>
            </w:r>
            <w:r>
              <w:rPr>
                <w:b/>
                <w:i/>
              </w:rPr>
              <w:t>ottaa huomioon, että perhe on yhteiskunnan perusyksikkö, jolla on ratkaiseva rooli yksilöiden, yhteisöjen ja kansakuntien hyvinvoinnin, vakauden ja kehityksen edistämisessä, ja että on olennaisen tärkeää, että EU:n horisontaalisilla politiikoilla tuodaan aktiivisesti esille sen merkitystä ja tuetaan sitä;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ottaa huomioon, että jäsenvaltioiden toteuttamat toimet sukupuolten tasa-arvon valtavirtaistamiseksi ovat vähentyneet huolestuttavasti vuodesta 2021 lähtien, ja toteaa, että saman ei pitäisi tapahtua unionin tasolla;</w:t>
            </w:r>
          </w:p>
        </w:tc>
        <w:tc>
          <w:tcPr>
            <w:tcW w:w="4876" w:type="dxa"/>
            <w:tcBorders>
              <w:top w:val="nil"/>
              <w:left w:val="nil"/>
              <w:bottom w:val="nil"/>
              <w:right w:val="nil"/>
            </w:tcBorders>
          </w:tcPr>
          <w:p>
            <w:pPr>
              <w:pStyle w:val="Normal6a"/>
            </w:pPr>
            <w:r>
              <w:t>H.</w:t>
            </w:r>
            <w:r>
              <w:tab/>
            </w:r>
            <w:r>
              <w:t xml:space="preserve">ottaa huomioon, että </w:t>
            </w:r>
            <w:r>
              <w:rPr>
                <w:b/>
                <w:i/>
              </w:rPr>
              <w:t>EIGEn mukaan</w:t>
            </w:r>
            <w:r>
              <w:t xml:space="preserve"> jäsenvaltioiden toteuttamat toimet sukupuolten tasa-arvon valtavirtaistamiseksi ovat vähentyneet huolestuttavasti vuodesta 2021 lähtien, ja toteaa, että saman ei pitäisi tapahtua unionin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I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ottaa huomioon, että etukäteen tehtävien sukupuolten tasa-arvoa koskevien vaikutustenarviointien ja lieventävien toimenpiteiden järjestelmällinen sisällyttäminen osaksi unionin päätöksentekoprosesseja on tarpeen sen varmistamiseksi, että tulevilla aloitteilla </w:t>
            </w:r>
            <w:r>
              <w:rPr>
                <w:b/>
                <w:i/>
              </w:rPr>
              <w:t>ei heikennetä tahattomasti</w:t>
            </w:r>
            <w:r>
              <w:t xml:space="preserve"> sukupuolten tasa-arvoa;</w:t>
            </w:r>
          </w:p>
        </w:tc>
        <w:tc>
          <w:tcPr>
            <w:tcW w:w="4876" w:type="dxa"/>
            <w:tcBorders>
              <w:top w:val="nil"/>
              <w:left w:val="nil"/>
              <w:bottom w:val="nil"/>
              <w:right w:val="nil"/>
            </w:tcBorders>
          </w:tcPr>
          <w:p>
            <w:pPr>
              <w:pStyle w:val="Normal6a"/>
            </w:pPr>
            <w:r>
              <w:t>I.</w:t>
            </w:r>
            <w:r>
              <w:tab/>
            </w:r>
            <w:r>
              <w:t xml:space="preserve">ottaa huomioon, että etukäteen tehtävien sukupuolten tasa-arvoa koskevien vaikutustenarviointien ja lieventävien toimenpiteiden järjestelmällinen sisällyttäminen osaksi unionin päätöksentekoprosesseja on tarpeen sen varmistamiseksi, että tulevilla aloitteilla </w:t>
            </w:r>
            <w:r>
              <w:rPr>
                <w:b/>
                <w:i/>
              </w:rPr>
              <w:t>edistetään</w:t>
            </w:r>
            <w:r>
              <w:t xml:space="preserve"> sukupuolten tasa-arvoa </w:t>
            </w:r>
            <w:r>
              <w:rPr>
                <w:b/>
                <w:i/>
              </w:rPr>
              <w:t>eikä heikennetä sitä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suhtautuu myönteisesti siihen</w:t>
            </w:r>
            <w:r>
              <w:t>, että komissio on kehittänyt sitovien velvoitteidensa mukaisesti ja parlamentin sitä toistuvasti vaadittua pilottimenetelmän, jolla seurataan ja arvioidaan sukupuolten tasa-arvoon liittyviä menoja ohjelmien tasolla vuosien 2021–2027 monivuotisessa rahoituskehyksessä, jotta voidaan lisätä sukupuolten tasa-arvon valtavirtaistamista komission talousarvioprosessissa ja parantaa sitä, miten politiikkatoimien suunnittelulla ja resurssien kohdentamisella edistetään sukupuolten tasa-arvoon liittyviä tavoitteita;</w:t>
            </w:r>
          </w:p>
        </w:tc>
        <w:tc>
          <w:tcPr>
            <w:tcW w:w="4876" w:type="dxa"/>
            <w:tcBorders>
              <w:top w:val="nil"/>
              <w:left w:val="nil"/>
              <w:bottom w:val="nil"/>
              <w:right w:val="nil"/>
            </w:tcBorders>
          </w:tcPr>
          <w:p>
            <w:pPr>
              <w:pStyle w:val="Normal6a"/>
            </w:pPr>
            <w:r>
              <w:t>1.</w:t>
            </w:r>
            <w:r>
              <w:tab/>
            </w:r>
            <w:r>
              <w:rPr>
                <w:b/>
                <w:i/>
              </w:rPr>
              <w:t>pitää valitettavana</w:t>
            </w:r>
            <w:r>
              <w:t>, että komissio on kehittänyt sitovien velvoitteidensa mukaisesti ja parlamentin sitä toistuvasti vaadittua pilottimenetelmän, jolla seurataan ja arvioidaan sukupuolten tasa-arvoon liittyviä menoja ohjelmien tasolla vuosien 2021–2027 monivuotisessa rahoituskehyksessä, jotta voidaan lisätä sukupuolten tasa-arvon valtavirtaistamista komission talousarvioprosessissa ja parantaa sitä, miten politiikkatoimien suunnittelulla ja resurssien kohdentamisella edistetään sukupuolten tasa-arvoon liittyviä tavoitteita;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suhtautuu myönteisesti siihen, että komissio on kehittänyt </w:t>
            </w:r>
            <w:r>
              <w:rPr>
                <w:b/>
                <w:i/>
              </w:rPr>
              <w:t>sitovien</w:t>
            </w:r>
            <w:r>
              <w:t xml:space="preserve"> velvoitteidensa mukaisesti ja parlamentin sitä toistuvasti vaadittua pilottimenetelmän, jolla seurataan ja arvioidaan sukupuolten tasa-arvoon liittyviä menoja ohjelmien tasolla vuosien 2021–2027 monivuotisessa rahoituskehyksessä</w:t>
            </w:r>
            <w:r>
              <w:rPr>
                <w:b/>
                <w:i/>
              </w:rPr>
              <w:t>, jotta voidaan lisätä sukupuolten tasa-arvon valtavirtaistamista komission talousarvioprosessissa ja parantaa sitä, miten politiikkatoimien suunnittelulla ja resurssien kohdentamisella edistetään sukupuolten tasa-arvoon liittyviä tavoitteita</w:t>
            </w:r>
            <w:r>
              <w:t>;</w:t>
            </w:r>
          </w:p>
        </w:tc>
        <w:tc>
          <w:tcPr>
            <w:tcW w:w="4876" w:type="dxa"/>
            <w:tcBorders>
              <w:top w:val="nil"/>
              <w:left w:val="nil"/>
              <w:bottom w:val="nil"/>
              <w:right w:val="nil"/>
            </w:tcBorders>
          </w:tcPr>
          <w:p>
            <w:pPr>
              <w:pStyle w:val="Normal6a"/>
            </w:pPr>
            <w:r>
              <w:t>1.</w:t>
            </w:r>
            <w:r>
              <w:tab/>
            </w:r>
            <w:r>
              <w:t>suhtautuu myönteisesti siihen, että komissio on kehittänyt velvoitteidensa mukaisesti ja parlamentin sitä toistuvasti vaadittua pilottimenetelmän, jolla seurataan ja arvioidaan sukupuolten tasa-arvoon liittyviä menoja ohjelmien tasolla vuosien 2021–2027 monivuotisessa rahoituskehyksessä;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korostaa, että monivuotisen rahoituskehyksen on perustuttava objektiivisiin sosioekonomisiin kriteereihin, joilla varmistetaan, että määrärahojen jakaminen perustuu pikemmin mitattavissa oleviin taloudellisiin, rahoituksellisiin ja tehokkuuteen liittyviin indikaattoreihin kuin sosiologisiin käsitteisiin;</w:t>
            </w:r>
            <w:r>
              <w:t xml:space="preserve"> </w:t>
            </w:r>
            <w:r>
              <w:rPr>
                <w:b/>
                <w:i/>
              </w:rPr>
              <w:t>korostaa, että EU:n talousarvion varojen kohdentamisperusteiden olisi pysyttävä neutraaleina eikä niillä pitäisi edistää sosiaalis-teknisiä käsitteitä, kuten sukupuolten tasa-arvon valtavirtaistamista;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muistuttaa, että sukupuolitietoinen budjetointi edellyttää sukupuolten tasa-arvoa koskevan näkökulman sisällyttämistä talousarviomenettelyn kaikkiin vaiheisiin;</w:t>
            </w:r>
            <w:r>
              <w:t xml:space="preserve"> </w:t>
            </w:r>
            <w:r>
              <w:rPr>
                <w:b/>
                <w:i/>
              </w:rPr>
              <w:t>katsoo, että komission menetelmässä sukupuolitietoista budjetointia sovelletaan vain osittain EU:n talousarvioon, sillä siinä edellytetään seurantavaiheessa ainoastaan indikaattoreiden jälkiseurantaa;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korostaa, että komission menetelmä eroaa Taloudellisen yhteistyön ja kehityksen järjestön kehittämästä tasa-arvopolitiikan indikaattorista, koska siihen ei sisälly pistemäärää, jonka avulla voitaisiin seurata sukupuolten tasa-arvon valtavirtaistamistavoitteisiin käytettävien EU:n varojen kielteisiä vaikutuksia, ja koska siinä otetaan käyttöön pistemäärä 0* sellaisille toimenpiteille, joilla on todennäköisesti myönteinen mutta kuitenkin epäselvä vaikutus sukupuolten tasa-arvoon;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pitää kuitenkin valitettavana, että tätä politiikkaa toteuttavan menetelmän kustannuksia (muun muassa henkilöresurssit ja indikaattoreiden seurantaa varten perustettavat tietojärjestelmät) ei ole kvantifioitu kuten ei myöskään tässä mietinnössä esitettyjen tavoitteiden kustannuksia, minkä vuoksi menetelmän käyttöönoton edellytyksiä on mahdotonta arvioida;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korostaa, että sukupuolten tasa-arvon valtavirtaistamista tai sukupuolinäkökulman soveltamista ei pitäisi asettaa talousarviosuunnittelussa ennakkoedellytykseksi ja että sukupuolitietoisen budjetoinnin soveltamista ei pidä edellyttää pakollisena välineenä;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ymmärtää, että arvosanan 0* saaneiden maksusitoumusten osuuden väheneminen vuosien saatossa on seuraus komission raportointivalmiuden parantumisesta, minkä ansiosta sen pääosastot voivat arvioida paremmin ohjelmiensa vaikutusta sukupuolten tasa-arvon edistämiseen entistä yksityiskohtaisemmalla tasolla;</w:t>
            </w:r>
          </w:p>
        </w:tc>
        <w:tc>
          <w:tcPr>
            <w:tcW w:w="4876" w:type="dxa"/>
            <w:tcBorders>
              <w:top w:val="nil"/>
              <w:left w:val="nil"/>
              <w:bottom w:val="nil"/>
              <w:right w:val="nil"/>
            </w:tcBorders>
          </w:tcPr>
          <w:p>
            <w:pPr>
              <w:pStyle w:val="Normal6a"/>
            </w:pPr>
            <w:r>
              <w:t>9.</w:t>
            </w:r>
            <w:r>
              <w:tab/>
            </w:r>
            <w:r>
              <w:t xml:space="preserve">ymmärtää, että arvosanan 0* saaneiden maksusitoumusten osuuden väheneminen vuosien saatossa on seuraus </w:t>
            </w:r>
            <w:r>
              <w:rPr>
                <w:b/>
                <w:i/>
              </w:rPr>
              <w:t>tietojen keräämisen ja saatavuuden sekä</w:t>
            </w:r>
            <w:r>
              <w:t xml:space="preserve"> komission raportointivalmiuden parantumisesta, minkä ansiosta sen pääosastot voivat arvioida paremmin ohjelmiensa vaikutusta sukupuolten tasa-arvon edistämiseen entistä yksityiskohtaisemmalla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ymmärtää myös, että tämän menetelmän soveltamisen ensimmäisiä varainhoitovuosia vaivanneiden rajallisten raportointivalmiuksien vuoksi ei ole järin hyödyllistä vertailla keskenään varainhoitovuosien lukuja vuosittaisten tulosten perusteella tai tehdä päätelmiä tällaisten vertailujen pohjalta;</w:t>
            </w:r>
          </w:p>
        </w:tc>
        <w:tc>
          <w:tcPr>
            <w:tcW w:w="4876" w:type="dxa"/>
            <w:tcBorders>
              <w:top w:val="nil"/>
              <w:left w:val="nil"/>
              <w:bottom w:val="nil"/>
              <w:right w:val="nil"/>
            </w:tcBorders>
          </w:tcPr>
          <w:p>
            <w:pPr>
              <w:pStyle w:val="Normal6a"/>
            </w:pPr>
            <w:r>
              <w:t>10.</w:t>
            </w:r>
            <w:r>
              <w:tab/>
            </w:r>
            <w:r>
              <w:t xml:space="preserve">ymmärtää myös, että tämän menetelmän soveltamisen ensimmäisiä varainhoitovuosia vaivanneiden </w:t>
            </w:r>
            <w:r>
              <w:rPr>
                <w:b/>
                <w:i/>
              </w:rPr>
              <w:t>tietojen rajallisen saatavuuden ja</w:t>
            </w:r>
            <w:r>
              <w:t xml:space="preserve"> rajallisten raportointivalmiuksien vuoksi ei ole järin hyödyllistä vertailla keskenään varainhoitovuosien lukuja vuosittaisten tulosten perusteella tai tehdä päätelmiä tällaisten vertailujen pohjalta;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pitää valitettavana, että koska käytetty menetelmä on suunniteltu nimenomaan toimintatalousarvioiden seurantavälineeksi, sen avulla ei voida arvioida asianmukaisesti unionin toimielinten ja elinten hallinnollisia talousarvioita;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pitää valitettavana</w:t>
            </w:r>
            <w:r>
              <w:t xml:space="preserve">, että koska </w:t>
            </w:r>
            <w:r>
              <w:rPr>
                <w:b/>
                <w:i/>
              </w:rPr>
              <w:t>käytetty</w:t>
            </w:r>
            <w:r>
              <w:t xml:space="preserve"> menetelmä on suunniteltu </w:t>
            </w:r>
            <w:r>
              <w:rPr>
                <w:b/>
                <w:i/>
              </w:rPr>
              <w:t>nimenomaan toimintatalousarvioiden seurantavälineeksi</w:t>
            </w:r>
            <w:r>
              <w:t xml:space="preserve">, sen avulla ei voida </w:t>
            </w:r>
            <w:r>
              <w:rPr>
                <w:b/>
                <w:i/>
              </w:rPr>
              <w:t>arvioida</w:t>
            </w:r>
            <w:r>
              <w:t xml:space="preserve"> asianmukaisesti unionin toimielinten ja elinten </w:t>
            </w:r>
            <w:r>
              <w:rPr>
                <w:b/>
                <w:i/>
              </w:rPr>
              <w:t>hallinnollisia talousarvioita</w:t>
            </w:r>
            <w:r>
              <w:t>;</w:t>
            </w:r>
          </w:p>
        </w:tc>
        <w:tc>
          <w:tcPr>
            <w:tcW w:w="4876" w:type="dxa"/>
            <w:tcBorders>
              <w:top w:val="nil"/>
              <w:left w:val="nil"/>
              <w:bottom w:val="nil"/>
              <w:right w:val="nil"/>
            </w:tcBorders>
          </w:tcPr>
          <w:p>
            <w:pPr>
              <w:pStyle w:val="Normal6a"/>
            </w:pPr>
            <w:r>
              <w:t>15.</w:t>
            </w:r>
            <w:r>
              <w:tab/>
            </w:r>
            <w:r>
              <w:rPr>
                <w:b/>
                <w:i/>
              </w:rPr>
              <w:t>panee merkille</w:t>
            </w:r>
            <w:r>
              <w:t xml:space="preserve">, että koska </w:t>
            </w:r>
            <w:r>
              <w:rPr>
                <w:b/>
                <w:i/>
              </w:rPr>
              <w:t>nykyinen</w:t>
            </w:r>
            <w:r>
              <w:t xml:space="preserve"> menetelmä on suunniteltu </w:t>
            </w:r>
            <w:r>
              <w:rPr>
                <w:b/>
                <w:i/>
              </w:rPr>
              <w:t>ensisijaisesti toimintatalousarvioita varten</w:t>
            </w:r>
            <w:r>
              <w:t>, sen avulla ei voida asianmukaisesti</w:t>
            </w:r>
            <w:r>
              <w:rPr>
                <w:b/>
                <w:i/>
              </w:rPr>
              <w:t> arvioida</w:t>
            </w:r>
            <w:r>
              <w:t xml:space="preserve"> unionin toimielinten ja elinten </w:t>
            </w:r>
            <w:r>
              <w:rPr>
                <w:b/>
                <w:i/>
              </w:rPr>
              <w:t>hallinnollisten talousarvioiden vaikutuksia sukupuolten tasa-arvoon, sillä niillä on merkitystä myös sukupuolten tasa-arvon valtavirtaistamista koskevien yleisten pyrkimysten kannalta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pitää valitettavana, että menetelmä</w:t>
            </w:r>
            <w:r>
              <w:t xml:space="preserve"> on rajallinen </w:t>
            </w:r>
            <w:r>
              <w:rPr>
                <w:b/>
                <w:i/>
              </w:rPr>
              <w:t>väline, jolla</w:t>
            </w:r>
            <w:r>
              <w:t xml:space="preserve"> ei voida ottaa asianmukaisesti huomioon ohjelmien toissijaisia vaikutuksia sukupuolten tasa-arvoon, </w:t>
            </w:r>
            <w:r>
              <w:rPr>
                <w:b/>
                <w:i/>
              </w:rPr>
              <w:t>ohjelmien</w:t>
            </w:r>
            <w:r>
              <w:t xml:space="preserve"> mahdollisia kielteisiä vaikutuksia </w:t>
            </w:r>
            <w:r>
              <w:rPr>
                <w:b/>
                <w:i/>
              </w:rPr>
              <w:t>sukupuolten tasa-arvoon tai muita yhteiskunnallisia tekijöitä, joita tarvitaan</w:t>
            </w:r>
            <w:r>
              <w:t xml:space="preserve"> toimintapolitiikan vaikutusten </w:t>
            </w:r>
            <w:r>
              <w:rPr>
                <w:b/>
                <w:i/>
              </w:rPr>
              <w:t>intersektionaaliseen</w:t>
            </w:r>
            <w:r>
              <w:t xml:space="preserve"> arviointiin;</w:t>
            </w:r>
          </w:p>
        </w:tc>
        <w:tc>
          <w:tcPr>
            <w:tcW w:w="4876" w:type="dxa"/>
            <w:tcBorders>
              <w:top w:val="nil"/>
              <w:left w:val="nil"/>
              <w:bottom w:val="nil"/>
              <w:right w:val="nil"/>
            </w:tcBorders>
          </w:tcPr>
          <w:p>
            <w:pPr>
              <w:pStyle w:val="Normal6a"/>
            </w:pPr>
            <w:r>
              <w:t>16.</w:t>
            </w:r>
            <w:r>
              <w:tab/>
            </w:r>
            <w:r>
              <w:rPr>
                <w:b/>
                <w:i/>
              </w:rPr>
              <w:t>panee merkille, että menetelmän soveltamisala</w:t>
            </w:r>
            <w:r>
              <w:t xml:space="preserve"> on rajallinen</w:t>
            </w:r>
            <w:r>
              <w:rPr>
                <w:b/>
                <w:i/>
              </w:rPr>
              <w:t>, koska sillä</w:t>
            </w:r>
            <w:r>
              <w:t xml:space="preserve"> ei voida ottaa asianmukaisesti huomioon ohjelmien toissijaisia </w:t>
            </w:r>
            <w:r>
              <w:rPr>
                <w:b/>
                <w:i/>
              </w:rPr>
              <w:t>tai välillisiä</w:t>
            </w:r>
            <w:r>
              <w:t xml:space="preserve"> vaikutuksia sukupuolten tasa-arvoon, mahdollisia kielteisiä vaikutuksia </w:t>
            </w:r>
            <w:r>
              <w:rPr>
                <w:b/>
                <w:i/>
              </w:rPr>
              <w:t>tai intersektionaalisia ulottuvuuksia, jotka ovat välttämättömiä</w:t>
            </w:r>
            <w:r>
              <w:t xml:space="preserve"> toimintapolitiikan vaikutusten </w:t>
            </w:r>
            <w:r>
              <w:rPr>
                <w:b/>
                <w:i/>
              </w:rPr>
              <w:t>kattavaan</w:t>
            </w:r>
            <w:r>
              <w:t xml:space="preserve"> arviointiin;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pitää valitettavana, että menetelmä on rajallinen väline, jolla ei voida ottaa asianmukaisesti huomioon ohjelmien toissijaisia vaikutuksia sukupuolten tasa-arvoon, ohjelmien mahdollisia kielteisiä vaikutuksia sukupuolten tasa-arvoon tai muita yhteiskunnallisia tekijöitä</w:t>
            </w:r>
            <w:r>
              <w:rPr>
                <w:b/>
                <w:i/>
              </w:rPr>
              <w:t>, joita tarvitaan toimintapolitiikan vaikutusten intersektionaaliseen arviointiin</w:t>
            </w:r>
            <w:r>
              <w:t>;</w:t>
            </w:r>
          </w:p>
        </w:tc>
        <w:tc>
          <w:tcPr>
            <w:tcW w:w="4876" w:type="dxa"/>
            <w:tcBorders>
              <w:top w:val="nil"/>
              <w:left w:val="nil"/>
              <w:bottom w:val="nil"/>
              <w:right w:val="nil"/>
            </w:tcBorders>
          </w:tcPr>
          <w:p>
            <w:pPr>
              <w:pStyle w:val="Normal6a"/>
            </w:pPr>
            <w:r>
              <w:t>16.</w:t>
            </w:r>
            <w:r>
              <w:tab/>
            </w:r>
            <w:r>
              <w:t>pitää valitettavana, että menetelmä on rajallinen väline, jolla ei voida ottaa asianmukaisesti huomioon ohjelmien toissijaisia vaikutuksia sukupuolten tasa-arvoon, ohjelmien mahdollisia kielteisiä vaikutuksia sukupuolten tasa-arvoon tai muita yhteiskunnallisia tekijöitä;</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pitää lisäksi valitettavana, että ohjelmien mahdollisia kielteisiä vaikutuksia sukupuolten tasa-arvoon ei ole huomioitu, kun otetaan erityisesti huomioon, että esimerkiksi kilpailukyvyn, puolustuksen ja varautumisen alan ohjelmien on raportoitu suoriutuneen heikosti sukupuolten tasa-arvon edistämisessä;</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pitää</w:t>
            </w:r>
            <w:r>
              <w:t xml:space="preserve"> lisäksi </w:t>
            </w:r>
            <w:r>
              <w:rPr>
                <w:b/>
                <w:i/>
              </w:rPr>
              <w:t>valitettavana</w:t>
            </w:r>
            <w:r>
              <w:t xml:space="preserve">, että ohjelmien mahdollisia kielteisiä vaikutuksia sukupuolten tasa-arvoon ei ole huomioitu, </w:t>
            </w:r>
            <w:r>
              <w:rPr>
                <w:b/>
                <w:i/>
              </w:rPr>
              <w:t>kun otetaan erityisesti huomioon, että</w:t>
            </w:r>
            <w:r>
              <w:t xml:space="preserve"> esimerkiksi kilpailukyvyn, puolustuksen ja varautumisen </w:t>
            </w:r>
            <w:r>
              <w:rPr>
                <w:b/>
                <w:i/>
              </w:rPr>
              <w:t>alan ohjelmien on raportoitu suoriutuneen heikosti sukupuolten tasa-arvon edistämisessä</w:t>
            </w:r>
            <w:r>
              <w:t>;</w:t>
            </w:r>
          </w:p>
        </w:tc>
        <w:tc>
          <w:tcPr>
            <w:tcW w:w="4876" w:type="dxa"/>
            <w:tcBorders>
              <w:top w:val="nil"/>
              <w:left w:val="nil"/>
              <w:bottom w:val="nil"/>
              <w:right w:val="nil"/>
            </w:tcBorders>
          </w:tcPr>
          <w:p>
            <w:pPr>
              <w:pStyle w:val="Normal6a"/>
            </w:pPr>
            <w:r>
              <w:t>17.</w:t>
            </w:r>
            <w:r>
              <w:tab/>
            </w:r>
            <w:r>
              <w:rPr>
                <w:b/>
                <w:i/>
              </w:rPr>
              <w:t>panee</w:t>
            </w:r>
            <w:r>
              <w:t xml:space="preserve"> lisäksi </w:t>
            </w:r>
            <w:r>
              <w:rPr>
                <w:b/>
                <w:i/>
              </w:rPr>
              <w:t>merkille</w:t>
            </w:r>
            <w:r>
              <w:t xml:space="preserve">, että ohjelmien mahdollisia kielteisiä vaikutuksia sukupuolten tasa-arvoon ei ole </w:t>
            </w:r>
            <w:r>
              <w:rPr>
                <w:b/>
                <w:i/>
              </w:rPr>
              <w:t>riittävästi</w:t>
            </w:r>
            <w:r>
              <w:t xml:space="preserve"> huomioitu, </w:t>
            </w:r>
            <w:r>
              <w:rPr>
                <w:b/>
                <w:i/>
              </w:rPr>
              <w:t>etenkään</w:t>
            </w:r>
            <w:r>
              <w:t xml:space="preserve"> esimerkiksi kilpailukyvyn, puolustuksen ja varautumisen </w:t>
            </w:r>
            <w:r>
              <w:rPr>
                <w:b/>
                <w:i/>
              </w:rPr>
              <w:t>aloilla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pitää valitettavana, että menetelmällä ei voida sen jälkikäteisen luonteen vuoksi vaikuttaa rakenteellisesti</w:t>
            </w:r>
            <w:r>
              <w:t xml:space="preserve"> toimintapolitiikkojen suunnitteluun niiden valmisteluvaiheessa </w:t>
            </w:r>
            <w:r>
              <w:rPr>
                <w:b/>
                <w:i/>
              </w:rPr>
              <w:t>eikä rahoitusvarojen keruuseen ja kohdentamiseen</w:t>
            </w:r>
            <w:r>
              <w:t xml:space="preserve">, mikä on </w:t>
            </w:r>
            <w:r>
              <w:rPr>
                <w:b/>
                <w:i/>
              </w:rPr>
              <w:t>välttämätöntä</w:t>
            </w:r>
            <w:r>
              <w:t xml:space="preserve">, jotta sukupuolten tasa-arvo voidaan valtavirtaistaa </w:t>
            </w:r>
            <w:r>
              <w:rPr>
                <w:b/>
                <w:i/>
              </w:rPr>
              <w:t>asianmukaisesti</w:t>
            </w:r>
            <w:r>
              <w:t xml:space="preserve"> osaksi unionin ohjelmia;</w:t>
            </w:r>
          </w:p>
        </w:tc>
        <w:tc>
          <w:tcPr>
            <w:tcW w:w="4876" w:type="dxa"/>
            <w:tcBorders>
              <w:top w:val="nil"/>
              <w:left w:val="nil"/>
              <w:bottom w:val="nil"/>
              <w:right w:val="nil"/>
            </w:tcBorders>
          </w:tcPr>
          <w:p>
            <w:pPr>
              <w:pStyle w:val="Normal6a"/>
            </w:pPr>
            <w:r>
              <w:t>18.</w:t>
            </w:r>
            <w:r>
              <w:tab/>
            </w:r>
            <w:r>
              <w:rPr>
                <w:b/>
                <w:i/>
              </w:rPr>
              <w:t>toteaa, että menetelmän jälkikäteistä luonnetta voitaisiin parantaa, jotta</w:t>
            </w:r>
            <w:r>
              <w:t xml:space="preserve"> toimintapolitiikkojen suunnitteluun </w:t>
            </w:r>
            <w:r>
              <w:rPr>
                <w:b/>
                <w:i/>
              </w:rPr>
              <w:t>ja resurssien kohdentamiseen olisi helpompi vaikuttaa rakenteellisesti</w:t>
            </w:r>
            <w:r>
              <w:t xml:space="preserve"> niiden valmisteluvaiheessa, mikä on </w:t>
            </w:r>
            <w:r>
              <w:rPr>
                <w:b/>
                <w:i/>
              </w:rPr>
              <w:t>ensiarvoisen tärkeää</w:t>
            </w:r>
            <w:r>
              <w:t xml:space="preserve">, jotta sukupuolten tasa-arvo voidaan </w:t>
            </w:r>
            <w:r>
              <w:rPr>
                <w:b/>
                <w:i/>
              </w:rPr>
              <w:t>tehokkaasti</w:t>
            </w:r>
            <w:r>
              <w:t xml:space="preserve"> valtavirtaistaa osaksi unionin ohjelmia;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muistuttaa, että sosiaalipolitiikka ja sukupuolten tasa-arvo kuuluvat toissijaisuusperiaatteen nojalla jäsenvaltioiden toimivaltaan, minkä vuoksi niitä koskeviin toimenpiteisiin ei pitäisi velvoittaa EU:n talousarviokehyksessä;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toteaa, että unionin talousarvion seurantaan ja ohjelmien oikeusperustoissa asettavien tavoitteiden vahvistamiseen jakautuva</w:t>
            </w:r>
            <w:r>
              <w:t xml:space="preserve"> komission kaksiosainen lähestymistapa sukupuolten tasa-arvon valtavirtaistamiseen </w:t>
            </w:r>
            <w:r>
              <w:rPr>
                <w:b/>
                <w:i/>
              </w:rPr>
              <w:t>on hyödyllinen kehys</w:t>
            </w:r>
            <w:r>
              <w:t xml:space="preserve">, mutta </w:t>
            </w:r>
            <w:r>
              <w:rPr>
                <w:b/>
                <w:i/>
              </w:rPr>
              <w:t>tämä lähestymistapa on pirstoutunut, eikä se vaikuta samassa määrin kaikkiin ohjelmiin, minkä vuoksi se heikentää sukupuolten tasa-arvoa koskevan unionin lähestymistavan</w:t>
            </w:r>
            <w:r>
              <w:t xml:space="preserve"> johdonmukaisuutta;</w:t>
            </w:r>
          </w:p>
        </w:tc>
        <w:tc>
          <w:tcPr>
            <w:tcW w:w="4876" w:type="dxa"/>
            <w:tcBorders>
              <w:top w:val="nil"/>
              <w:left w:val="nil"/>
              <w:bottom w:val="nil"/>
              <w:right w:val="nil"/>
            </w:tcBorders>
          </w:tcPr>
          <w:p>
            <w:pPr>
              <w:pStyle w:val="Normal6a"/>
            </w:pPr>
            <w:r>
              <w:t>20.</w:t>
            </w:r>
            <w:r>
              <w:tab/>
            </w:r>
            <w:r>
              <w:rPr>
                <w:b/>
                <w:i/>
              </w:rPr>
              <w:t>panee merkille, että</w:t>
            </w:r>
            <w:r>
              <w:t xml:space="preserve"> komission kaksiosainen lähestymistapa sukupuolten tasa-arvon valtavirtaistamiseen </w:t>
            </w:r>
            <w:r>
              <w:rPr>
                <w:b/>
                <w:i/>
              </w:rPr>
              <w:t>käsittää talousarvion seurannan ja ohjelmien tavoitteiden vahvistamisen ja että se tarjoaa hyödyllisen kehyksen</w:t>
            </w:r>
            <w:r>
              <w:t xml:space="preserve">, mutta </w:t>
            </w:r>
            <w:r>
              <w:rPr>
                <w:b/>
                <w:i/>
              </w:rPr>
              <w:t>toteaa, että lähestymistavassa on ohjelmien välisiä eroja ja että voisi olla hyödyllistä lisätä sen</w:t>
            </w:r>
            <w:r>
              <w:t xml:space="preserve"> johdonmukaisuutta</w:t>
            </w:r>
            <w:r>
              <w:rPr>
                <w:b/>
                <w:i/>
              </w:rPr>
              <w:t>, jotta voidaan varmistaa yhdenmukaisempi vaikutus sukupuolten tasa-arvoon kaikkialla unionissa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muistuttaa ja pitää myönteisenä, että vuoden 2024 varainhoitoasetuksessa vahvistetaan sukupuolten tasa-arvon periaatteiden valtavirtaistamista EU:n talousarviossa, tarvittaessa myös käyttämällä ja keräämällä sukupuolen mukaan luokiteltuja tietoja;</w:t>
            </w:r>
            <w:r>
              <w:t xml:space="preserve"> </w:t>
            </w:r>
            <w:r>
              <w:rPr>
                <w:b/>
                <w:i/>
              </w:rPr>
              <w:t>katsoo, että nämä vaatimukset voivat helpottaa sukupuolitietoisen budjetoinnin ottamista osaksi koko talousarviosykliä sisällyttämällä tuleviin EU:n ohjelmiin alusta alkaen sukupuoleen liittyviä indikaattoreita;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b.</w:t>
            </w:r>
            <w:r>
              <w:tab/>
            </w:r>
            <w:r>
              <w:rPr>
                <w:b/>
                <w:i/>
              </w:rPr>
              <w:t>panee merkille sukupuolten tasa-arvon valtavirtaistamisen toteuttamista EU:n talousarviossa koskevan komission arvion, joka sisältyy vaikutustenarviointiin, joka on liitetty komission ehdotukseen asetukseksi talousarvion menojen seurantaa ja tuloksellisuutta koskevan kehyksen sekä unionin ohjelmia ja toimintaa koskevien muiden horisontaalisten sääntöjen vahvistamisesta;</w:t>
            </w:r>
            <w:r>
              <w:t xml:space="preserve"> </w:t>
            </w:r>
            <w:r>
              <w:rPr>
                <w:b/>
                <w:i/>
              </w:rPr>
              <w:t>katsoo, että on tarpeen tehdä erityinen arviointi sukupuolten tasa-arvoa koskevien tavoitteiden valtavirtaistamisesta vuosien 2021–2027 monivuotisessa rahoituskehyksessä, jotta voidaan paremmin seurata EU:n talousarvion vaikutusta sukupuolten tasa-arvoon seuraavalla ohjelmakaudella ja jotta mahdollistetaan myös sukupuolitietoinen budjetointi koko talousarviosyklissä;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on yhtä mieltä siitä, että vuosien 2021–2027 monivuotisen rahoituskehyksen jäljellä olevina vuosina painopisteenä olisi oltava ohjelmien arvioinnin jatkaminen </w:t>
            </w:r>
            <w:r>
              <w:rPr>
                <w:b/>
                <w:i/>
              </w:rPr>
              <w:t>yksityiskohtaisimmalla mahdollisella tasolla</w:t>
            </w:r>
            <w:r>
              <w:t>, jotta voidaan paremmin arvioida niiden vaikutusta sukupuolten tasa-arvon edistämiseen ja ottaa oppia niiden täytäntöönpanosta hyödyntämällä hyvin vuodesta 2023 alkaen käytössä ollutta parannettua sukupuolten mukaan eriteltyjen tietojen raportointia;</w:t>
            </w:r>
          </w:p>
        </w:tc>
        <w:tc>
          <w:tcPr>
            <w:tcW w:w="4876" w:type="dxa"/>
            <w:tcBorders>
              <w:top w:val="nil"/>
              <w:left w:val="nil"/>
              <w:bottom w:val="nil"/>
              <w:right w:val="nil"/>
            </w:tcBorders>
          </w:tcPr>
          <w:p>
            <w:pPr>
              <w:pStyle w:val="Normal6a"/>
            </w:pPr>
            <w:r>
              <w:t>21.</w:t>
            </w:r>
            <w:r>
              <w:tab/>
            </w:r>
            <w:r>
              <w:t xml:space="preserve">on yhtä mieltä siitä, että vuosien 2021–2027 monivuotisen rahoituskehyksen jäljellä olevina vuosina painopisteenä olisi oltava ohjelmien arvioinnin jatkaminen, jotta voidaan paremmin arvioida niiden vaikutusta sukupuolten tasa-arvon edistämiseen ja ottaa oppia niiden täytäntöönpanosta hyödyntämällä hyvin vuodesta 2023 alkaen käytössä ollutta parannettua sukupuolten mukaan eriteltyjen tietojen raportointia; </w:t>
            </w:r>
            <w:r>
              <w:rPr>
                <w:b/>
                <w:i/>
              </w:rPr>
              <w:t>korostaa tarvetta tehostaa yhteistyötä kaikkien jäsenvaltioiden kanssa menetelmien yhdenmukaistamiseksi ja hajanaisen lähestymistavan välttämiseksi;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kehottaa komissiota tekemään kattavan arvioinnin, joka koskee nimenomaan sukupuolten tasa-arvoa koskevien tavoitteiden valtavirtaistamista vuosien 2021–2027 monivuotisessa rahoituskehyksessä, jotta voidaan myös mahdollistaa sukupuolitietoinen budjetointi koko talousarviosyklissä seuraavan ohjelmakauden alusta alkaen;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pyytää, että kaikissa tulevissa EU:n talousarvion arvioinneissa keskitytään yksinomaan finanssipoliittiseen vastuuseen, taloudelliseen tuottoon ja tehokkuuteen ilman, että niissä viitataan sukupuolilähtöisiin menetelmiin;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toteaa, että komission kehittämä menetelmä </w:t>
            </w:r>
            <w:r>
              <w:rPr>
                <w:b/>
                <w:i/>
              </w:rPr>
              <w:t>auttaa tarkastelemaan sitä, miten</w:t>
            </w:r>
            <w:r>
              <w:t xml:space="preserve"> unionin </w:t>
            </w:r>
            <w:r>
              <w:rPr>
                <w:b/>
                <w:i/>
              </w:rPr>
              <w:t>talousarviolla edistetään</w:t>
            </w:r>
            <w:r>
              <w:t xml:space="preserve"> sukupuolten </w:t>
            </w:r>
            <w:r>
              <w:rPr>
                <w:b/>
                <w:i/>
              </w:rPr>
              <w:t>tasa-arvoa, mutta pitää kuitenkin valitettavana, että menetelmän rakenteelliset rajoitteet heikentävät</w:t>
            </w:r>
            <w:r>
              <w:t xml:space="preserve"> sen kykyä saada aikaan käänteentekeviä vaikutuksia</w:t>
            </w:r>
            <w:r>
              <w:rPr>
                <w:b/>
                <w:i/>
              </w:rPr>
              <w:t>, mikä on muutettava</w:t>
            </w:r>
            <w:r>
              <w:t>;</w:t>
            </w:r>
          </w:p>
        </w:tc>
        <w:tc>
          <w:tcPr>
            <w:tcW w:w="4876" w:type="dxa"/>
            <w:tcBorders>
              <w:top w:val="nil"/>
              <w:left w:val="nil"/>
              <w:bottom w:val="nil"/>
              <w:right w:val="nil"/>
            </w:tcBorders>
          </w:tcPr>
          <w:p>
            <w:pPr>
              <w:pStyle w:val="Normal6a"/>
            </w:pPr>
            <w:r>
              <w:t>22.</w:t>
            </w:r>
            <w:r>
              <w:tab/>
            </w:r>
            <w:r>
              <w:t xml:space="preserve">toteaa, että </w:t>
            </w:r>
            <w:r>
              <w:rPr>
                <w:b/>
                <w:i/>
              </w:rPr>
              <w:t>vaikka</w:t>
            </w:r>
            <w:r>
              <w:t xml:space="preserve"> komission kehittämä menetelmä </w:t>
            </w:r>
            <w:r>
              <w:rPr>
                <w:b/>
                <w:i/>
              </w:rPr>
              <w:t>on hyödyllinen väline arvioitaessa</w:t>
            </w:r>
            <w:r>
              <w:t xml:space="preserve"> unionin </w:t>
            </w:r>
            <w:r>
              <w:rPr>
                <w:b/>
                <w:i/>
              </w:rPr>
              <w:t>talousarvion vaikutusta</w:t>
            </w:r>
            <w:r>
              <w:t xml:space="preserve"> sukupuolten </w:t>
            </w:r>
            <w:r>
              <w:rPr>
                <w:b/>
                <w:i/>
              </w:rPr>
              <w:t>tasa-arvoon, siihen liittyy rajoitteita, jotka voivat haitata</w:t>
            </w:r>
            <w:r>
              <w:t xml:space="preserve"> sen kykyä saada aikaan käänteentekeviä vaikutuksia;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toteaa, että komission kehittämä menetelmä auttaa tarkastelemaan sitä, miten unionin talousarviolla edistetään sukupuolten tasa-arvoa, mutta pitää kuitenkin valitettavana, että menetelmän rakenteelliset rajoitteet heikentävät sen kykyä saada aikaan käänteentekeviä vaikutuksia, mikä on muutettava;</w:t>
            </w:r>
          </w:p>
        </w:tc>
        <w:tc>
          <w:tcPr>
            <w:tcW w:w="4876" w:type="dxa"/>
            <w:tcBorders>
              <w:top w:val="nil"/>
              <w:left w:val="nil"/>
              <w:bottom w:val="nil"/>
              <w:right w:val="nil"/>
            </w:tcBorders>
          </w:tcPr>
          <w:p>
            <w:pPr>
              <w:pStyle w:val="Normal6a"/>
            </w:pPr>
            <w:r>
              <w:t>22.</w:t>
            </w:r>
            <w:r>
              <w:tab/>
            </w:r>
            <w:r>
              <w:t xml:space="preserve">toteaa, että komission kehittämä menetelmä auttaa tarkastelemaan sitä, miten unionin talousarviolla edistetään sukupuolten tasa-arvoa, mutta pitää kuitenkin valitettavana, että menetelmän rakenteelliset rajoitteet heikentävät sen kykyä saada aikaan käänteentekeviä vaikutuksia, mikä on muutettava; </w:t>
            </w:r>
            <w:r>
              <w:rPr>
                <w:b/>
                <w:i/>
              </w:rPr>
              <w:t>korostaa, että menetelmiin olisi sisällyttävä mitattavissa olevia keskeisiä indikaattoreita sen varmistamiseksi, että sukupuolitietoisen budjetoinnin avulla saadaan aikaan vaikuttavia tuloksia;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korostaa, että useat kriisit ja poliittisten painopisteiden muutokset vaikuttavat unionin talousarvioon, minkä vuoksi on olennaisen tärkeää sisällyttää sukupuolitietoinen budjetointi keskeiseksi osaksi ohjelmien talousarviosykliä niiden valmisteluvaiheessa, myös uusilla painopistealueilla, joita ovat esimerkiksi kilpailukyky, puolustus ja varautuminen;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korostaa, että useat kriisit ja poliittisten painopisteiden muutokset vaikuttavat unionin talousarvioon, minkä vuoksi on olennaisen tärkeää sisällyttää sukupuolitietoinen budjetointi keskeiseksi osaksi ohjelmien talousarviosykliä niiden valmisteluvaiheessa, myös uusilla painopistealueilla, joita ovat esimerkiksi kilpailukyky, puolustus ja varautuminen;</w:t>
            </w:r>
          </w:p>
        </w:tc>
        <w:tc>
          <w:tcPr>
            <w:tcW w:w="4876" w:type="dxa"/>
            <w:tcBorders>
              <w:top w:val="nil"/>
              <w:left w:val="nil"/>
              <w:bottom w:val="nil"/>
              <w:right w:val="nil"/>
            </w:tcBorders>
          </w:tcPr>
          <w:p>
            <w:pPr>
              <w:pStyle w:val="Normal6a"/>
            </w:pPr>
            <w:r>
              <w:t>23.</w:t>
            </w:r>
            <w:r>
              <w:tab/>
            </w:r>
            <w:r>
              <w:t xml:space="preserve">korostaa, että useat kriisit ja poliittisten painopisteiden muutokset vaikuttavat unionin talousarvioon, minkä vuoksi on olennaisen tärkeää sisällyttää sukupuolitietoinen budjetointi </w:t>
            </w:r>
            <w:r>
              <w:rPr>
                <w:b/>
                <w:i/>
              </w:rPr>
              <w:t>oikeassa suhteessa</w:t>
            </w:r>
            <w:r>
              <w:t xml:space="preserve"> keskeiseksi osaksi ohjelmien talousarviosykliä niiden valmisteluvaiheessa, myös uusilla painopistealueilla, joita ovat esimerkiksi kilpailukyky, puolustus ja varautuminen;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a.</w:t>
            </w:r>
            <w:r>
              <w:tab/>
            </w:r>
            <w:r>
              <w:rPr>
                <w:b/>
                <w:i/>
                <w:vertAlign w:val="superscript"/>
              </w:rPr>
              <w:t>muistuttaa, että biologinen sukupuoli määritellään geneettisten, kromosomeihin liittyvien ja fysiologisten tekijöiden, kuten lisääntymiselinten ja hormonien, perusteella, kun taas sosiaalinen sukupuoli on sosiaalinen ja kulttuurinen käsiterakenne, joka kattaa yksilöille yhteiskunnassa ominaisiksi katsottavat roolit, käyttäytymismallit ja identiteetit;</w:t>
            </w:r>
            <w:r>
              <w:t xml:space="preserve"> </w:t>
            </w:r>
            <w:r>
              <w:rPr>
                <w:b/>
                <w:i/>
                <w:vertAlign w:val="superscript"/>
              </w:rPr>
              <w:t>katsoo, että sukupuoliulottuvuutta ei pitäisi sisällyttää talousarvioprosessin ennakko- eikä jälkitoimiin eikä sitä varsinkaan pidä soveltaa sellaisiin osa-alueisiin kuten kilpailukyky, puolustus ja varautuminen;</w:t>
            </w:r>
            <w:r>
              <w:t xml:space="preserve"> </w:t>
            </w:r>
            <w:r>
              <w:rPr>
                <w:b/>
                <w:i/>
              </w:rPr>
              <w:t>toteaa, että biologinen sukupuoli määräytyy geneettisten, kromosomeihin liittyvien ja fysiologisten ominaisuuksien perusteella, mukaan lukien lisääntymiseen liittyvä anatomia ja hormonaaliset profiilit, jotka ovat miehillä ja naisilla erilaiset1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 b.</w:t>
            </w:r>
            <w:r>
              <w:tab/>
            </w:r>
            <w:r>
              <w:rPr>
                <w:b/>
                <w:i/>
              </w:rPr>
              <w:t>kehottaa nimenomaisesti jättämään kilpailukyvyn, puolustuksen, turvallisuuden, tutkimuksen ja strategisen varautumisen sukupuoliperusteisen budjetoinnin soveltamisalan ulkopuolelle, koska näillä aloilla on asetettava etusijalle tehokkuus, häiriönsietokyky ja objektiiviset tulosindikaattorit;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a.</w:t>
            </w:r>
            <w:r>
              <w:tab/>
            </w:r>
            <w:r>
              <w:rPr>
                <w:b/>
                <w:i/>
              </w:rPr>
              <w:t>kehottaa ohjaamaan resursseja ensisijaisesti sellaisiin ohjelmiin, joilla torjutaan perheväkivaltaa, ihmiskauppaa, seksuaalista hyväksikäyttöä ja työpaikalla tapahtuvaa syrjintää, sen sijaan, että sukupuolten tasa-arvon valtavirtaistaminen sisällytettäisiin talousarvion kaikkiin osa-alueisiin;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vaatii, että monivuotisen rahoituskehyksen lisäksi olisi varmistettava, että kaikki Euroopan unionin toiminnasta tehdyn sopimuksen 122 artiklan nojalla käyttöönotetut välineet sisältävät vankat sukupuolten tasa-arvon valtavirtaistamista ja sukupuolitietoista budjetointia koskevat säännökset, ja toteaa, että näin ei ole aina ollut, mikä voi johtaa puutteisiin välillisen hallinnoinnin ohjelmien täytäntöönpanossa;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vaatii</w:t>
            </w:r>
            <w:r>
              <w:t xml:space="preserve">, että monivuotisen rahoituskehyksen lisäksi olisi varmistettava, että kaikki Euroopan unionin toiminnasta tehdyn sopimuksen 122 artiklan nojalla käyttöönotetut välineet sisältävät </w:t>
            </w:r>
            <w:r>
              <w:rPr>
                <w:b/>
                <w:i/>
              </w:rPr>
              <w:t>vankat</w:t>
            </w:r>
            <w:r>
              <w:t xml:space="preserve"> sukupuolten tasa-arvon valtavirtaistamista ja sukupuolitietoista budjetointia koskevat säännökset</w:t>
            </w:r>
            <w:r>
              <w:rPr>
                <w:b/>
                <w:i/>
              </w:rPr>
              <w:t>, ja toteaa, että näin ei ole aina ollut, mikä voi johtaa puutteisiin välillisen hallinnoinnin ohjelmien täytäntöönpanossa</w:t>
            </w:r>
            <w:r>
              <w:t>;</w:t>
            </w:r>
          </w:p>
        </w:tc>
        <w:tc>
          <w:tcPr>
            <w:tcW w:w="4876" w:type="dxa"/>
            <w:tcBorders>
              <w:top w:val="nil"/>
              <w:left w:val="nil"/>
              <w:bottom w:val="nil"/>
              <w:right w:val="nil"/>
            </w:tcBorders>
          </w:tcPr>
          <w:p>
            <w:pPr>
              <w:pStyle w:val="Normal6a"/>
            </w:pPr>
            <w:r>
              <w:t>25.</w:t>
            </w:r>
            <w:r>
              <w:tab/>
            </w:r>
            <w:r>
              <w:rPr>
                <w:b/>
                <w:i/>
              </w:rPr>
              <w:t>korostaa</w:t>
            </w:r>
            <w:r>
              <w:t xml:space="preserve">, että monivuotisen rahoituskehyksen lisäksi olisi varmistettava, että kaikki Euroopan unionin toiminnasta tehdyn sopimuksen 122 artiklan nojalla käyttöönotetut välineet sisältävät </w:t>
            </w:r>
            <w:r>
              <w:rPr>
                <w:b/>
                <w:i/>
              </w:rPr>
              <w:t>oikeasuhteiset</w:t>
            </w:r>
            <w:r>
              <w:t xml:space="preserve"> sukupuolten tasa-arvon valtavirtaistamista ja sukupuolitietoista budjetointia koskevat säännökset </w:t>
            </w:r>
            <w:r>
              <w:rPr>
                <w:b/>
                <w:i/>
              </w:rPr>
              <w:t>mutta niillä ei saa muuttaa alakohtaisessa lainsäädännössä vahvistettuja ohjelmatavoitteita eikä tukikelpoisuus- tai myöntämisperusteita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vaatii, että monivuotisen rahoituskehyksen lisäksi olisi varmistettava, että kaikki Euroopan unionin toiminnasta tehdyn sopimuksen 122 artiklan nojalla käyttöönotetut välineet sisältävät vankat sukupuolten tasa-arvon valtavirtaistamista ja sukupuolitietoista budjetointia koskevat säännökset, </w:t>
            </w:r>
            <w:r>
              <w:rPr>
                <w:b/>
                <w:i/>
              </w:rPr>
              <w:t>ja toteaa, että näin ei ole aina ollut, mikä voi johtaa puutteisiin välillisen hallinnoinnin ohjelmien täytäntöönpanossa</w:t>
            </w:r>
            <w:r>
              <w:t>;</w:t>
            </w:r>
          </w:p>
        </w:tc>
        <w:tc>
          <w:tcPr>
            <w:tcW w:w="4876" w:type="dxa"/>
            <w:tcBorders>
              <w:top w:val="nil"/>
              <w:left w:val="nil"/>
              <w:bottom w:val="nil"/>
              <w:right w:val="nil"/>
            </w:tcBorders>
          </w:tcPr>
          <w:p>
            <w:pPr>
              <w:pStyle w:val="Normal6a"/>
            </w:pPr>
            <w:r>
              <w:t>25.</w:t>
            </w:r>
            <w:r>
              <w:tab/>
            </w:r>
            <w:r>
              <w:t xml:space="preserve">vaatii, että monivuotisen rahoituskehyksen lisäksi olisi varmistettava, että kaikki Euroopan unionin toiminnasta tehdyn sopimuksen 122 artiklan nojalla käyttöönotetut välineet sisältävät vankat sukupuolten tasa-arvon valtavirtaistamista ja sukupuolitietoista budjetointia koskevat säännökset, </w:t>
            </w:r>
            <w:r>
              <w:rPr>
                <w:b/>
                <w:i/>
              </w:rPr>
              <w:t>jotta voidaan seurata kattavasti ja johdonmukaisesti sitä, miten EU osaltaan edistää sukupuolten tasa-arvoa kaikissa rahoitusvälineissä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painottaa, että unionin talousarviomäärärahoissa olisi asetettava etusijalle toimenpiteet, joilla pyritään vahvistamaan perhettä, tukemaan vanhempia lasten kasvatuksessa, varmistamaan kohtuuhintaisen lastenhoidon saatavuus, turvaamaan vanhempien oikeudet ja edistämään tervettä työ- ja yksityiselämän tasapainoa ja sukupolvien välistä solidaarisuutta sen sijaan, että sukupuoli-ideologian kaltaiset kiistanalaiset käsitteet sisällytettäisiin talousarviomenettelyihin;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kehottaa komissiota tekemään vaikutusten ennakkoarviointeja, joissa arvioidaan myös unionin politiikkojen erityiset vaikutukset sukupuolten tasa-arvoon paremman sääntelyn suuntaviivojen mukaisesti;</w:t>
            </w:r>
          </w:p>
        </w:tc>
        <w:tc>
          <w:tcPr>
            <w:tcW w:w="4876" w:type="dxa"/>
            <w:tcBorders>
              <w:top w:val="nil"/>
              <w:left w:val="nil"/>
              <w:bottom w:val="nil"/>
              <w:right w:val="nil"/>
            </w:tcBorders>
          </w:tcPr>
          <w:p>
            <w:pPr>
              <w:pStyle w:val="Normal6a"/>
            </w:pPr>
            <w:r>
              <w:t>26.</w:t>
            </w:r>
            <w:r>
              <w:tab/>
            </w:r>
            <w:r>
              <w:t xml:space="preserve">kehottaa komissiota tekemään vaikutusten ennakkoarviointeja, joissa arvioidaan myös unionin politiikkojen erityiset vaikutukset sukupuolten tasa-arvoon paremman sääntelyn suuntaviivojen mukaisesti </w:t>
            </w:r>
            <w:r>
              <w:rPr>
                <w:b/>
                <w:i/>
              </w:rPr>
              <w:t>ja varmistetaan, että erityisesti pk-yrityksiin kohdistuvat sosiaaliset, taloudelliset ja hallinnolliset kustannukset ja vaikutukset otetaan tasapainoisesti huomioon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kehottaa komissiota laatimaan järjestelmällisiä sukupuolivaikutusten arviointeja finanssipolitiikan välineistä, verojärjestelmät ja valtiontukiohjelmat mukaan luettuina, tahattomien sukupuolten välisten erojen tunnistamiseksi ja vähentämiseksi;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kehottaa komissiota varmistamaan, että </w:t>
            </w:r>
            <w:r>
              <w:rPr>
                <w:b/>
                <w:i/>
              </w:rPr>
              <w:t>lainsäädäntöehdotuksia ei pitäisi hyväksyä, jos niiden</w:t>
            </w:r>
            <w:r>
              <w:t xml:space="preserve"> vaikutusten ennakkoarvioinneissa </w:t>
            </w:r>
            <w:r>
              <w:rPr>
                <w:b/>
                <w:i/>
              </w:rPr>
              <w:t>osoitetaan selvästi, että heikentäisivät</w:t>
            </w:r>
            <w:r>
              <w:t xml:space="preserve"> sukupuolten </w:t>
            </w:r>
            <w:r>
              <w:rPr>
                <w:b/>
                <w:i/>
              </w:rPr>
              <w:t>tasa-arvoa</w:t>
            </w:r>
            <w:r>
              <w:t xml:space="preserve"> unionissa;</w:t>
            </w:r>
          </w:p>
        </w:tc>
        <w:tc>
          <w:tcPr>
            <w:tcW w:w="4876" w:type="dxa"/>
            <w:tcBorders>
              <w:top w:val="nil"/>
              <w:left w:val="nil"/>
              <w:bottom w:val="nil"/>
              <w:right w:val="nil"/>
            </w:tcBorders>
          </w:tcPr>
          <w:p>
            <w:pPr>
              <w:pStyle w:val="Normal6a"/>
            </w:pPr>
            <w:r>
              <w:t>27.</w:t>
            </w:r>
            <w:r>
              <w:tab/>
            </w:r>
            <w:r>
              <w:t xml:space="preserve">kehottaa komissiota varmistamaan, että </w:t>
            </w:r>
            <w:r>
              <w:rPr>
                <w:b/>
                <w:i/>
              </w:rPr>
              <w:t>lainsäädäntöehdotuksiin sisällytetään</w:t>
            </w:r>
            <w:r>
              <w:t xml:space="preserve"> vaikutusten ennakkoarvioinneissa </w:t>
            </w:r>
            <w:r>
              <w:rPr>
                <w:b/>
                <w:i/>
              </w:rPr>
              <w:t>indikaattoreita, jotka liittyvät</w:t>
            </w:r>
            <w:r>
              <w:t xml:space="preserve"> sukupuolten </w:t>
            </w:r>
            <w:r>
              <w:rPr>
                <w:b/>
                <w:i/>
              </w:rPr>
              <w:t>tasa-arvoon</w:t>
            </w:r>
            <w:r>
              <w:t xml:space="preserve"> unionissa;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kehottaa komissiota </w:t>
            </w:r>
            <w:r>
              <w:rPr>
                <w:b/>
                <w:i/>
              </w:rPr>
              <w:t>varmistamaan, että lainsäädäntöehdotuksia ei pitäisi hyväksyä, jos niiden</w:t>
            </w:r>
            <w:r>
              <w:t xml:space="preserve"> vaikutusten </w:t>
            </w:r>
            <w:r>
              <w:rPr>
                <w:b/>
                <w:i/>
              </w:rPr>
              <w:t>ennakkoarvioinneissa osoitetaan selvästi, että heikentäisivät</w:t>
            </w:r>
            <w:r>
              <w:t xml:space="preserve"> sukupuolten </w:t>
            </w:r>
            <w:r>
              <w:rPr>
                <w:b/>
                <w:i/>
              </w:rPr>
              <w:t>tasa-arvoa unionissa</w:t>
            </w:r>
            <w:r>
              <w:t>;</w:t>
            </w:r>
          </w:p>
        </w:tc>
        <w:tc>
          <w:tcPr>
            <w:tcW w:w="4876" w:type="dxa"/>
            <w:tcBorders>
              <w:top w:val="nil"/>
              <w:left w:val="nil"/>
              <w:bottom w:val="nil"/>
              <w:right w:val="nil"/>
            </w:tcBorders>
          </w:tcPr>
          <w:p>
            <w:pPr>
              <w:pStyle w:val="Normal6a"/>
            </w:pPr>
            <w:r>
              <w:t>27.</w:t>
            </w:r>
            <w:r>
              <w:tab/>
            </w:r>
            <w:r>
              <w:t xml:space="preserve">kehottaa komissiota </w:t>
            </w:r>
            <w:r>
              <w:rPr>
                <w:b/>
                <w:i/>
              </w:rPr>
              <w:t>vahvistamaan</w:t>
            </w:r>
            <w:r>
              <w:t xml:space="preserve"> vaikutusten </w:t>
            </w:r>
            <w:r>
              <w:rPr>
                <w:b/>
                <w:i/>
              </w:rPr>
              <w:t>ennakkoarviointeja, jotta lainsäädäntöehdotusten valmistelussa voidaan huolellisesti tarkastella mahdollisia kielteisiä vaikutuksia</w:t>
            </w:r>
            <w:r>
              <w:t xml:space="preserve"> sukupuolten </w:t>
            </w:r>
            <w:r>
              <w:rPr>
                <w:b/>
                <w:i/>
              </w:rPr>
              <w:t>tasa-arvoon ja minimoida 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kehottaa</w:t>
            </w:r>
            <w:r>
              <w:t xml:space="preserve"> komissiota </w:t>
            </w:r>
            <w:r>
              <w:rPr>
                <w:b/>
                <w:i/>
              </w:rPr>
              <w:t>vakiinnuttamaan osaksi unionin lainsäädäntömenettelyjä</w:t>
            </w:r>
            <w:r>
              <w:t xml:space="preserve"> ”sukupuolten tasa-arvon suojamekanismin”</w:t>
            </w:r>
            <w:r>
              <w:rPr>
                <w:b/>
                <w:i/>
              </w:rPr>
              <w:t>, jonka nojalla olisi pakollista keskeyttää tai arvioida uudelleen kaikki</w:t>
            </w:r>
            <w:r>
              <w:t xml:space="preserve"> ehdotukset</w:t>
            </w:r>
            <w:r>
              <w:rPr>
                <w:b/>
                <w:i/>
              </w:rPr>
              <w:t>, joiden on osoitettu selkeitä indikaattoreita käyttämällä tai tilintarkastustuomioistuimen arvioinnissa heikentävän unionin</w:t>
            </w:r>
            <w:r>
              <w:t xml:space="preserve"> sukupuolten </w:t>
            </w:r>
            <w:r>
              <w:rPr>
                <w:b/>
                <w:i/>
              </w:rPr>
              <w:t>tasa-arvon strategiaa ja</w:t>
            </w:r>
            <w:r>
              <w:t xml:space="preserve"> tavoitteita;</w:t>
            </w:r>
          </w:p>
        </w:tc>
        <w:tc>
          <w:tcPr>
            <w:tcW w:w="4876" w:type="dxa"/>
            <w:tcBorders>
              <w:top w:val="nil"/>
              <w:left w:val="nil"/>
              <w:bottom w:val="nil"/>
              <w:right w:val="nil"/>
            </w:tcBorders>
          </w:tcPr>
          <w:p>
            <w:pPr>
              <w:pStyle w:val="Normal6a"/>
            </w:pPr>
            <w:r>
              <w:t>28.</w:t>
            </w:r>
            <w:r>
              <w:tab/>
            </w:r>
            <w:r>
              <w:rPr>
                <w:b/>
                <w:i/>
              </w:rPr>
              <w:t>kannustaa</w:t>
            </w:r>
            <w:r>
              <w:t xml:space="preserve"> komissiota </w:t>
            </w:r>
            <w:r>
              <w:rPr>
                <w:b/>
                <w:i/>
              </w:rPr>
              <w:t>tutkimaan useampia vaihtoehtoja</w:t>
            </w:r>
            <w:r>
              <w:t xml:space="preserve"> ”sukupuolten tasa-arvon suojamekanismin” </w:t>
            </w:r>
            <w:r>
              <w:rPr>
                <w:b/>
                <w:i/>
              </w:rPr>
              <w:t>sisällyttämiseksi unionin lainsäädäntömenettelyihin, jotta voidaan yksilöidä sellaiset</w:t>
            </w:r>
            <w:r>
              <w:t xml:space="preserve"> ehdotukset </w:t>
            </w:r>
            <w:r>
              <w:rPr>
                <w:b/>
                <w:i/>
              </w:rPr>
              <w:t>ja puuttua niihin, jotka voisivat heikentää</w:t>
            </w:r>
            <w:r>
              <w:t xml:space="preserve"> sukupuolten </w:t>
            </w:r>
            <w:r>
              <w:rPr>
                <w:b/>
                <w:i/>
              </w:rPr>
              <w:t>tasa-arvoa koskevia unionin</w:t>
            </w:r>
            <w:r>
              <w:t xml:space="preserve"> tavoitteita</w:t>
            </w:r>
            <w:r>
              <w:rPr>
                <w:b/>
                <w:i/>
              </w:rPr>
              <w:t>, muiden toimielinten rooleja kunnioittaen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30.</w:t>
            </w:r>
            <w:r>
              <w:tab/>
            </w:r>
            <w:r>
              <w:rPr>
                <w:b/>
                <w:i/>
              </w:rPr>
              <w:t>kehottaa komissiota arvioimaan, voitaisiinko johdon tasolla ottaa käyttöön sukupuolten tasa-arvoa edistäviä yhdenvertaisuustoimenpiteitä ja luoda kiintiöitä, jotta kaikki sukupuolet voisivat osallistua riittävissä määrin päätöksentekoon kohdennettujen tukijärjestelyjen avulla;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kehottaa</w:t>
            </w:r>
            <w:r>
              <w:t xml:space="preserve"> komissiota arvioimaan, voitaisiinko johdon </w:t>
            </w:r>
            <w:r>
              <w:rPr>
                <w:b/>
                <w:i/>
              </w:rPr>
              <w:t>tasolla</w:t>
            </w:r>
            <w:r>
              <w:t xml:space="preserve"> ottaa käyttöön sukupuolten tasa-arvoa edistäviä yhdenvertaisuustoimenpiteitä </w:t>
            </w:r>
            <w:r>
              <w:rPr>
                <w:b/>
                <w:i/>
              </w:rPr>
              <w:t>ja luoda kiintiöitä, jotta kaikki sukupuolet voisivat osallistua riittävissä määrin päätöksentekoon kohdennettujen tukijärjestelyjen avulla</w:t>
            </w:r>
            <w:r>
              <w:t>;</w:t>
            </w:r>
          </w:p>
        </w:tc>
        <w:tc>
          <w:tcPr>
            <w:tcW w:w="4876" w:type="dxa"/>
            <w:tcBorders>
              <w:top w:val="nil"/>
              <w:left w:val="nil"/>
              <w:bottom w:val="nil"/>
              <w:right w:val="nil"/>
            </w:tcBorders>
          </w:tcPr>
          <w:p>
            <w:pPr>
              <w:pStyle w:val="Normal6a"/>
            </w:pPr>
            <w:r>
              <w:t>30.</w:t>
            </w:r>
            <w:r>
              <w:tab/>
            </w:r>
            <w:r>
              <w:rPr>
                <w:b/>
                <w:i/>
              </w:rPr>
              <w:t>pyytää</w:t>
            </w:r>
            <w:r>
              <w:t xml:space="preserve"> komissiota arvioimaan, voitaisiinko johdon </w:t>
            </w:r>
            <w:r>
              <w:rPr>
                <w:b/>
                <w:i/>
              </w:rPr>
              <w:t>tasoilla</w:t>
            </w:r>
            <w:r>
              <w:t xml:space="preserve"> ottaa käyttöön sukupuolten tasa-arvoa edistäviä yhdenvertaisuustoimenpiteitä</w:t>
            </w:r>
            <w:r>
              <w:rPr>
                <w:b/>
                <w:i/>
              </w:rPr>
              <w:t>, ja niiden mahdollisia hyötyjä sekä harkitsemaan kohdennettuja tukijärjestelyjä, joilla edistetään kaikkien sukupuolten osallistumista päätöksentekoprosesseihin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kehottaa komissiota arvioimaan, voitaisiinko johdon tasolla ottaa käyttöön sukupuolten tasa-arvoa edistäviä yhdenvertaisuustoimenpiteitä </w:t>
            </w:r>
            <w:r>
              <w:rPr>
                <w:b/>
                <w:i/>
              </w:rPr>
              <w:t>ja luoda kiintiöitä</w:t>
            </w:r>
            <w:r>
              <w:t>, jotta kaikki sukupuolet voisivat osallistua riittävissä määrin päätöksentekoon kohdennettujen tukijärjestelyjen avulla;</w:t>
            </w:r>
          </w:p>
        </w:tc>
        <w:tc>
          <w:tcPr>
            <w:tcW w:w="4876" w:type="dxa"/>
            <w:tcBorders>
              <w:top w:val="nil"/>
              <w:left w:val="nil"/>
              <w:bottom w:val="nil"/>
              <w:right w:val="nil"/>
            </w:tcBorders>
          </w:tcPr>
          <w:p>
            <w:pPr>
              <w:pStyle w:val="Normal6a"/>
            </w:pPr>
            <w:r>
              <w:t>30.</w:t>
            </w:r>
            <w:r>
              <w:tab/>
            </w:r>
            <w:r>
              <w:t>kehottaa komissiota arvioimaan, voitaisiinko johdon tasolla ottaa käyttöön sukupuolten tasa-arvoa edistäviä yhdenvertaisuustoimenpiteitä</w:t>
            </w:r>
            <w:r>
              <w:rPr>
                <w:b/>
                <w:i/>
              </w:rPr>
              <w:t>, ja selvittämään kiintiöiden sovellettavuutta</w:t>
            </w:r>
            <w:r>
              <w:t>, jotta kaikki sukupuolet voisivat osallistua riittävissä määrin päätöksentekoon kohdennettujen tukijärjestelyjen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kehottaa komissiota varmistamaan, että oikeudellisesti sitova vähimmäisosuus EU:n talousarviosta osoitetaan toimenpiteille, joissa sukupuolten tasa-arvo on pääasiallinen tavoite (jotka vastaavat nykymenetelmässä arvosanaa 2);</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rPr>
                <w:b/>
                <w:i/>
              </w:rPr>
              <w:t>kehottaa</w:t>
            </w:r>
            <w:r>
              <w:t xml:space="preserve"> komissiota </w:t>
            </w:r>
            <w:r>
              <w:rPr>
                <w:b/>
                <w:i/>
              </w:rPr>
              <w:t>varmistamaan, että oikeudellisesti sitova</w:t>
            </w:r>
            <w:r>
              <w:t xml:space="preserve"> vähimmäisosuus EU:n talousarviosta osoitetaan toimenpiteille, joissa sukupuolten tasa-arvo on pääasiallinen tavoite (jotka vastaavat nykymenetelmässä arvosanaa 2);</w:t>
            </w:r>
          </w:p>
        </w:tc>
        <w:tc>
          <w:tcPr>
            <w:tcW w:w="4876" w:type="dxa"/>
            <w:tcBorders>
              <w:top w:val="nil"/>
              <w:left w:val="nil"/>
              <w:bottom w:val="nil"/>
              <w:right w:val="nil"/>
            </w:tcBorders>
          </w:tcPr>
          <w:p>
            <w:pPr>
              <w:pStyle w:val="Normal6a"/>
            </w:pPr>
            <w:r>
              <w:t>31.</w:t>
            </w:r>
            <w:r>
              <w:tab/>
            </w:r>
            <w:r>
              <w:rPr>
                <w:b/>
                <w:i/>
              </w:rPr>
              <w:t>pyytää</w:t>
            </w:r>
            <w:r>
              <w:t xml:space="preserve"> komissiota </w:t>
            </w:r>
            <w:r>
              <w:rPr>
                <w:b/>
                <w:i/>
              </w:rPr>
              <w:t>selvittämään mahdollisuutta määritellä</w:t>
            </w:r>
            <w:r>
              <w:t xml:space="preserve"> vähimmäisosuus EU:n talousarviosta</w:t>
            </w:r>
            <w:r>
              <w:rPr>
                <w:b/>
                <w:i/>
              </w:rPr>
              <w:t>, joka</w:t>
            </w:r>
            <w:r>
              <w:t xml:space="preserve"> osoitetaan toimenpiteille, joissa sukupuolten tasa-arvo on pääasiallinen tavoite (jotka vastaavat nykymenetelmässä arvosanaa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kehottaa komissiota varmistamaan, että </w:t>
            </w:r>
            <w:r>
              <w:rPr>
                <w:b/>
                <w:i/>
              </w:rPr>
              <w:t>oikeudellisesti sitova</w:t>
            </w:r>
            <w:r>
              <w:t xml:space="preserve"> vähimmäisosuus EU:n talousarviosta osoitetaan toimenpiteille, joissa sukupuolten tasa-arvo on pääasiallinen tavoite (jotka vastaavat nykymenetelmässä arvosanaa 2);</w:t>
            </w:r>
          </w:p>
        </w:tc>
        <w:tc>
          <w:tcPr>
            <w:tcW w:w="4876" w:type="dxa"/>
            <w:tcBorders>
              <w:top w:val="nil"/>
              <w:left w:val="nil"/>
              <w:bottom w:val="nil"/>
              <w:right w:val="nil"/>
            </w:tcBorders>
          </w:tcPr>
          <w:p>
            <w:pPr>
              <w:pStyle w:val="Normal6a"/>
            </w:pPr>
            <w:r>
              <w:t>31.</w:t>
            </w:r>
            <w:r>
              <w:tab/>
            </w:r>
            <w:r>
              <w:t>kehottaa komissiota varmistamaan, että vähimmäisosuus EU:n talousarviosta osoitetaan toimenpiteille, joissa sukupuolten tasa-arvo on pääasiallinen tavoite (jotka vastaavat nykymenetelmässä arvosanaa 2);</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Virginie Joron, Mathilde Androuët, Ondřej Knotek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kehottaa komissiota harkitsemaan, että seuraavalle ohjelmakaudelle sisällytettäisiin </w:t>
            </w:r>
            <w:r>
              <w:rPr>
                <w:b/>
                <w:i/>
              </w:rPr>
              <w:t>oikeudellisesti sitova</w:t>
            </w:r>
            <w:r>
              <w:t xml:space="preserve"> määrällinen tavoite EU:n talousarvion osuudesta, jolla on edistettävä sukupuolten tasa-arvoa (tavoite, joka vastaa nykymenetelmässä joko arvosanaa 2 tai 1)</w:t>
            </w:r>
            <w:r>
              <w:rPr>
                <w:b/>
                <w:i/>
              </w:rPr>
              <w:t>, sillä tällaiset tavoitteet ovat osoittautuneet hyödyllisiksi unionin ilmastoa ja biologista monimuotoisuutta koskevien tavoitteiden valtavirtaistamisessa</w:t>
            </w:r>
            <w:r>
              <w:t>;</w:t>
            </w:r>
          </w:p>
        </w:tc>
        <w:tc>
          <w:tcPr>
            <w:tcW w:w="4876" w:type="dxa"/>
            <w:tcBorders>
              <w:top w:val="nil"/>
              <w:left w:val="nil"/>
              <w:bottom w:val="nil"/>
              <w:right w:val="nil"/>
            </w:tcBorders>
          </w:tcPr>
          <w:p>
            <w:pPr>
              <w:pStyle w:val="Normal6a"/>
            </w:pPr>
            <w:r>
              <w:t>32.</w:t>
            </w:r>
            <w:r>
              <w:tab/>
            </w:r>
            <w:r>
              <w:t>kehottaa komissiota harkitsemaan, että seuraavalle ohjelmakaudelle sisällytettäisiin määrällinen tavoite EU:n talousarvion osuudesta, jolla on edistettävä sukupuolten tasa-arvoa (tavoite, joka vastaa nykymenetelmässä joko arvosanaa 2 tai 1);</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rPr>
                <w:b/>
                <w:i/>
              </w:rPr>
              <w:t>kehottaa</w:t>
            </w:r>
            <w:r>
              <w:t xml:space="preserve"> komissiota </w:t>
            </w:r>
            <w:r>
              <w:rPr>
                <w:b/>
                <w:i/>
              </w:rPr>
              <w:t>harkitsemaan, että seuraavalle ohjelmakaudelle sisällytettäisiin oikeudellisesti sitova</w:t>
            </w:r>
            <w:r>
              <w:t xml:space="preserve"> määrällinen tavoite EU:n talousarvion osuudesta, jolla </w:t>
            </w:r>
            <w:r>
              <w:rPr>
                <w:b/>
                <w:i/>
              </w:rPr>
              <w:t>on edistettävä</w:t>
            </w:r>
            <w:r>
              <w:t xml:space="preserve"> sukupuolten tasa-arvoa (tavoite, joka vastaa nykymenetelmässä joko arvosanaa 2 tai 1), sillä </w:t>
            </w:r>
            <w:r>
              <w:rPr>
                <w:b/>
                <w:i/>
              </w:rPr>
              <w:t>tällaiset</w:t>
            </w:r>
            <w:r>
              <w:t xml:space="preserve"> tavoitteet ovat osoittautuneet hyödyllisiksi unionin ilmastoa ja biologista monimuotoisuutta koskevien tavoitteiden </w:t>
            </w:r>
            <w:r>
              <w:rPr>
                <w:b/>
                <w:i/>
              </w:rPr>
              <w:t>valtavirtaistamisessa</w:t>
            </w:r>
            <w:r>
              <w:t>;</w:t>
            </w:r>
          </w:p>
        </w:tc>
        <w:tc>
          <w:tcPr>
            <w:tcW w:w="4876" w:type="dxa"/>
            <w:tcBorders>
              <w:top w:val="nil"/>
              <w:left w:val="nil"/>
              <w:bottom w:val="nil"/>
              <w:right w:val="nil"/>
            </w:tcBorders>
          </w:tcPr>
          <w:p>
            <w:pPr>
              <w:pStyle w:val="Normal6a"/>
            </w:pPr>
            <w:r>
              <w:t>32.</w:t>
            </w:r>
            <w:r>
              <w:tab/>
            </w:r>
            <w:r>
              <w:rPr>
                <w:b/>
                <w:i/>
              </w:rPr>
              <w:t>pyytää</w:t>
            </w:r>
            <w:r>
              <w:t xml:space="preserve"> komissiota </w:t>
            </w:r>
            <w:r>
              <w:rPr>
                <w:b/>
                <w:i/>
              </w:rPr>
              <w:t>selvittämään mahdollisuutta asettaa seuraavalla ohjelmakaudella</w:t>
            </w:r>
            <w:r>
              <w:t xml:space="preserve"> määrällinen tavoite EU:n talousarvion osuudesta, jolla </w:t>
            </w:r>
            <w:r>
              <w:rPr>
                <w:b/>
                <w:i/>
              </w:rPr>
              <w:t>osaltaan edistetään</w:t>
            </w:r>
            <w:r>
              <w:t xml:space="preserve"> sukupuolten tasa-arvoa (tavoite, joka vastaa nykymenetelmässä joko arvosanaa 2 tai 1), sillä </w:t>
            </w:r>
            <w:r>
              <w:rPr>
                <w:b/>
                <w:i/>
              </w:rPr>
              <w:t>vastaavanlaiset</w:t>
            </w:r>
            <w:r>
              <w:t xml:space="preserve"> tavoitteet ovat osoittautuneet hyödyllisiksi unionin ilmastoa ja biologista monimuotoisuutta koskevien tavoitteiden </w:t>
            </w:r>
            <w:r>
              <w:rPr>
                <w:b/>
                <w:i/>
              </w:rPr>
              <w:t>edistämisessä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kehottaa komissiota ja neuvostoa kunnioittamaan seuraavan sukupolven ohjelmia neuvoteltaessa tarkistetussa varainhoitoasetuksessa vahvistettuja säännöksiä eli sitä, että ohjelmat ja toiminnot olisi mahdollisuuksien mukaan ja soveltuvin osin asiaankuuluvien alakohtaisten sääntöjen mukaisesti pantava täytäntöön ottamalla huomioon </w:t>
            </w:r>
            <w:r>
              <w:rPr>
                <w:b/>
                <w:i/>
              </w:rPr>
              <w:t>sukupuolten</w:t>
            </w:r>
            <w:r>
              <w:t xml:space="preserve"> tasa-arvon periaate </w:t>
            </w:r>
            <w:r>
              <w:rPr>
                <w:b/>
                <w:i/>
              </w:rPr>
              <w:t>ja noudattamalla asianmukaista sukupuolten tasa-arvon valtavirtaistamisen menetelmää</w:t>
            </w:r>
            <w:r>
              <w:t>;</w:t>
            </w:r>
          </w:p>
        </w:tc>
        <w:tc>
          <w:tcPr>
            <w:tcW w:w="4876" w:type="dxa"/>
            <w:tcBorders>
              <w:top w:val="nil"/>
              <w:left w:val="nil"/>
              <w:bottom w:val="nil"/>
              <w:right w:val="nil"/>
            </w:tcBorders>
          </w:tcPr>
          <w:p>
            <w:pPr>
              <w:pStyle w:val="Normal6a"/>
            </w:pPr>
            <w:r>
              <w:t>33.</w:t>
            </w:r>
            <w:r>
              <w:tab/>
            </w:r>
            <w:r>
              <w:t xml:space="preserve">kehottaa komissiota ja neuvostoa kunnioittamaan seuraavan sukupolven ohjelmia neuvoteltaessa tarkistetussa varainhoitoasetuksessa vahvistettuja säännöksiä eli sitä, että ohjelmat ja toiminnot olisi mahdollisuuksien mukaan ja soveltuvin osin asiaankuuluvien alakohtaisten sääntöjen mukaisesti pantava täytäntöön ottamalla huomioon </w:t>
            </w:r>
            <w:r>
              <w:rPr>
                <w:b/>
                <w:i/>
              </w:rPr>
              <w:t>miesten ja naisten</w:t>
            </w:r>
            <w:r>
              <w:t xml:space="preserve"> tasa-arvon periaate</w:t>
            </w:r>
            <w:r>
              <w:rPr>
                <w:b/>
                <w:i/>
              </w:rPr>
              <w:t>;</w:t>
            </w:r>
            <w:r>
              <w:t xml:space="preserve"> </w:t>
            </w:r>
            <w:r>
              <w:rPr>
                <w:b/>
                <w:i/>
              </w:rPr>
              <w:t>kehottaa EU:n toimielimiä varmistamaan, että niiden talousarviopolitiikassa ja -määrärahoissa kunnioitetaan asianmukaisesti perhearvoja ja juutalais-kristillisiä arvoja, ja että tunnustetaan, että ne ovat olennainen osa unionin kulttuurista ja historiallista perustaa</w:t>
            </w:r>
            <w:r>
              <w:t xml:space="preserve">; </w:t>
            </w:r>
            <w:r>
              <w:rPr>
                <w:b/>
                <w:i/>
              </w:rPr>
              <w:t>kehottaa lisäksi EU:n toimielimiä pidättymään sukupuoli-ideologian edistämisestä normatiivisena kehyksenä unionin ulkoisessa toiminnassa ja muistuttaa sen sijaan, että EU:n politiikan olisi perustuttava kulttuurisiin perinteisiin, ihmisarvoon ja sosiaalisen yhteenkuuluvuuden vahvistamiseen;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Virginie Joron,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kehottaa komissiota ja neuvostoa kunnioittamaan seuraavan sukupolven ohjelmia neuvoteltaessa tarkistetussa varainhoitoasetuksessa vahvistettuja säännöksiä eli sitä, että ohjelmat ja toiminnot olisi mahdollisuuksien mukaan ja soveltuvin osin asiaankuuluvien alakohtaisten sääntöjen mukaisesti pantava täytäntöön ottamalla huomioon sukupuolten tasa-arvon periaate </w:t>
            </w:r>
            <w:r>
              <w:rPr>
                <w:b/>
                <w:i/>
              </w:rPr>
              <w:t>ja noudattamalla asianmukaista sukupuolten tasa-arvon valtavirtaistamisen menetelmää</w:t>
            </w:r>
            <w:r>
              <w:t>;</w:t>
            </w:r>
          </w:p>
        </w:tc>
        <w:tc>
          <w:tcPr>
            <w:tcW w:w="4876" w:type="dxa"/>
            <w:tcBorders>
              <w:top w:val="nil"/>
              <w:left w:val="nil"/>
              <w:bottom w:val="nil"/>
              <w:right w:val="nil"/>
            </w:tcBorders>
          </w:tcPr>
          <w:p>
            <w:pPr>
              <w:pStyle w:val="Normal6a"/>
            </w:pPr>
            <w:r>
              <w:t>33.</w:t>
            </w:r>
            <w:r>
              <w:tab/>
            </w:r>
            <w:r>
              <w:t>kehottaa komissiota ja neuvostoa kunnioittamaan seuraavan sukupolven ohjelmia neuvoteltaessa tarkistetussa varainhoitoasetuksessa vahvistettuja säännöksiä eli sitä, että ohjelmat ja toiminnot olisi mahdollisuuksien mukaan ja soveltuvin osin asiaankuuluvien alakohtaisten sääntöjen mukaisesti pantava täytäntöön ottamalla huomioon sukupuolten tasa-arvon periaate;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rPr>
                <w:b/>
                <w:i/>
              </w:rPr>
              <w:t>kehottaa</w:t>
            </w:r>
            <w:r>
              <w:t xml:space="preserve"> komissiota varmistamaan myös tarkistetun varainhoitoasetuksen mukaisesti, että seuraavan sukupolven ohjelmat neuvotellaan sellaisten ehdotusten pohjalta, joiden sisältämät tavoitteet </w:t>
            </w:r>
            <w:r>
              <w:rPr>
                <w:b/>
                <w:i/>
              </w:rPr>
              <w:t>ovat täsmällisiä, mitattavissa ja toteutettavissa olevia, asiaankuuluvia ja ajallisesti määrättyjä ja joiden sisältämät indikaattorit ovat merkityksellisiä, hyväksyttyjä, uskottavia, selkeitä, luotettavia ja perustuvat laajalti tunnustettuun tieteelliseen näyttöön, ja panee merkille, että tällaisista indikaattoreista kerätyt tiedot olisi</w:t>
            </w:r>
            <w:r>
              <w:t xml:space="preserve"> asianmukaisissa tapauksissa </w:t>
            </w:r>
            <w:r>
              <w:rPr>
                <w:b/>
                <w:i/>
              </w:rPr>
              <w:t>eriteltävä</w:t>
            </w:r>
            <w:r>
              <w:t xml:space="preserve"> sukupuolen mukaan </w:t>
            </w:r>
            <w:r>
              <w:rPr>
                <w:b/>
                <w:i/>
              </w:rPr>
              <w:t>ja kerättävä siten, että tällaiset tiedot</w:t>
            </w:r>
            <w:r>
              <w:t xml:space="preserve"> kaikista asiaankuuluvista ohjelmista </w:t>
            </w:r>
            <w:r>
              <w:rPr>
                <w:b/>
                <w:i/>
              </w:rPr>
              <w:t>on mahdollista koota yhteen</w:t>
            </w:r>
            <w:r>
              <w:t>;</w:t>
            </w:r>
          </w:p>
        </w:tc>
        <w:tc>
          <w:tcPr>
            <w:tcW w:w="4876" w:type="dxa"/>
            <w:tcBorders>
              <w:top w:val="nil"/>
              <w:left w:val="nil"/>
              <w:bottom w:val="nil"/>
              <w:right w:val="nil"/>
            </w:tcBorders>
          </w:tcPr>
          <w:p>
            <w:pPr>
              <w:pStyle w:val="Normal6a"/>
            </w:pPr>
            <w:r>
              <w:t>34.</w:t>
            </w:r>
            <w:r>
              <w:tab/>
            </w:r>
            <w:r>
              <w:rPr>
                <w:b/>
                <w:i/>
              </w:rPr>
              <w:t>pyytää</w:t>
            </w:r>
            <w:r>
              <w:t xml:space="preserve"> komissiota varmistamaan myös tarkistetun varainhoitoasetuksen mukaisesti, että seuraavan sukupolven ohjelmat neuvotellaan sellaisten ehdotusten pohjalta, joiden sisältämät tavoitteet </w:t>
            </w:r>
            <w:r>
              <w:rPr>
                <w:b/>
                <w:i/>
              </w:rPr>
              <w:t>mahdollistavat</w:t>
            </w:r>
            <w:r>
              <w:t xml:space="preserve"> asianmukaisissa tapauksissa sukupuolen mukaan </w:t>
            </w:r>
            <w:r>
              <w:rPr>
                <w:b/>
                <w:i/>
              </w:rPr>
              <w:t>eriteltyjen tietojen keräämisen ja tällaisten tietojen kokoamisen yhteen</w:t>
            </w:r>
            <w:r>
              <w:t xml:space="preserve"> kaikista asiaankuuluvista ohjelmista;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kehottaa komissiota varmistamaan myös tarkistetun varainhoitoasetuksen mukaisesti, että seuraavan sukupolven ohjelmat neuvotellaan sellaisten ehdotusten pohjalta, joiden sisältämät tavoitteet ovat täsmällisiä, mitattavissa ja toteutettavissa olevia, asiaankuuluvia ja ajallisesti määrättyjä ja joiden sisältämät indikaattorit ovat merkityksellisiä, hyväksyttyjä, uskottavia, selkeitä, luotettavia ja perustuvat laajalti tunnustettuun tieteelliseen näyttöön, ja panee merkille, että tällaisista indikaattoreista kerätyt tiedot olisi asianmukaisissa tapauksissa eriteltävä sukupuolen mukaan ja kerättävä siten, että tällaiset tiedot kaikista asiaankuuluvista ohjelmista on mahdollista koota yhteen;</w:t>
            </w:r>
          </w:p>
        </w:tc>
        <w:tc>
          <w:tcPr>
            <w:tcW w:w="4876" w:type="dxa"/>
            <w:tcBorders>
              <w:top w:val="nil"/>
              <w:left w:val="nil"/>
              <w:bottom w:val="nil"/>
              <w:right w:val="nil"/>
            </w:tcBorders>
          </w:tcPr>
          <w:p>
            <w:pPr>
              <w:pStyle w:val="Normal6a"/>
            </w:pPr>
            <w:r>
              <w:t>34.</w:t>
            </w:r>
            <w:r>
              <w:tab/>
            </w:r>
            <w:r>
              <w:t xml:space="preserve">kehottaa komissiota varmistamaan myös tarkistetun varainhoitoasetuksen mukaisesti, että seuraavan sukupolven ohjelmat neuvotellaan sellaisten ehdotusten pohjalta, joiden sisältämät tavoitteet ovat täsmällisiä, mitattavissa ja toteutettavissa olevia, asiaankuuluvia ja ajallisesti määrättyjä ja joiden sisältämät indikaattorit ovat merkityksellisiä, hyväksyttyjä, uskottavia, selkeitä, luotettavia ja perustuvat laajalti tunnustettuun tieteelliseen näyttöön, ja panee merkille, että tällaisista indikaattoreista kerätyt tiedot olisi asianmukaisissa tapauksissa eriteltävä sukupuolen mukaan ja kerättävä siten, että tällaiset tiedot kaikista asiaankuuluvista ohjelmista on mahdollista koota yhteen; </w:t>
            </w:r>
            <w:r>
              <w:rPr>
                <w:b/>
                <w:i/>
              </w:rPr>
              <w:t>kehottaa kehittämään ja parantamaan edelleen EU:n sukupuolten tasa-arvon seurantamenetelmiä ja muistuttaa, että on tärkeää käyttää järjestelmällisesti digitaalisia välineitä, kuten tekoälyä, parantamaan tiedon keräämistä, koostamista ja analysointia ohjelmien välillä;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kehottaa komissiota kohdentamaan vähintään 90 prosenttia kaikista EU:n ulkoisista toimista toimenpiteisiin, jotka edistävät sukupuolten tasa-arvoa ja naisten voimaannuttamista, sekä 25 prosenttia EU:n ulkoisista rahoitusvälineistä tulevassa monivuotisessa rahoituskehyksessä toimenpiteisiin, joiden pääasiallisena tavoitteena on edistää sukupuolten tasa-arvoa;</w:t>
            </w:r>
            <w:r>
              <w:t xml:space="preserve"> </w:t>
            </w:r>
            <w:r>
              <w:rPr>
                <w:b/>
                <w:i/>
              </w:rPr>
              <w:t>kehottaa lisäksi komissiota perustamaan erityisen rahaston, jolla edistetään sukupuolten tasa-arvoa maailmanlaajuisesti, ja varmistamaan, että sen tukemissa toimissa keskitytään seksuaali- ja lisääntymisterveyden ja -oikeuksien saatavuuteen ja että niillä lisätään naisten osallistumista päätöksentekoon, tuetaan paikallisia naisten johtamia valtiosta riippumattomia järjestöjä ja autetaan ihmisoikeuksia puolustavia paikallisia naisia;</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kehottaa</w:t>
            </w:r>
            <w:r>
              <w:t xml:space="preserve"> komissiota </w:t>
            </w:r>
            <w:r>
              <w:rPr>
                <w:b/>
                <w:i/>
              </w:rPr>
              <w:t>kohdentamaan vähintään 90 prosenttia kaikista</w:t>
            </w:r>
            <w:r>
              <w:t xml:space="preserve"> EU:n ulkoisista toimista </w:t>
            </w:r>
            <w:r>
              <w:rPr>
                <w:b/>
                <w:i/>
              </w:rPr>
              <w:t>toimenpiteisiin, jotka edistävät</w:t>
            </w:r>
            <w:r>
              <w:t xml:space="preserve"> sukupuolten tasa-arvoa </w:t>
            </w:r>
            <w:r>
              <w:rPr>
                <w:b/>
                <w:i/>
              </w:rPr>
              <w:t>ja naisten voimaannuttamista, sekä 25 prosenttia EU:n ulkoisista rahoitusvälineistä tulevassa monivuotisessa rahoituskehyksessä toimenpiteisiin, joiden pääasiallisena tavoitteena on edistää</w:t>
            </w:r>
            <w:r>
              <w:t xml:space="preserve"> sukupuolten </w:t>
            </w:r>
            <w:r>
              <w:rPr>
                <w:b/>
                <w:i/>
              </w:rPr>
              <w:t>tasa-arvoa;</w:t>
            </w:r>
            <w:r>
              <w:t xml:space="preserve"> </w:t>
            </w:r>
            <w:r>
              <w:rPr>
                <w:b/>
                <w:i/>
              </w:rPr>
              <w:t>kehottaa lisäksi komissiota perustamaan erityisen rahaston, jolla edistetään sukupuolten tasa-arvoa maailmanlaajuisesti, ja varmistamaan, että sen tukemissa toimissa keskitytään seksuaali- ja lisääntymisterveyden ja -oikeuksien saatavuuteen ja että niillä lisätään naisten osallistumista päätöksentekoon, tuetaan paikallisia naisten johtamia valtiosta riippumattomia järjestöjä ja autetaan ihmisoikeuksia puolustavia paikallisia naisia</w:t>
            </w:r>
            <w:r>
              <w:t>;</w:t>
            </w:r>
          </w:p>
        </w:tc>
        <w:tc>
          <w:tcPr>
            <w:tcW w:w="4876" w:type="dxa"/>
            <w:tcBorders>
              <w:top w:val="nil"/>
              <w:left w:val="nil"/>
              <w:bottom w:val="nil"/>
              <w:right w:val="nil"/>
            </w:tcBorders>
          </w:tcPr>
          <w:p>
            <w:pPr>
              <w:pStyle w:val="Normal6a"/>
            </w:pPr>
            <w:r>
              <w:t>36.</w:t>
            </w:r>
            <w:r>
              <w:tab/>
            </w:r>
            <w:r>
              <w:rPr>
                <w:b/>
                <w:i/>
              </w:rPr>
              <w:t>kannustaa</w:t>
            </w:r>
            <w:r>
              <w:t xml:space="preserve"> komissiota </w:t>
            </w:r>
            <w:r>
              <w:rPr>
                <w:b/>
                <w:i/>
              </w:rPr>
              <w:t>takaamaan, että</w:t>
            </w:r>
            <w:r>
              <w:t xml:space="preserve"> EU:n ulkoisista toimista </w:t>
            </w:r>
            <w:r>
              <w:rPr>
                <w:b/>
                <w:i/>
              </w:rPr>
              <w:t>merkittävästi suurimmassa osassa – mieluiten noin 85 prosentissa ulkoisia toimia – edistetään tarkoituksenmukaisella tavalla</w:t>
            </w:r>
            <w:r>
              <w:t xml:space="preserve"> sukupuolten tasa-arvoa sukupuolten </w:t>
            </w:r>
            <w:r>
              <w:rPr>
                <w:b/>
                <w:i/>
              </w:rPr>
              <w:t>tasa-arvon edistämistä koskevan kolmannen toimintasuunnitelman tavoitteiden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kehottaa komissiota kohdentamaan </w:t>
            </w:r>
            <w:r>
              <w:rPr>
                <w:b/>
                <w:i/>
              </w:rPr>
              <w:t>vähintään 90 prosenttia</w:t>
            </w:r>
            <w:r>
              <w:t xml:space="preserve"> kaikista EU:n ulkoisista toimista toimenpiteisiin, jotka edistävät sukupuolten tasa-arvoa ja naisten voimaannuttamista, sekä 25 prosenttia EU:n ulkoisista rahoitusvälineistä tulevassa monivuotisessa rahoituskehyksessä toimenpiteisiin, joiden pääasiallisena tavoitteena on edistää sukupuolten tasa-arvoa; kehottaa lisäksi komissiota perustamaan erityisen rahaston, jolla edistetään sukupuolten tasa-arvoa maailmanlaajuisesti, ja varmistamaan, että sen tukemissa toimissa keskitytään seksuaali- ja lisääntymisterveyden ja -oikeuksien saatavuuteen ja että niillä lisätään naisten osallistumista päätöksentekoon, tuetaan paikallisia naisten johtamia valtiosta riippumattomia järjestöjä ja autetaan ihmisoikeuksia puolustavia paikallisia naisia;</w:t>
            </w:r>
          </w:p>
        </w:tc>
        <w:tc>
          <w:tcPr>
            <w:tcW w:w="4876" w:type="dxa"/>
            <w:tcBorders>
              <w:top w:val="nil"/>
              <w:left w:val="nil"/>
              <w:bottom w:val="nil"/>
              <w:right w:val="nil"/>
            </w:tcBorders>
          </w:tcPr>
          <w:p>
            <w:pPr>
              <w:pStyle w:val="Normal6a"/>
            </w:pPr>
            <w:r>
              <w:t>36.</w:t>
            </w:r>
            <w:r>
              <w:tab/>
            </w:r>
            <w:r>
              <w:t xml:space="preserve">kehottaa komissiota kohdentamaan </w:t>
            </w:r>
            <w:r>
              <w:rPr>
                <w:b/>
                <w:i/>
              </w:rPr>
              <w:t>enemmän määrärahoja</w:t>
            </w:r>
            <w:r>
              <w:t xml:space="preserve"> kaikista EU:n ulkoisista toimista toimenpiteisiin, jotka edistävät sukupuolten tasa-arvoa ja naisten voimaannuttamista, sekä 25 prosenttia EU:n ulkoisista rahoitusvälineistä tulevassa monivuotisessa rahoituskehyksessä toimenpiteisiin, joiden pääasiallisena tavoitteena on edistää sukupuolten tasa-arvoa; kehottaa lisäksi komissiota perustamaan erityisen rahaston, jolla edistetään sukupuolten tasa-arvoa maailmanlaajuisesti, ja varmistamaan, että sen tukemissa toimissa keskitytään seksuaali- ja lisääntymisterveyden ja -oikeuksien saatavuuteen ja että niillä lisätään naisten osallistumista päätöksentekoon, tuetaan paikallisia naisten johtamia valtiosta riippumattomia järjestöjä ja autetaan ihmisoikeuksia puolustavia paikallisia naisia;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a.</w:t>
            </w:r>
            <w:r>
              <w:tab/>
            </w:r>
            <w:r>
              <w:rPr>
                <w:b/>
                <w:i/>
              </w:rPr>
              <w:t>painottaa, että naisten oikeuksien suojelun ja kaikenlaisen naisiin ja tyttöihin kohdistuvan väkivallan torjumisen on pysyttävä unionin erityisenä, tinkimättömänä painopisteenä;</w:t>
            </w:r>
            <w:r>
              <w:t xml:space="preserve"> </w:t>
            </w:r>
            <w:r>
              <w:rPr>
                <w:b/>
                <w:i/>
              </w:rPr>
              <w:t>korostaa, että nämä tavoitteet perustuvat yleismaailmallisesti tunnustettuihin ihmisoikeuksiin ja oikeudellisiin velvoitteisiin, minkä vuoksi niitä ei pitäisi heikentää tai sisällyttää sukupuoli-ideologiaan tai laajempiin kiistanalaisiin sukupuolilähtöisiin käsiterakenteisiin, jotka saattavat ohjata huomion ja resurssit pois naisten kohtaamista konkreettisista haasteista;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 b.</w:t>
            </w:r>
            <w:r>
              <w:tab/>
            </w:r>
            <w:r>
              <w:rPr>
                <w:b/>
                <w:i/>
              </w:rPr>
              <w:t>painottaa, että unionin ulkoisen toiminnan ja ulkopolitiikan ei pitäisi perustua sukupuoli-ideologiaan tai siihen liittyviin käsiterakenteisiin tai ideologioihin vaan pikemminkin kansainvälisen oikeuden periaatteisiin, valtion suvereniteetin kunnioittamiseen, rauhan, turvallisuuden ja taloudellisen yhteistyön edistämiseen sekä perusihmisoikeuksien, myös naisten ja tyttöjen oikeuksien, suojeluun;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a.</w:t>
            </w:r>
            <w:r>
              <w:tab/>
            </w:r>
            <w:r>
              <w:rPr>
                <w:b/>
                <w:i/>
              </w:rPr>
              <w:t>panee huolestuneena merkille, että nykyiset talousarvioraportoinnin käytännöt eivät tarjoa selkeää ja avointa tietoa nimenomaisesti naisten oikeuksiin kohdennettujen määrärahojen jakautumisesta toisin kuin hlbt-ihmisiin liittyviin aloitteisiin kohdennettujen määrärahojen tapauksessa;</w:t>
            </w:r>
            <w:r>
              <w:t xml:space="preserve"> </w:t>
            </w:r>
            <w:r>
              <w:rPr>
                <w:b/>
                <w:i/>
              </w:rPr>
              <w:t>korostaa, että monissa EU:n ohjelmissa eri tavoitteet yhdistetään laajoihin luokkiin, kuten ”sukupuolten tasa-arvo” tai ”syrjimättömyys”, minkä vuoksi on mahdotonta arvioida, kuinka paljon määrärahoja osoitetaan yksinomaisesti naisiin kohdistuvan väkivallan torjuntaan, naisten vaikutusmahdollisuuksien lisäämisen tukemiseen ja heidän sosioekonomisen osallistumisensa edistämiseen;</w:t>
            </w:r>
            <w:r>
              <w:t xml:space="preserve"> </w:t>
            </w:r>
            <w:r>
              <w:rPr>
                <w:b/>
                <w:i/>
              </w:rPr>
              <w:t>kehottaa luomaan avoimen ja eritellyn raportointijärjestelmän, jossa erotetaan naisten oikeuksiin liittyvät määrärahat muiden politiikanalojen määrärahoista, jotta voidaan varmistaa vastuuvelvollisuus, tehokas valvonta ja unionin varojen kohdennettu käyttö;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 a.</w:t>
            </w:r>
            <w:r>
              <w:tab/>
            </w:r>
            <w:r>
              <w:rPr>
                <w:b/>
                <w:i/>
              </w:rPr>
              <w:t>kehottaa komissiota varmistamaan, että EU:n rahoittamilla ohjelmilla suojellaan ja edistetään naisten oikeuksia kiinnittäen erityistä huomiota julkisen terveydenhuollon, lastenhoidon sekä seksuaali- ja lisääntymisterveyden ja -oikeuksien saatavuuteen ja käyttämiseen;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Caterina Chinnici,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toteaa</w:t>
            </w:r>
            <w:r>
              <w:t xml:space="preserve">, sukupuolten </w:t>
            </w:r>
            <w:r>
              <w:rPr>
                <w:b/>
                <w:i/>
              </w:rPr>
              <w:t>palkkaero on edelleen merkittävä ongelma EU:n toimielimissä</w:t>
            </w:r>
            <w:r>
              <w:t xml:space="preserve">; kehottaa komissiota tekemään </w:t>
            </w:r>
            <w:r>
              <w:rPr>
                <w:b/>
                <w:i/>
              </w:rPr>
              <w:t>perusteellisen tutkimuksen</w:t>
            </w:r>
            <w:r>
              <w:t xml:space="preserve">, jossa määritetään alat, joilla </w:t>
            </w:r>
            <w:r>
              <w:rPr>
                <w:b/>
                <w:i/>
              </w:rPr>
              <w:t>palkkaero on erityisen suuri näissä</w:t>
            </w:r>
            <w:r>
              <w:t xml:space="preserve"> toimielimissä, </w:t>
            </w:r>
            <w:r>
              <w:rPr>
                <w:b/>
                <w:i/>
              </w:rPr>
              <w:t>ja kehottaa komissiota toteuttamaan toimenpiteitä sen varmistamiseksi, että toimielimet noudattavat edistämiään periaatteita, ja asettamaan tavoitteeksi sukupuolten palkkaeron poistamisen toimielimissä vuoteen 2030 mennessä</w:t>
            </w:r>
            <w:r>
              <w:t>;</w:t>
            </w:r>
          </w:p>
        </w:tc>
        <w:tc>
          <w:tcPr>
            <w:tcW w:w="4876" w:type="dxa"/>
            <w:tcBorders>
              <w:top w:val="nil"/>
              <w:left w:val="nil"/>
              <w:bottom w:val="nil"/>
              <w:right w:val="nil"/>
            </w:tcBorders>
          </w:tcPr>
          <w:p>
            <w:pPr>
              <w:pStyle w:val="Normal6a"/>
            </w:pPr>
            <w:r>
              <w:t>38.</w:t>
            </w:r>
            <w:r>
              <w:tab/>
            </w:r>
            <w:r>
              <w:rPr>
                <w:b/>
                <w:i/>
              </w:rPr>
              <w:t>kehottaa jälleen EU:n toimielimiä</w:t>
            </w:r>
            <w:r>
              <w:t xml:space="preserve">, </w:t>
            </w:r>
            <w:r>
              <w:rPr>
                <w:b/>
                <w:i/>
              </w:rPr>
              <w:t>virastoja, toimistoja ja elimiä parantamaan</w:t>
            </w:r>
            <w:r>
              <w:t xml:space="preserve"> sukupuolten </w:t>
            </w:r>
            <w:r>
              <w:rPr>
                <w:b/>
                <w:i/>
              </w:rPr>
              <w:t>tasapuolista edustusta ylemmän johdon tasolla</w:t>
            </w:r>
            <w:r>
              <w:t xml:space="preserve">; kehottaa komissiota tekemään </w:t>
            </w:r>
            <w:r>
              <w:rPr>
                <w:b/>
                <w:i/>
              </w:rPr>
              <w:t>analyysin</w:t>
            </w:r>
            <w:r>
              <w:t xml:space="preserve">, jossa määritetään alat, joilla </w:t>
            </w:r>
            <w:r>
              <w:rPr>
                <w:b/>
                <w:i/>
              </w:rPr>
              <w:t>tarve näihin parannuksiin on suurin, ja tutkimaan mahdollisuutta toteuttaa lisätoimia sukupuolten tasapuolisen edustuksen saavuttamiseksi EU:n</w:t>
            </w:r>
            <w:r>
              <w:t xml:space="preserve"> toimielimissä, </w:t>
            </w:r>
            <w:r>
              <w:rPr>
                <w:b/>
                <w:i/>
              </w:rPr>
              <w:t>virastoissa, toimistoissa ja elimissä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Olivier Chastel,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toteaa, sukupuolten palkkaero on edelleen </w:t>
            </w:r>
            <w:r>
              <w:rPr>
                <w:b/>
                <w:i/>
              </w:rPr>
              <w:t>merkittävä</w:t>
            </w:r>
            <w:r>
              <w:t xml:space="preserve"> ongelma EU:n toimielimissä; kehottaa komissiota tekemään perusteellisen tutkimuksen, jossa määritetään alat, joilla palkkaero on erityisen suuri näissä toimielimissä, ja kehottaa komissiota toteuttamaan toimenpiteitä sen varmistamiseksi, että toimielimet noudattavat edistämiään periaatteita, ja asettamaan tavoitteeksi sukupuolten palkkaeron poistamisen toimielimissä </w:t>
            </w:r>
            <w:r>
              <w:rPr>
                <w:b/>
                <w:i/>
              </w:rPr>
              <w:t>vuoteen 2030 mennessä</w:t>
            </w:r>
            <w:r>
              <w:t>;</w:t>
            </w:r>
          </w:p>
        </w:tc>
        <w:tc>
          <w:tcPr>
            <w:tcW w:w="4876" w:type="dxa"/>
            <w:tcBorders>
              <w:top w:val="nil"/>
              <w:left w:val="nil"/>
              <w:bottom w:val="nil"/>
              <w:right w:val="nil"/>
            </w:tcBorders>
          </w:tcPr>
          <w:p>
            <w:pPr>
              <w:pStyle w:val="Normal6a"/>
            </w:pPr>
            <w:r>
              <w:t>38.</w:t>
            </w:r>
            <w:r>
              <w:tab/>
            </w:r>
            <w:r>
              <w:t xml:space="preserve">toteaa, </w:t>
            </w:r>
            <w:r>
              <w:rPr>
                <w:b/>
                <w:i/>
              </w:rPr>
              <w:t>että</w:t>
            </w:r>
            <w:r>
              <w:t xml:space="preserve"> sukupuolten palkkaero on edelleen </w:t>
            </w:r>
            <w:r>
              <w:rPr>
                <w:b/>
                <w:i/>
              </w:rPr>
              <w:t>suuri</w:t>
            </w:r>
            <w:r>
              <w:t xml:space="preserve"> ongelma EU:n toimielimissä; kehottaa komissiota tekemään perusteellisen tutkimuksen, jossa määritetään alat, joilla palkkaero on erityisen suuri näissä toimielimissä, ja kehottaa komissiota toteuttamaan toimenpiteitä sen varmistamiseksi, että toimielimet noudattavat edistämiään periaatteita, ja asettamaan tavoitteeksi sukupuolten palkkaeron poistamisen toimielimissä </w:t>
            </w:r>
            <w:r>
              <w:rPr>
                <w:b/>
                <w:i/>
              </w:rPr>
              <w:t>mahdollisimman pian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38 a.</w:t>
            </w:r>
            <w:r>
              <w:tab/>
            </w:r>
            <w:r>
              <w:rPr>
                <w:b/>
                <w:i/>
              </w:rPr>
              <w:t>korostaa työpaikan tärkeää roolia perhe-elämän ja sijaishoidon tukemisessa ja kehottaa komissiota edistämään työllisyyspolitiikkaa, joka antaa äideille mahdollisuuden huolehtia perheenlisäykseen liittyvistä velvollisuuksista ja molemmille vanhemmille mahdollisuuden osallistua täysipainoisesti lastenhoitoon;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Virginie Joron, Julien Sanchez,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panee merkille sitkeät sukupuolten väliset erot perinteisesti miesvaltaisilla aloilla, kuten ydinvoima-alalla, puolustuksessa ja energiavaltaisilla toimialoilla; </w:t>
            </w:r>
            <w:r>
              <w:rPr>
                <w:b/>
                <w:i/>
              </w:rPr>
              <w:t>kehottaa komissiota varmistamaan sukupuolitietoisen budjetoinnin soveltamisen korjaavana ja käänteentekevänä välineenä, jotta varmistetaan, että resurssien kohdentamisella näille toimialoille edistetään aktiivisesti sukupuolten tasa-arvoa;</w:t>
            </w:r>
          </w:p>
        </w:tc>
        <w:tc>
          <w:tcPr>
            <w:tcW w:w="4876" w:type="dxa"/>
            <w:tcBorders>
              <w:top w:val="nil"/>
              <w:left w:val="nil"/>
              <w:bottom w:val="nil"/>
              <w:right w:val="nil"/>
            </w:tcBorders>
          </w:tcPr>
          <w:p>
            <w:pPr>
              <w:pStyle w:val="Normal6a"/>
            </w:pPr>
            <w:r>
              <w:t>39.</w:t>
            </w:r>
            <w:r>
              <w:tab/>
            </w:r>
            <w:r>
              <w:t>panee merkille sitkeät sukupuolten väliset erot perinteisesti miesvaltaisilla aloilla, kuten ydinvoima-alalla, puolustuksessa ja energiavaltaisilla toimialoilla;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panee merkille sitkeät sukupuolten väliset erot perinteisesti miesvaltaisilla aloilla, kuten ydinvoima-alalla, puolustuksessa ja energiavaltaisilla toimialoilla; kehottaa komissiota varmistamaan </w:t>
            </w:r>
            <w:r>
              <w:rPr>
                <w:b/>
                <w:i/>
              </w:rPr>
              <w:t>sukupuolitietoisen budjetoinnin soveltamisen korjaavana ja käänteentekevänä välineenä, jotta varmistetaan</w:t>
            </w:r>
            <w:r>
              <w:t xml:space="preserve">, että resurssien kohdentamisella näille toimialoille edistetään aktiivisesti </w:t>
            </w:r>
            <w:r>
              <w:rPr>
                <w:b/>
                <w:i/>
              </w:rPr>
              <w:t>sukupuolten tasa-arvoa</w:t>
            </w:r>
            <w:r>
              <w:t>;</w:t>
            </w:r>
          </w:p>
        </w:tc>
        <w:tc>
          <w:tcPr>
            <w:tcW w:w="4876" w:type="dxa"/>
            <w:tcBorders>
              <w:top w:val="nil"/>
              <w:left w:val="nil"/>
              <w:bottom w:val="nil"/>
              <w:right w:val="nil"/>
            </w:tcBorders>
          </w:tcPr>
          <w:p>
            <w:pPr>
              <w:pStyle w:val="Normal6a"/>
            </w:pPr>
            <w:r>
              <w:t>39.</w:t>
            </w:r>
            <w:r>
              <w:tab/>
            </w:r>
            <w:r>
              <w:t xml:space="preserve">panee merkille sitkeät sukupuolten väliset erot perinteisesti miesvaltaisilla aloilla, kuten ydinvoima-alalla, puolustuksessa ja energiavaltaisilla toimialoilla; kehottaa komissiota varmistamaan, että resurssien kohdentamisella näille toimialoille edistetään aktiivisesti </w:t>
            </w:r>
            <w:r>
              <w:rPr>
                <w:b/>
                <w:i/>
              </w:rPr>
              <w:t>sitä, että kannustetaan miesten ja naisten tasa-arvoon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panee merkille sitkeät sukupuolten väliset erot perinteisesti </w:t>
            </w:r>
            <w:r>
              <w:rPr>
                <w:b/>
                <w:i/>
              </w:rPr>
              <w:t>miesvaltaisilla aloilla, kuten ydinvoima-alalla, puolustuksessa ja energiavaltaisilla toimialoilla</w:t>
            </w:r>
            <w:r>
              <w:t xml:space="preserve">; kehottaa komissiota varmistamaan </w:t>
            </w:r>
            <w:r>
              <w:rPr>
                <w:b/>
                <w:i/>
              </w:rPr>
              <w:t>sukupuolitietoisen budjetoinnin soveltamisen korjaavana ja käänteentekevänä välineenä</w:t>
            </w:r>
            <w:r>
              <w:t>, jotta varmistetaan</w:t>
            </w:r>
            <w:r>
              <w:rPr>
                <w:b/>
                <w:i/>
              </w:rPr>
              <w:t>, että resurssien kohdentamisella näille toimialoille edistetään aktiivisesti</w:t>
            </w:r>
            <w:r>
              <w:t xml:space="preserve"> sukupuolten </w:t>
            </w:r>
            <w:r>
              <w:rPr>
                <w:b/>
                <w:i/>
              </w:rPr>
              <w:t>tasa-arvoa</w:t>
            </w:r>
            <w:r>
              <w:t>;</w:t>
            </w:r>
          </w:p>
        </w:tc>
        <w:tc>
          <w:tcPr>
            <w:tcW w:w="4876" w:type="dxa"/>
            <w:tcBorders>
              <w:top w:val="nil"/>
              <w:left w:val="nil"/>
              <w:bottom w:val="nil"/>
              <w:right w:val="nil"/>
            </w:tcBorders>
          </w:tcPr>
          <w:p>
            <w:pPr>
              <w:pStyle w:val="Normal6a"/>
            </w:pPr>
            <w:r>
              <w:t>39.</w:t>
            </w:r>
            <w:r>
              <w:tab/>
            </w:r>
            <w:r>
              <w:t xml:space="preserve">panee merkille sitkeät sukupuolten väliset erot </w:t>
            </w:r>
            <w:r>
              <w:rPr>
                <w:b/>
                <w:i/>
              </w:rPr>
              <w:t>useilla aloilla, joilla on</w:t>
            </w:r>
            <w:r>
              <w:t xml:space="preserve"> perinteisesti </w:t>
            </w:r>
            <w:r>
              <w:rPr>
                <w:b/>
                <w:i/>
              </w:rPr>
              <w:t>vain yhden sukupuolen edustajia</w:t>
            </w:r>
            <w:r>
              <w:t xml:space="preserve">; kehottaa komissiota varmistamaan </w:t>
            </w:r>
            <w:r>
              <w:rPr>
                <w:b/>
                <w:i/>
              </w:rPr>
              <w:t>kaikille sukupuolille syrjimättömät olosuhteet hankkia tarvittavia taitoja ja päästä koulutusohjelmiin ja valvomaan niitä</w:t>
            </w:r>
            <w:r>
              <w:t xml:space="preserve">, jotta varmistetaan </w:t>
            </w:r>
            <w:r>
              <w:rPr>
                <w:b/>
                <w:i/>
              </w:rPr>
              <w:t>parempi</w:t>
            </w:r>
            <w:r>
              <w:t xml:space="preserve"> sukupuolten </w:t>
            </w:r>
            <w:r>
              <w:rPr>
                <w:b/>
                <w:i/>
              </w:rPr>
              <w:t>tasa-arvo näillä nimenomaisilla aloilla heikentämättä teollisuuden kilpailukykyä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Olivier Chastel, Gerben-Jan Gerbrandy,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panee merkille sitkeät sukupuolten väliset erot </w:t>
            </w:r>
            <w:r>
              <w:rPr>
                <w:b/>
                <w:i/>
              </w:rPr>
              <w:t>perinteisesti miesvaltaisilla</w:t>
            </w:r>
            <w:r>
              <w:t xml:space="preserve"> aloilla, kuten ydinvoima-alalla, puolustuksessa ja energiavaltaisilla toimialoilla; kehottaa komissiota varmistamaan sukupuolitietoisen budjetoinnin soveltamisen korjaavana ja käänteentekevänä välineenä, jotta varmistetaan, että resurssien kohdentamisella näille toimialoille edistetään aktiivisesti sukupuolten tasa-arvoa;</w:t>
            </w:r>
          </w:p>
        </w:tc>
        <w:tc>
          <w:tcPr>
            <w:tcW w:w="4876" w:type="dxa"/>
            <w:tcBorders>
              <w:top w:val="nil"/>
              <w:left w:val="nil"/>
              <w:bottom w:val="nil"/>
              <w:right w:val="nil"/>
            </w:tcBorders>
          </w:tcPr>
          <w:p>
            <w:pPr>
              <w:pStyle w:val="Normal6a"/>
            </w:pPr>
            <w:r>
              <w:t>39.</w:t>
            </w:r>
            <w:r>
              <w:tab/>
            </w:r>
            <w:r>
              <w:t xml:space="preserve">panee merkille sitkeät sukupuolten väliset erot </w:t>
            </w:r>
            <w:r>
              <w:rPr>
                <w:b/>
                <w:i/>
              </w:rPr>
              <w:t>joillakin</w:t>
            </w:r>
            <w:r>
              <w:t xml:space="preserve"> aloilla, kuten ydinvoima-alalla, puolustuksessa ja energiavaltaisilla toimialoilla; kehottaa komissiota varmistamaan sukupuolitietoisen budjetoinnin soveltamisen korjaavana ja käänteentekevänä välineenä, jotta varmistetaan, että resurssien kohdentamisella näille toimialoille edistetään aktiivisesti sukupuolten tasa-arvoa; </w:t>
            </w:r>
            <w:r>
              <w:rPr>
                <w:b/>
                <w:i/>
              </w:rPr>
              <w:t>kehottaa kiinnittämään erityistä huomiota naisyrittäjiin, erityisesti pk-yrityksissä ja startup-yrityksissä, mukaan lukien erityinen seuranta sellaisissa ohjelmissa, kuten InvestEU tai Horisontti Eurooppa;</w:t>
            </w:r>
            <w:r>
              <w:t xml:space="preserve"> </w:t>
            </w:r>
            <w:r>
              <w:rPr>
                <w:b/>
                <w:i/>
              </w:rPr>
              <w:t>kehottaa vahvistamaan seuranta- ja raportointimekanismeja, jotta varmistetaan, että varat todella hyödyttävät naisia ja syrjäytyneitä ryhmiä;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777.066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44</w:t>
    </w:r>
    <w:r>
      <w:fldChar w:fldCharType="end"/>
    </w:r>
    <w:r>
      <w:t>/</w:t>
    </w:r>
    <w:r>
      <w:fldChar w:fldCharType="begin"/>
    </w:r>
    <w:r>
      <w:instrText xml:space="preserve"> NUMPAGES </w:instrText>
    </w:r>
    <w:r>
      <w:fldChar w:fldCharType="separate"/>
    </w:r>
    <w:r>
      <w:t>44</w:t>
    </w:r>
    <w:r>
      <w:fldChar w:fldCharType="end"/>
    </w:r>
    <w:r>
      <w:tab/>
    </w:r>
    <w:r>
      <w:rPr>
        <w:rStyle w:val="HideTWBExt"/>
      </w:rPr>
      <w:t>&lt;PathFdR&gt;</w:t>
    </w:r>
    <w:r>
      <w:t>AM\1328085FI.docx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AM\1328085FI.docx</w:t>
    </w:r>
    <w:r>
      <w:rPr>
        <w:rStyle w:val="HideTWBExt"/>
      </w:rPr>
      <w:t>&lt;/PathFdR&gt;</w:t>
    </w:r>
    <w:r>
      <w:tab/>
    </w:r>
    <w:r>
      <w:fldChar w:fldCharType="begin"/>
    </w:r>
    <w:r>
      <w:instrText xml:space="preserve"> PAGE </w:instrText>
    </w:r>
    <w:r>
      <w:fldChar w:fldCharType="separate"/>
    </w:r>
    <w:r>
      <w:t>43</w:t>
    </w:r>
    <w:r>
      <w:fldChar w:fldCharType="end"/>
    </w:r>
    <w:r>
      <w:t>/</w:t>
    </w:r>
    <w:r>
      <w:fldChar w:fldCharType="begin"/>
    </w:r>
    <w:r>
      <w:instrText xml:space="preserve"> NUMPAGES </w:instrText>
    </w:r>
    <w:r>
      <w:fldChar w:fldCharType="separate"/>
    </w:r>
    <w:r>
      <w:t>44</w:t>
    </w:r>
    <w:r>
      <w:fldChar w:fldCharType="end"/>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AM\1328085FI.docx</w:t>
    </w:r>
    <w:r>
      <w:rPr>
        <w:rStyle w:val="HideTWBExt"/>
      </w:rPr>
      <w:t>&lt;/PathFdR&gt;</w:t>
    </w:r>
    <w:r>
      <w:tab/>
    </w:r>
    <w:r>
      <w:tab/>
    </w:r>
    <w:r>
      <w:t>PE</w:t>
    </w:r>
    <w:r>
      <w:rPr>
        <w:rStyle w:val="HideTWBExt"/>
      </w:rPr>
      <w:t>&lt;NoPE&gt;</w:t>
    </w:r>
    <w:r>
      <w:t>777.066</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44</Pages>
  <Words>6259</Words>
  <Characters>54369</Characters>
  <Application>Microsoft Office Word</Application>
  <DocSecurity>0</DocSecurity>
  <Lines>1</Lines>
  <Paragraphs>763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1328085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260811</vt:lpwstr>
  </property>
  <property fmtid="{D5CDD505-2E9C-101B-9397-08002B2CF9AE}" pid="7" name="dmxml.render.traceId">
    <vt:lpwstr>68ecd960acfb359f646251257c032446</vt:lpwstr>
  </property>
  <property fmtid="{D5CDD505-2E9C-101B-9397-08002B2CF9AE}" pid="8" name="FooterPath">
    <vt:lpwstr>AM\1328085FI.docx</vt:lpwstr>
  </property>
  <property fmtid="{D5CDD505-2E9C-101B-9397-08002B2CF9AE}" pid="9" name="PE Number">
    <vt:lpwstr>777.066</vt:lpwstr>
  </property>
  <property fmtid="{D5CDD505-2E9C-101B-9397-08002B2CF9AE}" pid="10" name="UID">
    <vt:lpwstr>eu.europa.europarl-DIN1-2025-0000175169_02.00-fi-01.00_text-xml</vt:lpwstr>
  </property>
</Properties>
</file>