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Költségvetési Ellenőrző Bizottság</w:t>
      </w:r>
      <w:r>
        <w:rPr>
          <w:rStyle w:val="HideTWBExt"/>
        </w:rPr>
        <w:t>&lt;/Commission&gt;</w:t>
      </w:r>
    </w:p>
    <w:p>
      <w:pPr>
        <w:pStyle w:val="LineBottom"/>
      </w:pPr>
      <w:r>
        <w:t xml:space="preserve"> </w:t>
      </w:r>
    </w:p>
    <w:p>
      <w:pPr>
        <w:pStyle w:val="CoverReference"/>
      </w:pPr>
      <w:r>
        <w:rPr>
          <w:rStyle w:val="HideTWBExt"/>
        </w:rPr>
        <w:t>&lt;RefProc&gt;</w:t>
      </w:r>
      <w:r>
        <w:t>2025/2033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86</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Marit Maij</w:t>
      </w:r>
      <w:r>
        <w:rPr>
          <w:rStyle w:val="HideTWBExt"/>
        </w:rPr>
        <w:t>&lt;/Rapporteur&gt;</w:t>
      </w:r>
    </w:p>
    <w:p>
      <w:pPr>
        <w:pStyle w:val="CoverNormal24a"/>
      </w:pPr>
      <w:r>
        <w:rPr>
          <w:rStyle w:val="HideTWBExt"/>
        </w:rPr>
        <w:t>&lt;DocRefPE&gt;</w:t>
      </w:r>
      <w:r>
        <w:t>(PE775.770v02-00)</w:t>
      </w:r>
      <w:r>
        <w:rPr>
          <w:rStyle w:val="HideTWBExt"/>
        </w:rPr>
        <w:t>&lt;/DocRefPE&gt;</w:t>
      </w:r>
    </w:p>
    <w:p>
      <w:pPr>
        <w:pStyle w:val="CoverNormal"/>
      </w:pPr>
      <w:r>
        <w:rPr>
          <w:rStyle w:val="HideTWBExt"/>
        </w:rPr>
        <w:t>&lt;Titre&gt;</w:t>
      </w:r>
      <w:r>
        <w:t>2024. évi költségvetés – a nemek közötti esélyegyenlőség általános érvényesítésének módszertana végrehajtásának értékelése az uniós költségvetésben</w:t>
      </w:r>
      <w:r>
        <w:rPr>
          <w:rStyle w:val="HideTWBExt"/>
        </w:rPr>
        <w:t>&lt;/Titre&gt;</w:t>
      </w:r>
    </w:p>
    <w:p>
      <w:pPr>
        <w:pStyle w:val="CoverNormal24a"/>
      </w:pPr>
      <w:r>
        <w:rPr>
          <w:rStyle w:val="HideTWBExt"/>
        </w:rPr>
        <w:t>&lt;DocRef&gt;</w:t>
      </w:r>
      <w:r>
        <w:t>(2025/2033(INI))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Bizottságnak a 2028–2034-es időszakra vonatkozó többéves pénzügyi keretről szóló tanácsi rendeletre vonatkozó, 2025. július 16-i javaslatára (COM(2025) 571),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költségvetési kiadások nyomon követésére és teljesítményére vonatkozó keret, valamint az uniós programokra és tevékenységekre vonatkozó egyéb horizontális szabályok létrehozásáról szóló európai parlamenti és tanácsi rendeletre irányuló, 2025. július 16-i bizottsági javaslatra (COM/2025/545) és a kapcsolódó hatásvizsgálati jelentésre (SWD/2025/590),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tekintettel „A nők jogaira vonatkozó ütemterv” című, 2025. március 7-i bizottsági közleményre (COM(2025)0097),</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tekintettel az uniós nemi esélyegyenlőségi stratégiáról szóló, 2021. január 21-i állásfoglalására</w:t>
            </w:r>
            <w:r>
              <w:rPr>
                <w:b/>
                <w:i/>
                <w:vertAlign w:val="superscript"/>
              </w:rPr>
              <w:t>7</w:t>
            </w:r>
            <w:r>
              <w:rPr>
                <w:b/>
                <w:i/>
              </w:rPr>
              <w: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HL C 456., 2021.11.10., 208. o.</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tekintettel a nemek közötti egyenlőségnek az Európai Parlamenten belüli általános érvényesítésére vonatkozó 2020.</w:t>
            </w:r>
            <w:r>
              <w:t xml:space="preserve"> </w:t>
            </w:r>
            <w:r>
              <w:rPr>
                <w:b/>
                <w:i/>
              </w:rPr>
              <w:t>évi éves jelentésről szóló, 2022. március 10-i állásfoglalására</w:t>
            </w:r>
            <w:r>
              <w:rPr>
                <w:b/>
                <w:i/>
                <w:vertAlign w:val="superscript"/>
              </w:rPr>
              <w:t>8</w:t>
            </w:r>
            <w:r>
              <w:rPr>
                <w:b/>
                <w:i/>
              </w:rPr>
              <w: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HL C 347., 2022.9.9., 139. o.</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tekintettel az Európai Számvevőszék „A nemek közötti egyenlőség általános érvényesítése az uniós költségvetésben:</w:t>
            </w:r>
            <w:r>
              <w:t xml:space="preserve"> </w:t>
            </w:r>
            <w:r>
              <w:rPr>
                <w:b/>
                <w:i/>
              </w:rPr>
              <w:t>a szavak után eljött a tettek ideje” című, 10/2021. sz. különjelentésére,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tekintettel az Európai Parlament Kutatószolgálatának (EPRS) „Gender-responsive budgeting:</w:t>
            </w:r>
            <w:r>
              <w:t xml:space="preserve"> </w:t>
            </w:r>
            <w:r>
              <w:rPr>
                <w:b/>
                <w:i/>
              </w:rPr>
              <w:t>State of play and opportunities for the European Parliament’s 10th term” [A nemek közötti egyenlőség szempontját érvényesítő költségvetés-tervezés:</w:t>
            </w:r>
            <w:r>
              <w:t xml:space="preserve"> </w:t>
            </w:r>
            <w:r>
              <w:rPr>
                <w:b/>
                <w:i/>
              </w:rPr>
              <w:t>az Európai Parlament 10. parlamenti ciklusának jelenlegi állása és lehetőségei] című, 2025. februári tájékoztatójára,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Költségvetési és Költségvetési Ellenőrző Bizottság által kért, „Az Európai Unió nemek közötti egyenlőség szempontját érvényesítő költségvetés-tervezése – 2024. évi helyzet” című tanulmányra,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mivel a nemek közötti egyenlőség az Unió elsődleges jogában rögzített célkitűzés, és olyan elv, amelynek valamennyi uniós politika középpontjában kell állnia;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mivel a „nemek közötti egyenlőség” fogalmára általánosan hivatkoznak, elengedhetetlen annak egyértelmű tisztázása, hogy e jelentéssel összefüggésben a „nemek közötti egyenlőség” kifejezetten a férfiak és nők közötti egyenlőségre vonatkozik, elismerve és tiszteletben tartva az őket meghatározó eltérő biológiai és genetikai realitásokat;</w:t>
            </w:r>
            <w:r>
              <w:t xml:space="preserve"> </w:t>
            </w:r>
            <w:r>
              <w:rPr>
                <w:b/>
                <w:i/>
              </w:rPr>
              <w:t>mivel az „ember” és a „nő” kifejezés alatt az eltérő biológiai nemű egyének értendők a megalapozott tudományos ismereteknek megfelelően;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w:t>
            </w:r>
            <w:r>
              <w:rPr>
                <w:b/>
                <w:i/>
              </w:rPr>
              <w:t>a nemek közötti egyenlőség általános érvényesítése világszinten elismert stratégia annak biztosítására, hogy</w:t>
            </w:r>
            <w:r>
              <w:t xml:space="preserve"> a nemek közötti egyenlőség előmozdítása és a megkülönböztetés elleni küzdelem </w:t>
            </w:r>
            <w:r>
              <w:rPr>
                <w:b/>
                <w:i/>
              </w:rPr>
              <w:t>érdekében</w:t>
            </w:r>
            <w:r>
              <w:t xml:space="preserve"> a nemi </w:t>
            </w:r>
            <w:r>
              <w:rPr>
                <w:b/>
                <w:i/>
              </w:rPr>
              <w:t>dimenziót minden politika, program és intézkedés kialakításába, végrehajtásába és értékelésébe beépítsék</w:t>
            </w:r>
            <w:r>
              <w:t>;</w:t>
            </w:r>
          </w:p>
        </w:tc>
        <w:tc>
          <w:tcPr>
            <w:tcW w:w="4876" w:type="dxa"/>
            <w:tcBorders>
              <w:top w:val="nil"/>
              <w:left w:val="nil"/>
              <w:bottom w:val="nil"/>
              <w:right w:val="nil"/>
            </w:tcBorders>
          </w:tcPr>
          <w:p>
            <w:pPr>
              <w:pStyle w:val="Normal6a"/>
            </w:pPr>
            <w:r>
              <w:t>B.</w:t>
            </w:r>
            <w:r>
              <w:tab/>
            </w:r>
            <w:r>
              <w:t xml:space="preserve">mivel a nemek közötti egyenlőség előmozdítása és a megkülönböztetés elleni küzdelem </w:t>
            </w:r>
            <w:r>
              <w:rPr>
                <w:b/>
                <w:i/>
              </w:rPr>
              <w:t>világszinten elismert stratégia</w:t>
            </w:r>
            <w:r>
              <w:t xml:space="preserve"> a nemi </w:t>
            </w:r>
            <w:r>
              <w:rPr>
                <w:b/>
                <w:i/>
              </w:rPr>
              <w:t>dimenzió megvalósítására egyes európai politikák, programok és intézkedések meghatározása, végrehajtása és értékelése során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sajnálatát fejezi ki azonban amiatt, hogy a nemek közötti egyenlőség fogalma az EU-ban és világszerte ilyen finanszírozásban részesül, tekintettel azokra a gyakorlati napi gazdasági, szociális és biztonsági nehézségekre, amelyekkel az uniós tagállamok polgárainak több éve szembe kell nézniük;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Európa Tanács </w:t>
            </w:r>
            <w:r>
              <w:rPr>
                <w:b/>
                <w:i/>
              </w:rPr>
              <w:t>meghatározása szerint</w:t>
            </w:r>
            <w:r>
              <w:t xml:space="preserve"> a nemek közötti egyenlőség szempontját érvényesítő költségvetés-tervezés </w:t>
            </w:r>
            <w:r>
              <w:rPr>
                <w:b/>
                <w:i/>
              </w:rPr>
              <w:t>a költségvetések nemi alapú értékelése, amely a költségvetési folyamat minden szintjén figyelembe veszi a nemek közötti egyenlőség szempontját, valamint a nemek közötti egyenlőség előmozdítása érdekében átstrukturálja a bevételeket és a kiadásokat</w:t>
            </w:r>
            <w:r>
              <w:t>;</w:t>
            </w:r>
          </w:p>
        </w:tc>
        <w:tc>
          <w:tcPr>
            <w:tcW w:w="4876" w:type="dxa"/>
            <w:tcBorders>
              <w:top w:val="nil"/>
              <w:left w:val="nil"/>
              <w:bottom w:val="nil"/>
              <w:right w:val="nil"/>
            </w:tcBorders>
          </w:tcPr>
          <w:p>
            <w:pPr>
              <w:pStyle w:val="Normal6a"/>
            </w:pPr>
            <w:r>
              <w:t>C.</w:t>
            </w:r>
            <w:r>
              <w:tab/>
            </w:r>
            <w:r>
              <w:t xml:space="preserve">mivel </w:t>
            </w:r>
            <w:r>
              <w:rPr>
                <w:b/>
                <w:i/>
              </w:rPr>
              <w:t>a nemek közötti egyenlőség szempontját érvényesítő költségvetés-tervezést</w:t>
            </w:r>
            <w:r>
              <w:t xml:space="preserve"> az Európa Tanács a nemek közötti egyenlőség szempontját érvényesítő költségvetés-tervezés </w:t>
            </w:r>
            <w:r>
              <w:rPr>
                <w:b/>
                <w:i/>
              </w:rPr>
              <w:t>értékeléseként határozza meg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az EIGE a nemek közötti egyenlőség szempontját érvényesítő költségvetés-tervezést olyan eszköznek tekinti, amely lehetővé teszi a politikai döntéshozók számára az elszámoltathatóság </w:t>
            </w:r>
            <w:r>
              <w:rPr>
                <w:b/>
                <w:i/>
              </w:rPr>
              <w:t>és</w:t>
            </w:r>
            <w:r>
              <w:t xml:space="preserve"> az átláthatóság előmozdítását, valamennyi nem költségvetési folyamatban való kiegyensúlyozott részvételének növelését </w:t>
            </w:r>
            <w:r>
              <w:rPr>
                <w:b/>
                <w:i/>
              </w:rPr>
              <w:t>és a nemek közötti egyenlőség előmozdítását</w:t>
            </w:r>
            <w:r>
              <w:t>;</w:t>
            </w:r>
          </w:p>
        </w:tc>
        <w:tc>
          <w:tcPr>
            <w:tcW w:w="4876" w:type="dxa"/>
            <w:tcBorders>
              <w:top w:val="nil"/>
              <w:left w:val="nil"/>
              <w:bottom w:val="nil"/>
              <w:right w:val="nil"/>
            </w:tcBorders>
          </w:tcPr>
          <w:p>
            <w:pPr>
              <w:pStyle w:val="Normal6a"/>
            </w:pPr>
            <w:r>
              <w:t>D.</w:t>
            </w:r>
            <w:r>
              <w:tab/>
            </w:r>
            <w:r>
              <w:t>mivel az EIGE a nemek közötti egyenlőség szempontját érvényesítő költségvetés-tervezést olyan eszköznek tekinti, amely lehetővé teszi a politikai döntéshozók számára az elszámoltathatóság</w:t>
            </w:r>
            <w:r>
              <w:rPr>
                <w:b/>
                <w:i/>
              </w:rPr>
              <w:t>,</w:t>
            </w:r>
            <w:r>
              <w:t xml:space="preserve"> az átláthatóság előmozdítását, </w:t>
            </w:r>
            <w:r>
              <w:rPr>
                <w:b/>
                <w:i/>
              </w:rPr>
              <w:t>és</w:t>
            </w:r>
            <w:r>
              <w:t xml:space="preserve"> valamennyi nem költségvetési folyamatban való kiegyensúlyozott részvételének növelését;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mivel a nemek közötti egyenlőség horizontális prioritásként való beépítése az Unió költségvetésébe régóta aggodalomra ad okot mind a Költségvetési Ellenőrző Bizottságban, mind a Parlamentben, és </w:t>
            </w:r>
            <w:r>
              <w:rPr>
                <w:b/>
                <w:i/>
              </w:rPr>
              <w:t>kulcsfontosságú</w:t>
            </w:r>
            <w:r>
              <w:t xml:space="preserve"> kritériumnak minősül az uniós költségvetés végrehajtásának és a hatékony és eredményes pénzgazdálkodásnak az értékeléséhez;</w:t>
            </w:r>
          </w:p>
        </w:tc>
        <w:tc>
          <w:tcPr>
            <w:tcW w:w="4876" w:type="dxa"/>
            <w:tcBorders>
              <w:top w:val="nil"/>
              <w:left w:val="nil"/>
              <w:bottom w:val="nil"/>
              <w:right w:val="nil"/>
            </w:tcBorders>
          </w:tcPr>
          <w:p>
            <w:pPr>
              <w:pStyle w:val="Normal6a"/>
            </w:pPr>
            <w:r>
              <w:t>F.</w:t>
            </w:r>
            <w:r>
              <w:tab/>
            </w:r>
            <w:r>
              <w:t xml:space="preserve">mivel a nemek közötti egyenlőség horizontális prioritásként való beépítése az Unió költségvetésébe régóta aggodalomra ad okot mind a Költségvetési Ellenőrző Bizottságban, mind a Parlamentben, és </w:t>
            </w:r>
            <w:r>
              <w:rPr>
                <w:b/>
                <w:i/>
              </w:rPr>
              <w:t>fontos</w:t>
            </w:r>
            <w:r>
              <w:t xml:space="preserve"> kritériumnak minősül az uniós költségvetés végrehajtásának és a hatékony és eredményes pénzgazdálkodásnak az értékeléséhez; </w:t>
            </w:r>
            <w:r>
              <w:rPr>
                <w:b/>
                <w:i/>
              </w:rPr>
              <w:t>e tekintetben megjegyzi, hogy a Parlamentnek és különösen a Költségvetési Ellenőrző Bizottságnak e tekintetben a legjobb gyakorlatról példát kell mutatniuk;</w:t>
            </w:r>
            <w:r>
              <w:t xml:space="preserve"> </w:t>
            </w:r>
            <w:r>
              <w:rPr>
                <w:b/>
                <w:i/>
              </w:rPr>
              <w:t>sajnálatát fejezi ki amiatt, hogy ezeket a megfontolásokat nem ültetik át a gyakorlatba, mivel az Elnökség négy férfiból és egy nőből áll, ami ellentétes az eljárási szabályzat 219. cikkében foglalt, a nemek közötti egyensúlyra vonatkozó belső szabályokkal és a nemek közötti egyensúlyra vonatkozó elvárásokkal, amelyeket az uniós költségvetésekben elő kíván mozdítani;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mivel a nemek közötti egyenlőség horizontális prioritásként való beépítése az Unió költségvetésébe régóta aggodalomra ad okot mind a Költségvetési Ellenőrző Bizottságban, mind a Parlamentben, és kulcsfontosságú kritériumnak minősül az uniós költségvetés végrehajtásának és a hatékony és eredményes pénzgazdálkodásnak az értékeléséhez;</w:t>
            </w:r>
          </w:p>
        </w:tc>
        <w:tc>
          <w:tcPr>
            <w:tcW w:w="4876" w:type="dxa"/>
            <w:tcBorders>
              <w:top w:val="nil"/>
              <w:left w:val="nil"/>
              <w:bottom w:val="nil"/>
              <w:right w:val="nil"/>
            </w:tcBorders>
          </w:tcPr>
          <w:p>
            <w:pPr>
              <w:pStyle w:val="Normal6a"/>
            </w:pPr>
            <w:r>
              <w:t>F.</w:t>
            </w:r>
            <w:r>
              <w:tab/>
            </w:r>
            <w:r>
              <w:t>mivel a nemek közötti egyenlőség horizontális prioritásként való beépítése az Unió költségvetésébe régóta aggodalomra ad okot mind a Költségvetési Ellenőrző Bizottságban, mind a Parlamentben, és kulcsfontosságú kritériumnak minősül az uniós költségvetés végrehajtásának és a hatékony és eredményes pénzgazdálkodásnak</w:t>
            </w:r>
            <w:r>
              <w:rPr>
                <w:b/>
                <w:i/>
              </w:rPr>
              <w:t>, teljesítménynek és az arányosságnak</w:t>
            </w:r>
            <w:r>
              <w:t xml:space="preserve"> az értékeléséhez;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mivel a 2021–2027-es időszakra vonatkozó többéves pénzügyi keretet kísérő intézményközi megállapodás megerősíti a nemek közötti egyenlőség általános érvényesítését az uniós költségvetésben, többek között azzal a követelménnyel, hogy 2023-tól kísérleti jelleggel meg kell erősíteni a nemek közötti egyenlőségre gyakorolt hatás értékelését a jogalkotás minőségének javítására vonatkozó keret hatásvizsgálataiban és értékeléseiben, valamint ki kell dolgozni egy módszertant a nemek közötti egyenlőség programszinten történő előmozdítása szempontjából releváns kiadások mérésére;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mivel a nemek közötti egyenlőség megvalósításához interszekcionális megközelítésre van szükség a nemek közötti egyenlőség szempontját érvényesítő költségvetés-tervezés tekintetében, amely figyelembe veszi a rasszizált csoportokhoz tartozó nők, a fogyatékossággal élő személyek, az LMBTIQ+ -személyek és a migránsok által tapasztalt összetett megkülönböztetést annak biztosítása érdekében, hogy az uniós kiadások minden dimenzióban előmozdítsák az egyenlőséget;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F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mivel a család a társadalom alapvető egysége, és döntő szerepet játszik az egyének, közösségek és nemzetek jóllétének, stabilitásának és fejlődésének előmozdításában, alapvető fontosságú, hogy az EU horizontális politikái aktívan előmozdítsák és támogassák azt;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mivel 2021 óta aggasztó mértékben csökkentek a nemek közötti egyenlőség általános érvényesítésére irányuló tagállami erőfeszítések, amit uniós szinten nem szabad tükrözni;</w:t>
            </w:r>
          </w:p>
        </w:tc>
        <w:tc>
          <w:tcPr>
            <w:tcW w:w="4876" w:type="dxa"/>
            <w:tcBorders>
              <w:top w:val="nil"/>
              <w:left w:val="nil"/>
              <w:bottom w:val="nil"/>
              <w:right w:val="nil"/>
            </w:tcBorders>
          </w:tcPr>
          <w:p>
            <w:pPr>
              <w:pStyle w:val="Normal6a"/>
            </w:pPr>
            <w:r>
              <w:t>H.</w:t>
            </w:r>
            <w:r>
              <w:tab/>
            </w:r>
            <w:r>
              <w:t xml:space="preserve">mivel </w:t>
            </w:r>
            <w:r>
              <w:rPr>
                <w:b/>
                <w:i/>
              </w:rPr>
              <w:t>az EIGE arról számolt be, hogy</w:t>
            </w:r>
            <w:r>
              <w:t xml:space="preserve"> 2021 óta aggasztó mértékben csökkentek a nemek közötti egyenlőség általános érvényesítésére irányuló tagállami erőfeszítések, amit uniós szinten nem szabad tükrözni;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I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mivel a nemek közötti egyenlőségre vonatkozó előzetes hatásvizsgálatokat és mérséklési intézkedéseket szisztematikusan be kell építeni az uniós szakpolitikai döntéshozatali folyamatokba annak biztosítása érdekében, hogy a jövőbeli kezdeményezések </w:t>
            </w:r>
            <w:r>
              <w:rPr>
                <w:b/>
                <w:i/>
              </w:rPr>
              <w:t>ne rontsák szándékolatlanul</w:t>
            </w:r>
            <w:r>
              <w:t xml:space="preserve"> a nemek közötti egyenlőséget;</w:t>
            </w:r>
          </w:p>
        </w:tc>
        <w:tc>
          <w:tcPr>
            <w:tcW w:w="4876" w:type="dxa"/>
            <w:tcBorders>
              <w:top w:val="nil"/>
              <w:left w:val="nil"/>
              <w:bottom w:val="nil"/>
              <w:right w:val="nil"/>
            </w:tcBorders>
          </w:tcPr>
          <w:p>
            <w:pPr>
              <w:pStyle w:val="Normal6a"/>
            </w:pPr>
            <w:r>
              <w:t>I.</w:t>
            </w:r>
            <w:r>
              <w:tab/>
            </w:r>
            <w:r>
              <w:t xml:space="preserve">mivel a nemek közötti egyenlőségre vonatkozó előzetes hatásvizsgálatokat és mérséklési intézkedéseket szisztematikusan be kell építeni az uniós szakpolitikai döntéshozatali folyamatokba annak biztosítása érdekében, hogy a jövőbeli kezdeményezések </w:t>
            </w:r>
            <w:r>
              <w:rPr>
                <w:b/>
                <w:i/>
              </w:rPr>
              <w:t>mozdítsák elő</w:t>
            </w:r>
            <w:r>
              <w:t xml:space="preserve"> a nemek közötti egyenlőséget</w:t>
            </w:r>
            <w:r>
              <w:rPr>
                <w:b/>
                <w:i/>
              </w:rPr>
              <w:t>, ne pedig gyengítsék azt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üdvözli</w:t>
            </w:r>
            <w:r>
              <w:t>, hogy kötelező erejű kötelezettségvállalásaival összhangban és a Parlament ismételt felhívásait követően a Bizottság kísérleti módszertant dolgozott ki a nemek közötti egyenlőséggel kapcsolatos kiadások programszinten történő nyomon követésére és mérésére a 2021–2027-es többéves pénzügyi keretben annak érdekében, hogy javítsa a nemek közötti egyenlőség általános érvényesítését a Bizottság költségvetési eljárásában, és hatékonyabbá tegye a szakpolitika-tervezést és az erőforrások elosztását a nemek közötti egyenlőség céljainak előmozdítása érdekében;</w:t>
            </w:r>
          </w:p>
        </w:tc>
        <w:tc>
          <w:tcPr>
            <w:tcW w:w="4876" w:type="dxa"/>
            <w:tcBorders>
              <w:top w:val="nil"/>
              <w:left w:val="nil"/>
              <w:bottom w:val="nil"/>
              <w:right w:val="nil"/>
            </w:tcBorders>
          </w:tcPr>
          <w:p>
            <w:pPr>
              <w:pStyle w:val="Normal6a"/>
            </w:pPr>
            <w:r>
              <w:t>1.</w:t>
            </w:r>
            <w:r>
              <w:tab/>
            </w:r>
            <w:r>
              <w:rPr>
                <w:b/>
                <w:i/>
              </w:rPr>
              <w:t>sajnálja</w:t>
            </w:r>
            <w:r>
              <w:t>, hogy kötelező erejű kötelezettségvállalásaival összhangban és a Parlament ismételt felhívásait követően a Bizottság kísérleti módszertant dolgozott ki a nemek közötti egyenlőséggel kapcsolatos kiadások programszinten történő nyomon követésére és mérésére a 2021–2027-es többéves pénzügyi keretben annak érdekében, hogy javítsa a nemek közötti egyenlőség általános érvényesítését a Bizottság költségvetési eljárásában, és hatékonyabbá tegye a szakpolitika-tervezést és az erőforrások elosztását a nemek közötti egyenlőség céljainak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üdvözli, hogy kötelező erejű kötelezettségvállalásaival összhangban és a Parlament ismételt felhívásait követően a Bizottság kísérleti módszertant dolgozott ki a nemek közötti egyenlőséggel kapcsolatos kiadások programszinten történő nyomon követésére és mérésére a 2021–2027-es többéves pénzügyi keretben </w:t>
            </w:r>
            <w:r>
              <w:rPr>
                <w:b/>
                <w:i/>
              </w:rPr>
              <w:t>annak érdekében, hogy javítsa a nemek közötti egyenlőség általános érvényesítését a Bizottság költségvetési eljárásában, és hatékonyabbá tegye a szakpolitika-tervezést és az erőforrások elosztását a nemek közötti egyenlőség céljainak előmozdítása érdekében</w:t>
            </w:r>
            <w:r>
              <w:t>;</w:t>
            </w:r>
          </w:p>
        </w:tc>
        <w:tc>
          <w:tcPr>
            <w:tcW w:w="4876" w:type="dxa"/>
            <w:tcBorders>
              <w:top w:val="nil"/>
              <w:left w:val="nil"/>
              <w:bottom w:val="nil"/>
              <w:right w:val="nil"/>
            </w:tcBorders>
          </w:tcPr>
          <w:p>
            <w:pPr>
              <w:pStyle w:val="Normal6a"/>
            </w:pPr>
            <w:r>
              <w:t>1.</w:t>
            </w:r>
            <w:r>
              <w:tab/>
            </w:r>
            <w:r>
              <w:t>üdvözli, hogy kötelező erejű kötelezettségvállalásaival összhangban és a Parlament ismételt felhívásait követően a Bizottság kísérleti módszertant dolgozott ki a nemek közötti egyenlőséggel kapcsolatos kiadások programszinten történő nyomon követésére és mérésére a 2021–2027-es többéves pénzügyi keretben;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hangsúlyozza, hogy a többéves pénzügyi keretnek objektív társadalmi-gazdasági kritériumokon kell alapulnia, biztosítva, hogy az előirányzatokat nem szociológiai konstrukciók, hanem számszerűsíthető gazdasági, pénzügyi és hatékonysági mutatók határozzák meg;</w:t>
            </w:r>
            <w:r>
              <w:t xml:space="preserve"> </w:t>
            </w:r>
            <w:r>
              <w:rPr>
                <w:b/>
                <w:i/>
              </w:rPr>
              <w:t>hangsúlyozza, hogy az uniós költségvetésnek továbbra is semlegesnek kell maradnia az elosztási kritériumok tekintetében, és nem használható fel eszközként az olyan szociális manipulációs koncepciók előmozdítására, mint a nemek közötti egyenlőség általános érvényesítése;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emlékeztet arra, hogy a nemek közötti egyenlőség szempontját érvényesítő költségvetés-tervezés magában foglalja a nemek közötti egyenlőség szempontjának a költségvetési folyamat valamennyi szakaszába történő beépítését;</w:t>
            </w:r>
            <w:r>
              <w:t xml:space="preserve"> </w:t>
            </w:r>
            <w:r>
              <w:rPr>
                <w:b/>
                <w:i/>
              </w:rPr>
              <w:t>úgy véli, hogy a Bizottság módszertana a nemek közötti egyenlőség szempontját érvényesítő költségvetés-tervezésnek az uniós költségvetésre való részleges alkalmazását jelenti, mivel csak a mutatók utólagos nyomon követését írja elő a nyomon követés szakaszában;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hangsúlyozza, hogy a Bizottság módszertana eltér a Gazdasági Együttműködési és Fejlesztési Szervezet által kidolgozott, a nemek közötti egyenlőségre vonatkozó szakpolitikai mutatótól, mivel nem tartalmaz olyan pontszámot, amely lehetővé tenné az uniós kiadásoknak a nemek közötti egyenlőség általános érvényesítésére vonatkozó célkitűzésekre gyakorolt negatív hatásainak nyomon követését, és mivel bevezeti a 0* kategóriát a nemek közötti egyenlőségre valószínűleg, de egyelőre nem egyértelműen pozitív hatással járó beavatkozások esetében;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sajnálatát fejezi ki azonban amiatt, hogy a politika megvalósításának költségei (humán erőforrások, a mutatók nyomon követésére létrehozott információs rendszerek stb.), valamint az e jelentésben bemutatott kilátások nem mérhetők fel, ami lehetetlenné teszi a bevezetés feltételeinek értékelését;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hangsúlyozza, hogy sem a nemek közötti egyenlőség általános érvényesítése, sem a nemi dimenzió elfogadása nem lehet a költségvetési tervezés előfeltétele, és hogy a nemek közötti egyenlőség szempontját érvényesítő költségvetés-tervezés nem írható elő kötelező eszközként;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tudomásul veszi, hogy a 0* pontszámmal rendelkező kötelezettségvállalások arányának az évek során tapasztalt csökkenése a Bizottság jelentéstételi kapacitása javulásának eredménye, amely lehetővé teszi főigazgatóságai számára, hogy programjaik nemek közötti egyenlőséghez való hozzájárulását részletesebb szinten mérjék fel;</w:t>
            </w:r>
          </w:p>
        </w:tc>
        <w:tc>
          <w:tcPr>
            <w:tcW w:w="4876" w:type="dxa"/>
            <w:tcBorders>
              <w:top w:val="nil"/>
              <w:left w:val="nil"/>
              <w:bottom w:val="nil"/>
              <w:right w:val="nil"/>
            </w:tcBorders>
          </w:tcPr>
          <w:p>
            <w:pPr>
              <w:pStyle w:val="Normal6a"/>
            </w:pPr>
            <w:r>
              <w:t>9.</w:t>
            </w:r>
            <w:r>
              <w:tab/>
            </w:r>
            <w:r>
              <w:t xml:space="preserve">tudomásul veszi, hogy a 0* pontszámmal rendelkező kötelezettségvállalások arányának az évek során tapasztalt csökkenése </w:t>
            </w:r>
            <w:r>
              <w:rPr>
                <w:b/>
                <w:i/>
              </w:rPr>
              <w:t>az adatok gyűjtésének és rendelkezésére állásának, valamint</w:t>
            </w:r>
            <w:r>
              <w:t xml:space="preserve"> a Bizottság jelentéstételi kapacitása javulásának eredménye, amely lehetővé teszi főigazgatóságai számára, hogy programjaik nemek közötti egyenlőséghez való hozzájárulását részletesebb szinten mérjék fel;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tudomásul veszi továbbá, hogy mivel az első pénzügyi években, amikor ezt a módszertant alkalmazták, a jelentéstételi kapacitás korlátozott volt, az egyes pénzügyi évek adatainak összehasonlítása az éves eredmények alapján, illetve az ilyen összehasonlításokból levont következtetések kevés hozzáadott értéket jelentenek;</w:t>
            </w:r>
          </w:p>
        </w:tc>
        <w:tc>
          <w:tcPr>
            <w:tcW w:w="4876" w:type="dxa"/>
            <w:tcBorders>
              <w:top w:val="nil"/>
              <w:left w:val="nil"/>
              <w:bottom w:val="nil"/>
              <w:right w:val="nil"/>
            </w:tcBorders>
          </w:tcPr>
          <w:p>
            <w:pPr>
              <w:pStyle w:val="Normal6a"/>
            </w:pPr>
            <w:r>
              <w:t>10.</w:t>
            </w:r>
            <w:r>
              <w:tab/>
            </w:r>
            <w:r>
              <w:t xml:space="preserve">tudomásul veszi továbbá, hogy mivel az első pénzügyi években, amikor ezt a módszertant alkalmazták, </w:t>
            </w:r>
            <w:r>
              <w:rPr>
                <w:b/>
                <w:i/>
              </w:rPr>
              <w:t>a rendelkezésre álló adatmennyiség és</w:t>
            </w:r>
            <w:r>
              <w:t xml:space="preserve"> a jelentéstételi kapacitás korlátozott volt, az egyes pénzügyi évek adatainak összehasonlítása az éves eredmények alapján, illetve az ilyen összehasonlításokból levont következtetések kevés hozzáadott értéket jelentenek;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sajnálatát fejezi ki amiatt, hogy a használt módszertan kifejezetten a működési költségvetések nyomon követésére szolgáló eszköz, ezért nem alkalmas az uniós intézmények és szervek igazgatási költségvetésének megfelelő értékelésére;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sajnálatát fejezi ki amiatt</w:t>
            </w:r>
            <w:r>
              <w:t xml:space="preserve">, hogy a </w:t>
            </w:r>
            <w:r>
              <w:rPr>
                <w:b/>
                <w:i/>
              </w:rPr>
              <w:t>használt</w:t>
            </w:r>
            <w:r>
              <w:t xml:space="preserve"> módszertan </w:t>
            </w:r>
            <w:r>
              <w:rPr>
                <w:b/>
                <w:i/>
              </w:rPr>
              <w:t>kifejezetten a működési</w:t>
            </w:r>
            <w:r>
              <w:t xml:space="preserve"> költségvetések </w:t>
            </w:r>
            <w:r>
              <w:rPr>
                <w:b/>
                <w:i/>
              </w:rPr>
              <w:t>nyomon követésére szolgáló eszköz, ezért nem alkalmas az uniós intézmények és szervek igazgatási költségvetésének megfelelő értékelésére</w:t>
            </w:r>
            <w:r>
              <w:t>;</w:t>
            </w:r>
          </w:p>
        </w:tc>
        <w:tc>
          <w:tcPr>
            <w:tcW w:w="4876" w:type="dxa"/>
            <w:tcBorders>
              <w:top w:val="nil"/>
              <w:left w:val="nil"/>
              <w:bottom w:val="nil"/>
              <w:right w:val="nil"/>
            </w:tcBorders>
          </w:tcPr>
          <w:p>
            <w:pPr>
              <w:pStyle w:val="Normal6a"/>
            </w:pPr>
            <w:r>
              <w:t>15.</w:t>
            </w:r>
            <w:r>
              <w:tab/>
            </w:r>
            <w:r>
              <w:rPr>
                <w:b/>
                <w:i/>
              </w:rPr>
              <w:t>megjegyzi</w:t>
            </w:r>
            <w:r>
              <w:t xml:space="preserve">, hogy a </w:t>
            </w:r>
            <w:r>
              <w:rPr>
                <w:b/>
                <w:i/>
              </w:rPr>
              <w:t>jelenlegi</w:t>
            </w:r>
            <w:r>
              <w:t xml:space="preserve"> módszertan</w:t>
            </w:r>
            <w:r>
              <w:rPr>
                <w:b/>
                <w:i/>
              </w:rPr>
              <w:t>, amelyet elsősorban az operatív költségvetésekre terveztek, nem értékeli megfelelően az uniós intézményeken és szerveken belüli igazgatási</w:t>
            </w:r>
            <w:r>
              <w:t xml:space="preserve"> költségvetések </w:t>
            </w:r>
            <w:r>
              <w:rPr>
                <w:b/>
                <w:i/>
              </w:rPr>
              <w:t>nemek közötti egyenlőségre gyakorolt hatását, amelyek a nemek közötti egyenlőség általános érvényesítésére irányuló erőfeszítések szempontjából is jelentősek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sajnálatát fejezi ki amiatt</w:t>
            </w:r>
            <w:r>
              <w:t xml:space="preserve">, hogy a módszertan korlátozott </w:t>
            </w:r>
            <w:r>
              <w:rPr>
                <w:b/>
                <w:i/>
              </w:rPr>
              <w:t>eszköz, amely nem képes</w:t>
            </w:r>
            <w:r>
              <w:t xml:space="preserve"> megfelelően figyelembe </w:t>
            </w:r>
            <w:r>
              <w:rPr>
                <w:b/>
                <w:i/>
              </w:rPr>
              <w:t>venni a programok</w:t>
            </w:r>
            <w:r>
              <w:t xml:space="preserve"> nemek közötti egyenlőségre gyakorolt másodlagos hatásait, a </w:t>
            </w:r>
            <w:r>
              <w:rPr>
                <w:b/>
                <w:i/>
              </w:rPr>
              <w:t>programok nemek közötti egyenlőségre gyakorolt potenciális</w:t>
            </w:r>
            <w:r>
              <w:t xml:space="preserve"> negatív </w:t>
            </w:r>
            <w:r>
              <w:rPr>
                <w:b/>
                <w:i/>
              </w:rPr>
              <w:t>hatásait, illetve a politikai</w:t>
            </w:r>
            <w:r>
              <w:t xml:space="preserve"> hatások interszekcionális </w:t>
            </w:r>
            <w:r>
              <w:rPr>
                <w:b/>
                <w:i/>
              </w:rPr>
              <w:t>elemzéséhez szükséges egyéb társadalmi tényezőket</w:t>
            </w:r>
            <w:r>
              <w:t>;</w:t>
            </w:r>
          </w:p>
        </w:tc>
        <w:tc>
          <w:tcPr>
            <w:tcW w:w="4876" w:type="dxa"/>
            <w:tcBorders>
              <w:top w:val="nil"/>
              <w:left w:val="nil"/>
              <w:bottom w:val="nil"/>
              <w:right w:val="nil"/>
            </w:tcBorders>
          </w:tcPr>
          <w:p>
            <w:pPr>
              <w:pStyle w:val="Normal6a"/>
            </w:pPr>
            <w:r>
              <w:t>16.</w:t>
            </w:r>
            <w:r>
              <w:tab/>
            </w:r>
            <w:r>
              <w:rPr>
                <w:b/>
                <w:i/>
              </w:rPr>
              <w:t>megjegyzi</w:t>
            </w:r>
            <w:r>
              <w:t xml:space="preserve">, hogy a módszertan </w:t>
            </w:r>
            <w:r>
              <w:rPr>
                <w:b/>
                <w:i/>
              </w:rPr>
              <w:t>alkalmazási köre</w:t>
            </w:r>
            <w:r>
              <w:t xml:space="preserve"> korlátozott</w:t>
            </w:r>
            <w:r>
              <w:rPr>
                <w:b/>
                <w:i/>
              </w:rPr>
              <w:t>, mivel nem veszi</w:t>
            </w:r>
            <w:r>
              <w:t xml:space="preserve"> megfelelően figyelembe </w:t>
            </w:r>
            <w:r>
              <w:rPr>
                <w:b/>
                <w:i/>
              </w:rPr>
              <w:t>a programoknak a</w:t>
            </w:r>
            <w:r>
              <w:t xml:space="preserve"> nemek közötti egyenlőségre gyakorolt másodlagos </w:t>
            </w:r>
            <w:r>
              <w:rPr>
                <w:b/>
                <w:i/>
              </w:rPr>
              <w:t>vagy közvetett</w:t>
            </w:r>
            <w:r>
              <w:t xml:space="preserve"> hatásait, a </w:t>
            </w:r>
            <w:r>
              <w:rPr>
                <w:b/>
                <w:i/>
              </w:rPr>
              <w:t>lehetséges</w:t>
            </w:r>
            <w:r>
              <w:t xml:space="preserve"> negatív </w:t>
            </w:r>
            <w:r>
              <w:rPr>
                <w:b/>
                <w:i/>
              </w:rPr>
              <w:t>hatásokat vagy a szakpolitikai</w:t>
            </w:r>
            <w:r>
              <w:t xml:space="preserve"> hatások </w:t>
            </w:r>
            <w:r>
              <w:rPr>
                <w:b/>
                <w:i/>
              </w:rPr>
              <w:t>átfogó értékeléséhez szükséges</w:t>
            </w:r>
            <w:r>
              <w:t xml:space="preserve"> interszekcionális </w:t>
            </w:r>
            <w:r>
              <w:rPr>
                <w:b/>
                <w:i/>
              </w:rPr>
              <w:t>dimenziókat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sajnálatát fejezi ki amiatt, hogy a módszertan korlátozott eszköz, amely nem képes megfelelően figyelembe venni a programok nemek közötti egyenlőségre gyakorolt másodlagos hatásait, a programok nemek közötti egyenlőségre gyakorolt potenciális negatív hatásait, illetve </w:t>
            </w:r>
            <w:r>
              <w:rPr>
                <w:b/>
                <w:i/>
              </w:rPr>
              <w:t>a politikai hatások interszekcionális elemzéséhez szükséges</w:t>
            </w:r>
            <w:r>
              <w:t xml:space="preserve"> egyéb társadalmi tényezőket;</w:t>
            </w:r>
          </w:p>
        </w:tc>
        <w:tc>
          <w:tcPr>
            <w:tcW w:w="4876" w:type="dxa"/>
            <w:tcBorders>
              <w:top w:val="nil"/>
              <w:left w:val="nil"/>
              <w:bottom w:val="nil"/>
              <w:right w:val="nil"/>
            </w:tcBorders>
          </w:tcPr>
          <w:p>
            <w:pPr>
              <w:pStyle w:val="Normal6a"/>
            </w:pPr>
            <w:r>
              <w:t>16.</w:t>
            </w:r>
            <w:r>
              <w:tab/>
            </w:r>
            <w:r>
              <w:t>sajnálatát fejezi ki amiatt, hogy a módszertan korlátozott eszköz, amely nem képes megfelelően figyelembe venni a programok nemek közötti egyenlőségre gyakorolt másodlagos hatásait, a programok nemek közötti egyenlőségre gyakorolt potenciális negatív hatásait, illetve egyéb társadalmi tényezőket;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sajnálatát fejezi ki továbbá amiatt, hogy nem veszik figyelembe a programok nemek közötti egyenlőségre gyakorolt lehetséges negatív hatásait, különös tekintettel a nemek közötti egyenlőséghez való alacsony hozzájárulásra az olyan ágazatokban, mint a versenyképesség, a védelem és a felkészültség;</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sajnálatát fejezi ki</w:t>
            </w:r>
            <w:r>
              <w:t xml:space="preserve"> továbbá </w:t>
            </w:r>
            <w:r>
              <w:rPr>
                <w:b/>
                <w:i/>
              </w:rPr>
              <w:t>amiatt, hogy nem veszik figyelembe</w:t>
            </w:r>
            <w:r>
              <w:t xml:space="preserve"> a programok nemek közötti egyenlőségre gyakorolt lehetséges negatív hatásait</w:t>
            </w:r>
            <w:r>
              <w:rPr>
                <w:b/>
                <w:i/>
              </w:rPr>
              <w:t>, különös tekintettel a nemek közötti egyenlőséghez való alacsony hozzájárulásra</w:t>
            </w:r>
            <w:r>
              <w:t xml:space="preserve"> az olyan ágazatokban, mint a versenyképesség, a védelem és a felkészültség;</w:t>
            </w:r>
          </w:p>
        </w:tc>
        <w:tc>
          <w:tcPr>
            <w:tcW w:w="4876" w:type="dxa"/>
            <w:tcBorders>
              <w:top w:val="nil"/>
              <w:left w:val="nil"/>
              <w:bottom w:val="nil"/>
              <w:right w:val="nil"/>
            </w:tcBorders>
          </w:tcPr>
          <w:p>
            <w:pPr>
              <w:pStyle w:val="Normal6a"/>
            </w:pPr>
            <w:r>
              <w:t>17.</w:t>
            </w:r>
            <w:r>
              <w:tab/>
            </w:r>
            <w:r>
              <w:rPr>
                <w:b/>
                <w:i/>
              </w:rPr>
              <w:t>megjegyzi</w:t>
            </w:r>
            <w:r>
              <w:t xml:space="preserve"> továbbá</w:t>
            </w:r>
            <w:r>
              <w:rPr>
                <w:b/>
                <w:i/>
              </w:rPr>
              <w:t>, hogy</w:t>
            </w:r>
            <w:r>
              <w:t xml:space="preserve"> a programok nemek közötti egyenlőségre gyakorolt lehetséges negatív hatásait </w:t>
            </w:r>
            <w:r>
              <w:rPr>
                <w:b/>
                <w:i/>
              </w:rPr>
              <w:t>nem veszik kellőképpen figyelembe, különösen</w:t>
            </w:r>
            <w:r>
              <w:t xml:space="preserve"> az olyan ágazatokban, mint a versenyképesség, a védelem és a felkészültség;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sajnálatát fejezi ki amiatt</w:t>
            </w:r>
            <w:r>
              <w:t xml:space="preserve">, hogy a módszertan utólagos </w:t>
            </w:r>
            <w:r>
              <w:rPr>
                <w:b/>
                <w:i/>
              </w:rPr>
              <w:t>jellege miatt nem képes strukturálisan befolyásolni a szakpolitikák kialakítását egy</w:t>
            </w:r>
            <w:r>
              <w:t xml:space="preserve"> előzetes szakaszban</w:t>
            </w:r>
            <w:r>
              <w:rPr>
                <w:b/>
                <w:i/>
              </w:rPr>
              <w:t>, illetve a pénzügyi források gyűjtését és elosztását</w:t>
            </w:r>
            <w:r>
              <w:t xml:space="preserve">, ami elengedhetetlen a nemek közötti egyenlőség uniós programokban való </w:t>
            </w:r>
            <w:r>
              <w:rPr>
                <w:b/>
                <w:i/>
              </w:rPr>
              <w:t>megfelelő</w:t>
            </w:r>
            <w:r>
              <w:t xml:space="preserve"> érvényesítéséhez;</w:t>
            </w:r>
          </w:p>
        </w:tc>
        <w:tc>
          <w:tcPr>
            <w:tcW w:w="4876" w:type="dxa"/>
            <w:tcBorders>
              <w:top w:val="nil"/>
              <w:left w:val="nil"/>
              <w:bottom w:val="nil"/>
              <w:right w:val="nil"/>
            </w:tcBorders>
          </w:tcPr>
          <w:p>
            <w:pPr>
              <w:pStyle w:val="Normal6a"/>
            </w:pPr>
            <w:r>
              <w:t>18.</w:t>
            </w:r>
            <w:r>
              <w:tab/>
            </w:r>
            <w:r>
              <w:rPr>
                <w:b/>
                <w:i/>
              </w:rPr>
              <w:t>megjegyzi</w:t>
            </w:r>
            <w:r>
              <w:t xml:space="preserve">, hogy a módszertan utólagos </w:t>
            </w:r>
            <w:r>
              <w:rPr>
                <w:b/>
                <w:i/>
              </w:rPr>
              <w:t>jellegét javítani lehetne annak érdekében, hogy az</w:t>
            </w:r>
            <w:r>
              <w:t xml:space="preserve"> előzetes szakaszban </w:t>
            </w:r>
            <w:r>
              <w:rPr>
                <w:b/>
                <w:i/>
              </w:rPr>
              <w:t>jobban lehetővé váljon a szakpolitikák kialakítására és az erőforrások elosztására gyakorolt strukturális hatás</w:t>
            </w:r>
            <w:r>
              <w:t xml:space="preserve">, ami elengedhetetlen a nemek közötti egyenlőség uniós programokban való </w:t>
            </w:r>
            <w:r>
              <w:rPr>
                <w:b/>
                <w:i/>
              </w:rPr>
              <w:t>hatékony</w:t>
            </w:r>
            <w:r>
              <w:t xml:space="preserve"> érvényesítéséhez;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emlékeztet arra, hogy a szociálpolitika és a nemek közötti egyenlőség kérdése a szubszidiaritás elve értelmében a tagállamok hatáskörébe tartozik, ezért azokat nem szabad az uniós költségvetési kereten keresztül előírni;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megjegyzi, hogy </w:t>
            </w:r>
            <w:r>
              <w:rPr>
                <w:b/>
                <w:i/>
              </w:rPr>
              <w:t>bár a Bizottság kettős megközelítése</w:t>
            </w:r>
            <w:r>
              <w:t xml:space="preserve"> a nemek közötti egyenlőség általános </w:t>
            </w:r>
            <w:r>
              <w:rPr>
                <w:b/>
                <w:i/>
              </w:rPr>
              <w:t>érvényesítéséhez</w:t>
            </w:r>
            <w:r>
              <w:t xml:space="preserve">, amely </w:t>
            </w:r>
            <w:r>
              <w:rPr>
                <w:b/>
                <w:i/>
              </w:rPr>
              <w:t>az uniós</w:t>
            </w:r>
            <w:r>
              <w:t xml:space="preserve"> költségvetés nyomon </w:t>
            </w:r>
            <w:r>
              <w:rPr>
                <w:b/>
                <w:i/>
              </w:rPr>
              <w:t>követése és a programok jogalapjaiban meghatározott célok kitűzése között oszlik meg</w:t>
            </w:r>
            <w:r>
              <w:t xml:space="preserve">, hasznos keretet </w:t>
            </w:r>
            <w:r>
              <w:rPr>
                <w:b/>
                <w:i/>
              </w:rPr>
              <w:t>jelent, ez</w:t>
            </w:r>
            <w:r>
              <w:t xml:space="preserve"> a megközelítés </w:t>
            </w:r>
            <w:r>
              <w:rPr>
                <w:b/>
                <w:i/>
              </w:rPr>
              <w:t>széttöredezett és nem érinti azonos mértékben az összes programot, ezáltal csökkentve az Unió</w:t>
            </w:r>
            <w:r>
              <w:t xml:space="preserve"> nemek közötti egyenlőségre </w:t>
            </w:r>
            <w:r>
              <w:rPr>
                <w:b/>
                <w:i/>
              </w:rPr>
              <w:t>vonatkozó megközelítésének koherenciáját</w:t>
            </w:r>
            <w:r>
              <w:t>;</w:t>
            </w:r>
          </w:p>
        </w:tc>
        <w:tc>
          <w:tcPr>
            <w:tcW w:w="4876" w:type="dxa"/>
            <w:tcBorders>
              <w:top w:val="nil"/>
              <w:left w:val="nil"/>
              <w:bottom w:val="nil"/>
              <w:right w:val="nil"/>
            </w:tcBorders>
          </w:tcPr>
          <w:p>
            <w:pPr>
              <w:pStyle w:val="Normal6a"/>
            </w:pPr>
            <w:r>
              <w:t>20.</w:t>
            </w:r>
            <w:r>
              <w:tab/>
            </w:r>
            <w:r>
              <w:t xml:space="preserve">megjegyzi, hogy </w:t>
            </w:r>
            <w:r>
              <w:rPr>
                <w:b/>
                <w:i/>
              </w:rPr>
              <w:t>a Bizottságnak</w:t>
            </w:r>
            <w:r>
              <w:t xml:space="preserve"> a nemek közötti egyenlőség általános </w:t>
            </w:r>
            <w:r>
              <w:rPr>
                <w:b/>
                <w:i/>
              </w:rPr>
              <w:t>érvényesítésére vonatkozó kettős megközelítése</w:t>
            </w:r>
            <w:r>
              <w:t xml:space="preserve">, amely </w:t>
            </w:r>
            <w:r>
              <w:rPr>
                <w:b/>
                <w:i/>
              </w:rPr>
              <w:t>magában foglalja a</w:t>
            </w:r>
            <w:r>
              <w:t xml:space="preserve"> költségvetés nyomon </w:t>
            </w:r>
            <w:r>
              <w:rPr>
                <w:b/>
                <w:i/>
              </w:rPr>
              <w:t>követését és a program célkitűzéseinek meghatározását</w:t>
            </w:r>
            <w:r>
              <w:t xml:space="preserve">, hasznos keretet </w:t>
            </w:r>
            <w:r>
              <w:rPr>
                <w:b/>
                <w:i/>
              </w:rPr>
              <w:t>biztosít, azonban</w:t>
            </w:r>
            <w:r>
              <w:t xml:space="preserve"> a megközelítés </w:t>
            </w:r>
            <w:r>
              <w:rPr>
                <w:b/>
                <w:i/>
              </w:rPr>
              <w:t>programonként eltérő, és előnyös lehet a nagyobb koherencia annak érdekében, hogy Unió-szerte következetesebb hatást lehessen gyakorolni a</w:t>
            </w:r>
            <w:r>
              <w:t xml:space="preserve"> nemek közötti egyenlőségre;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emlékeztet arra és üdvözli azt, hogy a 2024. évi költségvetési rendelet megerősíti a nemek közötti egyenlőség elveinek érvényesítését az uniós költségvetésben, többek között adott esetben nemek szerint lebontott adatok felhasználása és gyűjtése révén;</w:t>
            </w:r>
            <w:r>
              <w:t xml:space="preserve"> </w:t>
            </w:r>
            <w:r>
              <w:rPr>
                <w:b/>
                <w:i/>
              </w:rPr>
              <w:t>úgy véli, hogy ezek a követelmények megkönnyíthetik azt a folyamatot, hogy a nemek közötti egyenlőség szempontját érvényesítő költségvetés-tervezés a teljes költségvetési ciklus részévé váljon azáltal, hogy a jövőbeli uniós programokba kezdettől fogva beépítik a nemek közötti egyenlőséggel kapcsolatos mutatókat;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tudomásul veszi a nemek közötti egyenlőség általános érvényesítésének az uniós költségvetésben való végrehajtásáról szóló bizottsági értékelést, amely a költségvetési kiadások nyomon követésére és teljesítményére vonatkozó keret létrehozásáról szóló rendeletre irányuló bizottsági javaslatot kísérő hatásvizsgálati jelentésben, valamint az uniós programokra és tevékenységekre vonatkozó egyéb horizontális szabályokban szerepel;</w:t>
            </w:r>
            <w:r>
              <w:t xml:space="preserve"> </w:t>
            </w:r>
            <w:r>
              <w:rPr>
                <w:b/>
                <w:i/>
              </w:rPr>
              <w:t>úgy véli, hogy a nemek közötti egyenlőségre vonatkozó célkitűzéseknek a 2021–2027-es időszakra vonatkozó többéves pénzügyi keretben való általános érvényesítésének konkrét értékelésére van szükség ahhoz, hogy a következő programozási időszakban javuljon az uniós költségvetés nemek közötti egyenlőséghez való hozzájárulásának nyomon követése, azzal a céllal, hogy lehetővé váljon a nemek közötti egyenlőség szempontját érvényesítő költségvetés-tervezés a teljes költségvetési ciklusban;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osztja azt a nézetet, hogy a 2021–2027-es időszakra vonatkozó többéves pénzügyi keret fennmaradó éveiben prioritásként kell kezelni a programok </w:t>
            </w:r>
            <w:r>
              <w:rPr>
                <w:b/>
                <w:i/>
              </w:rPr>
              <w:t>lehető legrészletesebb szinten történő</w:t>
            </w:r>
            <w:r>
              <w:t xml:space="preserve"> értékelését, hogy jobban fel lehessen mérni a nemek közötti egyenlőséghez való hozzájárulásukat és le lehessen vonni a tanulságokat végrehajtásukból, megfelelően felhasználva a 2023 óta érvényben lévő, nemek szerint lebontott fokozott adatszolgáltatást;</w:t>
            </w:r>
          </w:p>
        </w:tc>
        <w:tc>
          <w:tcPr>
            <w:tcW w:w="4876" w:type="dxa"/>
            <w:tcBorders>
              <w:top w:val="nil"/>
              <w:left w:val="nil"/>
              <w:bottom w:val="nil"/>
              <w:right w:val="nil"/>
            </w:tcBorders>
          </w:tcPr>
          <w:p>
            <w:pPr>
              <w:pStyle w:val="Normal6a"/>
            </w:pPr>
            <w:r>
              <w:t>21.</w:t>
            </w:r>
            <w:r>
              <w:tab/>
            </w:r>
            <w:r>
              <w:t xml:space="preserve">osztja azt a nézetet, hogy a 2021–2027-es időszakra vonatkozó többéves pénzügyi keret fennmaradó éveiben prioritásként kell kezelni a programok értékelését, hogy jobban fel lehessen mérni a nemek közötti egyenlőséghez való hozzájárulásukat és le lehessen vonni a tanulságokat végrehajtásukból, megfelelően felhasználva a 2023 óta érvényben lévő, nemek szerint lebontott fokozott adatszolgáltatást; </w:t>
            </w:r>
            <w:r>
              <w:rPr>
                <w:b/>
                <w:i/>
              </w:rPr>
              <w:t>hangsúlyozza, hogy a módszertanok harmonizálása és a széttagolt megközelítés elkerülése érdekében valamennyi tagállammal megerősített együttműködésre van szükség;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felhívja a Bizottságot, hogy végezze el a nemek közötti egyenlőségre vonatkozó célkitűzéseknek a 2021–2027-es időszakra vonatkozó többéves pénzügyi keretben való általános érvényesítésének konkrét és átfogó értékelését, többek között azzal a céllal, hogy a következő programozási időszak kezdetétől lehetővé tegye a nemek közötti egyenlőség szempontját érvényesítő költségvetés-tervezést a teljes költségvetési ciklusban;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kéri, hogy az uniós költségvetés jövőbeli értékelése kizárólag a felelősségteljes költségvetési gazdálkodásra, a gazdasági megtérülésre és a hatékonyságra összpontosítson, a nemi alapú módszerekre való hivatkozás nélkül;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sajnálatát fejezi ki amiatt</w:t>
            </w:r>
            <w:r>
              <w:t xml:space="preserve">, hogy bár a Bizottság által kidolgozott módszertan hasznos eszköz az uniós költségvetés nemek közötti egyenlőséghez való hozzájárulásának </w:t>
            </w:r>
            <w:r>
              <w:rPr>
                <w:b/>
                <w:i/>
              </w:rPr>
              <w:t>értékeléséhez, strukturális korlátok miatt nem képes átalakító hatást gyakorolni, és ez a helyzet nem maradhat változatlan</w:t>
            </w:r>
            <w:r>
              <w:t>;</w:t>
            </w:r>
          </w:p>
        </w:tc>
        <w:tc>
          <w:tcPr>
            <w:tcW w:w="4876" w:type="dxa"/>
            <w:tcBorders>
              <w:top w:val="nil"/>
              <w:left w:val="nil"/>
              <w:bottom w:val="nil"/>
              <w:right w:val="nil"/>
            </w:tcBorders>
          </w:tcPr>
          <w:p>
            <w:pPr>
              <w:pStyle w:val="Normal6a"/>
            </w:pPr>
            <w:r>
              <w:t>22.</w:t>
            </w:r>
            <w:r>
              <w:tab/>
            </w:r>
            <w:r>
              <w:rPr>
                <w:b/>
                <w:i/>
              </w:rPr>
              <w:t>elismeri</w:t>
            </w:r>
            <w:r>
              <w:t xml:space="preserve">, hogy bár a Bizottság által kidolgozott módszertan hasznos eszköz az uniós költségvetés nemek közötti egyenlőséghez való hozzájárulásának </w:t>
            </w:r>
            <w:r>
              <w:rPr>
                <w:b/>
                <w:i/>
              </w:rPr>
              <w:t>értékelésére, olyan korlátokkal szembesül, amelyek korlátozhatják a költségvetés transzformatív hatásra való képességét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sajnálatát fejezi ki amiatt, hogy bár a Bizottság által kidolgozott módszertan hasznos eszköz az uniós költségvetés nemek közötti egyenlőséghez való hozzájárulásának értékeléséhez, strukturális korlátok miatt nem képes átalakító hatást gyakorolni, és ez a helyzet nem maradhat változatlan;</w:t>
            </w:r>
          </w:p>
        </w:tc>
        <w:tc>
          <w:tcPr>
            <w:tcW w:w="4876" w:type="dxa"/>
            <w:tcBorders>
              <w:top w:val="nil"/>
              <w:left w:val="nil"/>
              <w:bottom w:val="nil"/>
              <w:right w:val="nil"/>
            </w:tcBorders>
          </w:tcPr>
          <w:p>
            <w:pPr>
              <w:pStyle w:val="Normal6a"/>
            </w:pPr>
            <w:r>
              <w:t>22.</w:t>
            </w:r>
            <w:r>
              <w:tab/>
            </w:r>
            <w:r>
              <w:t xml:space="preserve">sajnálatát fejezi ki amiatt, hogy bár a Bizottság által kidolgozott módszertan hasznos eszköz az uniós költségvetés nemek közötti egyenlőséghez való hozzájárulásának értékeléséhez, strukturális korlátok miatt nem képes átalakító hatást gyakorolni, és ez a helyzet nem maradhat változatlan; </w:t>
            </w:r>
            <w:r>
              <w:rPr>
                <w:b/>
                <w:i/>
              </w:rPr>
              <w:t>hangsúlyozza, hogy a módszertannak mérhető kulcsfontosságú mutatókat kell tartalmaznia annak biztosítása érdekében, hogy a nemek közötti egyenlőség szempontját érvényesítő költségvetés-tervezés hatékony eredményeket hozzon;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hangsúlyozza, hogy mivel az Unió költségvetését több válság és a politikai prioritások változása is érinti, elengedhetetlen, hogy a nemek közötti egyenlőséget figyelembe vevő költségvetés-tervezés előzetesen beépüljön a programok költségvetési ciklusának középpontjába, ideértve az olyan új prioritási területeket is, mint a versenyképesség, a védelem és a felkészültség;</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hangsúlyozza, hogy mivel az Unió költségvetését több válság és a politikai prioritások változása is érinti, elengedhetetlen, hogy a nemek közötti egyenlőséget figyelembe vevő költségvetés-tervezés előzetesen beépüljön a programok költségvetési ciklusának középpontjába, ideértve az olyan új prioritási területeket is, mint a versenyképesség, a védelem és a felkészültség;</w:t>
            </w:r>
          </w:p>
        </w:tc>
        <w:tc>
          <w:tcPr>
            <w:tcW w:w="4876" w:type="dxa"/>
            <w:tcBorders>
              <w:top w:val="nil"/>
              <w:left w:val="nil"/>
              <w:bottom w:val="nil"/>
              <w:right w:val="nil"/>
            </w:tcBorders>
          </w:tcPr>
          <w:p>
            <w:pPr>
              <w:pStyle w:val="Normal6a"/>
            </w:pPr>
            <w:r>
              <w:t>23.</w:t>
            </w:r>
            <w:r>
              <w:tab/>
            </w:r>
            <w:r>
              <w:t xml:space="preserve">hangsúlyozza, hogy mivel az Unió költségvetését több válság és a politikai prioritások változása is érinti, elengedhetetlen, hogy a nemek közötti egyenlőséget figyelembe vevő költségvetés-tervezés előzetesen </w:t>
            </w:r>
            <w:r>
              <w:rPr>
                <w:b/>
                <w:i/>
              </w:rPr>
              <w:t>arányosan</w:t>
            </w:r>
            <w:r>
              <w:t xml:space="preserve"> beépüljön a programok költségvetési ciklusának középpontjába, ideértve az olyan új prioritási területeket is, mint a versenyképesség, a védelem és a felkészültség;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vertAlign w:val="superscript"/>
              </w:rPr>
              <w:t>emlékeztet arra, hogy a biológiai nemet genetikai, kromoszóma- és fiziológiai tényezők határozzák meg, beleértve a reproduktív szerveket és hormonokat, míg a nem (gender) olyan társadalmi és kulturális konstrukció, amely magában foglalja a társadalomban az egyénekhez rendelt szerepeket, viselkedést és identitást;</w:t>
            </w:r>
            <w:r>
              <w:t xml:space="preserve"> </w:t>
            </w:r>
            <w:r>
              <w:rPr>
                <w:b/>
                <w:i/>
                <w:vertAlign w:val="superscript"/>
              </w:rPr>
              <w:t>úgy véli, hogy a nemi dimenzió költségvetési folyamatokba való beépítését sem előzetesen, sem utólag nem szabad felvenni, és különösen nem szabad olyan területekre alkalmazni, mint a versenyképesség, a védelem és a felkészültség;</w:t>
            </w:r>
            <w:r>
              <w:t xml:space="preserve"> </w:t>
            </w:r>
            <w:r>
              <w:rPr>
                <w:b/>
                <w:i/>
              </w:rPr>
              <w:t>elismeri, hogy a biológiai nemet genetikai, kromoszóma- és élettani jellemzők határozzák meg, beleértve a reprodukciós anatómiai és endokrin profilokat, amelyek megkülönböztetik a hímeket és a nőstényeket</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kéri, hogy a versenyképességet, a védelmet, a biztonságot, a kutatást és a stratégiai felkészültséget kifejezetten zárják ki a nemi alapú költségvetés-tervezés hatálya alól, mivel ezeknek a területeknek prioritásként kell kezelniük a hatékonyságot, a rezilienciát és az objektív teljesítménymutatókat;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kéri, hogy a családon belüli erőszak, az emberkereskedelem, a szexuális kizsákmányolás és a munkahelyi megkülönböztetés elleni programok forrásait helyezzék előtérbe, ahelyett, hogy a nemek közötti egyenlőség általános érvényesítését valamennyi költségvetési területen beépítenék;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kitart amellett, hogy a többéves pénzügyi kereten kívül az Európai Unió működéséről szóló szerződés 122. cikke alapján elfogadott bármely eszköznek a nemek közötti egyenlőség érvényesítésére és a költségvetés-tervezésre vonatkozó szilárd rendelkezéseket is biztosítania kell, míg a múltban ez nem mindig volt így, ami hiányosságokhoz vezethet a közvetett irányítás alá tartozó programok végrehajtásában;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kitart amellett</w:t>
            </w:r>
            <w:r>
              <w:t xml:space="preserve">, hogy a többéves pénzügyi kereten kívül az Európai Unió működéséről szóló szerződés 122. cikke alapján elfogadott bármely eszköznek a nemek közötti egyenlőség </w:t>
            </w:r>
            <w:r>
              <w:rPr>
                <w:b/>
                <w:i/>
              </w:rPr>
              <w:t>érvényesítésére és a költségvetés-tervezésre vonatkozó szilárd rendelkezéseket is biztosítania kell, míg a múltban ez nem mindig volt így, ami hiányosságokhoz vezethet a közvetett irányítás alá tartozó programok végrehajtásában</w:t>
            </w:r>
            <w:r>
              <w:t>;</w:t>
            </w:r>
          </w:p>
        </w:tc>
        <w:tc>
          <w:tcPr>
            <w:tcW w:w="4876" w:type="dxa"/>
            <w:tcBorders>
              <w:top w:val="nil"/>
              <w:left w:val="nil"/>
              <w:bottom w:val="nil"/>
              <w:right w:val="nil"/>
            </w:tcBorders>
          </w:tcPr>
          <w:p>
            <w:pPr>
              <w:pStyle w:val="Normal6a"/>
            </w:pPr>
            <w:r>
              <w:t>25.</w:t>
            </w:r>
            <w:r>
              <w:tab/>
            </w:r>
            <w:r>
              <w:rPr>
                <w:b/>
                <w:i/>
              </w:rPr>
              <w:t>hangsúlyozza</w:t>
            </w:r>
            <w:r>
              <w:t xml:space="preserve">, hogy a többéves pénzügyi kereten kívül az Európai Unió működéséről szóló szerződés 122. cikke alapján elfogadott bármely eszköznek </w:t>
            </w:r>
            <w:r>
              <w:rPr>
                <w:b/>
                <w:i/>
              </w:rPr>
              <w:t>biztosítania kell</w:t>
            </w:r>
            <w:r>
              <w:t xml:space="preserve"> a nemek közötti egyenlőség </w:t>
            </w:r>
            <w:r>
              <w:rPr>
                <w:b/>
                <w:i/>
              </w:rPr>
              <w:t>arányos érvényesítését és a költségvetés-tervezést is, azonban nem módosíthatja az ágazatspecifikus jogszabályokban meghatározott programcélkitűzéseket, támogathatósági vagy odaítélési kritériumokat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kitart amellett, hogy a többéves pénzügyi kereten kívül az Európai Unió működéséről szóló szerződés 122. cikke alapján elfogadott bármely eszköznek a nemek közötti egyenlőség érvényesítésére és a költségvetés-tervezésre vonatkozó szilárd rendelkezéseket is </w:t>
            </w:r>
            <w:r>
              <w:rPr>
                <w:b/>
                <w:i/>
              </w:rPr>
              <w:t>biztosítania kell, míg a múltban ez nem mindig volt így, ami hiányosságokhoz vezethet a közvetett irányítás alá tartozó programok végrehajtásában</w:t>
            </w:r>
            <w:r>
              <w:t>;</w:t>
            </w:r>
          </w:p>
        </w:tc>
        <w:tc>
          <w:tcPr>
            <w:tcW w:w="4876" w:type="dxa"/>
            <w:tcBorders>
              <w:top w:val="nil"/>
              <w:left w:val="nil"/>
              <w:bottom w:val="nil"/>
              <w:right w:val="nil"/>
            </w:tcBorders>
          </w:tcPr>
          <w:p>
            <w:pPr>
              <w:pStyle w:val="Normal6a"/>
            </w:pPr>
            <w:r>
              <w:t>25.</w:t>
            </w:r>
            <w:r>
              <w:tab/>
            </w:r>
            <w:r>
              <w:t xml:space="preserve">kitart amellett, hogy a többéves pénzügyi kereten kívül az Európai Unió működéséről szóló szerződés 122. cikke alapján elfogadott bármely eszköznek </w:t>
            </w:r>
            <w:r>
              <w:rPr>
                <w:b/>
                <w:i/>
              </w:rPr>
              <w:t>biztosítania kell</w:t>
            </w:r>
            <w:r>
              <w:t xml:space="preserve"> a nemek közötti egyenlőség érvényesítésére és a költségvetés-tervezésre vonatkozó szilárd rendelkezéseket is </w:t>
            </w:r>
            <w:r>
              <w:rPr>
                <w:b/>
                <w:i/>
              </w:rPr>
              <w:t>annak érdekében, hogy átfogó és következetes módon nyomon lehessen követni az EU hozzájárulását a nemek közötti egyenlőség előmozdításához valamennyi finanszírozási eszközben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hangsúlyozza, hogy az uniós költségvetési előirányzatoknak előnyben kell részesíteniük a család megerősítésére, a szülők gyermekek nevelésében való támogatására, a megfizethető gyermekgondozáshoz való hozzáférés biztosítására, a szülői jogok védelmére, a munka és a magánélet közötti egészséges egyensúly előmozdítására és a nemzedékek közötti szolidaritás előmozdítására irányuló intézkedéseket, ahelyett, hogy vitatott koncepciókat, például a nemi ideológiát beépítenék a költségvetési eljárásokba;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felhívja a Bizottságot, hogy végezzen előzetes hatásvizsgálatokat, amelyek a minőségi jogalkotásra vonatkozó iránymutatásokkal összhangban elemzik az uniós szakpolitikák nemek közötti egyenlőségre gyakorolt konkrét hatásait is;</w:t>
            </w:r>
          </w:p>
        </w:tc>
        <w:tc>
          <w:tcPr>
            <w:tcW w:w="4876" w:type="dxa"/>
            <w:tcBorders>
              <w:top w:val="nil"/>
              <w:left w:val="nil"/>
              <w:bottom w:val="nil"/>
              <w:right w:val="nil"/>
            </w:tcBorders>
          </w:tcPr>
          <w:p>
            <w:pPr>
              <w:pStyle w:val="Normal6a"/>
            </w:pPr>
            <w:r>
              <w:t>26.</w:t>
            </w:r>
            <w:r>
              <w:tab/>
            </w:r>
            <w:r>
              <w:t>felhívja a Bizottságot, hogy végezzen előzetes hatásvizsgálatokat, amelyek a minőségi jogalkotásra vonatkozó iránymutatásokkal összhangban elemzik az uniós szakpolitikák nemek közötti egyenlőségre gyakorolt konkrét hatásait is</w:t>
            </w:r>
            <w:r>
              <w:rPr>
                <w:b/>
                <w:i/>
              </w:rPr>
              <w:t>, biztosítva a társadalmi, gazdasági és adminisztratív költségek és hatások kiegyensúlyozott figyelembevételét, különösen a kkv-k esetében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felhívja a Bizottságot, hogy dolgozzon ki szisztematikus nemi szempontú hatásvizsgálatokat a költségvetési politikai eszközökről, beleértve az adórendszereket és az állami támogatási programokat is, a nemek közötti nem szándékolt egyenlőtlenségek azonosítása és enyhítése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felhívja a Bizottságot annak biztosítására, hogy </w:t>
            </w:r>
            <w:r>
              <w:rPr>
                <w:b/>
                <w:i/>
              </w:rPr>
              <w:t>ne fogadjanak el</w:t>
            </w:r>
            <w:r>
              <w:t xml:space="preserve"> jogalkotási </w:t>
            </w:r>
            <w:r>
              <w:rPr>
                <w:b/>
                <w:i/>
              </w:rPr>
              <w:t>javaslatokat, amennyiben azok</w:t>
            </w:r>
            <w:r>
              <w:t xml:space="preserve"> előzetes </w:t>
            </w:r>
            <w:r>
              <w:rPr>
                <w:b/>
                <w:i/>
              </w:rPr>
              <w:t>hatásvizsgálatai bizonyíthatóan azt mutatják, hogy azok hozzájárulnának</w:t>
            </w:r>
            <w:r>
              <w:t xml:space="preserve"> a nemek közötti </w:t>
            </w:r>
            <w:r>
              <w:rPr>
                <w:b/>
                <w:i/>
              </w:rPr>
              <w:t>egyenlőség csökkenéséhez az Unión belül</w:t>
            </w:r>
            <w:r>
              <w:t>;</w:t>
            </w:r>
          </w:p>
        </w:tc>
        <w:tc>
          <w:tcPr>
            <w:tcW w:w="4876" w:type="dxa"/>
            <w:tcBorders>
              <w:top w:val="nil"/>
              <w:left w:val="nil"/>
              <w:bottom w:val="nil"/>
              <w:right w:val="nil"/>
            </w:tcBorders>
          </w:tcPr>
          <w:p>
            <w:pPr>
              <w:pStyle w:val="Normal6a"/>
            </w:pPr>
            <w:r>
              <w:t>27.</w:t>
            </w:r>
            <w:r>
              <w:tab/>
            </w:r>
            <w:r>
              <w:t xml:space="preserve">felhívja a Bizottságot annak biztosítására, hogy </w:t>
            </w:r>
            <w:r>
              <w:rPr>
                <w:b/>
                <w:i/>
              </w:rPr>
              <w:t>a</w:t>
            </w:r>
            <w:r>
              <w:t xml:space="preserve"> jogalkotási </w:t>
            </w:r>
            <w:r>
              <w:rPr>
                <w:b/>
                <w:i/>
              </w:rPr>
              <w:t>javaslatok</w:t>
            </w:r>
            <w:r>
              <w:t xml:space="preserve"> előzetes </w:t>
            </w:r>
            <w:r>
              <w:rPr>
                <w:b/>
                <w:i/>
              </w:rPr>
              <w:t>hatásvizsgálatukba foglaljanak bele</w:t>
            </w:r>
            <w:r>
              <w:t xml:space="preserve"> a nemek közötti </w:t>
            </w:r>
            <w:r>
              <w:rPr>
                <w:b/>
                <w:i/>
              </w:rPr>
              <w:t>egyenlőségre vonatkozó mutatókat az EU-ban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felhívja a Bizottságot </w:t>
            </w:r>
            <w:r>
              <w:rPr>
                <w:b/>
                <w:i/>
              </w:rPr>
              <w:t>annak biztosítására, hogy ne fogadjanak el</w:t>
            </w:r>
            <w:r>
              <w:t xml:space="preserve"> jogalkotási </w:t>
            </w:r>
            <w:r>
              <w:rPr>
                <w:b/>
                <w:i/>
              </w:rPr>
              <w:t>javaslatokat, amennyiben azok előzetes hatásvizsgálatai bizonyíthatóan azt mutatják, hogy azok hozzájárulnának</w:t>
            </w:r>
            <w:r>
              <w:t xml:space="preserve"> a nemek közötti </w:t>
            </w:r>
            <w:r>
              <w:rPr>
                <w:b/>
                <w:i/>
              </w:rPr>
              <w:t>egyenlőség csökkenéséhez az Unión belül</w:t>
            </w:r>
            <w:r>
              <w:t>;</w:t>
            </w:r>
          </w:p>
        </w:tc>
        <w:tc>
          <w:tcPr>
            <w:tcW w:w="4876" w:type="dxa"/>
            <w:tcBorders>
              <w:top w:val="nil"/>
              <w:left w:val="nil"/>
              <w:bottom w:val="nil"/>
              <w:right w:val="nil"/>
            </w:tcBorders>
          </w:tcPr>
          <w:p>
            <w:pPr>
              <w:pStyle w:val="Normal6a"/>
            </w:pPr>
            <w:r>
              <w:t>27.</w:t>
            </w:r>
            <w:r>
              <w:tab/>
            </w:r>
            <w:r>
              <w:t>felhívja a Bizottságot</w:t>
            </w:r>
            <w:r>
              <w:rPr>
                <w:b/>
                <w:i/>
              </w:rPr>
              <w:t>, hogy erősítse meg előzetes hatásvizsgálatait annak érdekében, hogy a</w:t>
            </w:r>
            <w:r>
              <w:t xml:space="preserve"> jogalkotási </w:t>
            </w:r>
            <w:r>
              <w:rPr>
                <w:b/>
                <w:i/>
              </w:rPr>
              <w:t>javaslatok előkészítése során gondosan mérlegeljék és minimalizálják</w:t>
            </w:r>
            <w:r>
              <w:t xml:space="preserve"> a nemek közötti </w:t>
            </w:r>
            <w:r>
              <w:rPr>
                <w:b/>
                <w:i/>
              </w:rPr>
              <w:t>egyenlőségre gyakorolt esetleges negatív hatásokat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sürgeti</w:t>
            </w:r>
            <w:r>
              <w:t xml:space="preserve"> a Bizottságot, hogy </w:t>
            </w:r>
            <w:r>
              <w:rPr>
                <w:b/>
                <w:i/>
              </w:rPr>
              <w:t>az uniós jogalkotási eljárások standard részeként hozzon létre egy</w:t>
            </w:r>
            <w:r>
              <w:t xml:space="preserve"> „nemek közötti egyenlőségre vonatkozó védelmi </w:t>
            </w:r>
            <w:r>
              <w:rPr>
                <w:b/>
                <w:i/>
              </w:rPr>
              <w:t>mechanizmust</w:t>
            </w:r>
            <w:r>
              <w:t>”</w:t>
            </w:r>
            <w:r>
              <w:rPr>
                <w:b/>
                <w:i/>
              </w:rPr>
              <w:t>, amely szükségessé tenné minden</w:t>
            </w:r>
            <w:r>
              <w:t xml:space="preserve"> olyan </w:t>
            </w:r>
            <w:r>
              <w:rPr>
                <w:b/>
                <w:i/>
              </w:rPr>
              <w:t>javaslat kötelező felfüggesztését vagy felülvizsgálatát, amely egyértelmű mutatók vagy a Számvevőszék elemzése alapján bizonyítottan aláássa</w:t>
            </w:r>
            <w:r>
              <w:t xml:space="preserve"> az Unió nemek közötti egyenlőségre vonatkozó </w:t>
            </w:r>
            <w:r>
              <w:rPr>
                <w:b/>
                <w:i/>
              </w:rPr>
              <w:t>stratégiáját és</w:t>
            </w:r>
            <w:r>
              <w:t xml:space="preserve"> célkitűzéseit;</w:t>
            </w:r>
          </w:p>
        </w:tc>
        <w:tc>
          <w:tcPr>
            <w:tcW w:w="4876" w:type="dxa"/>
            <w:tcBorders>
              <w:top w:val="nil"/>
              <w:left w:val="nil"/>
              <w:bottom w:val="nil"/>
              <w:right w:val="nil"/>
            </w:tcBorders>
          </w:tcPr>
          <w:p>
            <w:pPr>
              <w:pStyle w:val="Normal6a"/>
            </w:pPr>
            <w:r>
              <w:t>28.</w:t>
            </w:r>
            <w:r>
              <w:tab/>
            </w:r>
            <w:r>
              <w:rPr>
                <w:b/>
                <w:i/>
              </w:rPr>
              <w:t>ösztönzi</w:t>
            </w:r>
            <w:r>
              <w:t xml:space="preserve"> a Bizottságot, hogy </w:t>
            </w:r>
            <w:r>
              <w:rPr>
                <w:b/>
                <w:i/>
              </w:rPr>
              <w:t>tárjon fel több lehetőséget a</w:t>
            </w:r>
            <w:r>
              <w:t xml:space="preserve"> „nemek közötti egyenlőségre vonatkozó védelmi </w:t>
            </w:r>
            <w:r>
              <w:rPr>
                <w:b/>
                <w:i/>
              </w:rPr>
              <w:t>mechanizmus</w:t>
            </w:r>
            <w:r>
              <w:t xml:space="preserve">” </w:t>
            </w:r>
            <w:r>
              <w:rPr>
                <w:b/>
                <w:i/>
              </w:rPr>
              <w:t>uniós jogalkotási eljárásokba történő integrálására, amelynek célja</w:t>
            </w:r>
            <w:r>
              <w:t xml:space="preserve"> olyan </w:t>
            </w:r>
            <w:r>
              <w:rPr>
                <w:b/>
                <w:i/>
              </w:rPr>
              <w:t>javaslatok azonosítása és kezelése, amelyek alááshatják</w:t>
            </w:r>
            <w:r>
              <w:t xml:space="preserve"> az Unió nemek közötti egyenlőségre vonatkozó célkitűzéseit</w:t>
            </w:r>
            <w:r>
              <w:rPr>
                <w:b/>
                <w:i/>
              </w:rPr>
              <w:t>, tiszteletben tartva ugyanakkor a többi intézmény szerepét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felhívja a Bizottságot, hogy értékelje a nemek közötti egyenlőséget elősegítő további intézkedések vezetői szinten történő bevezetésének megvalósíthatóságát, valamint annak megvalósíthatóságát, hogy célzott támogatási rendszerek révén kvótákat hozzanak létre annak érdekében, hogy minden nem képviselői megfelelő mértékben részt vehessenek a politikai döntéshozatalban;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felhívja</w:t>
            </w:r>
            <w:r>
              <w:t xml:space="preserve"> a Bizottságot, hogy értékelje a nemek közötti </w:t>
            </w:r>
            <w:r>
              <w:rPr>
                <w:b/>
                <w:i/>
              </w:rPr>
              <w:t>egyenlőséget elősegítő</w:t>
            </w:r>
            <w:r>
              <w:t xml:space="preserve"> további intézkedések vezetői szinten történő bevezetésének megvalósíthatóságát</w:t>
            </w:r>
            <w:r>
              <w:rPr>
                <w:b/>
                <w:i/>
              </w:rPr>
              <w:t>, valamint annak megvalósíthatóságát, hogy</w:t>
            </w:r>
            <w:r>
              <w:t xml:space="preserve"> célzott támogatási </w:t>
            </w:r>
            <w:r>
              <w:rPr>
                <w:b/>
                <w:i/>
              </w:rPr>
              <w:t>rendszerek révén kvótákat hozzanak létre annak érdekében, hogy minden nem képviselői megfelelő mértékben részt vehessenek</w:t>
            </w:r>
            <w:r>
              <w:t xml:space="preserve"> a politikai </w:t>
            </w:r>
            <w:r>
              <w:rPr>
                <w:b/>
                <w:i/>
              </w:rPr>
              <w:t>döntéshozatalban</w:t>
            </w:r>
            <w:r>
              <w:t>;</w:t>
            </w:r>
          </w:p>
        </w:tc>
        <w:tc>
          <w:tcPr>
            <w:tcW w:w="4876" w:type="dxa"/>
            <w:tcBorders>
              <w:top w:val="nil"/>
              <w:left w:val="nil"/>
              <w:bottom w:val="nil"/>
              <w:right w:val="nil"/>
            </w:tcBorders>
          </w:tcPr>
          <w:p>
            <w:pPr>
              <w:pStyle w:val="Normal6a"/>
            </w:pPr>
            <w:r>
              <w:t>30.</w:t>
            </w:r>
            <w:r>
              <w:tab/>
            </w:r>
            <w:r>
              <w:rPr>
                <w:b/>
                <w:i/>
              </w:rPr>
              <w:t>felkéri</w:t>
            </w:r>
            <w:r>
              <w:t xml:space="preserve"> a Bizottságot, hogy értékelje a nemek közötti </w:t>
            </w:r>
            <w:r>
              <w:rPr>
                <w:b/>
                <w:i/>
              </w:rPr>
              <w:t>egyenlőségre vonatkozó</w:t>
            </w:r>
            <w:r>
              <w:t xml:space="preserve"> további intézkedések vezetői szinten történő bevezetésének megvalósíthatóságát </w:t>
            </w:r>
            <w:r>
              <w:rPr>
                <w:b/>
                <w:i/>
              </w:rPr>
              <w:t>és lehetséges előnyeit, és vegyen fontolóra olyan</w:t>
            </w:r>
            <w:r>
              <w:t xml:space="preserve"> célzott támogatási </w:t>
            </w:r>
            <w:r>
              <w:rPr>
                <w:b/>
                <w:i/>
              </w:rPr>
              <w:t>rendszereket, amelyek előmozdítják valamennyi nem bevonását</w:t>
            </w:r>
            <w:r>
              <w:t xml:space="preserve"> a politikai </w:t>
            </w:r>
            <w:r>
              <w:rPr>
                <w:b/>
                <w:i/>
              </w:rPr>
              <w:t>döntéshozatali folyamatokba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felhívja a Bizottságot, hogy értékelje a nemek közötti egyenlőséget elősegítő további intézkedések vezetői szinten történő bevezetésének megvalósíthatóságát, valamint </w:t>
            </w:r>
            <w:r>
              <w:rPr>
                <w:b/>
                <w:i/>
              </w:rPr>
              <w:t>annak</w:t>
            </w:r>
            <w:r>
              <w:t xml:space="preserve"> megvalósíthatóságát, hogy célzott támogatási rendszerek révén </w:t>
            </w:r>
            <w:r>
              <w:rPr>
                <w:b/>
                <w:i/>
              </w:rPr>
              <w:t>kvótákat hozzanak létre annak érdekében, hogy minden nem képviselői</w:t>
            </w:r>
            <w:r>
              <w:t xml:space="preserve"> megfelelő mértékben részt vehessenek a politikai döntéshozatalban;</w:t>
            </w:r>
          </w:p>
        </w:tc>
        <w:tc>
          <w:tcPr>
            <w:tcW w:w="4876" w:type="dxa"/>
            <w:tcBorders>
              <w:top w:val="nil"/>
              <w:left w:val="nil"/>
              <w:bottom w:val="nil"/>
              <w:right w:val="nil"/>
            </w:tcBorders>
          </w:tcPr>
          <w:p>
            <w:pPr>
              <w:pStyle w:val="Normal6a"/>
            </w:pPr>
            <w:r>
              <w:t>30.</w:t>
            </w:r>
            <w:r>
              <w:tab/>
            </w:r>
            <w:r>
              <w:t xml:space="preserve">felhívja a Bizottságot, hogy értékelje a nemek közötti egyenlőséget elősegítő további intézkedések vezetői szinten történő bevezetésének megvalósíthatóságát, valamint </w:t>
            </w:r>
            <w:r>
              <w:rPr>
                <w:b/>
                <w:i/>
              </w:rPr>
              <w:t>mérje fel minden nem számára kvóták</w:t>
            </w:r>
            <w:r>
              <w:t xml:space="preserve"> megvalósíthatóságát, hogy célzott támogatási rendszerek révén megfelelő mértékben részt vehessenek a politikai döntéshozatalban;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felhívja a Bizottságot annak biztosítására, hogy az uniós költségvetés jogilag kötelező minimális részarányát fő célkitűzésként a nemek közötti egyenlőségre fordítsák (ami a jelenlegi módszertanban szereplő 2. pontnak felel meg);</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felhívja</w:t>
            </w:r>
            <w:r>
              <w:t xml:space="preserve"> a Bizottságot annak </w:t>
            </w:r>
            <w:r>
              <w:rPr>
                <w:b/>
                <w:i/>
              </w:rPr>
              <w:t>biztosítására, hogy</w:t>
            </w:r>
            <w:r>
              <w:t xml:space="preserve"> az uniós költségvetés </w:t>
            </w:r>
            <w:r>
              <w:rPr>
                <w:b/>
                <w:i/>
              </w:rPr>
              <w:t>jogilag kötelező</w:t>
            </w:r>
            <w:r>
              <w:t xml:space="preserve"> minimális </w:t>
            </w:r>
            <w:r>
              <w:rPr>
                <w:b/>
                <w:i/>
              </w:rPr>
              <w:t>részarányát fő célkitűzésként</w:t>
            </w:r>
            <w:r>
              <w:t xml:space="preserve"> a nemek közötti egyenlőségre </w:t>
            </w:r>
            <w:r>
              <w:rPr>
                <w:b/>
                <w:i/>
              </w:rPr>
              <w:t>fordítsák</w:t>
            </w:r>
            <w:r>
              <w:t xml:space="preserve"> (ami a jelenlegi módszertanban szereplő 2. pontnak felel meg);</w:t>
            </w:r>
          </w:p>
        </w:tc>
        <w:tc>
          <w:tcPr>
            <w:tcW w:w="4876" w:type="dxa"/>
            <w:tcBorders>
              <w:top w:val="nil"/>
              <w:left w:val="nil"/>
              <w:bottom w:val="nil"/>
              <w:right w:val="nil"/>
            </w:tcBorders>
          </w:tcPr>
          <w:p>
            <w:pPr>
              <w:pStyle w:val="Normal6a"/>
            </w:pPr>
            <w:r>
              <w:t>31.</w:t>
            </w:r>
            <w:r>
              <w:tab/>
            </w:r>
            <w:r>
              <w:rPr>
                <w:b/>
                <w:i/>
              </w:rPr>
              <w:t>felkéri</w:t>
            </w:r>
            <w:r>
              <w:t xml:space="preserve"> a Bizottságot annak </w:t>
            </w:r>
            <w:r>
              <w:rPr>
                <w:b/>
                <w:i/>
              </w:rPr>
              <w:t>felmérésére, hogy megvalósítható-e</w:t>
            </w:r>
            <w:r>
              <w:t xml:space="preserve"> az uniós költségvetés minimális </w:t>
            </w:r>
            <w:r>
              <w:rPr>
                <w:b/>
                <w:i/>
              </w:rPr>
              <w:t>részarányának</w:t>
            </w:r>
            <w:r>
              <w:t xml:space="preserve"> a nemek közötti egyenlőségre </w:t>
            </w:r>
            <w:r>
              <w:rPr>
                <w:b/>
                <w:i/>
              </w:rPr>
              <w:t>mint fő célkitűzésre fordítása</w:t>
            </w:r>
            <w:r>
              <w:t xml:space="preserve"> (ami a jelenlegi módszertanban szereplő 2. pontnak felel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felhívja a Bizottságot annak biztosítására, hogy az uniós költségvetés </w:t>
            </w:r>
            <w:r>
              <w:rPr>
                <w:b/>
                <w:i/>
              </w:rPr>
              <w:t>jogilag kötelező</w:t>
            </w:r>
            <w:r>
              <w:t xml:space="preserve"> minimális részarányát fő célkitűzésként a nemek közötti egyenlőségre fordítsák (ami a jelenlegi módszertanban szereplő 2. pontnak felel meg);</w:t>
            </w:r>
          </w:p>
        </w:tc>
        <w:tc>
          <w:tcPr>
            <w:tcW w:w="4876" w:type="dxa"/>
            <w:tcBorders>
              <w:top w:val="nil"/>
              <w:left w:val="nil"/>
              <w:bottom w:val="nil"/>
              <w:right w:val="nil"/>
            </w:tcBorders>
          </w:tcPr>
          <w:p>
            <w:pPr>
              <w:pStyle w:val="Normal6a"/>
            </w:pPr>
            <w:r>
              <w:t>31.</w:t>
            </w:r>
            <w:r>
              <w:tab/>
            </w:r>
            <w:r>
              <w:t>felhívja a Bizottságot annak biztosítására, hogy az uniós költségvetés minimális részarányát fő célkitűzésként a nemek közötti egyenlőségre fordítsák (ami a jelenlegi módszertanban szereplő 2. pontnak felel meg);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felhívja a Bizottságot, hogy vegye fontolóra egy </w:t>
            </w:r>
            <w:r>
              <w:rPr>
                <w:b/>
                <w:i/>
              </w:rPr>
              <w:t>jogilag kötelező erejű</w:t>
            </w:r>
            <w:r>
              <w:t xml:space="preserve"> mennyiségi cél beillesztését a következő programozási időszakba az uniós költségvetés azon részére vonatkozóan, amely hozzájárul a nemek közötti egyenlőség előmozdításához (ami a jelenlegi módszertanban 2 vagy 1 pontnak felel meg)</w:t>
            </w:r>
            <w:r>
              <w:rPr>
                <w:b/>
                <w:i/>
              </w:rPr>
              <w:t>, mivel ezek a célok hasznosnak bizonyultak az Unió éghajlat-politikai és biológiai sokféleséggel kapcsolatos célkitűzéseinek általános érvényesítése szempontjából</w:t>
            </w:r>
            <w:r>
              <w:t>;</w:t>
            </w:r>
          </w:p>
        </w:tc>
        <w:tc>
          <w:tcPr>
            <w:tcW w:w="4876" w:type="dxa"/>
            <w:tcBorders>
              <w:top w:val="nil"/>
              <w:left w:val="nil"/>
              <w:bottom w:val="nil"/>
              <w:right w:val="nil"/>
            </w:tcBorders>
          </w:tcPr>
          <w:p>
            <w:pPr>
              <w:pStyle w:val="Normal6a"/>
            </w:pPr>
            <w:r>
              <w:t>32.</w:t>
            </w:r>
            <w:r>
              <w:tab/>
            </w:r>
            <w:r>
              <w:t>felhívja a Bizottságot, hogy vegye fontolóra egy mennyiségi cél beillesztését a következő programozási időszakba az uniós költségvetés azon részére vonatkozóan, amely hozzájárul a nemek közötti egyenlőség előmozdításához (ami a jelenlegi módszertanban 2 vagy 1 pontnak felel meg);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felhívja</w:t>
            </w:r>
            <w:r>
              <w:t xml:space="preserve"> a Bizottságot, hogy </w:t>
            </w:r>
            <w:r>
              <w:rPr>
                <w:b/>
                <w:i/>
              </w:rPr>
              <w:t>vegye fontolóra egy jogilag kötelező erejű mennyiségi cél beillesztését</w:t>
            </w:r>
            <w:r>
              <w:t xml:space="preserve"> a következő programozási </w:t>
            </w:r>
            <w:r>
              <w:rPr>
                <w:b/>
                <w:i/>
              </w:rPr>
              <w:t>időszakba</w:t>
            </w:r>
            <w:r>
              <w:t xml:space="preserve"> az uniós költségvetés azon részére vonatkozóan, amely hozzájárul a nemek közötti egyenlőség előmozdításához (ami a jelenlegi módszertanban 2 vagy 1 pontnak felel meg), </w:t>
            </w:r>
            <w:r>
              <w:rPr>
                <w:b/>
                <w:i/>
              </w:rPr>
              <w:t>mivel ezek a</w:t>
            </w:r>
            <w:r>
              <w:t xml:space="preserve"> célok hasznosnak bizonyultak az Unió éghajlat-politikai és biológiai sokféleséggel kapcsolatos célkitűzéseinek </w:t>
            </w:r>
            <w:r>
              <w:rPr>
                <w:b/>
                <w:i/>
              </w:rPr>
              <w:t>általános érvényesítése szempontjából</w:t>
            </w:r>
            <w:r>
              <w:t>;</w:t>
            </w:r>
          </w:p>
        </w:tc>
        <w:tc>
          <w:tcPr>
            <w:tcW w:w="4876" w:type="dxa"/>
            <w:tcBorders>
              <w:top w:val="nil"/>
              <w:left w:val="nil"/>
              <w:bottom w:val="nil"/>
              <w:right w:val="nil"/>
            </w:tcBorders>
          </w:tcPr>
          <w:p>
            <w:pPr>
              <w:pStyle w:val="Normal6a"/>
            </w:pPr>
            <w:r>
              <w:t>32.</w:t>
            </w:r>
            <w:r>
              <w:tab/>
            </w:r>
            <w:r>
              <w:rPr>
                <w:b/>
                <w:i/>
              </w:rPr>
              <w:t>felkéri</w:t>
            </w:r>
            <w:r>
              <w:t xml:space="preserve"> a Bizottságot, hogy </w:t>
            </w:r>
            <w:r>
              <w:rPr>
                <w:b/>
                <w:i/>
              </w:rPr>
              <w:t>vizsgálja meg annak lehetőségét, hogy</w:t>
            </w:r>
            <w:r>
              <w:t xml:space="preserve"> a következő programozási </w:t>
            </w:r>
            <w:r>
              <w:rPr>
                <w:b/>
                <w:i/>
              </w:rPr>
              <w:t>időszakban mennyiségi célt határozzon meg</w:t>
            </w:r>
            <w:r>
              <w:t xml:space="preserve"> az uniós költségvetés azon részére vonatkozóan, amely hozzájárul a nemek közötti egyenlőség előmozdításához (ami a jelenlegi módszertanban 2 vagy 1 pontnak felel meg), </w:t>
            </w:r>
            <w:r>
              <w:rPr>
                <w:b/>
                <w:i/>
              </w:rPr>
              <w:t>megjegyezve, hogy hasonló</w:t>
            </w:r>
            <w:r>
              <w:t xml:space="preserve"> célok hasznosnak bizonyultak az Unió éghajlat-politikai és biológiai sokféleséggel kapcsolatos célkitűzéseinek </w:t>
            </w:r>
            <w:r>
              <w:rPr>
                <w:b/>
                <w:i/>
              </w:rPr>
              <w:t>előmozdításában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felhívja a Bizottságot és a Tanácsot, hogy a programok következő generációjáról folytatott tárgyalások során tartsák tiszteletben a felülvizsgált költségvetési rendeletben foglalt rendelkezéseket, nevezetesen azt, hogy a programokat és tevékenységeket – amennyiben az a vonatkozó ágazatspecifikus szabályokkal összhangban megvalósítható és helyénvaló – a </w:t>
            </w:r>
            <w:r>
              <w:rPr>
                <w:b/>
                <w:i/>
              </w:rPr>
              <w:t>nemek</w:t>
            </w:r>
            <w:r>
              <w:t xml:space="preserve"> közötti egyenlőség elvének figyelembevételével </w:t>
            </w:r>
            <w:r>
              <w:rPr>
                <w:b/>
                <w:i/>
              </w:rPr>
              <w:t>és a nemek közötti egyenlőség érvényesítésének megfelelő módszertanával összhangban</w:t>
            </w:r>
            <w:r>
              <w:t xml:space="preserve"> kell végrehajtani;</w:t>
            </w:r>
          </w:p>
        </w:tc>
        <w:tc>
          <w:tcPr>
            <w:tcW w:w="4876" w:type="dxa"/>
            <w:tcBorders>
              <w:top w:val="nil"/>
              <w:left w:val="nil"/>
              <w:bottom w:val="nil"/>
              <w:right w:val="nil"/>
            </w:tcBorders>
          </w:tcPr>
          <w:p>
            <w:pPr>
              <w:pStyle w:val="Normal6a"/>
            </w:pPr>
            <w:r>
              <w:t>33.</w:t>
            </w:r>
            <w:r>
              <w:tab/>
            </w:r>
            <w:r>
              <w:t xml:space="preserve">felhívja a Bizottságot és a Tanácsot, hogy a programok következő generációjáról folytatott tárgyalások során tartsák tiszteletben a felülvizsgált költségvetési rendeletben foglalt rendelkezéseket, nevezetesen azt, hogy a programokat és tevékenységeket – amennyiben az a vonatkozó ágazatspecifikus szabályokkal összhangban megvalósítható és helyénvaló – a </w:t>
            </w:r>
            <w:r>
              <w:rPr>
                <w:b/>
                <w:i/>
              </w:rPr>
              <w:t>férfiak és nők</w:t>
            </w:r>
            <w:r>
              <w:t xml:space="preserve"> közötti egyenlőség elvének figyelembevételével kell végrehajtani; </w:t>
            </w:r>
            <w:r>
              <w:rPr>
                <w:b/>
                <w:i/>
              </w:rPr>
              <w:t>felhívja az uniós intézményeket annak biztosítására, hogy költségvetési politikáik és előirányzataik tartsák kellő tiszteletben a család és a judeó-keresztény értékeket, elismerve azokat az Unió kulturális és történelmi alapjainak alapvető részeként;</w:t>
            </w:r>
            <w:r>
              <w:t xml:space="preserve"> </w:t>
            </w:r>
            <w:r>
              <w:rPr>
                <w:b/>
                <w:i/>
              </w:rPr>
              <w:t>felhívja továbbá az uniós intézményeket, hogy tartózkodjanak a nemi ideológiának mint normatív keretnek az Unió külső fellépésein belüli előmozdításától, és ehelyett emlékeztet arra, hogy az uniós politikának a kulturális hagyományok, az emberi méltóság és a társadalmi kohézió megerősítésén kell alapulnia;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felhívja a Bizottságot és a Tanácsot, hogy a programok következő generációjáról folytatott tárgyalások során tartsák tiszteletben a felülvizsgált költségvetési rendeletben foglalt rendelkezéseket, nevezetesen azt, hogy a programokat és tevékenységeket – amennyiben az a vonatkozó ágazatspecifikus szabályokkal összhangban megvalósítható és helyénvaló – a nemek közötti egyenlőség elvének figyelembevételével </w:t>
            </w:r>
            <w:r>
              <w:rPr>
                <w:b/>
                <w:i/>
              </w:rPr>
              <w:t>és a nemek közötti egyenlőség érvényesítésének megfelelő módszertanával összhangban</w:t>
            </w:r>
            <w:r>
              <w:t xml:space="preserve"> kell végrehajtani;</w:t>
            </w:r>
          </w:p>
        </w:tc>
        <w:tc>
          <w:tcPr>
            <w:tcW w:w="4876" w:type="dxa"/>
            <w:tcBorders>
              <w:top w:val="nil"/>
              <w:left w:val="nil"/>
              <w:bottom w:val="nil"/>
              <w:right w:val="nil"/>
            </w:tcBorders>
          </w:tcPr>
          <w:p>
            <w:pPr>
              <w:pStyle w:val="Normal6a"/>
            </w:pPr>
            <w:r>
              <w:t>33.</w:t>
            </w:r>
            <w:r>
              <w:tab/>
            </w:r>
            <w:r>
              <w:t>felhívja a Bizottságot és a Tanácsot, hogy a programok következő generációjáról folytatott tárgyalások során tartsák tiszteletben a felülvizsgált költségvetési rendeletben foglalt rendelkezéseket, nevezetesen azt, hogy a programokat és tevékenységeket – amennyiben az a vonatkozó ágazatspecifikus szabályokkal összhangban megvalósítható és helyénvaló – a nemek közötti egyenlőség elvének figyelembevételével kell végrehajtani;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felhívja a Bizottságot, hogy </w:t>
            </w:r>
            <w:r>
              <w:rPr>
                <w:b/>
                <w:i/>
              </w:rPr>
              <w:t>többek között</w:t>
            </w:r>
            <w:r>
              <w:t xml:space="preserve"> a felülvizsgált </w:t>
            </w:r>
            <w:r>
              <w:rPr>
                <w:b/>
                <w:i/>
              </w:rPr>
              <w:t>pénzügyi szabályzattal</w:t>
            </w:r>
            <w:r>
              <w:t xml:space="preserve"> összhangban </w:t>
            </w:r>
            <w:r>
              <w:rPr>
                <w:b/>
                <w:i/>
              </w:rPr>
              <w:t>gondoskodjon arról</w:t>
            </w:r>
            <w:r>
              <w:t xml:space="preserve">, hogy a következő </w:t>
            </w:r>
            <w:r>
              <w:rPr>
                <w:b/>
                <w:i/>
              </w:rPr>
              <w:t>generációs programokról</w:t>
            </w:r>
            <w:r>
              <w:t xml:space="preserve"> olyan javaslatok alapján folytassanak tárgyalásokat, amelyek </w:t>
            </w:r>
            <w:r>
              <w:rPr>
                <w:b/>
                <w:i/>
              </w:rPr>
              <w:t>konkrét, mérhető, elérhető, releváns és időhöz kötött célokat, valamint releváns, elfogadott, hiteles, könnyen értelmezhető, megbízható és széles körben elismert tudományos bizonyítékokon alapuló mutatókat tartalmaznak, megjegyezve, hogy</w:t>
            </w:r>
            <w:r>
              <w:t xml:space="preserve"> adott esetben </w:t>
            </w:r>
            <w:r>
              <w:rPr>
                <w:b/>
                <w:i/>
              </w:rPr>
              <w:t>az ilyen mutatókkal kapcsolatban gyűjtött adatokat</w:t>
            </w:r>
            <w:r>
              <w:t xml:space="preserve"> nemek szerint </w:t>
            </w:r>
            <w:r>
              <w:rPr>
                <w:b/>
                <w:i/>
              </w:rPr>
              <w:t>kell bontani, és olyan módon kell gyűjteni, hogy azok összesíthetők legyenek</w:t>
            </w:r>
            <w:r>
              <w:t xml:space="preserve"> az összes </w:t>
            </w:r>
            <w:r>
              <w:rPr>
                <w:b/>
                <w:i/>
              </w:rPr>
              <w:t>releváns programra vonatkozóan</w:t>
            </w:r>
            <w:r>
              <w:t>;</w:t>
            </w:r>
          </w:p>
        </w:tc>
        <w:tc>
          <w:tcPr>
            <w:tcW w:w="4876" w:type="dxa"/>
            <w:tcBorders>
              <w:top w:val="nil"/>
              <w:left w:val="nil"/>
              <w:bottom w:val="nil"/>
              <w:right w:val="nil"/>
            </w:tcBorders>
          </w:tcPr>
          <w:p>
            <w:pPr>
              <w:pStyle w:val="Normal6a"/>
            </w:pPr>
            <w:r>
              <w:t>34.</w:t>
            </w:r>
            <w:r>
              <w:tab/>
            </w:r>
            <w:r>
              <w:t xml:space="preserve">felhívja a Bizottságot, hogy a felülvizsgált </w:t>
            </w:r>
            <w:r>
              <w:rPr>
                <w:b/>
                <w:i/>
              </w:rPr>
              <w:t>költségvetési rendelettel</w:t>
            </w:r>
            <w:r>
              <w:t xml:space="preserve"> összhangban </w:t>
            </w:r>
            <w:r>
              <w:rPr>
                <w:b/>
                <w:i/>
              </w:rPr>
              <w:t>biztosítsa</w:t>
            </w:r>
            <w:r>
              <w:t xml:space="preserve">, hogy a </w:t>
            </w:r>
            <w:r>
              <w:rPr>
                <w:b/>
                <w:i/>
              </w:rPr>
              <w:t>programok</w:t>
            </w:r>
            <w:r>
              <w:t xml:space="preserve"> következő </w:t>
            </w:r>
            <w:r>
              <w:rPr>
                <w:b/>
                <w:i/>
              </w:rPr>
              <w:t>generációjáról</w:t>
            </w:r>
            <w:r>
              <w:t xml:space="preserve"> olyan </w:t>
            </w:r>
            <w:r>
              <w:rPr>
                <w:b/>
                <w:i/>
              </w:rPr>
              <w:t>célkitűzéseket tartalmazó</w:t>
            </w:r>
            <w:r>
              <w:t xml:space="preserve"> javaslatok alapján folytassanak tárgyalásokat, amelyek adott esetben </w:t>
            </w:r>
            <w:r>
              <w:rPr>
                <w:b/>
                <w:i/>
              </w:rPr>
              <w:t>lehetővé teszik a</w:t>
            </w:r>
            <w:r>
              <w:t xml:space="preserve"> nemek szerint </w:t>
            </w:r>
            <w:r>
              <w:rPr>
                <w:b/>
                <w:i/>
              </w:rPr>
              <w:t>lebontott adatok gyűjtését és az ilyen adatoknak</w:t>
            </w:r>
            <w:r>
              <w:t xml:space="preserve"> az összes </w:t>
            </w:r>
            <w:r>
              <w:rPr>
                <w:b/>
                <w:i/>
              </w:rPr>
              <w:t>érintett programban történő összesítését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felhívja a Bizottságot, hogy többek között a felülvizsgált pénzügyi szabályzattal összhangban gondoskodjon arról, hogy a következő generációs programokról olyan javaslatok alapján folytassanak tárgyalásokat, amelyek konkrét, mérhető, elérhető, releváns és időhöz kötött célokat, valamint releváns, elfogadott, hiteles, könnyen értelmezhető, megbízható és széles körben elismert tudományos bizonyítékokon alapuló mutatókat tartalmaznak, megjegyezve, hogy adott esetben az ilyen mutatókkal kapcsolatban gyűjtött adatokat nemek szerint kell bontani, és olyan módon kell gyűjteni, hogy azok összesíthetők legyenek az összes releváns programra vonatkozóan;</w:t>
            </w:r>
          </w:p>
        </w:tc>
        <w:tc>
          <w:tcPr>
            <w:tcW w:w="4876" w:type="dxa"/>
            <w:tcBorders>
              <w:top w:val="nil"/>
              <w:left w:val="nil"/>
              <w:bottom w:val="nil"/>
              <w:right w:val="nil"/>
            </w:tcBorders>
          </w:tcPr>
          <w:p>
            <w:pPr>
              <w:pStyle w:val="Normal6a"/>
            </w:pPr>
            <w:r>
              <w:t>34.</w:t>
            </w:r>
            <w:r>
              <w:tab/>
            </w:r>
            <w:r>
              <w:t xml:space="preserve">felhívja a Bizottságot, hogy többek között a felülvizsgált pénzügyi szabályzattal összhangban gondoskodjon arról, hogy a következő generációs programokról olyan javaslatok alapján folytassanak tárgyalásokat, amelyek konkrét, mérhető, elérhető, releváns és időhöz kötött célokat, valamint releváns, elfogadott, hiteles, könnyen értelmezhető, megbízható és széles körben elismert tudományos bizonyítékokon alapuló mutatókat tartalmaznak, megjegyezve, hogy adott esetben az ilyen mutatókkal kapcsolatban gyűjtött adatokat nemek szerint kell bontani, és olyan módon kell gyűjteni, hogy azok összesíthetők legyenek az összes releváns programra vonatkozóan; </w:t>
            </w:r>
            <w:r>
              <w:rPr>
                <w:b/>
                <w:i/>
              </w:rPr>
              <w:t>felszólít a nemek közötti egyenlőség nyomon követésére szolgáló uniós módszertan továbbfejlesztésére és javítására, és emlékeztet arra, hogy az adatgyűjtés, az összesítés és a programok közötti elemzés javítása érdekében szisztematikusan digitális eszközöket, például mesterséges intelligenciát kell használni;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felhívja a Bizottságot, hogy az EU összes külső fellépésének legalább 90%-át fordítsa olyan beavatkozásokra, amelyek hozzájárulnak a nemek közötti egyenlőséghez és a nők társadalmi szerepvállalásának növeléséhez, és a következő többéves pénzügyi keretben az EU külső finanszírozási eszközeinek további 25%-át fordítsa a nemek közötti egyenlőség mint fő célkitűzés előmozdítására;</w:t>
            </w:r>
            <w:r>
              <w:t xml:space="preserve"> </w:t>
            </w:r>
            <w:r>
              <w:rPr>
                <w:b/>
                <w:i/>
              </w:rPr>
              <w:t>felhívja továbbá a Bizottságot, hogy hozzon létre külön alapot a nemek közötti egyenlőség globális előmozdítására, és biztosítsa, hogy az általa támogatott fellépések a szexuális és reproduktív egészséghez és jogokhoz való hozzáférésre, a nők döntéshozatalban való részvételének növelésére, a nők által vezetett helyi nem kormányzati szervezetek támogatására és a helyi női emberijog-védők támogatására összpontosítsanak;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felhívja</w:t>
            </w:r>
            <w:r>
              <w:t xml:space="preserve"> a Bizottságot, hogy az EU </w:t>
            </w:r>
            <w:r>
              <w:rPr>
                <w:b/>
                <w:i/>
              </w:rPr>
              <w:t>összes</w:t>
            </w:r>
            <w:r>
              <w:t xml:space="preserve"> külső </w:t>
            </w:r>
            <w:r>
              <w:rPr>
                <w:b/>
                <w:i/>
              </w:rPr>
              <w:t>fellépésének legalább 90%-át fordítsa olyan beavatkozásokra, amelyek hozzájárulnak</w:t>
            </w:r>
            <w:r>
              <w:t xml:space="preserve"> a nemek közötti egyenlőséghez </w:t>
            </w:r>
            <w:r>
              <w:rPr>
                <w:b/>
                <w:i/>
              </w:rPr>
              <w:t>és a nők társadalmi szerepvállalásának növeléséhez, és a következő többéves pénzügyi keretben az EU külső finanszírozási eszközeinek további 25%-át fordítsa</w:t>
            </w:r>
            <w:r>
              <w:t xml:space="preserve"> a nemek közötti </w:t>
            </w:r>
            <w:r>
              <w:rPr>
                <w:b/>
                <w:i/>
              </w:rPr>
              <w:t>egyenlőség mint fő célkitűzés előmozdítására;</w:t>
            </w:r>
            <w:r>
              <w:t xml:space="preserve"> </w:t>
            </w:r>
            <w:r>
              <w:rPr>
                <w:b/>
                <w:i/>
              </w:rPr>
              <w:t>felhívja továbbá a Bizottságot, hogy hozzon létre külön alapot a nemek közötti egyenlőség globális előmozdítására, és biztosítsa, hogy az általa támogatott fellépések a szexuális és reproduktív egészséghez és jogokhoz való hozzáférésre, a nők döntéshozatalban való részvételének növelésére, a nők által vezetett helyi nem kormányzati szervezetek támogatására és a helyi női emberijog-védők támogatására összpontosítsanak</w:t>
            </w:r>
            <w:r>
              <w:t>;</w:t>
            </w:r>
          </w:p>
        </w:tc>
        <w:tc>
          <w:tcPr>
            <w:tcW w:w="4876" w:type="dxa"/>
            <w:tcBorders>
              <w:top w:val="nil"/>
              <w:left w:val="nil"/>
              <w:bottom w:val="nil"/>
              <w:right w:val="nil"/>
            </w:tcBorders>
          </w:tcPr>
          <w:p>
            <w:pPr>
              <w:pStyle w:val="Normal6a"/>
            </w:pPr>
            <w:r>
              <w:t>36.</w:t>
            </w:r>
            <w:r>
              <w:tab/>
            </w:r>
            <w:r>
              <w:rPr>
                <w:b/>
                <w:i/>
              </w:rPr>
              <w:t>ösztönzi</w:t>
            </w:r>
            <w:r>
              <w:t xml:space="preserve"> a Bizottságot </w:t>
            </w:r>
            <w:r>
              <w:rPr>
                <w:b/>
                <w:i/>
              </w:rPr>
              <w:t>annak biztosítására</w:t>
            </w:r>
            <w:r>
              <w:t xml:space="preserve">, hogy az EU külső </w:t>
            </w:r>
            <w:r>
              <w:rPr>
                <w:b/>
                <w:i/>
              </w:rPr>
              <w:t>tevékenységeinek jelentős többsége – ideális esetben mintegy 85%-a – érdemben hozzájáruljon</w:t>
            </w:r>
            <w:r>
              <w:t xml:space="preserve"> a nemek közötti egyenlőséghez</w:t>
            </w:r>
            <w:r>
              <w:rPr>
                <w:b/>
                <w:i/>
              </w:rPr>
              <w:t>, összhangban</w:t>
            </w:r>
            <w:r>
              <w:t xml:space="preserve"> a nemek közötti </w:t>
            </w:r>
            <w:r>
              <w:rPr>
                <w:b/>
                <w:i/>
              </w:rPr>
              <w:t>egyenlőségre vonatkozó III. cselekvési terv célkitűzéseivel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felhívja a Bizottságot, hogy az EU összes külső fellépésének </w:t>
            </w:r>
            <w:r>
              <w:rPr>
                <w:b/>
                <w:i/>
              </w:rPr>
              <w:t>legalább 90%-át</w:t>
            </w:r>
            <w:r>
              <w:t xml:space="preserve"> fordítsa olyan beavatkozásokra, amelyek hozzájárulnak a nemek közötti egyenlőséghez és a nők társadalmi szerepvállalásának növeléséhez, és a következő többéves pénzügyi keretben az EU külső finanszírozási eszközeinek további 25%-át fordítsa a nemek közötti egyenlőség mint fő célkitűzés előmozdítására; felhívja továbbá a Bizottságot, hogy hozzon létre külön alapot a nemek közötti egyenlőség globális előmozdítására, és biztosítsa, hogy az általa támogatott fellépések a szexuális és reproduktív egészséghez és jogokhoz való hozzáférésre, a nők döntéshozatalban való részvételének növelésére, a nők által vezetett helyi nem kormányzati szervezetek támogatására és a helyi női emberijog-védők támogatására összpontosítsanak;</w:t>
            </w:r>
          </w:p>
        </w:tc>
        <w:tc>
          <w:tcPr>
            <w:tcW w:w="4876" w:type="dxa"/>
            <w:tcBorders>
              <w:top w:val="nil"/>
              <w:left w:val="nil"/>
              <w:bottom w:val="nil"/>
              <w:right w:val="nil"/>
            </w:tcBorders>
          </w:tcPr>
          <w:p>
            <w:pPr>
              <w:pStyle w:val="Normal6a"/>
            </w:pPr>
            <w:r>
              <w:t>36.</w:t>
            </w:r>
            <w:r>
              <w:tab/>
            </w:r>
            <w:r>
              <w:t xml:space="preserve">felhívja a Bizottságot, hogy az EU összes külső fellépésének </w:t>
            </w:r>
            <w:r>
              <w:rPr>
                <w:b/>
                <w:i/>
              </w:rPr>
              <w:t>megnövelt költségvetését</w:t>
            </w:r>
            <w:r>
              <w:t xml:space="preserve"> fordítsa olyan beavatkozásokra, amelyek hozzájárulnak a nemek közötti egyenlőséghez és a nők társadalmi szerepvállalásának növeléséhez, és a következő többéves pénzügyi keretben az EU külső finanszírozási eszközeinek további 25%-át fordítsa a nemek közötti egyenlőség mint fő célkitűzés előmozdítására; felhívja továbbá a Bizottságot, hogy hozzon létre külön alapot a nemek közötti egyenlőség globális előmozdítására, és biztosítsa, hogy az általa támogatott fellépések a szexuális és reproduktív egészséghez és jogokhoz való hozzáférésre, a nők döntéshozatalban való részvételének növelésére, a nők által vezetett helyi nem kormányzati szervezetek támogatására és a helyi női emberijog-védők támogatására összpontosítsanak;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megerősíti, hogy a nők jogai védelmének, valamint a nőkkel és lányokkal szembeni erőszak valamennyi formája elleni küzdelemnek továbbra is az Unió önálló és alku tárgyát nem képező prioritásának kell maradnia;</w:t>
            </w:r>
            <w:r>
              <w:t xml:space="preserve"> </w:t>
            </w:r>
            <w:r>
              <w:rPr>
                <w:b/>
                <w:i/>
              </w:rPr>
              <w:t>hangsúlyozza, hogy ezek a célkitűzések az egyetemesen elismert emberi jogokban és jogi kötelezettségekben gyökereznek, és ezért azokat nem szabad a nemi ideológia vagy tágabb, vitatott nemi alapú konstrukciók égisze alatt felhígítani vagy aláírni, ami azzal a kockázattal jár, hogy a figyelmet és az erőforrásokat eltereli a nők előtt álló konkrét kihívásoktól;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hangsúlyozza, hogy az Unió külső tevékenységét és külpolitikáját nem a nemi ideológia vagy a kapcsolódó konstrukciók vagy ideológiák vezérlik, hanem a nemzetközi jog elvein, az állami szuverenitás tiszteletben tartásán, a béke, a biztonság, a gazdasági együttműködés előmozdításán, valamint az alapvető emberi jogok, köztük a nők és lányok jogainak védelmén kell alapulnia;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aggodalommal állapítja meg, hogy a jelenlegi költségvetési jelentéstételi gyakorlatok nem nyújtanak egyértelmű és nyilvános bontást a kifejezetten a nők jogaira elkülönített forrásokról, ellentétben az LMBT-vel kapcsolatos kezdeményezésekkel;</w:t>
            </w:r>
            <w:r>
              <w:t xml:space="preserve"> </w:t>
            </w:r>
            <w:r>
              <w:rPr>
                <w:b/>
                <w:i/>
              </w:rPr>
              <w:t>hangsúlyozza, hogy számos uniós program különböző célkitűzéseket mos össze olyan tág kategóriákban, mint a „nemek közötti egyenlőség” vagy a „megkülönböztetésmentesség”, lehetetlenné téve annak értékelését, hogy mennyi finanszírozást fordítanak kizárólag a nők elleni erőszak elleni küzdelemre, a nők társadalmi szerepvállalásának támogatására és társadalmi-gazdasági részvételük előmozdítására;</w:t>
            </w:r>
            <w:r>
              <w:t xml:space="preserve"> </w:t>
            </w:r>
            <w:r>
              <w:rPr>
                <w:b/>
                <w:i/>
              </w:rPr>
              <w:t>az elszámoltathatóság, a hatékony felügyelet és az uniós források célzott felhasználásának biztosítása érdekében átlátható és lebontott jelentéstételi rendszert szorgalmaz, amely megkülönbözteti a nők jogaira vonatkozó előirányzatokat a más szakpolitikai területekre vonatkozóktól;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felhívja a Bizottságot annak biztosítására, hogy az uniós finanszírozású programok védjék és mozdítsák elő a nők jogait, különös tekintettel az állami egészségügyi ellátáshoz, a gyermekgondozáshoz, valamint a szexuális és reproduktív egészséghez és jogokhoz való hozzáférésre;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elismeri, hogy</w:t>
            </w:r>
            <w:r>
              <w:t xml:space="preserve"> a nemek közötti </w:t>
            </w:r>
            <w:r>
              <w:rPr>
                <w:b/>
                <w:i/>
              </w:rPr>
              <w:t>bérszakadék továbbra is jelentős kérdés az uniós intézményekben;</w:t>
            </w:r>
            <w:r>
              <w:t xml:space="preserve"> </w:t>
            </w:r>
            <w:r>
              <w:rPr>
                <w:b/>
                <w:i/>
              </w:rPr>
              <w:t>sürgeti</w:t>
            </w:r>
            <w:r>
              <w:t xml:space="preserve"> a Bizottságot, hogy végezzen </w:t>
            </w:r>
            <w:r>
              <w:rPr>
                <w:b/>
                <w:i/>
              </w:rPr>
              <w:t>alapos vizsgálatot ezen intézményeken belül</w:t>
            </w:r>
            <w:r>
              <w:t xml:space="preserve"> azon területek azonosítása érdekében, ahol </w:t>
            </w:r>
            <w:r>
              <w:rPr>
                <w:b/>
                <w:i/>
              </w:rPr>
              <w:t>a szakadék különösen nagy, és felhívja a Bizottságot, hogy hajtson végre intézkedéseket annak biztosítása érdekében, hogy az intézmények betartsák az általuk szorgalmazott elveket, és tűzze ki célul</w:t>
            </w:r>
            <w:r>
              <w:t xml:space="preserve"> a nemek közötti </w:t>
            </w:r>
            <w:r>
              <w:rPr>
                <w:b/>
                <w:i/>
              </w:rPr>
              <w:t>bérszakadék 2030-ig történő megszüntetését az intézményeken belül</w:t>
            </w:r>
            <w:r>
              <w:t>;</w:t>
            </w:r>
          </w:p>
        </w:tc>
        <w:tc>
          <w:tcPr>
            <w:tcW w:w="4876" w:type="dxa"/>
            <w:tcBorders>
              <w:top w:val="nil"/>
              <w:left w:val="nil"/>
              <w:bottom w:val="nil"/>
              <w:right w:val="nil"/>
            </w:tcBorders>
          </w:tcPr>
          <w:p>
            <w:pPr>
              <w:pStyle w:val="Normal6a"/>
            </w:pPr>
            <w:r>
              <w:t>38.</w:t>
            </w:r>
            <w:r>
              <w:tab/>
            </w:r>
            <w:r>
              <w:rPr>
                <w:b/>
                <w:i/>
              </w:rPr>
              <w:t>megismétli az uniós intézményekhez, ügynökségekhez, hivatalokhoz és szervekhez intézett felhívását, hogy a felső vezetés szintjén javítsák</w:t>
            </w:r>
            <w:r>
              <w:t xml:space="preserve"> a nemek közötti </w:t>
            </w:r>
            <w:r>
              <w:rPr>
                <w:b/>
                <w:i/>
              </w:rPr>
              <w:t>egyensúlyt;</w:t>
            </w:r>
            <w:r>
              <w:t xml:space="preserve"> </w:t>
            </w:r>
            <w:r>
              <w:rPr>
                <w:b/>
                <w:i/>
              </w:rPr>
              <w:t>felkéri</w:t>
            </w:r>
            <w:r>
              <w:t xml:space="preserve"> a Bizottságot, hogy végezzen </w:t>
            </w:r>
            <w:r>
              <w:rPr>
                <w:b/>
                <w:i/>
              </w:rPr>
              <w:t>elemzést</w:t>
            </w:r>
            <w:r>
              <w:t xml:space="preserve"> azon területek azonosítása érdekében, ahol </w:t>
            </w:r>
            <w:r>
              <w:rPr>
                <w:b/>
                <w:i/>
              </w:rPr>
              <w:t>az ilyen fejlesztésre nagyobb szükség van, és vizsgálja meg további intézkedések végrehajtásának lehetőségét az uniós intézményeken, ügynökségeken, hivatalokon és szerveken belül</w:t>
            </w:r>
            <w:r>
              <w:t xml:space="preserve"> a nemek közötti </w:t>
            </w:r>
            <w:r>
              <w:rPr>
                <w:b/>
                <w:i/>
              </w:rPr>
              <w:t>egyensúly elérése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elismeri, hogy a nemek közötti bérszakadék továbbra is </w:t>
            </w:r>
            <w:r>
              <w:rPr>
                <w:b/>
                <w:i/>
              </w:rPr>
              <w:t>jelentős</w:t>
            </w:r>
            <w:r>
              <w:t xml:space="preserve"> kérdés az uniós intézményekben; sürgeti a Bizottságot, hogy végezzen alapos vizsgálatot ezen intézményeken belül azon területek azonosítása érdekében, ahol a szakadék különösen nagy, és felhívja a Bizottságot, hogy hajtson végre intézkedéseket annak biztosítása érdekében, hogy az intézmények betartsák az általuk szorgalmazott elveket, és tűzze ki célul a nemek közötti bérszakadék </w:t>
            </w:r>
            <w:r>
              <w:rPr>
                <w:b/>
                <w:i/>
              </w:rPr>
              <w:t>2030-ig</w:t>
            </w:r>
            <w:r>
              <w:t xml:space="preserve"> történő megszüntetését az intézményeken belül;</w:t>
            </w:r>
          </w:p>
        </w:tc>
        <w:tc>
          <w:tcPr>
            <w:tcW w:w="4876" w:type="dxa"/>
            <w:tcBorders>
              <w:top w:val="nil"/>
              <w:left w:val="nil"/>
              <w:bottom w:val="nil"/>
              <w:right w:val="nil"/>
            </w:tcBorders>
          </w:tcPr>
          <w:p>
            <w:pPr>
              <w:pStyle w:val="Normal6a"/>
            </w:pPr>
            <w:r>
              <w:t>38.</w:t>
            </w:r>
            <w:r>
              <w:tab/>
            </w:r>
            <w:r>
              <w:t xml:space="preserve">elismeri, hogy a nemek közötti bérszakadék továbbra is </w:t>
            </w:r>
            <w:r>
              <w:rPr>
                <w:b/>
                <w:i/>
              </w:rPr>
              <w:t>komoly</w:t>
            </w:r>
            <w:r>
              <w:t xml:space="preserve"> kérdés az uniós intézményekben; sürgeti a Bizottságot, hogy végezzen alapos vizsgálatot ezen intézményeken belül azon területek azonosítása érdekében, ahol a szakadék különösen nagy, és felhívja a Bizottságot, hogy hajtson végre intézkedéseket annak biztosítása érdekében, hogy az intézmények betartsák az általuk szorgalmazott elveket, és tűzze ki célul a nemek közötti bérszakadék </w:t>
            </w:r>
            <w:r>
              <w:rPr>
                <w:b/>
                <w:i/>
              </w:rPr>
              <w:t>lehető leghamarabb</w:t>
            </w:r>
            <w:r>
              <w:t xml:space="preserve"> történő megszüntetését az intézményeken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hangsúlyozza a munkahely fontos szerepét a családi élet és a nevelőszülői gondozás támogatásában, és felhívja a Bizottságot, hogy mozdítsa elő azokat a foglalkoztatási politikákat, amelyek lehetővé teszik az anyák számára, hogy szülői felelősséget vállaljanak, és hogy mindkét szülő teljes mértékben részt vegyen a gondozásban;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elismeri, hogy a hagyományosan férfiak által dominált ágazatokban, például a nukleáris energia, a védelem és az energiaigényes iparágak terén továbbra is fennállnak a nemek közötti különbségek; </w:t>
            </w:r>
            <w:r>
              <w:rPr>
                <w:b/>
                <w:i/>
              </w:rPr>
              <w:t>felhívja a Bizottságot annak biztosítására, hogy a nemek közötti egyenlőség szempontját érvényesítő költségvetés-tervezést korrekciós és átalakító eszközként alkalmazzák annak biztosítása érdekében, hogy ezekben az iparágakban a források elosztása aktívan hozzájáruljon a nemek közötti egyenlőséghez;</w:t>
            </w:r>
          </w:p>
        </w:tc>
        <w:tc>
          <w:tcPr>
            <w:tcW w:w="4876" w:type="dxa"/>
            <w:tcBorders>
              <w:top w:val="nil"/>
              <w:left w:val="nil"/>
              <w:bottom w:val="nil"/>
              <w:right w:val="nil"/>
            </w:tcBorders>
          </w:tcPr>
          <w:p>
            <w:pPr>
              <w:pStyle w:val="Normal6a"/>
            </w:pPr>
            <w:r>
              <w:t>39.</w:t>
            </w:r>
            <w:r>
              <w:tab/>
            </w:r>
            <w:r>
              <w:t>elismeri, hogy a hagyományosan férfiak által dominált ágazatokban, például a nukleáris energia, a védelem és az energiaigényes iparágak terén továbbra is fennállnak a nemek közötti különbségek;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elismeri, hogy a hagyományosan férfiak által dominált ágazatokban, például a nukleáris energia, a védelem és az energiaigényes iparágak terén továbbra is fennállnak a nemek közötti különbségek; felhívja a Bizottságot annak biztosítására, hogy </w:t>
            </w:r>
            <w:r>
              <w:rPr>
                <w:b/>
                <w:i/>
              </w:rPr>
              <w:t>a nemek közötti egyenlőség szempontját érvényesítő költségvetés-tervezést korrekciós és átalakító eszközként alkalmazzák annak biztosítása érdekében, hogy</w:t>
            </w:r>
            <w:r>
              <w:t xml:space="preserve"> ezekben az iparágakban a források elosztása aktívan hozzájáruljon a </w:t>
            </w:r>
            <w:r>
              <w:rPr>
                <w:b/>
                <w:i/>
              </w:rPr>
              <w:t>nemek</w:t>
            </w:r>
            <w:r>
              <w:t xml:space="preserve"> közötti </w:t>
            </w:r>
            <w:r>
              <w:rPr>
                <w:b/>
                <w:i/>
              </w:rPr>
              <w:t>egyenlőséghez</w:t>
            </w:r>
            <w:r>
              <w:t>;</w:t>
            </w:r>
          </w:p>
        </w:tc>
        <w:tc>
          <w:tcPr>
            <w:tcW w:w="4876" w:type="dxa"/>
            <w:tcBorders>
              <w:top w:val="nil"/>
              <w:left w:val="nil"/>
              <w:bottom w:val="nil"/>
              <w:right w:val="nil"/>
            </w:tcBorders>
          </w:tcPr>
          <w:p>
            <w:pPr>
              <w:pStyle w:val="Normal6a"/>
            </w:pPr>
            <w:r>
              <w:t>39.</w:t>
            </w:r>
            <w:r>
              <w:tab/>
            </w:r>
            <w:r>
              <w:t xml:space="preserve">elismeri, hogy a hagyományosan férfiak által dominált ágazatokban, például a nukleáris energia, a védelem és az energiaigényes iparágak terén továbbra is fennállnak a nemek közötti különbségek; felhívja a Bizottságot annak biztosítására, hogy ezekben az iparágakban a források elosztása aktívan hozzájáruljon a </w:t>
            </w:r>
            <w:r>
              <w:rPr>
                <w:b/>
                <w:i/>
              </w:rPr>
              <w:t>férfiak és nők</w:t>
            </w:r>
            <w:r>
              <w:t xml:space="preserve"> közötti </w:t>
            </w:r>
            <w:r>
              <w:rPr>
                <w:b/>
                <w:i/>
              </w:rPr>
              <w:t>egyenlőség ösztönzéséhez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elismeri</w:t>
            </w:r>
            <w:r>
              <w:rPr>
                <w:b/>
                <w:i/>
              </w:rPr>
              <w:t>, hogy a hagyományosan férfiak által dominált ágazatokban, például a nukleáris energia, a védelem és az energiaigényes iparágak terén továbbra is fennállnak</w:t>
            </w:r>
            <w:r>
              <w:t xml:space="preserve"> a nemek közötti </w:t>
            </w:r>
            <w:r>
              <w:rPr>
                <w:b/>
                <w:i/>
              </w:rPr>
              <w:t>különbségek</w:t>
            </w:r>
            <w:r>
              <w:t xml:space="preserve">; felhívja a Bizottságot </w:t>
            </w:r>
            <w:r>
              <w:rPr>
                <w:b/>
                <w:i/>
              </w:rPr>
              <w:t>annak biztosítására</w:t>
            </w:r>
            <w:r>
              <w:t xml:space="preserve">, hogy </w:t>
            </w:r>
            <w:r>
              <w:rPr>
                <w:b/>
                <w:i/>
              </w:rPr>
              <w:t>a nemek közötti egyenlőség szempontját érvényesítő költségvetés-tervezést korrekciós és átalakító eszközként alkalmazzák</w:t>
            </w:r>
            <w:r>
              <w:t xml:space="preserve"> annak </w:t>
            </w:r>
            <w:r>
              <w:rPr>
                <w:b/>
                <w:i/>
              </w:rPr>
              <w:t>biztosítása</w:t>
            </w:r>
            <w:r>
              <w:t xml:space="preserve"> érdekében, hogy ezekben </w:t>
            </w:r>
            <w:r>
              <w:rPr>
                <w:b/>
                <w:i/>
              </w:rPr>
              <w:t>az iparágakban a források elosztása aktívan hozzájáruljon</w:t>
            </w:r>
            <w:r>
              <w:t xml:space="preserve"> a nemek közötti </w:t>
            </w:r>
            <w:r>
              <w:rPr>
                <w:b/>
                <w:i/>
              </w:rPr>
              <w:t>egyenlőséghez</w:t>
            </w:r>
            <w:r>
              <w:t>;</w:t>
            </w:r>
          </w:p>
        </w:tc>
        <w:tc>
          <w:tcPr>
            <w:tcW w:w="4876" w:type="dxa"/>
            <w:tcBorders>
              <w:top w:val="nil"/>
              <w:left w:val="nil"/>
              <w:bottom w:val="nil"/>
              <w:right w:val="nil"/>
            </w:tcBorders>
          </w:tcPr>
          <w:p>
            <w:pPr>
              <w:pStyle w:val="Normal6a"/>
            </w:pPr>
            <w:r>
              <w:t>39.</w:t>
            </w:r>
            <w:r>
              <w:tab/>
            </w:r>
            <w:r>
              <w:t xml:space="preserve">elismeri a nemek közötti </w:t>
            </w:r>
            <w:r>
              <w:rPr>
                <w:b/>
                <w:i/>
              </w:rPr>
              <w:t>tartós egyenlőtlenségeket számos olyan ágazatban, amelyet hagyományosan egyetlen nem dominál</w:t>
            </w:r>
            <w:r>
              <w:t xml:space="preserve">; felhívja a Bizottságot, hogy </w:t>
            </w:r>
            <w:r>
              <w:rPr>
                <w:b/>
                <w:i/>
              </w:rPr>
              <w:t>mindegyik nem számára biztosítsa és kövesse nyomon a szükséges készségekhez és oktatási programokhoz való hozzáférés megkülönböztetésmentes feltételeit</w:t>
            </w:r>
            <w:r>
              <w:t xml:space="preserve"> annak érdekében, hogy ezekben </w:t>
            </w:r>
            <w:r>
              <w:rPr>
                <w:b/>
                <w:i/>
              </w:rPr>
              <w:t>a konkrét ágazatokban az ipar versenyképességének veszélyeztetése nélkül biztosítsa</w:t>
            </w:r>
            <w:r>
              <w:t xml:space="preserve"> a nemek közötti </w:t>
            </w:r>
            <w:r>
              <w:rPr>
                <w:b/>
                <w:i/>
              </w:rPr>
              <w:t>jobb egyenlőséget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elismeri, hogy </w:t>
            </w:r>
            <w:r>
              <w:rPr>
                <w:b/>
                <w:i/>
              </w:rPr>
              <w:t>a hagyományosan férfiak által dominált</w:t>
            </w:r>
            <w:r>
              <w:t xml:space="preserve"> ágazatokban, például a nukleáris energia, a védelem és az energiaigényes iparágak terén továbbra is fennállnak a nemek közötti különbségek; felhívja a Bizottságot annak biztosítására, hogy a nemek közötti egyenlőség szempontját érvényesítő költségvetés-tervezést korrekciós és átalakító eszközként alkalmazzák annak biztosítása érdekében, hogy ezekben az iparágakban a források elosztása aktívan hozzájáruljon a nemek közötti egyenlőséghez;</w:t>
            </w:r>
          </w:p>
        </w:tc>
        <w:tc>
          <w:tcPr>
            <w:tcW w:w="4876" w:type="dxa"/>
            <w:tcBorders>
              <w:top w:val="nil"/>
              <w:left w:val="nil"/>
              <w:bottom w:val="nil"/>
              <w:right w:val="nil"/>
            </w:tcBorders>
          </w:tcPr>
          <w:p>
            <w:pPr>
              <w:pStyle w:val="Normal6a"/>
            </w:pPr>
            <w:r>
              <w:t>39.</w:t>
            </w:r>
            <w:r>
              <w:tab/>
            </w:r>
            <w:r>
              <w:t xml:space="preserve">elismeri, hogy </w:t>
            </w:r>
            <w:r>
              <w:rPr>
                <w:b/>
                <w:i/>
              </w:rPr>
              <w:t>egyes</w:t>
            </w:r>
            <w:r>
              <w:t xml:space="preserve"> ágazatokban, például a nukleáris energia, a védelem és az energiaigényes iparágak terén továbbra is fennállnak a nemek közötti különbségek; felhívja a Bizottságot annak biztosítására, hogy a nemek közötti egyenlőség szempontját érvényesítő költségvetés-tervezést korrekciós és átalakító eszközként alkalmazzák annak biztosítása érdekében, hogy ezekben az iparágakban a források elosztása aktívan hozzájáruljon a nemek közötti egyenlőséghez; </w:t>
            </w:r>
            <w:r>
              <w:rPr>
                <w:b/>
                <w:i/>
              </w:rPr>
              <w:t>kéri, hogy fordítsanak különös figyelmet a női vállalkozókra, különösen a kkv-kban és az induló innovatív vállalkozásokban, beleértve az olyan programok egyedi nyomon követését, mint az InvestEU vagy az Európai horizont;</w:t>
            </w:r>
            <w:r>
              <w:t xml:space="preserve"> </w:t>
            </w:r>
            <w:r>
              <w:rPr>
                <w:b/>
                <w:i/>
              </w:rPr>
              <w:t>szigorúbb nyomonkövetési és jelentéstételi mechanizmusokra szólít fel annak biztosítása érdekében, hogy a források valóban a nők és a marginalizált csoportok javát szolgálják;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AM\1328085HU.docx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AM\1328085HU.docx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AM\1328085HU.docx</w:t>
    </w:r>
    <w:r>
      <w:rPr>
        <w:rStyle w:val="HideTWBExt"/>
      </w:rPr>
      <w:t>&lt;/PathFdR&gt;</w:t>
    </w:r>
    <w:r>
      <w:tab/>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7809</Words>
  <Characters>56436</Characters>
  <Application>Microsoft Office Word</Application>
  <DocSecurity>0</DocSecurity>
  <Lines>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1328085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261141</vt:lpwstr>
  </property>
  <property fmtid="{D5CDD505-2E9C-101B-9397-08002B2CF9AE}" pid="7" name="dmxml.render.traceId">
    <vt:lpwstr>68ed1254963a7a309501fc98a11e440c</vt:lpwstr>
  </property>
  <property fmtid="{D5CDD505-2E9C-101B-9397-08002B2CF9AE}" pid="8" name="FooterPath">
    <vt:lpwstr>AM\1328085HU.docx</vt:lpwstr>
  </property>
  <property fmtid="{D5CDD505-2E9C-101B-9397-08002B2CF9AE}" pid="9" name="PE Number">
    <vt:lpwstr>777.066</vt:lpwstr>
  </property>
  <property fmtid="{D5CDD505-2E9C-101B-9397-08002B2CF9AE}" pid="10" name="UID">
    <vt:lpwstr>eu.europa.europarl-DIN1-2025-0000175169_02.00-hu-01.00_text-xml</vt:lpwstr>
  </property>
</Properties>
</file>