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{CONT}</w:t>
      </w:r>
      <w:r>
        <w:t>Commissione per il controllo dei bilanci</w:t>
      </w:r>
      <w:r>
        <w:rPr>
          <w:rStyle w:val="HideTWBExt"/>
        </w:rPr>
        <w:t>&lt;/Commission&gt;</w:t>
      </w:r>
    </w:p>
    <w:p>
      <w:pPr>
        <w:pStyle w:val="LineBottom"/>
      </w:pPr>
      <w:r>
        <w:t xml:space="preserve"> </w:t>
      </w:r>
    </w:p>
    <w:p>
      <w:pPr>
        <w:pStyle w:val="CoverReference"/>
      </w:pPr>
      <w:r>
        <w:rPr>
          <w:rStyle w:val="HideTWBExt"/>
        </w:rPr>
        <w:t>&lt;RefProc&gt;</w:t>
      </w:r>
      <w:r>
        <w:t>2025/2033</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{22/09/2025}</w:t>
      </w:r>
      <w:r>
        <w:t>22.9.2025</w:t>
      </w:r>
      <w:r>
        <w:rPr>
          <w:rStyle w:val="HideTWBExt"/>
        </w:rPr>
        <w:t>&lt;/Date&gt;</w:t>
      </w:r>
    </w:p>
    <w:p>
      <w:pPr>
        <w:pStyle w:val="CoverDocType"/>
      </w:pPr>
      <w:r>
        <w:rPr>
          <w:rStyle w:val="HideTWBExt"/>
        </w:rPr>
        <w:t>&lt;TypeAM&gt;</w:t>
      </w:r>
      <w:r>
        <w:t>EMENDAMENTI</w:t>
      </w:r>
      <w:r>
        <w:rPr>
          <w:rStyle w:val="HideTWBExt"/>
        </w:rPr>
        <w:t>&lt;/TypeAM&gt;</w:t>
      </w:r>
    </w:p>
    <w:p>
      <w:pPr>
        <w:pStyle w:val="CoverDocType24a"/>
      </w:pPr>
      <w:r>
        <w:rPr>
          <w:rStyle w:val="HideTWBExt"/>
        </w:rPr>
        <w:t>&lt;RangeAM&gt;</w:t>
      </w:r>
      <w:r>
        <w:t>1</w:t>
      </w:r>
      <w:r>
        <w:t xml:space="preserve"> - </w:t>
      </w:r>
      <w:r>
        <w:t>86</w:t>
      </w:r>
      <w:r>
        <w:rPr>
          <w:rStyle w:val="HideTWBExt"/>
        </w:rPr>
        <w:t>&lt;/RangeAM&gt;</w:t>
      </w:r>
    </w:p>
    <w:p>
      <w:pPr>
        <w:pStyle w:val="CoverBold"/>
      </w:pPr>
      <w:r>
        <w:rPr>
          <w:rStyle w:val="HideTWBExt"/>
        </w:rPr>
        <w:t>&lt;TitreType&gt;</w:t>
      </w:r>
      <w:r>
        <w:t>Progetto di relazione</w:t>
      </w:r>
      <w:r>
        <w:rPr>
          <w:rStyle w:val="HideTWBExt"/>
        </w:rPr>
        <w:t>&lt;/TitreType&gt;</w:t>
      </w:r>
    </w:p>
    <w:p>
      <w:pPr>
        <w:pStyle w:val="CoverBold"/>
      </w:pPr>
      <w:r>
        <w:rPr>
          <w:rStyle w:val="HideTWBExt"/>
        </w:rPr>
        <w:t>&lt;Rapporteur&gt;</w:t>
      </w:r>
      <w:r>
        <w:t>Marit Maij</w:t>
      </w:r>
      <w:r>
        <w:rPr>
          <w:rStyle w:val="HideTWBExt"/>
        </w:rPr>
        <w:t>&lt;/Rapporteur&gt;</w:t>
      </w:r>
    </w:p>
    <w:p>
      <w:pPr>
        <w:pStyle w:val="CoverNormal24a"/>
      </w:pPr>
      <w:r>
        <w:rPr>
          <w:rStyle w:val="HideTWBExt"/>
        </w:rPr>
        <w:t>&lt;DocRefPE&gt;</w:t>
      </w:r>
      <w:r>
        <w:t>(PE775.770v02-00)</w:t>
      </w:r>
      <w:r>
        <w:rPr>
          <w:rStyle w:val="HideTWBExt"/>
        </w:rPr>
        <w:t>&lt;/DocRefPE&gt;</w:t>
      </w:r>
    </w:p>
    <w:p>
      <w:pPr>
        <w:pStyle w:val="CoverNormal"/>
      </w:pPr>
      <w:r>
        <w:rPr>
          <w:rStyle w:val="HideTWBExt"/>
        </w:rPr>
        <w:t>&lt;Titre&gt;</w:t>
      </w:r>
      <w:r>
        <w:t>Bilancio 2024: valutazione dell'attuazione della metodologia di integrazione della dimensione di genere nel bilancio dell'UE</w:t>
      </w:r>
      <w:r>
        <w:rPr>
          <w:rStyle w:val="HideTWBExt"/>
        </w:rPr>
        <w:t>&lt;/Titre&gt;</w:t>
      </w:r>
    </w:p>
    <w:p>
      <w:pPr>
        <w:pStyle w:val="CoverNormal24a"/>
      </w:pPr>
      <w:r>
        <w:rPr>
          <w:rStyle w:val="HideTWBExt"/>
        </w:rPr>
        <w:t>&lt;DocRef&gt;</w:t>
      </w:r>
      <w:r>
        <w:t>(2025/2033(INI))</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Emendamento</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proposta di regolamento del Consiglio che stabilisce il quadro finanziario pluriennale per il periodo 2028-2034, presentata dalla Commissione il 16 luglio 2025 (COM(2025) 571),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9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viste la proposta di regolamento del Parlamento europeo e del Consiglio che istituisce un quadro di tracciamento della spesa di bilancio e della performance del bilancio e altre norme orizzontali per i programmi e le attività dell'Unione (COM(2025) 545) e la relativa relazione sulla valutazione d'impatto (SWD(2025) 590), presentate dalla Commissione il 16 luglio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Virginie Joron,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vista la comunicazione della Commissione del 7 marzo 2025 intitolata "Una tabella di marcia per i diritti delle donne" (COM(2025)0097),</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vista la sua risoluzione del 21 gennaio 2021 sulla strategia dell'UE per la parità di genere</w:t>
            </w:r>
            <w:r>
              <w:rPr>
                <w:b/>
                <w:i/>
                <w:vertAlign w:val="superscript"/>
              </w:rPr>
              <w:t>7</w:t>
            </w:r>
            <w:r>
              <w:rPr>
                <w:b/>
                <w:i/>
              </w:rPr>
              <w:t>,</w:t>
            </w:r>
          </w:p>
        </w:tc>
        <w:tc>
          <w:tcPr>
            <w:tcW w:w="4876" w:type="dxa"/>
            <w:tcBorders>
              <w:top w:val="nil"/>
              <w:left w:val="nil"/>
              <w:bottom w:val="nil"/>
              <w:right w:val="nil"/>
            </w:tcBorders>
          </w:tcPr>
          <w:p>
            <w:pPr>
              <w:pStyle w:val="Normal6a"/>
            </w:pPr>
            <w:r>
              <w:rPr>
                <w:b/>
                <w:i/>
              </w:rPr>
              <w:t>soppresso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7</w:t>
            </w:r>
            <w:r>
              <w:t xml:space="preserve"> </w:t>
            </w:r>
            <w:r>
              <w:rPr>
                <w:b/>
                <w:i/>
              </w:rPr>
              <w:t>GU C 456 del 10.11.2021, pag. 208.</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vista la sua risoluzione del 10 marzo 2022 sull'integrazione della dimensione di genere al Parlamento europeo – relazione annuale 2020</w:t>
            </w:r>
            <w:r>
              <w:rPr>
                <w:b/>
                <w:i/>
                <w:vertAlign w:val="superscript"/>
              </w:rPr>
              <w:t>8</w:t>
            </w:r>
            <w:r>
              <w:rPr>
                <w:b/>
                <w:i/>
              </w:rPr>
              <w:t>,</w:t>
            </w:r>
          </w:p>
        </w:tc>
        <w:tc>
          <w:tcPr>
            <w:tcW w:w="4876" w:type="dxa"/>
            <w:tcBorders>
              <w:top w:val="nil"/>
              <w:left w:val="nil"/>
              <w:bottom w:val="nil"/>
              <w:right w:val="nil"/>
            </w:tcBorders>
          </w:tcPr>
          <w:p>
            <w:pPr>
              <w:pStyle w:val="Normal6a"/>
            </w:pPr>
            <w:r>
              <w:rPr>
                <w:b/>
                <w:i/>
              </w:rPr>
              <w:t>soppresso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8</w:t>
            </w:r>
            <w:r>
              <w:t xml:space="preserve"> </w:t>
            </w:r>
            <w:r>
              <w:rPr>
                <w:b/>
                <w:i/>
              </w:rPr>
              <w:t>GU C 347 del 9.9.2022, pag. 139.</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vista la relazione speciale n.</w:t>
            </w:r>
            <w:r>
              <w:t xml:space="preserve"> </w:t>
            </w:r>
            <w:r>
              <w:rPr>
                <w:b/>
                <w:i/>
              </w:rPr>
              <w:t>10/2021 della Corte dei conti europea, del 26 maggio 2021, dal titolo "Integrazione della dimensione di genere nel bilancio dell'UE:</w:t>
            </w:r>
            <w:r>
              <w:t xml:space="preserve"> </w:t>
            </w:r>
            <w:r>
              <w:rPr>
                <w:b/>
                <w:i/>
              </w:rPr>
              <w:t>è tempo di tradurre le parole in azione",</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visto il briefing dei Servizi di ricerca parlamentare (EPRS) del febbraio 2025 dal titolo "Bilancio di genere:</w:t>
            </w:r>
            <w:r>
              <w:t xml:space="preserve"> </w:t>
            </w:r>
            <w:r>
              <w:rPr>
                <w:b/>
                <w:i/>
              </w:rPr>
              <w:t>Situazione attuale e opportunità per la 10</w:t>
            </w:r>
            <w:r>
              <w:rPr>
                <w:b/>
                <w:i/>
                <w:vertAlign w:val="superscript"/>
              </w:rPr>
              <w:t>a</w:t>
            </w:r>
            <w:r>
              <w:rPr>
                <w:b/>
                <w:i/>
              </w:rPr>
              <w:t xml:space="preserve"> legislatura del Parlamento europeo",</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25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lo studio richiesto dalla commissione per i bilanci e dalla commissione per il controllo dei bilanci dal titolo "European Union gender budgeting — state of play 2024" (Bilancio di genere nell'Unione europea: stato di avanzamento nel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Virginie Joron,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considerando che la parità di genere è un obiettivo dell'Unione sancito dal suo diritto primario nonché un principio che dovrebbe essere al centro di tutte le politiche unionali;</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considerando che il concetto di "parità di genere" è frequentemente citato e che è essenziale chiarire esplicitamente che, nel contesto della presente relazione, per "parità di genere" si intende in modo specifico la parità tra donne e uomini, riconoscendo e rispettando le diverse realtà biologiche e genetiche che li definiscono;</w:t>
            </w:r>
            <w:r>
              <w:t xml:space="preserve"> </w:t>
            </w:r>
            <w:r>
              <w:rPr>
                <w:b/>
                <w:i/>
              </w:rPr>
              <w:t>che i termini "uomo" e "donna" si intendono riferiti a individui di sesso biologico distinto, in linea con le conoscenze scientifiche consolidate;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Virginie Joron, Mathilde Androuët,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considerando che </w:t>
            </w:r>
            <w:r>
              <w:rPr>
                <w:b/>
                <w:i/>
              </w:rPr>
              <w:t>l'integrazione</w:t>
            </w:r>
            <w:r>
              <w:t xml:space="preserve"> della </w:t>
            </w:r>
            <w:r>
              <w:rPr>
                <w:b/>
                <w:i/>
              </w:rPr>
              <w:t>dimensione</w:t>
            </w:r>
            <w:r>
              <w:t xml:space="preserve"> di genere </w:t>
            </w:r>
            <w:r>
              <w:rPr>
                <w:b/>
                <w:i/>
              </w:rPr>
              <w:t>è</w:t>
            </w:r>
            <w:r>
              <w:t xml:space="preserve"> una strategia, riconosciuta a livello globale, per </w:t>
            </w:r>
            <w:r>
              <w:rPr>
                <w:b/>
                <w:i/>
              </w:rPr>
              <w:t>garantire l'integrazione di</w:t>
            </w:r>
            <w:r>
              <w:t xml:space="preserve"> una prospettiva di genere in sede di elaborazione, attuazione e valutazione di </w:t>
            </w:r>
            <w:r>
              <w:rPr>
                <w:b/>
                <w:i/>
              </w:rPr>
              <w:t>ogni politica, programma e misura, al fine di promuovere la parità tra donne e uomini e contrastare la discriminazione</w:t>
            </w:r>
            <w:r>
              <w:t>;</w:t>
            </w:r>
          </w:p>
        </w:tc>
        <w:tc>
          <w:tcPr>
            <w:tcW w:w="4876" w:type="dxa"/>
            <w:tcBorders>
              <w:top w:val="nil"/>
              <w:left w:val="nil"/>
              <w:bottom w:val="nil"/>
              <w:right w:val="nil"/>
            </w:tcBorders>
          </w:tcPr>
          <w:p>
            <w:pPr>
              <w:pStyle w:val="Normal6a"/>
            </w:pPr>
            <w:r>
              <w:t>B.</w:t>
            </w:r>
            <w:r>
              <w:tab/>
            </w:r>
            <w:r>
              <w:t xml:space="preserve">considerando che </w:t>
            </w:r>
            <w:r>
              <w:rPr>
                <w:b/>
                <w:i/>
              </w:rPr>
              <w:t>la promozione</w:t>
            </w:r>
            <w:r>
              <w:t xml:space="preserve"> della </w:t>
            </w:r>
            <w:r>
              <w:rPr>
                <w:b/>
                <w:i/>
              </w:rPr>
              <w:t>parità</w:t>
            </w:r>
            <w:r>
              <w:t xml:space="preserve"> di genere </w:t>
            </w:r>
            <w:r>
              <w:rPr>
                <w:b/>
                <w:i/>
              </w:rPr>
              <w:t>e la lotta contro la discriminazione sono</w:t>
            </w:r>
            <w:r>
              <w:t xml:space="preserve"> una strategia, riconosciuta a livello globale, per </w:t>
            </w:r>
            <w:r>
              <w:rPr>
                <w:b/>
                <w:i/>
              </w:rPr>
              <w:t>conseguire</w:t>
            </w:r>
            <w:r>
              <w:t xml:space="preserve"> una prospettiva di genere in sede di elaborazione, attuazione e valutazione di </w:t>
            </w:r>
            <w:r>
              <w:rPr>
                <w:b/>
                <w:i/>
              </w:rPr>
              <w:t>talune politiche, programmi e misure europei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Virginie Joron, Mathilde Androuët,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deplora, tuttavia, che il concetto di genere benefici di tali finanziamenti nell'UE e nel mondo, in considerazione delle difficoltà economiche, sociali e di sicurezza che i cittadini degli Stati membri dell'UE incontrano quotidianamente da vari anni;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Virginie Joron, Mathilde Androuët,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considerando che il bilancio di genere è definito dal Consiglio d'Europa come una valutazione dei bilanci basata sul genere </w:t>
            </w:r>
            <w:r>
              <w:rPr>
                <w:b/>
                <w:i/>
              </w:rPr>
              <w:t>che integra una prospettiva di genere a tutti i livelli del processo di bilancio e che ristruttura entrate e spese al fine di promuovere la parità di genere</w:t>
            </w:r>
            <w:r>
              <w:t>;</w:t>
            </w:r>
          </w:p>
        </w:tc>
        <w:tc>
          <w:tcPr>
            <w:tcW w:w="4876" w:type="dxa"/>
            <w:tcBorders>
              <w:top w:val="nil"/>
              <w:left w:val="nil"/>
              <w:bottom w:val="nil"/>
              <w:right w:val="nil"/>
            </w:tcBorders>
          </w:tcPr>
          <w:p>
            <w:pPr>
              <w:pStyle w:val="Normal6a"/>
            </w:pPr>
            <w:r>
              <w:t>C.</w:t>
            </w:r>
            <w:r>
              <w:tab/>
            </w:r>
            <w:r>
              <w:t>considerando che il bilancio di genere è definito dal Consiglio d'Europa come una valutazione dei bilanci basata sul genere;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Virginie Joron,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considerando che l'EIGE descrive il bilancio di genere come uno strumento che consente ai responsabili politici di promuovere la responsabilità e la trasparenza</w:t>
            </w:r>
            <w:r>
              <w:rPr>
                <w:b/>
                <w:i/>
              </w:rPr>
              <w:t>,</w:t>
            </w:r>
            <w:r>
              <w:t xml:space="preserve"> di aumentare la partecipazione equilibrata di tutti i generi al processo di bilancio </w:t>
            </w:r>
            <w:r>
              <w:rPr>
                <w:b/>
                <w:i/>
              </w:rPr>
              <w:t>e di promuovere la parità di genere</w:t>
            </w:r>
            <w:r>
              <w:t>;</w:t>
            </w:r>
          </w:p>
        </w:tc>
        <w:tc>
          <w:tcPr>
            <w:tcW w:w="4876" w:type="dxa"/>
            <w:tcBorders>
              <w:top w:val="nil"/>
              <w:left w:val="nil"/>
              <w:bottom w:val="nil"/>
              <w:right w:val="nil"/>
            </w:tcBorders>
          </w:tcPr>
          <w:p>
            <w:pPr>
              <w:pStyle w:val="Normal6a"/>
            </w:pPr>
            <w:r>
              <w:t>D.</w:t>
            </w:r>
            <w:r>
              <w:tab/>
            </w:r>
            <w:r>
              <w:t xml:space="preserve">considerando che l'EIGE descrive il bilancio di genere come uno strumento che consente ai responsabili politici di promuovere la responsabilità e la trasparenza </w:t>
            </w:r>
            <w:r>
              <w:rPr>
                <w:b/>
                <w:i/>
              </w:rPr>
              <w:t>e</w:t>
            </w:r>
            <w:r>
              <w:t xml:space="preserve"> di aumentare la partecipazione equilibrata di tutti i generi al processo di bilancio;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considerando che l'integrazione della parità di genere quale priorità orizzontale nel bilancio dell'Unione è una questione che da tempo desta preoccupazione in seno sia alla commissione per il controllo dei bilanci che al Parlamento, e che è considerata un criterio </w:t>
            </w:r>
            <w:r>
              <w:rPr>
                <w:b/>
                <w:i/>
              </w:rPr>
              <w:t>fondamentale</w:t>
            </w:r>
            <w:r>
              <w:t xml:space="preserve"> per valutare l'esecuzione del bilancio dell'Unione e la sua sana gestione finanziaria;</w:t>
            </w:r>
          </w:p>
        </w:tc>
        <w:tc>
          <w:tcPr>
            <w:tcW w:w="4876" w:type="dxa"/>
            <w:tcBorders>
              <w:top w:val="nil"/>
              <w:left w:val="nil"/>
              <w:bottom w:val="nil"/>
              <w:right w:val="nil"/>
            </w:tcBorders>
          </w:tcPr>
          <w:p>
            <w:pPr>
              <w:pStyle w:val="Normal6a"/>
            </w:pPr>
            <w:r>
              <w:t>F.</w:t>
            </w:r>
            <w:r>
              <w:tab/>
            </w:r>
            <w:r>
              <w:t xml:space="preserve">considerando che l'integrazione della parità di genere quale priorità orizzontale nel bilancio dell'Unione è una questione che da tempo desta preoccupazione in seno sia alla commissione per il controllo dei bilanci che al Parlamento, e che è considerata un criterio </w:t>
            </w:r>
            <w:r>
              <w:rPr>
                <w:b/>
                <w:i/>
              </w:rPr>
              <w:t>importante</w:t>
            </w:r>
            <w:r>
              <w:t xml:space="preserve"> per valutare l'esecuzione del bilancio dell'Unione e la sua sana gestione finanziaria; </w:t>
            </w:r>
            <w:r>
              <w:rPr>
                <w:b/>
                <w:i/>
              </w:rPr>
              <w:t>osserva, a tale proposito, che il Parlamento, e in particolare la sua commissione per il controllo dei bilanci, dovrebbe servire da esempio in tale contesto;</w:t>
            </w:r>
            <w:r>
              <w:t xml:space="preserve"> </w:t>
            </w:r>
            <w:r>
              <w:rPr>
                <w:b/>
                <w:i/>
              </w:rPr>
              <w:t>si rammarica che tale preoccupazione non sia efficace in quanto il l'ufficio di presidenza di tale commissione è composto da quattro uomini e una donna, il che è contrario alle norme interne in materia di equilibrio di genere di cui all'articolo 219 del regolamento e alle aspettative in materia di parità di genere che la commissione sostiene tuttavia di difendere attraverso i bilanci dell'UE;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considerando che l'integrazione della parità di genere quale priorità orizzontale nel bilancio dell'Unione è una questione che da tempo desta preoccupazione in seno sia alla commissione per il controllo dei bilanci che al Parlamento, e che è considerata un criterio fondamentale per valutare l'esecuzione del bilancio dell'Unione e la sua sana gestione finanziaria;</w:t>
            </w:r>
          </w:p>
        </w:tc>
        <w:tc>
          <w:tcPr>
            <w:tcW w:w="4876" w:type="dxa"/>
            <w:tcBorders>
              <w:top w:val="nil"/>
              <w:left w:val="nil"/>
              <w:bottom w:val="nil"/>
              <w:right w:val="nil"/>
            </w:tcBorders>
          </w:tcPr>
          <w:p>
            <w:pPr>
              <w:pStyle w:val="Normal6a"/>
            </w:pPr>
            <w:r>
              <w:t>F.</w:t>
            </w:r>
            <w:r>
              <w:tab/>
            </w:r>
            <w:r>
              <w:t>considerando che l'integrazione della parità di genere quale priorità orizzontale nel bilancio dell'Unione è una questione che da tempo desta preoccupazione in seno sia alla commissione per il controllo dei bilanci che al Parlamento, e che è considerata un criterio fondamentale per valutare l'esecuzione del bilancio dell'Unione e la sua sana gestione finanziaria</w:t>
            </w:r>
            <w:r>
              <w:rPr>
                <w:b/>
                <w:i/>
              </w:rPr>
              <w:t>, le sue prestazioni e la sua proporzionalità</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l'integrazione della dimensione di genere nel bilancio dell'UE è rafforzata dall'accordo interistituzionale che accompagna il QFP 2021-2027, in particolare mediante l'obbligo di rafforzare la valutazione dell'impatto di genere nelle valutazioni d'impatto e nelle valutazioni nell'ambito del quadro "Legiferare meglio" e di sviluppare una metodologia per misurare la spesa pertinente per la promozione della parità di genere a livello dei programmi come progetto pilota a partire dal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il perseguimento della parità di genere richiede un approccio intersezionale per il bilancio di genere che tenga conto della discriminazione multipla subita dalle donne appartenenti a gruppi vittime di razzismo, dalle persone con disabilità, dalle persone LGBTIQ + e dai migranti, al fine di garantire che la spesa dell'UE promuova la parità in tutte le dimensioni;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la famiglia rappresenta il nucleo fondamentale della società e svolge un ruolo cruciale nel promuovere il benessere, la stabilità e lo sviluppo delle persone, delle comunità e delle nazioni, e che è essenziale che le politiche orizzontali dell'UE la promuovano e la sostengano attivamente;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considerando che dal 2021 si è registrato un calo preoccupante degli sforzi intrapresi dagli Stati membri a favore dell'integrazione della dimensione di genere, una situazione che non dovrebbe riprodursi a livello dell'Unione;</w:t>
            </w:r>
          </w:p>
        </w:tc>
        <w:tc>
          <w:tcPr>
            <w:tcW w:w="4876" w:type="dxa"/>
            <w:tcBorders>
              <w:top w:val="nil"/>
              <w:left w:val="nil"/>
              <w:bottom w:val="nil"/>
              <w:right w:val="nil"/>
            </w:tcBorders>
          </w:tcPr>
          <w:p>
            <w:pPr>
              <w:pStyle w:val="Normal6a"/>
            </w:pPr>
            <w:r>
              <w:t>H.</w:t>
            </w:r>
            <w:r>
              <w:tab/>
            </w:r>
            <w:r>
              <w:t>considerando che</w:t>
            </w:r>
            <w:r>
              <w:rPr>
                <w:b/>
                <w:i/>
              </w:rPr>
              <w:t>, secondo l'EIGE,</w:t>
            </w:r>
            <w:r>
              <w:t> dal 2021 si è registrato un calo preoccupante degli sforzi intrapresi dagli Stati membri a favore dell'integrazione della dimensione di genere, una situazione che non dovrebbe riprodursi a livello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considerando che l'integrazione sistematica di valutazioni d'impatto ex ante sulla parità di genere e di misure di mitigazione nei processi di elaborazione delle politiche dell'Unione è necessaria per garantire che le iniziative future </w:t>
            </w:r>
            <w:r>
              <w:rPr>
                <w:b/>
                <w:i/>
              </w:rPr>
              <w:t>non peggiorino accidentalmente</w:t>
            </w:r>
            <w:r>
              <w:t xml:space="preserve"> la parità di genere;</w:t>
            </w:r>
          </w:p>
        </w:tc>
        <w:tc>
          <w:tcPr>
            <w:tcW w:w="4876" w:type="dxa"/>
            <w:tcBorders>
              <w:top w:val="nil"/>
              <w:left w:val="nil"/>
              <w:bottom w:val="nil"/>
              <w:right w:val="nil"/>
            </w:tcBorders>
          </w:tcPr>
          <w:p>
            <w:pPr>
              <w:pStyle w:val="Normal6a"/>
            </w:pPr>
            <w:r>
              <w:t>I.</w:t>
            </w:r>
            <w:r>
              <w:tab/>
            </w:r>
            <w:r>
              <w:t xml:space="preserve">considerando che l'integrazione sistematica di valutazioni d'impatto ex ante sulla parità di genere e di misure di mitigazione nei processi di elaborazione delle politiche dell'Unione è necessaria per garantire che le iniziative future </w:t>
            </w:r>
            <w:r>
              <w:rPr>
                <w:b/>
                <w:i/>
              </w:rPr>
              <w:t>promuovano</w:t>
            </w:r>
            <w:r>
              <w:t xml:space="preserve"> la parità di genere </w:t>
            </w:r>
            <w:r>
              <w:rPr>
                <w:b/>
                <w:i/>
              </w:rPr>
              <w:t>e non la peggiorino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si </w:t>
            </w:r>
            <w:r>
              <w:rPr>
                <w:b/>
                <w:i/>
              </w:rPr>
              <w:t>compiace</w:t>
            </w:r>
            <w:r>
              <w:t xml:space="preserve"> del fatto che, in linea con i suoi impegni vincolanti e dando seguito ai ripetuti inviti del Parlamento, la Commissione abbia elaborato una metodologia pilota per monitorare e misurare la spesa connessa alla parità di genere a livello dei programmi nel QFP 2021-2027, al fine di integrare meglio la dimensione di genere nella procedura di bilancio della Commissione e migliorare il modo in cui la concezione delle politiche e l'assegnazione delle risorse concorrono al raggiungimento degli obiettivi in materia di parità di genere;</w:t>
            </w:r>
          </w:p>
        </w:tc>
        <w:tc>
          <w:tcPr>
            <w:tcW w:w="4876" w:type="dxa"/>
            <w:tcBorders>
              <w:top w:val="nil"/>
              <w:left w:val="nil"/>
              <w:bottom w:val="nil"/>
              <w:right w:val="nil"/>
            </w:tcBorders>
          </w:tcPr>
          <w:p>
            <w:pPr>
              <w:pStyle w:val="Normal6a"/>
            </w:pPr>
            <w:r>
              <w:t>1.</w:t>
            </w:r>
            <w:r>
              <w:tab/>
            </w:r>
            <w:r>
              <w:t xml:space="preserve">si </w:t>
            </w:r>
            <w:r>
              <w:rPr>
                <w:b/>
                <w:i/>
              </w:rPr>
              <w:t>rammarica</w:t>
            </w:r>
            <w:r>
              <w:t xml:space="preserve"> del fatto che, in linea con i suoi impegni vincolanti e dando seguito ai ripetuti inviti del Parlamento, la Commissione abbia elaborato una metodologia pilota per monitorare e misurare la spesa connessa alla parità di genere a livello dei programmi nel QFP 2021-2027, al fine di integrare meglio la dimensione di genere nella procedura di bilancio della Commissione e migliorare il modo in cui la concezione delle politiche e l'assegnazione delle risorse concorrono al raggiungimento degli obiettivi in materia di parità di genere;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Virginie Joron,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si compiace del fatto che, in linea con i suoi impegni </w:t>
            </w:r>
            <w:r>
              <w:rPr>
                <w:b/>
                <w:i/>
              </w:rPr>
              <w:t>vincolanti</w:t>
            </w:r>
            <w:r>
              <w:t xml:space="preserve"> e dando seguito ai ripetuti inviti del Parlamento, la Commissione abbia elaborato una metodologia pilota per monitorare e misurare la spesa connessa alla parità di genere a livello dei programmi nel QFP 2021-2027</w:t>
            </w:r>
            <w:r>
              <w:rPr>
                <w:b/>
                <w:i/>
              </w:rPr>
              <w:t>, al fine di integrare meglio la dimensione di genere nella procedura di bilancio della Commissione e migliorare il modo in cui la concezione delle politiche e l'assegnazione delle risorse concorrono al raggiungimento degli obiettivi in materia di parità di genere</w:t>
            </w:r>
            <w:r>
              <w:t>;</w:t>
            </w:r>
          </w:p>
        </w:tc>
        <w:tc>
          <w:tcPr>
            <w:tcW w:w="4876" w:type="dxa"/>
            <w:tcBorders>
              <w:top w:val="nil"/>
              <w:left w:val="nil"/>
              <w:bottom w:val="nil"/>
              <w:right w:val="nil"/>
            </w:tcBorders>
          </w:tcPr>
          <w:p>
            <w:pPr>
              <w:pStyle w:val="Normal6a"/>
            </w:pPr>
            <w:r>
              <w:t>1.</w:t>
            </w:r>
            <w:r>
              <w:tab/>
            </w:r>
            <w:r>
              <w:t>si compiace del fatto che, in linea con i suoi impegni e dando seguito ai ripetuti inviti del Parlamento, la Commissione abbia elaborato una metodologia pilota per monitorare e misurare la spesa connessa alla parità di genere a livello dei programmi nel QFP 2021-2027;</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sottolinea che il QFP deve basarsi su criteri socioeconomici oggettivi, garantendo che le dotazioni siano determinate da indicatori economici, finanziari e di efficienza quantificabili piuttosto che da costruzioni sociologiche;</w:t>
            </w:r>
            <w:r>
              <w:t xml:space="preserve"> </w:t>
            </w:r>
            <w:r>
              <w:rPr>
                <w:b/>
                <w:i/>
              </w:rPr>
              <w:t>sottolinea che il bilancio dell'UE dovrebbe rimanere neutro nei suoi criteri di assegnazione e non dovrebbe essere utilizzato come uno strumento per promuovere concetti di ingegneria sociale quali l'integrazione della dimensione di genere;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ricorda che il bilancio di genere comporta l'integrazione di una prospettiva di parità di genere in tutte le fasi della procedura di bilancio;</w:t>
            </w:r>
            <w:r>
              <w:t xml:space="preserve"> </w:t>
            </w:r>
            <w:r>
              <w:rPr>
                <w:b/>
                <w:i/>
              </w:rPr>
              <w:t>ritiene che la metodologia della Commissione costituisca un'applicazione parziale del bilancio di genere al bilancio dell'UE, in quanto richiede solo il monitoraggio ex post degli indicatori nella fase di controllo;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sottolinea che la metodologia della Commissione differisce dall'indicatore sulla politica per la parità di genere elaborato dall'Organizzazione per la cooperazione e lo sviluppo economici, in quanto non include un punteggio che consenta di monitorare gli effetti negativi della spesa dell'UE sugli obiettivi di integrazione della dimensione di genere e introduce il punteggio 0* per gli interventi con un impatto positivo probabile ma non ancora evidente sulla parità di genere;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si rammarica, tuttavia, della mancata quantificazione dei costi di tale politica (risorse umane, sistemi di informazione istituiti per monitorare gli indicatori, ecc.), e delle prospettive proposte dalla presente relazione, il che rende impossibile misurare le sue condizioni di applicazione;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sottolinea che né l'integrazione della dimensione di genere né l'adozione di una prospettiva di genere dovrebbero costituire un prerequisito per la pianificazione di bilancio e che il bilancio di genere non deve essere imposto come uno strumento obbligatorio;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è consapevole del fatto che la diminuzione della percentuale degli impegni che hanno ottenuto un punteggio di 0* nel corso degli anni è il risultato di un miglioramento della capacità di rendicontazione della Commissione, che ha consentito alle sue direzioni generali di misurare meglio il contributo dei loro programmi alla parità di genere a un livello più granulare;</w:t>
            </w:r>
          </w:p>
        </w:tc>
        <w:tc>
          <w:tcPr>
            <w:tcW w:w="4876" w:type="dxa"/>
            <w:tcBorders>
              <w:top w:val="nil"/>
              <w:left w:val="nil"/>
              <w:bottom w:val="nil"/>
              <w:right w:val="nil"/>
            </w:tcBorders>
          </w:tcPr>
          <w:p>
            <w:pPr>
              <w:pStyle w:val="Normal6a"/>
            </w:pPr>
            <w:r>
              <w:t>9.</w:t>
            </w:r>
            <w:r>
              <w:tab/>
            </w:r>
            <w:r>
              <w:t xml:space="preserve">è consapevole del fatto che la diminuzione della percentuale degli impegni che hanno ottenuto un punteggio di 0* nel corso degli anni è il risultato di un miglioramento </w:t>
            </w:r>
            <w:r>
              <w:rPr>
                <w:b/>
                <w:i/>
              </w:rPr>
              <w:t>della raccolta e della disponibilità di dati come pure</w:t>
            </w:r>
            <w:r>
              <w:t xml:space="preserve"> della capacità di rendicontazione della Commissione, che ha consentito alle sue direzioni generali di misurare meglio il contributo dei loro programmi alla parità di genere a un livello più granulare;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è altresì consapevole del fatto che, a motivo della limitata capacità di rendicontazione durante i primi esercizi ai quali tale metodologia è stata applicata, il confronto delle cifre tra i diversi esercizi sulla base dei risultati annuali o l'utilizzo delle informazioni tratte da tali confronti presenta uno scarso valore aggiunto;</w:t>
            </w:r>
          </w:p>
        </w:tc>
        <w:tc>
          <w:tcPr>
            <w:tcW w:w="4876" w:type="dxa"/>
            <w:tcBorders>
              <w:top w:val="nil"/>
              <w:left w:val="nil"/>
              <w:bottom w:val="nil"/>
              <w:right w:val="nil"/>
            </w:tcBorders>
          </w:tcPr>
          <w:p>
            <w:pPr>
              <w:pStyle w:val="Normal6a"/>
            </w:pPr>
            <w:r>
              <w:t>10.</w:t>
            </w:r>
            <w:r>
              <w:tab/>
            </w:r>
            <w:r>
              <w:t xml:space="preserve">è altresì consapevole del fatto che, a motivo </w:t>
            </w:r>
            <w:r>
              <w:rPr>
                <w:b/>
                <w:i/>
              </w:rPr>
              <w:t>della limitata disponibilità di dati e</w:t>
            </w:r>
            <w:r>
              <w:t xml:space="preserve"> della limitata capacità di rendicontazione durante i primi esercizi ai quali tale metodologia è stata applicata, il confronto delle cifre tra i diversi esercizi sulla base dei risultati annuali o l'utilizzo delle informazioni tratte da tali confronti presenta uno scarso valore aggiunto;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Virginie Joron,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si rammarica del fatto che, essendo uno strumento di monitoraggio concepito specificamente per bilanci operativi, la metodologia utilizzata non consenta di valutare adeguatamente i bilanci amministrativi delle istituzioni e degli organi dell'Unione;</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rPr>
                <w:b/>
                <w:i/>
              </w:rPr>
              <w:t>si rammarica del fatto che</w:t>
            </w:r>
            <w:r>
              <w:t xml:space="preserve">, essendo </w:t>
            </w:r>
            <w:r>
              <w:rPr>
                <w:b/>
                <w:i/>
              </w:rPr>
              <w:t>uno strumento di monitoraggio concepito specificamente</w:t>
            </w:r>
            <w:r>
              <w:t xml:space="preserve"> per bilanci operativi, </w:t>
            </w:r>
            <w:r>
              <w:rPr>
                <w:b/>
                <w:i/>
              </w:rPr>
              <w:t>la metodologia utilizzata non consenta di valutare</w:t>
            </w:r>
            <w:r>
              <w:t xml:space="preserve"> adeguatamente </w:t>
            </w:r>
            <w:r>
              <w:rPr>
                <w:b/>
                <w:i/>
              </w:rPr>
              <w:t>i</w:t>
            </w:r>
            <w:r>
              <w:t xml:space="preserve"> bilanci amministrativi delle istituzioni e degli organi dell'Unione;</w:t>
            </w:r>
          </w:p>
        </w:tc>
        <w:tc>
          <w:tcPr>
            <w:tcW w:w="4876" w:type="dxa"/>
            <w:tcBorders>
              <w:top w:val="nil"/>
              <w:left w:val="nil"/>
              <w:bottom w:val="nil"/>
              <w:right w:val="nil"/>
            </w:tcBorders>
          </w:tcPr>
          <w:p>
            <w:pPr>
              <w:pStyle w:val="Normal6a"/>
            </w:pPr>
            <w:r>
              <w:t>15.</w:t>
            </w:r>
            <w:r>
              <w:tab/>
            </w:r>
            <w:r>
              <w:rPr>
                <w:b/>
                <w:i/>
              </w:rPr>
              <w:t>osserva che l'attuale metodologia</w:t>
            </w:r>
            <w:r>
              <w:t xml:space="preserve">, essendo </w:t>
            </w:r>
            <w:r>
              <w:rPr>
                <w:b/>
                <w:i/>
              </w:rPr>
              <w:t>concepita principalmente</w:t>
            </w:r>
            <w:r>
              <w:t xml:space="preserve"> per bilanci operativi, </w:t>
            </w:r>
            <w:r>
              <w:rPr>
                <w:b/>
                <w:i/>
              </w:rPr>
              <w:t>non valuta</w:t>
            </w:r>
            <w:r>
              <w:t xml:space="preserve"> adeguatamente </w:t>
            </w:r>
            <w:r>
              <w:rPr>
                <w:b/>
                <w:i/>
              </w:rPr>
              <w:t>l'impatto sulla parità di genere dei</w:t>
            </w:r>
            <w:r>
              <w:t xml:space="preserve"> bilanci amministrativi </w:t>
            </w:r>
            <w:r>
              <w:rPr>
                <w:b/>
                <w:i/>
              </w:rPr>
              <w:t>all'interno</w:t>
            </w:r>
            <w:r>
              <w:t xml:space="preserve"> delle istituzioni e degli organi dell'Unione</w:t>
            </w:r>
            <w:r>
              <w:rPr>
                <w:b/>
                <w:i/>
              </w:rPr>
              <w:t>, che sono significativi anche per gli sforzi generali di integrazione della dimensione di genere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rPr>
                <w:b/>
                <w:i/>
              </w:rPr>
              <w:t>si rammarica inoltre del fatto che la</w:t>
            </w:r>
            <w:r>
              <w:t xml:space="preserve"> metodologia </w:t>
            </w:r>
            <w:r>
              <w:rPr>
                <w:b/>
                <w:i/>
              </w:rPr>
              <w:t>sia uno strumento</w:t>
            </w:r>
            <w:r>
              <w:t xml:space="preserve"> limitato </w:t>
            </w:r>
            <w:r>
              <w:rPr>
                <w:b/>
                <w:i/>
              </w:rPr>
              <w:t>che non può tenere</w:t>
            </w:r>
            <w:r>
              <w:t xml:space="preserve"> adeguatamente </w:t>
            </w:r>
            <w:r>
              <w:rPr>
                <w:b/>
                <w:i/>
              </w:rPr>
              <w:t>conto degli</w:t>
            </w:r>
            <w:r>
              <w:t xml:space="preserve"> effetti secondari dei programmi </w:t>
            </w:r>
            <w:r>
              <w:rPr>
                <w:b/>
                <w:i/>
              </w:rPr>
              <w:t>o dei loro</w:t>
            </w:r>
            <w:r>
              <w:t xml:space="preserve"> potenziali impatti negativi </w:t>
            </w:r>
            <w:r>
              <w:rPr>
                <w:b/>
                <w:i/>
              </w:rPr>
              <w:t>sulla parità di genere, o di altri fattori sociali necessari per procedere a un'analisi intersezionale</w:t>
            </w:r>
            <w:r>
              <w:t xml:space="preserve"> dell'incidenza delle politiche;</w:t>
            </w:r>
          </w:p>
        </w:tc>
        <w:tc>
          <w:tcPr>
            <w:tcW w:w="4876" w:type="dxa"/>
            <w:tcBorders>
              <w:top w:val="nil"/>
              <w:left w:val="nil"/>
              <w:bottom w:val="nil"/>
              <w:right w:val="nil"/>
            </w:tcBorders>
          </w:tcPr>
          <w:p>
            <w:pPr>
              <w:pStyle w:val="Normal6a"/>
            </w:pPr>
            <w:r>
              <w:t>16.</w:t>
            </w:r>
            <w:r>
              <w:tab/>
            </w:r>
            <w:r>
              <w:rPr>
                <w:b/>
                <w:i/>
              </w:rPr>
              <w:t>osserva che l'ambito di applicazione della</w:t>
            </w:r>
            <w:r>
              <w:t xml:space="preserve"> metodologia </w:t>
            </w:r>
            <w:r>
              <w:rPr>
                <w:b/>
                <w:i/>
              </w:rPr>
              <w:t>è</w:t>
            </w:r>
            <w:r>
              <w:t xml:space="preserve"> limitato</w:t>
            </w:r>
            <w:r>
              <w:rPr>
                <w:b/>
                <w:i/>
              </w:rPr>
              <w:t>, in quanto non riflette</w:t>
            </w:r>
            <w:r>
              <w:t xml:space="preserve"> adeguatamente </w:t>
            </w:r>
            <w:r>
              <w:rPr>
                <w:b/>
                <w:i/>
              </w:rPr>
              <w:t>gli</w:t>
            </w:r>
            <w:r>
              <w:t xml:space="preserve"> effetti secondari </w:t>
            </w:r>
            <w:r>
              <w:rPr>
                <w:b/>
                <w:i/>
              </w:rPr>
              <w:t>o indiretti</w:t>
            </w:r>
            <w:r>
              <w:t xml:space="preserve"> dei programmi </w:t>
            </w:r>
            <w:r>
              <w:rPr>
                <w:b/>
                <w:i/>
              </w:rPr>
              <w:t>sulla parità di genere, i</w:t>
            </w:r>
            <w:r>
              <w:t xml:space="preserve"> potenziali impatti negativi </w:t>
            </w:r>
            <w:r>
              <w:rPr>
                <w:b/>
                <w:i/>
              </w:rPr>
              <w:t>o le dimensioni intersezionali necessarie per una valutazione globale</w:t>
            </w:r>
            <w:r>
              <w:t xml:space="preserve"> dell'incidenza delle politiche;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Virginie Joron,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si rammarica inoltre del fatto che la metodologia sia uno strumento limitato che non può tenere adeguatamente conto degli effetti secondari dei programmi o dei loro potenziali impatti negativi sulla parità di genere, o di altri fattori sociali </w:t>
            </w:r>
            <w:r>
              <w:rPr>
                <w:b/>
                <w:i/>
              </w:rPr>
              <w:t>necessari per procedere a un'analisi intersezionale dell'incidenza delle politiche</w:t>
            </w:r>
            <w:r>
              <w:t>;</w:t>
            </w:r>
          </w:p>
        </w:tc>
        <w:tc>
          <w:tcPr>
            <w:tcW w:w="4876" w:type="dxa"/>
            <w:tcBorders>
              <w:top w:val="nil"/>
              <w:left w:val="nil"/>
              <w:bottom w:val="nil"/>
              <w:right w:val="nil"/>
            </w:tcBorders>
          </w:tcPr>
          <w:p>
            <w:pPr>
              <w:pStyle w:val="Normal6a"/>
            </w:pPr>
            <w:r>
              <w:t>16.</w:t>
            </w:r>
            <w:r>
              <w:tab/>
            </w:r>
            <w:r>
              <w:t>si rammarica inoltre del fatto che la metodologia sia uno strumento limitato che non può tenere adeguatamente conto degli effetti secondari dei programmi o dei loro potenziali impatti negativi sulla parità di genere, o di altri fattori sociali;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Virginie Joron,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si rammarica altresì del fatto che i potenziali impatti negativi dei programmi sulla parità di genere non siano presi in considerazione, soprattutto alla luce degli scarsi contributi alla parità di genere segnalati per determinati programmi in settori quali la competitività, la difesa e la preparazione;</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rPr>
                <w:b/>
                <w:i/>
              </w:rPr>
              <w:t>si rammarica</w:t>
            </w:r>
            <w:r>
              <w:t xml:space="preserve"> altresì </w:t>
            </w:r>
            <w:r>
              <w:rPr>
                <w:b/>
                <w:i/>
              </w:rPr>
              <w:t>del fatto</w:t>
            </w:r>
            <w:r>
              <w:t xml:space="preserve"> che i potenziali impatti negativi dei programmi sulla parità di genere non </w:t>
            </w:r>
            <w:r>
              <w:rPr>
                <w:b/>
                <w:i/>
              </w:rPr>
              <w:t>siano</w:t>
            </w:r>
            <w:r>
              <w:t xml:space="preserve"> presi in considerazione, </w:t>
            </w:r>
            <w:r>
              <w:rPr>
                <w:b/>
                <w:i/>
              </w:rPr>
              <w:t>soprattutto alla luce degli scarsi contributi alla parità di genere segnalati per determinati programmi</w:t>
            </w:r>
            <w:r>
              <w:t xml:space="preserve"> in settori quali la competitività, la difesa e la preparazione;</w:t>
            </w:r>
          </w:p>
        </w:tc>
        <w:tc>
          <w:tcPr>
            <w:tcW w:w="4876" w:type="dxa"/>
            <w:tcBorders>
              <w:top w:val="nil"/>
              <w:left w:val="nil"/>
              <w:bottom w:val="nil"/>
              <w:right w:val="nil"/>
            </w:tcBorders>
          </w:tcPr>
          <w:p>
            <w:pPr>
              <w:pStyle w:val="Normal6a"/>
            </w:pPr>
            <w:r>
              <w:t>17.</w:t>
            </w:r>
            <w:r>
              <w:tab/>
            </w:r>
            <w:r>
              <w:rPr>
                <w:b/>
                <w:i/>
              </w:rPr>
              <w:t>osserva</w:t>
            </w:r>
            <w:r>
              <w:t xml:space="preserve"> altresì che i potenziali impatti negativi dei programmi sulla parità di genere non </w:t>
            </w:r>
            <w:r>
              <w:rPr>
                <w:b/>
                <w:i/>
              </w:rPr>
              <w:t>sono sufficientemente</w:t>
            </w:r>
            <w:r>
              <w:t xml:space="preserve"> presi in considerazione, </w:t>
            </w:r>
            <w:r>
              <w:rPr>
                <w:b/>
                <w:i/>
              </w:rPr>
              <w:t>in particolare</w:t>
            </w:r>
            <w:r>
              <w:t xml:space="preserve"> in settori quali la competitività, la difesa e la preparazione;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rPr>
                <w:b/>
                <w:i/>
              </w:rPr>
              <w:t>si rammarica del fatto che, a causa del suo</w:t>
            </w:r>
            <w:r>
              <w:t xml:space="preserve"> carattere ex post</w:t>
            </w:r>
            <w:r>
              <w:rPr>
                <w:b/>
                <w:i/>
              </w:rPr>
              <w:t>, la</w:t>
            </w:r>
            <w:r>
              <w:t xml:space="preserve"> metodologia </w:t>
            </w:r>
            <w:r>
              <w:rPr>
                <w:b/>
                <w:i/>
              </w:rPr>
              <w:t>non permetta di influenzare strutturalmente la</w:t>
            </w:r>
            <w:r>
              <w:t xml:space="preserve"> concezione delle politiche </w:t>
            </w:r>
            <w:r>
              <w:rPr>
                <w:b/>
                <w:i/>
              </w:rPr>
              <w:t>in una fase ex ante o la raccolta e l'assegnazione</w:t>
            </w:r>
            <w:r>
              <w:t xml:space="preserve"> delle risorse </w:t>
            </w:r>
            <w:r>
              <w:rPr>
                <w:b/>
                <w:i/>
              </w:rPr>
              <w:t>finanziarie</w:t>
            </w:r>
            <w:r>
              <w:t xml:space="preserve">, </w:t>
            </w:r>
            <w:r>
              <w:rPr>
                <w:b/>
                <w:i/>
              </w:rPr>
              <w:t>che sono elementi essenziali per integrare correttamente la parità</w:t>
            </w:r>
            <w:r>
              <w:t xml:space="preserve"> di genere nei programmi dell'Unione;</w:t>
            </w:r>
          </w:p>
        </w:tc>
        <w:tc>
          <w:tcPr>
            <w:tcW w:w="4876" w:type="dxa"/>
            <w:tcBorders>
              <w:top w:val="nil"/>
              <w:left w:val="nil"/>
              <w:bottom w:val="nil"/>
              <w:right w:val="nil"/>
            </w:tcBorders>
          </w:tcPr>
          <w:p>
            <w:pPr>
              <w:pStyle w:val="Normal6a"/>
            </w:pPr>
            <w:r>
              <w:t>18.</w:t>
            </w:r>
            <w:r>
              <w:tab/>
            </w:r>
            <w:r>
              <w:rPr>
                <w:b/>
                <w:i/>
              </w:rPr>
              <w:t>osserva che il</w:t>
            </w:r>
            <w:r>
              <w:t xml:space="preserve"> carattere ex post </w:t>
            </w:r>
            <w:r>
              <w:rPr>
                <w:b/>
                <w:i/>
              </w:rPr>
              <w:t>della</w:t>
            </w:r>
            <w:r>
              <w:t xml:space="preserve"> metodologia </w:t>
            </w:r>
            <w:r>
              <w:rPr>
                <w:b/>
                <w:i/>
              </w:rPr>
              <w:t>potrebbe essere migliorato per consentire una migliore influenza strutturale sulla</w:t>
            </w:r>
            <w:r>
              <w:t xml:space="preserve"> concezione delle politiche </w:t>
            </w:r>
            <w:r>
              <w:rPr>
                <w:b/>
                <w:i/>
              </w:rPr>
              <w:t>e sull'assegnazione</w:t>
            </w:r>
            <w:r>
              <w:t xml:space="preserve"> delle risorse </w:t>
            </w:r>
            <w:r>
              <w:rPr>
                <w:b/>
                <w:i/>
              </w:rPr>
              <w:t>nella fase ex ante</w:t>
            </w:r>
            <w:r>
              <w:t xml:space="preserve">, </w:t>
            </w:r>
            <w:r>
              <w:rPr>
                <w:b/>
                <w:i/>
              </w:rPr>
              <w:t>il che è fondamentale per un'efficace integrazione della dimensione</w:t>
            </w:r>
            <w:r>
              <w:t xml:space="preserve"> di genere nei programmi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bis.</w:t>
            </w:r>
            <w:r>
              <w:tab/>
            </w:r>
            <w:r>
              <w:rPr>
                <w:b/>
                <w:i/>
              </w:rPr>
              <w:t>ricorda che le questioni relative alla politica sociale e alla parità di genere rientrano nelle competenze degli Stati membri in virtù del principio di sussidiarietà e non dovrebbero pertanto essere imposte attraverso il quadro di bilancio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rileva che</w:t>
            </w:r>
            <w:r>
              <w:rPr>
                <w:b/>
                <w:i/>
              </w:rPr>
              <w:t>, sebbene</w:t>
            </w:r>
            <w:r>
              <w:t xml:space="preserve"> il duplice approccio della Commissione all'integrazione della dimensione di genere, che </w:t>
            </w:r>
            <w:r>
              <w:rPr>
                <w:b/>
                <w:i/>
              </w:rPr>
              <w:t>consiste, da un lato, nel</w:t>
            </w:r>
            <w:r>
              <w:t xml:space="preserve"> monitoraggio del bilancio </w:t>
            </w:r>
            <w:r>
              <w:rPr>
                <w:b/>
                <w:i/>
              </w:rPr>
              <w:t>dell'Unione e, dall'altro, nella</w:t>
            </w:r>
            <w:r>
              <w:t xml:space="preserve"> definizione degli obiettivi </w:t>
            </w:r>
            <w:r>
              <w:rPr>
                <w:b/>
                <w:i/>
              </w:rPr>
              <w:t>stabiliti nelle basi giuridiche</w:t>
            </w:r>
            <w:r>
              <w:t xml:space="preserve"> dei programmi, </w:t>
            </w:r>
            <w:r>
              <w:rPr>
                <w:b/>
                <w:i/>
              </w:rPr>
              <w:t>costituisca</w:t>
            </w:r>
            <w:r>
              <w:t xml:space="preserve"> un quadro utile, </w:t>
            </w:r>
            <w:r>
              <w:rPr>
                <w:b/>
                <w:i/>
              </w:rPr>
              <w:t>tale approccio è frammentato e non incide in egual misura su tutti i programmi, riducendo così la</w:t>
            </w:r>
            <w:r>
              <w:t xml:space="preserve"> coerenza </w:t>
            </w:r>
            <w:r>
              <w:rPr>
                <w:b/>
                <w:i/>
              </w:rPr>
              <w:t>dell'approccio dell'Unione alla</w:t>
            </w:r>
            <w:r>
              <w:t xml:space="preserve"> parità di genere;</w:t>
            </w:r>
          </w:p>
        </w:tc>
        <w:tc>
          <w:tcPr>
            <w:tcW w:w="4876" w:type="dxa"/>
            <w:tcBorders>
              <w:top w:val="nil"/>
              <w:left w:val="nil"/>
              <w:bottom w:val="nil"/>
              <w:right w:val="nil"/>
            </w:tcBorders>
          </w:tcPr>
          <w:p>
            <w:pPr>
              <w:pStyle w:val="Normal6a"/>
            </w:pPr>
            <w:r>
              <w:t>20.</w:t>
            </w:r>
            <w:r>
              <w:tab/>
            </w:r>
            <w:r>
              <w:t xml:space="preserve">rileva che il duplice approccio della Commissione all'integrazione della dimensione di genere, che </w:t>
            </w:r>
            <w:r>
              <w:rPr>
                <w:b/>
                <w:i/>
              </w:rPr>
              <w:t>comprende il</w:t>
            </w:r>
            <w:r>
              <w:t xml:space="preserve"> monitoraggio del bilancio </w:t>
            </w:r>
            <w:r>
              <w:rPr>
                <w:b/>
                <w:i/>
              </w:rPr>
              <w:t>e la</w:t>
            </w:r>
            <w:r>
              <w:t xml:space="preserve"> definizione degli obiettivi dei programmi, </w:t>
            </w:r>
            <w:r>
              <w:rPr>
                <w:b/>
                <w:i/>
              </w:rPr>
              <w:t>fornisce</w:t>
            </w:r>
            <w:r>
              <w:t xml:space="preserve"> un quadro utile, </w:t>
            </w:r>
            <w:r>
              <w:rPr>
                <w:b/>
                <w:i/>
              </w:rPr>
              <w:t>ma che l'approccio varia da un programma all'altro e potrebbe beneficiare di una maggiore</w:t>
            </w:r>
            <w:r>
              <w:t xml:space="preserve"> coerenza </w:t>
            </w:r>
            <w:r>
              <w:rPr>
                <w:b/>
                <w:i/>
              </w:rPr>
              <w:t>per garantire un impatto più coerente sulla</w:t>
            </w:r>
            <w:r>
              <w:t xml:space="preserve"> parità di genere </w:t>
            </w:r>
            <w:r>
              <w:rPr>
                <w:b/>
                <w:i/>
              </w:rPr>
              <w:t>in tutta l'Unione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ricorda e accoglie con favore il fatto che il regolamento finanziario del 2024 rafforza l'integrazione dei principi della parità di genere nel bilancio dell'UE, anche attraverso, se del caso, l'utilizzo e la raccolta di dati disaggregati per genere;</w:t>
            </w:r>
            <w:r>
              <w:t xml:space="preserve"> </w:t>
            </w:r>
            <w:r>
              <w:rPr>
                <w:b/>
                <w:i/>
              </w:rPr>
              <w:t>ritiene che tali requisiti possano facilitare il processo di integrazione del bilancio di genere nell'intero ciclo di bilancio, introducendo fin dall'inizio indicatori relativi al genere nei futuri programmi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ter.</w:t>
            </w:r>
            <w:r>
              <w:tab/>
            </w:r>
            <w:r>
              <w:rPr>
                <w:b/>
                <w:i/>
              </w:rPr>
              <w:t>prende atto della valutazione da parte della Commissione dell'attuazione dell'integrazione della dimensione di genere nel bilancio dell'UE inclusa nella relazione sulla valutazione d'impatto che accompagna la proposta di regolamento che istituisce un quadro di tracciamento della spesa di bilancio e della performance del bilancio e altre norme orizzontali per i programmi e le attività dell'Unione, presentata dalla Commissione;</w:t>
            </w:r>
            <w:r>
              <w:t xml:space="preserve"> </w:t>
            </w:r>
            <w:r>
              <w:rPr>
                <w:b/>
                <w:i/>
              </w:rPr>
              <w:t>ritiene che sia necessaria una valutazione specifica dell'integrazione degli obiettivi in materia di parità di genere nel QFP 2021-2027 per migliorare il monitoraggio del contributo del bilancio dell'UE alla parità di genere nel prossimo periodo di programmazione, al fine di consentire anche un bilancio di genere durante l'intero ciclo di bilancio;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Olivier Chastel, Gerben-Jan Gerbrandy,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condivide l'opinione secondo cui, per i restanti anni del QFP 2021-2027, la priorità dovrebbe essere continuare a valutare i programmi </w:t>
            </w:r>
            <w:r>
              <w:rPr>
                <w:b/>
                <w:i/>
              </w:rPr>
              <w:t>al livello più granulare possibile</w:t>
            </w:r>
            <w:r>
              <w:t xml:space="preserve"> per apprezzarne meglio il contributo alla parità di genere e trarre insegnamenti dalla loro attuazione, facendo buon uso della migliore rendicontazione dei dati disaggregati per genere in vigore dal 2023;</w:t>
            </w:r>
          </w:p>
        </w:tc>
        <w:tc>
          <w:tcPr>
            <w:tcW w:w="4876" w:type="dxa"/>
            <w:tcBorders>
              <w:top w:val="nil"/>
              <w:left w:val="nil"/>
              <w:bottom w:val="nil"/>
              <w:right w:val="nil"/>
            </w:tcBorders>
          </w:tcPr>
          <w:p>
            <w:pPr>
              <w:pStyle w:val="Normal6a"/>
            </w:pPr>
            <w:r>
              <w:t>21.</w:t>
            </w:r>
            <w:r>
              <w:tab/>
            </w:r>
            <w:r>
              <w:t xml:space="preserve">condivide l'opinione secondo cui, per i restanti anni del QFP 2021-2027, la priorità dovrebbe essere continuare a valutare i programmi per apprezzarne meglio il contributo alla parità di genere e trarre insegnamenti dalla loro attuazione, facendo buon uso della migliore rendicontazione dei dati disaggregati per genere in vigore dal 2023; </w:t>
            </w:r>
            <w:r>
              <w:rPr>
                <w:b/>
                <w:i/>
              </w:rPr>
              <w:t>sottolinea la necessità di una cooperazione rafforzata con tutti gli Stati membri al fine di armonizzare le metodologie e di evitare qualsiasi approccio frammentato;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bis.</w:t>
            </w:r>
            <w:r>
              <w:tab/>
            </w:r>
            <w:r>
              <w:rPr>
                <w:b/>
                <w:i/>
              </w:rPr>
              <w:t>invita la Commissione a effettuare una valutazione specifica e globale dell'integrazione degli obiettivi in materia di parità di genere nel QFP 2021-2027, in particolare al fine di consentire un bilancio di genere durante l'intero ciclo di bilancio fin dall'inizio del prossimo periodo di programmazione;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bis.</w:t>
            </w:r>
            <w:r>
              <w:tab/>
            </w:r>
            <w:r>
              <w:rPr>
                <w:b/>
                <w:i/>
              </w:rPr>
              <w:t>chiede che qualsiasi futura valutazione del bilancio dell'UE si concentri esclusivamente sulla responsabilità di bilancio, sul rendimento economico e sull'efficienza, senza riferimento a metodologie basate sul genere;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si rammarica del fatto che, pur essendo</w:t>
            </w:r>
            <w:r>
              <w:t xml:space="preserve"> uno strumento utile per </w:t>
            </w:r>
            <w:r>
              <w:rPr>
                <w:b/>
                <w:i/>
              </w:rPr>
              <w:t>riflettere sul</w:t>
            </w:r>
            <w:r>
              <w:t xml:space="preserve"> contributo del bilancio dell'Unione alla parità di genere, </w:t>
            </w:r>
            <w:r>
              <w:rPr>
                <w:b/>
                <w:i/>
              </w:rPr>
              <w:t>la metodologia elaborata dalla Commissione</w:t>
            </w:r>
            <w:r>
              <w:t xml:space="preserve"> presenti limiti </w:t>
            </w:r>
            <w:r>
              <w:rPr>
                <w:b/>
                <w:i/>
              </w:rPr>
              <w:t>strutturali che ne riducono la</w:t>
            </w:r>
            <w:r>
              <w:t xml:space="preserve"> capacità di produrre un effetto trasformativo</w:t>
            </w:r>
            <w:r>
              <w:rPr>
                <w:b/>
                <w:i/>
              </w:rPr>
              <w:t>, una situazione che non può essere lasciata invariata</w:t>
            </w:r>
            <w:r>
              <w:t>;</w:t>
            </w:r>
          </w:p>
        </w:tc>
        <w:tc>
          <w:tcPr>
            <w:tcW w:w="4876" w:type="dxa"/>
            <w:tcBorders>
              <w:top w:val="nil"/>
              <w:left w:val="nil"/>
              <w:bottom w:val="nil"/>
              <w:right w:val="nil"/>
            </w:tcBorders>
          </w:tcPr>
          <w:p>
            <w:pPr>
              <w:pStyle w:val="Normal6a"/>
            </w:pPr>
            <w:r>
              <w:t>22.</w:t>
            </w:r>
            <w:r>
              <w:tab/>
            </w:r>
            <w:r>
              <w:rPr>
                <w:b/>
                <w:i/>
              </w:rPr>
              <w:t>prende atto che, sebbene la metodologia elaborata dalla Commissione sia</w:t>
            </w:r>
            <w:r>
              <w:t xml:space="preserve"> uno strumento utile per </w:t>
            </w:r>
            <w:r>
              <w:rPr>
                <w:b/>
                <w:i/>
              </w:rPr>
              <w:t>valutare il</w:t>
            </w:r>
            <w:r>
              <w:t xml:space="preserve"> contributo del bilancio dell'Unione alla parità di genere, </w:t>
            </w:r>
            <w:r>
              <w:rPr>
                <w:b/>
                <w:i/>
              </w:rPr>
              <w:t>essa</w:t>
            </w:r>
            <w:r>
              <w:t xml:space="preserve"> presenti limiti </w:t>
            </w:r>
            <w:r>
              <w:rPr>
                <w:b/>
                <w:i/>
              </w:rPr>
              <w:t>che possono ostacolare la sua</w:t>
            </w:r>
            <w:r>
              <w:t xml:space="preserve"> capacità di produrre un effetto trasformativo;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Olivier Chastel, Gerben-Jan Gerbrandy,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si rammarica del fatto che, pur essendo uno strumento utile per riflettere sul contributo del bilancio dell'Unione alla parità di genere, la metodologia elaborata dalla Commissione presenti limiti strutturali che ne riducono la capacità di produrre un effetto trasformativo, una situazione che non può essere lasciata invariata;</w:t>
            </w:r>
          </w:p>
        </w:tc>
        <w:tc>
          <w:tcPr>
            <w:tcW w:w="4876" w:type="dxa"/>
            <w:tcBorders>
              <w:top w:val="nil"/>
              <w:left w:val="nil"/>
              <w:bottom w:val="nil"/>
              <w:right w:val="nil"/>
            </w:tcBorders>
          </w:tcPr>
          <w:p>
            <w:pPr>
              <w:pStyle w:val="Normal6a"/>
            </w:pPr>
            <w:r>
              <w:t>22.</w:t>
            </w:r>
            <w:r>
              <w:tab/>
            </w:r>
            <w:r>
              <w:t xml:space="preserve">si rammarica del fatto che, pur essendo uno strumento utile per riflettere sul contributo del bilancio dell'Unione alla parità di genere, la metodologia elaborata dalla Commissione presenti limiti strutturali che ne riducono la capacità di produrre un effetto trasformativo, una situazione che non può essere lasciata invariata; </w:t>
            </w:r>
            <w:r>
              <w:rPr>
                <w:b/>
                <w:i/>
              </w:rPr>
              <w:t>sottolinea che la metodologia dovrebbe includere indicatori chiave misurabili al fine di garantire che il bilancio di genere produca risultati efficaci;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23.</w:t>
            </w:r>
            <w:r>
              <w:tab/>
            </w:r>
            <w:r>
              <w:rPr>
                <w:b/>
                <w:i/>
              </w:rPr>
              <w:t>sottolinea che, poiché il bilancio dell'Unione risente di molteplici crisi e cambiamenti a livello delle priorità politiche, è essenziale che il bilancio di genere sia integrato ex ante al centro del ciclo di bilancio dei programmi, anche in nuovi settori prioritari quali la competitività, la difesa e la preparazione;</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sottolinea che, poiché il bilancio dell'Unione risente di molteplici crisi e cambiamenti a livello delle priorità politiche, è essenziale che il bilancio di genere sia integrato ex ante al centro del ciclo di bilancio dei programmi, anche in nuovi settori prioritari quali la competitività, la difesa e la preparazione;</w:t>
            </w:r>
          </w:p>
        </w:tc>
        <w:tc>
          <w:tcPr>
            <w:tcW w:w="4876" w:type="dxa"/>
            <w:tcBorders>
              <w:top w:val="nil"/>
              <w:left w:val="nil"/>
              <w:bottom w:val="nil"/>
              <w:right w:val="nil"/>
            </w:tcBorders>
          </w:tcPr>
          <w:p>
            <w:pPr>
              <w:pStyle w:val="Normal6a"/>
            </w:pPr>
            <w:r>
              <w:t>23.</w:t>
            </w:r>
            <w:r>
              <w:tab/>
            </w:r>
            <w:r>
              <w:t xml:space="preserve">sottolinea che, poiché il bilancio dell'Unione risente di molteplici crisi e cambiamenti a livello delle priorità politiche, è essenziale che il bilancio di genere sia integrato ex ante </w:t>
            </w:r>
            <w:r>
              <w:rPr>
                <w:b/>
                <w:i/>
              </w:rPr>
              <w:t>in modo proporzionato</w:t>
            </w:r>
            <w:r>
              <w:t xml:space="preserve"> al centro del ciclo di bilancio dei programmi, anche in nuovi settori prioritari quali la competitività, la difesa e la preparazione;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vertAlign w:val="superscript"/>
              </w:rPr>
              <w:t>ricorda che il sesso biologico è definito da fattori genetici, cromosomici e fisiologici, compresi gli organi riproduttivi e gli ormoni, mentre il genere è una costruzione sociale e culturale che riguarda i ruoli, i comportamenti e le identità assegnati agli individui all'interno di una società;</w:t>
            </w:r>
            <w:r>
              <w:t xml:space="preserve"> </w:t>
            </w:r>
            <w:r>
              <w:rPr>
                <w:b/>
                <w:i/>
                <w:vertAlign w:val="superscript"/>
              </w:rPr>
              <w:t>ritiene che l'integrazione di una dimensione di genere nei processi di bilancio non dovrebbe essere inclusa né ex ante né ex post e non dovrebbe applicarsi in particolare a settori quali la competitività, la difesa e la preparazione;</w:t>
            </w:r>
            <w:r>
              <w:t xml:space="preserve"> </w:t>
            </w:r>
            <w:r>
              <w:rPr>
                <w:b/>
                <w:i/>
              </w:rPr>
              <w:t>riconosce che il sesso biologico è determinato dalle caratteristiche genetiche, cromosomiche e fisiologiche, compresi l'anatomia riproduttiva e i profili endocrini, che distinguono maschi e femmine</w:t>
            </w:r>
            <w:r>
              <w:rPr>
                <w:b/>
                <w:i/>
                <w:vertAlign w:val="superscript"/>
              </w:rPr>
              <w:t>1 bis</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23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ter.</w:t>
            </w:r>
            <w:r>
              <w:tab/>
            </w:r>
            <w:r>
              <w:rPr>
                <w:b/>
                <w:i/>
              </w:rPr>
              <w:t>chiede l'esplicita esclusione della competitività, della difesa, della sicurezza, della ricerca e della preparazione strategica dall'ambito di applicazione del bilancio di genere, in quanto tali settori devono dare la priorità all'efficienza, alla resilienza e ai indicatori di prestazione oggettivi;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bis.</w:t>
            </w:r>
            <w:r>
              <w:tab/>
            </w:r>
            <w:r>
              <w:rPr>
                <w:b/>
                <w:i/>
              </w:rPr>
              <w:t>chiede che sia data la priorità alle risorse per i programmi di lotta alla violenza domestica, alla tratta di esseri umani, allo sfruttamento sessuale e alla discriminazione sul luogo di lavoro, anziché includere l'integrazione della dimensione di genere in tutti i settori del bilancio;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insiste sul fatto che, oltre al QFP, qualsiasi strumento adottato a norma dell'articolo 122 del trattato sul funzionamento dell'Unione europea dovrebbe anche garantire solide disposizioni in materia di integrazione della dimensione di genere e di bilancio di genere, cosa che in passato non è sempre avvenuta, con il rischio di lacune nell'attuazione dei programmi in regime di gestione indiretta;</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rPr>
                <w:b/>
                <w:i/>
              </w:rPr>
              <w:t>insiste sul fatto</w:t>
            </w:r>
            <w:r>
              <w:t xml:space="preserve"> che, oltre al QFP, qualsiasi strumento adottato a norma dell'articolo 122 del trattato sul funzionamento dell'Unione europea dovrebbe anche garantire </w:t>
            </w:r>
            <w:r>
              <w:rPr>
                <w:b/>
                <w:i/>
              </w:rPr>
              <w:t>solide</w:t>
            </w:r>
            <w:r>
              <w:t xml:space="preserve"> disposizioni in materia di integrazione della dimensione di genere e di bilancio di genere, </w:t>
            </w:r>
            <w:r>
              <w:rPr>
                <w:b/>
                <w:i/>
              </w:rPr>
              <w:t>cosa che in passato non è sempre avvenuta, con il rischio di lacune nell'attuazione</w:t>
            </w:r>
            <w:r>
              <w:t xml:space="preserve"> dei programmi </w:t>
            </w:r>
            <w:r>
              <w:rPr>
                <w:b/>
                <w:i/>
              </w:rPr>
              <w:t>in regime di gestione indiretta</w:t>
            </w:r>
            <w:r>
              <w:t>;</w:t>
            </w:r>
          </w:p>
        </w:tc>
        <w:tc>
          <w:tcPr>
            <w:tcW w:w="4876" w:type="dxa"/>
            <w:tcBorders>
              <w:top w:val="nil"/>
              <w:left w:val="nil"/>
              <w:bottom w:val="nil"/>
              <w:right w:val="nil"/>
            </w:tcBorders>
          </w:tcPr>
          <w:p>
            <w:pPr>
              <w:pStyle w:val="Normal6a"/>
            </w:pPr>
            <w:r>
              <w:t>25.</w:t>
            </w:r>
            <w:r>
              <w:tab/>
            </w:r>
            <w:r>
              <w:rPr>
                <w:b/>
                <w:i/>
              </w:rPr>
              <w:t>sottolinea</w:t>
            </w:r>
            <w:r>
              <w:t xml:space="preserve"> che, oltre al QFP, qualsiasi strumento adottato a norma dell'articolo 122 del trattato sul funzionamento dell'Unione europea dovrebbe anche garantire disposizioni </w:t>
            </w:r>
            <w:r>
              <w:rPr>
                <w:b/>
                <w:i/>
              </w:rPr>
              <w:t>proporzionate</w:t>
            </w:r>
            <w:r>
              <w:t xml:space="preserve"> in materia di integrazione della dimensione di genere e di bilancio di genere, </w:t>
            </w:r>
            <w:r>
              <w:rPr>
                <w:b/>
                <w:i/>
              </w:rPr>
              <w:t>ma non deve modificare gli obiettivi</w:t>
            </w:r>
            <w:r>
              <w:t xml:space="preserve"> dei programmi</w:t>
            </w:r>
            <w:r>
              <w:rPr>
                <w:b/>
                <w:i/>
              </w:rPr>
              <w:t>, né i criteri di ammissibilità o di aggiudicazione stabiliti nella legislazione settoriale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Marit Maij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insiste sul fatto che, oltre al QFP, qualsiasi strumento adottato a norma dell'articolo 122 del trattato sul funzionamento dell'Unione europea dovrebbe anche garantire solide disposizioni in materia di integrazione della dimensione di genere e di bilancio di genere, </w:t>
            </w:r>
            <w:r>
              <w:rPr>
                <w:b/>
                <w:i/>
              </w:rPr>
              <w:t>cosa che in passato non è sempre avvenuta, con il rischio di lacune nell'attuazione dei programmi in regime di gestione indiretta</w:t>
            </w:r>
            <w:r>
              <w:t>;</w:t>
            </w:r>
          </w:p>
        </w:tc>
        <w:tc>
          <w:tcPr>
            <w:tcW w:w="4876" w:type="dxa"/>
            <w:tcBorders>
              <w:top w:val="nil"/>
              <w:left w:val="nil"/>
              <w:bottom w:val="nil"/>
              <w:right w:val="nil"/>
            </w:tcBorders>
          </w:tcPr>
          <w:p>
            <w:pPr>
              <w:pStyle w:val="Normal6a"/>
            </w:pPr>
            <w:r>
              <w:t>25.</w:t>
            </w:r>
            <w:r>
              <w:tab/>
            </w:r>
            <w:r>
              <w:t xml:space="preserve">insiste sul fatto che, oltre al QFP, qualsiasi strumento adottato a norma dell'articolo 122 del trattato sul funzionamento dell'Unione europea dovrebbe anche garantire solide disposizioni in materia di integrazione della dimensione di genere e di bilancio di genere, </w:t>
            </w:r>
            <w:r>
              <w:rPr>
                <w:b/>
                <w:i/>
              </w:rPr>
              <w:t>al fine di monitorare in modo globale e coerente il contributo dell'UE alla promozione della parità di genere in tutti gli strumenti di finanziamento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sottolinea che gli stanziamenti di bilancio dell'Unione dovrebbero dare la priorità alle misure volte a rafforzare la famiglia, sostenere i genitori nell'educazione dei figli, garantire l'accesso a servizi di assistenza all'infanzia a prezzi contenuti, salvaguardare i diritti dei genitori, promuovere un sano equilibrio tra vita professionale e vita privata e favorire la solidarietà intergenerazionale, anziché integrare concetti contestati come l'ideologia di genere nelle procedure di bilancio;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invita la Commissione a effettuare valutazioni d'impatto ex ante che analizzino anche gli impatti specifici delle politiche dell'Unione sulla parità di genere, in linea con gli Orientamenti per legiferare meglio;</w:t>
            </w:r>
          </w:p>
        </w:tc>
        <w:tc>
          <w:tcPr>
            <w:tcW w:w="4876" w:type="dxa"/>
            <w:tcBorders>
              <w:top w:val="nil"/>
              <w:left w:val="nil"/>
              <w:bottom w:val="nil"/>
              <w:right w:val="nil"/>
            </w:tcBorders>
          </w:tcPr>
          <w:p>
            <w:pPr>
              <w:pStyle w:val="Normal6a"/>
            </w:pPr>
            <w:r>
              <w:t>26.</w:t>
            </w:r>
            <w:r>
              <w:tab/>
            </w:r>
            <w:r>
              <w:t>invita la Commissione a effettuare valutazioni d'impatto ex ante che analizzino anche gli impatti specifici delle politiche dell'Unione sulla parità di genere, in linea con gli Orientamenti per legiferare meglio</w:t>
            </w:r>
            <w:r>
              <w:rPr>
                <w:b/>
                <w:i/>
              </w:rPr>
              <w:t>, garantendo una considerazione equilibrata dei costi e dell'impatto sociali, economici e amministrativi, in particolare per le PMI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Olivier Chastel, Gerben-Jan Gerbrandy,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invita la Commissione a elaborare valutazioni sistematiche dell'impatto di genere degli strumenti di politica di bilancio, compresi i regimi fiscali e i programmi di aiuti di Stato, al fine di individuare e attenuare le disparità di genere involontarie;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Virginie Joron, Mathilde Androuët,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invita la Commissione a garantire che </w:t>
            </w:r>
            <w:r>
              <w:rPr>
                <w:b/>
                <w:i/>
              </w:rPr>
              <w:t>non siano adottate</w:t>
            </w:r>
            <w:r>
              <w:t xml:space="preserve"> proposte legislative </w:t>
            </w:r>
            <w:r>
              <w:rPr>
                <w:b/>
                <w:i/>
              </w:rPr>
              <w:t>le cui valutazioni</w:t>
            </w:r>
            <w:r>
              <w:t xml:space="preserve"> d'impatto ex ante </w:t>
            </w:r>
            <w:r>
              <w:rPr>
                <w:b/>
                <w:i/>
              </w:rPr>
              <w:t>indichino in modo dimostrabile che esse contribuirebbero a una riduzione della</w:t>
            </w:r>
            <w:r>
              <w:t xml:space="preserve"> parità di genere in seno all'Unione;</w:t>
            </w:r>
          </w:p>
        </w:tc>
        <w:tc>
          <w:tcPr>
            <w:tcW w:w="4876" w:type="dxa"/>
            <w:tcBorders>
              <w:top w:val="nil"/>
              <w:left w:val="nil"/>
              <w:bottom w:val="nil"/>
              <w:right w:val="nil"/>
            </w:tcBorders>
          </w:tcPr>
          <w:p>
            <w:pPr>
              <w:pStyle w:val="Normal6a"/>
            </w:pPr>
            <w:r>
              <w:t>27.</w:t>
            </w:r>
            <w:r>
              <w:tab/>
            </w:r>
            <w:r>
              <w:t xml:space="preserve">invita la Commissione a garantire che </w:t>
            </w:r>
            <w:r>
              <w:rPr>
                <w:b/>
                <w:i/>
              </w:rPr>
              <w:t>le</w:t>
            </w:r>
            <w:r>
              <w:t xml:space="preserve"> proposte legislative </w:t>
            </w:r>
            <w:r>
              <w:rPr>
                <w:b/>
                <w:i/>
              </w:rPr>
              <w:t>includano nella loro valutazione</w:t>
            </w:r>
            <w:r>
              <w:t xml:space="preserve"> d'impatto ex ante </w:t>
            </w:r>
            <w:r>
              <w:rPr>
                <w:b/>
                <w:i/>
              </w:rPr>
              <w:t>indicatori relativi alla</w:t>
            </w:r>
            <w:r>
              <w:t xml:space="preserve"> parità di genere in seno all'Unione;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invita la Commissione a </w:t>
            </w:r>
            <w:r>
              <w:rPr>
                <w:b/>
                <w:i/>
              </w:rPr>
              <w:t>garantire che non siano adottate proposte legislative le cui</w:t>
            </w:r>
            <w:r>
              <w:t xml:space="preserve"> valutazioni d'impatto ex ante </w:t>
            </w:r>
            <w:r>
              <w:rPr>
                <w:b/>
                <w:i/>
              </w:rPr>
              <w:t>indichino in modo dimostrabile che esse contribuirebbero a una riduzione della</w:t>
            </w:r>
            <w:r>
              <w:t xml:space="preserve"> parità di genere in </w:t>
            </w:r>
            <w:r>
              <w:rPr>
                <w:b/>
                <w:i/>
              </w:rPr>
              <w:t>seno all'Unione</w:t>
            </w:r>
            <w:r>
              <w:t>;</w:t>
            </w:r>
          </w:p>
        </w:tc>
        <w:tc>
          <w:tcPr>
            <w:tcW w:w="4876" w:type="dxa"/>
            <w:tcBorders>
              <w:top w:val="nil"/>
              <w:left w:val="nil"/>
              <w:bottom w:val="nil"/>
              <w:right w:val="nil"/>
            </w:tcBorders>
          </w:tcPr>
          <w:p>
            <w:pPr>
              <w:pStyle w:val="Normal6a"/>
            </w:pPr>
            <w:r>
              <w:t>27.</w:t>
            </w:r>
            <w:r>
              <w:tab/>
            </w:r>
            <w:r>
              <w:t xml:space="preserve">invita la Commissione a </w:t>
            </w:r>
            <w:r>
              <w:rPr>
                <w:b/>
                <w:i/>
              </w:rPr>
              <w:t>rafforzare le sue</w:t>
            </w:r>
            <w:r>
              <w:t xml:space="preserve"> valutazioni d'impatto ex ante </w:t>
            </w:r>
            <w:r>
              <w:rPr>
                <w:b/>
                <w:i/>
              </w:rPr>
              <w:t>per valutare attentamente e ridurre al minimo eventuali effetti negativi sulla</w:t>
            </w:r>
            <w:r>
              <w:t xml:space="preserve"> parità di genere in </w:t>
            </w:r>
            <w:r>
              <w:rPr>
                <w:b/>
                <w:i/>
              </w:rPr>
              <w:t>sede di elaborazione delle proposte legislative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rPr>
                <w:b/>
                <w:i/>
              </w:rPr>
              <w:t>esorta</w:t>
            </w:r>
            <w:r>
              <w:t xml:space="preserve"> la Commissione a </w:t>
            </w:r>
            <w:r>
              <w:rPr>
                <w:b/>
                <w:i/>
              </w:rPr>
              <w:t>istituire, quale elemento standard delle procedure legislative dell'Unione,</w:t>
            </w:r>
            <w:r>
              <w:t xml:space="preserve"> un "meccanismo di salvaguardia della parità di genere" </w:t>
            </w:r>
            <w:r>
              <w:rPr>
                <w:b/>
                <w:i/>
              </w:rPr>
              <w:t>che richieda la sospensione o la revisione obbligatoria di qualsiasi proposta che, tramite indicatori chiari o l'analisi della Corte dei conti, risulti suscettibile di</w:t>
            </w:r>
            <w:r>
              <w:t xml:space="preserve"> compromettere </w:t>
            </w:r>
            <w:r>
              <w:rPr>
                <w:b/>
                <w:i/>
              </w:rPr>
              <w:t>la strategia e</w:t>
            </w:r>
            <w:r>
              <w:t xml:space="preserve"> gli obiettivi dell'Unione in materia di parità di genere;</w:t>
            </w:r>
          </w:p>
        </w:tc>
        <w:tc>
          <w:tcPr>
            <w:tcW w:w="4876" w:type="dxa"/>
            <w:tcBorders>
              <w:top w:val="nil"/>
              <w:left w:val="nil"/>
              <w:bottom w:val="nil"/>
              <w:right w:val="nil"/>
            </w:tcBorders>
          </w:tcPr>
          <w:p>
            <w:pPr>
              <w:pStyle w:val="Normal6a"/>
            </w:pPr>
            <w:r>
              <w:t>28.</w:t>
            </w:r>
            <w:r>
              <w:tab/>
            </w:r>
            <w:r>
              <w:rPr>
                <w:b/>
                <w:i/>
              </w:rPr>
              <w:t>incoraggia</w:t>
            </w:r>
            <w:r>
              <w:t xml:space="preserve"> la Commissione a </w:t>
            </w:r>
            <w:r>
              <w:rPr>
                <w:b/>
                <w:i/>
              </w:rPr>
              <w:t>esaminare un maggior numero di opzioni per integrare</w:t>
            </w:r>
            <w:r>
              <w:t xml:space="preserve"> un "meccanismo di salvaguardia della parità di genere" </w:t>
            </w:r>
            <w:r>
              <w:rPr>
                <w:b/>
                <w:i/>
              </w:rPr>
              <w:t>nelle procedure legislative dell'Unione, volto a individuare e a trattare le proposte che potrebbero</w:t>
            </w:r>
            <w:r>
              <w:t xml:space="preserve"> compromettere gli obiettivi dell'Unione in materia di parità di genere</w:t>
            </w:r>
            <w:r>
              <w:rPr>
                <w:b/>
                <w:i/>
              </w:rPr>
              <w:t>, pur nel rispetto dei ruoli delle altre istituzioni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30.</w:t>
            </w:r>
            <w:r>
              <w:tab/>
            </w:r>
            <w:r>
              <w:rPr>
                <w:b/>
                <w:i/>
              </w:rPr>
              <w:t>invita la Commissione a valutare in che misura sarebbe possibile introdurre ulteriori misure in materia di parità di genere a livello dirigenziale, nonché creare quote affinché tutti i generi siano sufficientemente coinvolti nell'elaborazione delle politiche attraverso regimi di sostegno mirati;</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 xml:space="preserve">invita la Commissione a valutare </w:t>
            </w:r>
            <w:r>
              <w:rPr>
                <w:b/>
                <w:i/>
              </w:rPr>
              <w:t>in che misura sarebbe possibile introdurre</w:t>
            </w:r>
            <w:r>
              <w:t xml:space="preserve"> ulteriori misure in materia di parità di genere a livello dirigenziale</w:t>
            </w:r>
            <w:r>
              <w:rPr>
                <w:b/>
                <w:i/>
              </w:rPr>
              <w:t>, nonché creare quote affinché tutti i generi siano sufficientemente coinvolti nell'elaborazione delle politiche attraverso</w:t>
            </w:r>
            <w:r>
              <w:t xml:space="preserve"> regimi di sostegno mirati;</w:t>
            </w:r>
          </w:p>
        </w:tc>
        <w:tc>
          <w:tcPr>
            <w:tcW w:w="4876" w:type="dxa"/>
            <w:tcBorders>
              <w:top w:val="nil"/>
              <w:left w:val="nil"/>
              <w:bottom w:val="nil"/>
              <w:right w:val="nil"/>
            </w:tcBorders>
          </w:tcPr>
          <w:p>
            <w:pPr>
              <w:pStyle w:val="Normal6a"/>
            </w:pPr>
            <w:r>
              <w:t>30.</w:t>
            </w:r>
            <w:r>
              <w:tab/>
            </w:r>
            <w:r>
              <w:t xml:space="preserve">invita la Commissione a valutare </w:t>
            </w:r>
            <w:r>
              <w:rPr>
                <w:b/>
                <w:i/>
              </w:rPr>
              <w:t>la fattibilità e i potenziali benefici dell'introduzione di</w:t>
            </w:r>
            <w:r>
              <w:t xml:space="preserve"> ulteriori misure in materia di parità di genere a livello dirigenziale </w:t>
            </w:r>
            <w:r>
              <w:rPr>
                <w:b/>
                <w:i/>
              </w:rPr>
              <w:t>e a prendere in considerazione</w:t>
            </w:r>
            <w:r>
              <w:t xml:space="preserve"> regimi di sostegno mirati </w:t>
            </w:r>
            <w:r>
              <w:rPr>
                <w:b/>
                <w:i/>
              </w:rPr>
              <w:t>che promuovano il coinvolgimento di tutti i generi nei processi di elaborazione delle politiche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Olivier Chastel, Gerben-Jan Gerbrandy,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 xml:space="preserve">invita la Commissione a valutare in che misura sarebbe possibile introdurre ulteriori misure in materia di parità di genere a livello dirigenziale, nonché </w:t>
            </w:r>
            <w:r>
              <w:rPr>
                <w:b/>
                <w:i/>
              </w:rPr>
              <w:t>creare</w:t>
            </w:r>
            <w:r>
              <w:t xml:space="preserve"> quote affinché tutti i generi siano sufficientemente coinvolti nell'elaborazione delle politiche attraverso regimi di sostegno mirati;</w:t>
            </w:r>
          </w:p>
        </w:tc>
        <w:tc>
          <w:tcPr>
            <w:tcW w:w="4876" w:type="dxa"/>
            <w:tcBorders>
              <w:top w:val="nil"/>
              <w:left w:val="nil"/>
              <w:bottom w:val="nil"/>
              <w:right w:val="nil"/>
            </w:tcBorders>
          </w:tcPr>
          <w:p>
            <w:pPr>
              <w:pStyle w:val="Normal6a"/>
            </w:pPr>
            <w:r>
              <w:t>30.</w:t>
            </w:r>
            <w:r>
              <w:tab/>
            </w:r>
            <w:r>
              <w:t xml:space="preserve">invita la Commissione a valutare in che misura sarebbe possibile introdurre ulteriori misure in materia di parità di genere a livello dirigenziale, nonché </w:t>
            </w:r>
            <w:r>
              <w:rPr>
                <w:b/>
                <w:i/>
              </w:rPr>
              <w:t>a esaminare la fattibilità di</w:t>
            </w:r>
            <w:r>
              <w:t xml:space="preserve"> quote affinché tutti i generi siano sufficientemente coinvolti nell'elaborazione delle politiche attraverso regimi di sostegno mirati;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31.</w:t>
            </w:r>
            <w:r>
              <w:tab/>
            </w:r>
            <w:r>
              <w:rPr>
                <w:b/>
                <w:i/>
              </w:rPr>
              <w:t>invita la Commissione a garantire che una quota minima giuridicamente vincolante del bilancio dell'UE sia dedicata alla parità di genere come obiettivo principale (corrispondente al punteggio 2 nella metodologia attuale);</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invita la Commissione a </w:t>
            </w:r>
            <w:r>
              <w:rPr>
                <w:b/>
                <w:i/>
              </w:rPr>
              <w:t>garantire che</w:t>
            </w:r>
            <w:r>
              <w:t xml:space="preserve"> una quota minima </w:t>
            </w:r>
            <w:r>
              <w:rPr>
                <w:b/>
                <w:i/>
              </w:rPr>
              <w:t>giuridicamente vincolante</w:t>
            </w:r>
            <w:r>
              <w:t xml:space="preserve"> del bilancio dell'UE sia dedicata alla parità di genere come obiettivo principale (corrispondente al punteggio 2 nella metodologia attuale);</w:t>
            </w:r>
          </w:p>
        </w:tc>
        <w:tc>
          <w:tcPr>
            <w:tcW w:w="4876" w:type="dxa"/>
            <w:tcBorders>
              <w:top w:val="nil"/>
              <w:left w:val="nil"/>
              <w:bottom w:val="nil"/>
              <w:right w:val="nil"/>
            </w:tcBorders>
          </w:tcPr>
          <w:p>
            <w:pPr>
              <w:pStyle w:val="Normal6a"/>
            </w:pPr>
            <w:r>
              <w:t>31.</w:t>
            </w:r>
            <w:r>
              <w:tab/>
            </w:r>
            <w:r>
              <w:t xml:space="preserve">invita la Commissione a </w:t>
            </w:r>
            <w:r>
              <w:rPr>
                <w:b/>
                <w:i/>
              </w:rPr>
              <w:t>esaminare la fattibilità di introdurre</w:t>
            </w:r>
            <w:r>
              <w:t xml:space="preserve"> una quota minima del bilancio dell'UE </w:t>
            </w:r>
            <w:r>
              <w:rPr>
                <w:b/>
                <w:i/>
              </w:rPr>
              <w:t>che</w:t>
            </w:r>
            <w:r>
              <w:t xml:space="preserve"> sia dedicata alla parità di genere come obiettivo principale (corrispondente al punteggio 2 nella metodologia attuale);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Virginie Joron,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invita la Commissione a garantire che una quota minima </w:t>
            </w:r>
            <w:r>
              <w:rPr>
                <w:b/>
                <w:i/>
              </w:rPr>
              <w:t>giuridicamente vincolante</w:t>
            </w:r>
            <w:r>
              <w:t xml:space="preserve"> del bilancio dell'UE sia dedicata alla parità di genere come obiettivo principale (corrispondente al punteggio 2 nella metodologia attuale);</w:t>
            </w:r>
          </w:p>
        </w:tc>
        <w:tc>
          <w:tcPr>
            <w:tcW w:w="4876" w:type="dxa"/>
            <w:tcBorders>
              <w:top w:val="nil"/>
              <w:left w:val="nil"/>
              <w:bottom w:val="nil"/>
              <w:right w:val="nil"/>
            </w:tcBorders>
          </w:tcPr>
          <w:p>
            <w:pPr>
              <w:pStyle w:val="Normal6a"/>
            </w:pPr>
            <w:r>
              <w:t>31.</w:t>
            </w:r>
            <w:r>
              <w:tab/>
            </w:r>
            <w:r>
              <w:t>invita la Commissione a garantire che una quota minima del bilancio dell'UE sia dedicata alla parità di genere come obiettivo principale (corrispondente al punteggio 2 nella metodologia attuale);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Virginie Joron, Mathilde Androuët, Ondřej Knotek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invita la Commissione a considerare la possibilità di includere nel prossimo periodo di programmazione un target quantitativo </w:t>
            </w:r>
            <w:r>
              <w:rPr>
                <w:b/>
                <w:i/>
              </w:rPr>
              <w:t>giuridicamente vincolante</w:t>
            </w:r>
            <w:r>
              <w:t xml:space="preserve"> affinché una quota del bilancio dell'UE contribuisca alla promozione della parità di genere (corrispondente a un punteggio di 2 o 1 nella metodologia attuale)</w:t>
            </w:r>
            <w:r>
              <w:rPr>
                <w:b/>
                <w:i/>
              </w:rPr>
              <w:t>, dal momento che target di questo tipo si sono dimostrati utili per integrare gli obiettivi dell'Unione in materia di clima e biodiversità</w:t>
            </w:r>
            <w:r>
              <w:t>;</w:t>
            </w:r>
          </w:p>
        </w:tc>
        <w:tc>
          <w:tcPr>
            <w:tcW w:w="4876" w:type="dxa"/>
            <w:tcBorders>
              <w:top w:val="nil"/>
              <w:left w:val="nil"/>
              <w:bottom w:val="nil"/>
              <w:right w:val="nil"/>
            </w:tcBorders>
          </w:tcPr>
          <w:p>
            <w:pPr>
              <w:pStyle w:val="Normal6a"/>
            </w:pPr>
            <w:r>
              <w:t>32.</w:t>
            </w:r>
            <w:r>
              <w:tab/>
            </w:r>
            <w:r>
              <w:t>invita la Commissione a considerare la possibilità di includere nel prossimo periodo di programmazione un target quantitativo affinché una quota del bilancio dell'UE contribuisca alla promozione della parità di genere (corrispondente a un punteggio di 2 o 1 nella metodologia attuale);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invita la Commissione a </w:t>
            </w:r>
            <w:r>
              <w:rPr>
                <w:b/>
                <w:i/>
              </w:rPr>
              <w:t>considerare</w:t>
            </w:r>
            <w:r>
              <w:t xml:space="preserve"> la possibilità di </w:t>
            </w:r>
            <w:r>
              <w:rPr>
                <w:b/>
                <w:i/>
              </w:rPr>
              <w:t>includere</w:t>
            </w:r>
            <w:r>
              <w:t xml:space="preserve"> nel prossimo periodo di programmazione un target quantitativo </w:t>
            </w:r>
            <w:r>
              <w:rPr>
                <w:b/>
                <w:i/>
              </w:rPr>
              <w:t>giuridicamente vincolante</w:t>
            </w:r>
            <w:r>
              <w:t xml:space="preserve"> affinché una quota del bilancio dell'UE contribuisca alla promozione della parità di genere (corrispondente a un punteggio di 2 o 1 nella metodologia attuale), </w:t>
            </w:r>
            <w:r>
              <w:rPr>
                <w:b/>
                <w:i/>
              </w:rPr>
              <w:t>dal momento</w:t>
            </w:r>
            <w:r>
              <w:t xml:space="preserve"> che target di questo tipo si sono dimostrati utili per </w:t>
            </w:r>
            <w:r>
              <w:rPr>
                <w:b/>
                <w:i/>
              </w:rPr>
              <w:t>integrare</w:t>
            </w:r>
            <w:r>
              <w:t xml:space="preserve"> gli obiettivi dell'Unione in materia di clima e biodiversità;</w:t>
            </w:r>
          </w:p>
        </w:tc>
        <w:tc>
          <w:tcPr>
            <w:tcW w:w="4876" w:type="dxa"/>
            <w:tcBorders>
              <w:top w:val="nil"/>
              <w:left w:val="nil"/>
              <w:bottom w:val="nil"/>
              <w:right w:val="nil"/>
            </w:tcBorders>
          </w:tcPr>
          <w:p>
            <w:pPr>
              <w:pStyle w:val="Normal6a"/>
            </w:pPr>
            <w:r>
              <w:t>32.</w:t>
            </w:r>
            <w:r>
              <w:tab/>
            </w:r>
            <w:r>
              <w:t xml:space="preserve">invita la Commissione a </w:t>
            </w:r>
            <w:r>
              <w:rPr>
                <w:b/>
                <w:i/>
              </w:rPr>
              <w:t>esaminare</w:t>
            </w:r>
            <w:r>
              <w:t xml:space="preserve"> la possibilità di </w:t>
            </w:r>
            <w:r>
              <w:rPr>
                <w:b/>
                <w:i/>
              </w:rPr>
              <w:t>fissare</w:t>
            </w:r>
            <w:r>
              <w:t xml:space="preserve"> nel prossimo periodo di programmazione un target quantitativo affinché una quota del bilancio dell'UE contribuisca alla promozione della parità di genere (corrispondente a un punteggio di 2 o 1 nella metodologia attuale), </w:t>
            </w:r>
            <w:r>
              <w:rPr>
                <w:b/>
                <w:i/>
              </w:rPr>
              <w:t>rilevando</w:t>
            </w:r>
            <w:r>
              <w:t xml:space="preserve"> che target di questo tipo si sono dimostrati utili per </w:t>
            </w:r>
            <w:r>
              <w:rPr>
                <w:b/>
                <w:i/>
              </w:rPr>
              <w:t>promuovere</w:t>
            </w:r>
            <w:r>
              <w:t xml:space="preserve"> gli obiettivi dell'Unione in materia di clima e biodiversità;</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 xml:space="preserve">invita la Commissione e il Consiglio a rispettare le disposizioni del regolamento finanziario riveduto durante i negoziati sulla prossima generazione di programmi, in virtù delle quali i programmi e le attività dovrebbero, ove possibile e opportuno in conformità della pertinente normativa settoriale, essere attuati tenendo conto del principio della parità </w:t>
            </w:r>
            <w:r>
              <w:rPr>
                <w:b/>
                <w:i/>
              </w:rPr>
              <w:t>di genere e secondo un'adeguata metodologia di integrazione</w:t>
            </w:r>
            <w:r>
              <w:t xml:space="preserve"> della </w:t>
            </w:r>
            <w:r>
              <w:rPr>
                <w:b/>
                <w:i/>
              </w:rPr>
              <w:t>dimensione</w:t>
            </w:r>
            <w:r>
              <w:t xml:space="preserve"> di genere;</w:t>
            </w:r>
          </w:p>
        </w:tc>
        <w:tc>
          <w:tcPr>
            <w:tcW w:w="4876" w:type="dxa"/>
            <w:tcBorders>
              <w:top w:val="nil"/>
              <w:left w:val="nil"/>
              <w:bottom w:val="nil"/>
              <w:right w:val="nil"/>
            </w:tcBorders>
          </w:tcPr>
          <w:p>
            <w:pPr>
              <w:pStyle w:val="Normal6a"/>
            </w:pPr>
            <w:r>
              <w:t>33.</w:t>
            </w:r>
            <w:r>
              <w:tab/>
            </w:r>
            <w:r>
              <w:t xml:space="preserve">invita la Commissione e il Consiglio a rispettare le disposizioni del regolamento finanziario riveduto durante i negoziati sulla prossima generazione di programmi, in virtù delle quali i programmi e le attività dovrebbero, ove possibile e opportuno in conformità della pertinente normativa settoriale, essere attuati tenendo conto del principio della parità </w:t>
            </w:r>
            <w:r>
              <w:rPr>
                <w:b/>
                <w:i/>
              </w:rPr>
              <w:t>tra donne e uomini;</w:t>
            </w:r>
            <w:r>
              <w:t xml:space="preserve"> </w:t>
            </w:r>
            <w:r>
              <w:rPr>
                <w:b/>
                <w:i/>
              </w:rPr>
              <w:t>invita le istituzioni dell'UE a garantire che le sue politiche e dotazioni di bilancio rispettino debitamente la famiglia e i valori giudaico-cristiani, riconoscendoli come una parte essenziale</w:t>
            </w:r>
            <w:r>
              <w:t xml:space="preserve"> della </w:t>
            </w:r>
            <w:r>
              <w:rPr>
                <w:b/>
                <w:i/>
              </w:rPr>
              <w:t>base culturale e storica dell'Unione;</w:t>
            </w:r>
            <w:r>
              <w:t xml:space="preserve"> </w:t>
            </w:r>
            <w:r>
              <w:rPr>
                <w:b/>
                <w:i/>
              </w:rPr>
              <w:t>invita inoltre le istituzioni dell'UE ad astenersi dal promuovere l'ideologia</w:t>
            </w:r>
            <w:r>
              <w:t xml:space="preserve"> di genere </w:t>
            </w:r>
            <w:r>
              <w:rPr>
                <w:b/>
                <w:i/>
              </w:rPr>
              <w:t>quale quadro normativo nell'ambito dell'azione esterna dell'Unione, ricordando invece che la politica dell'UE dovrebbe essere ancorata al rispetto delle tradizioni culturali, della dignità della persona e del rafforzamento della coesione sociale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Virginie Joron,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 xml:space="preserve">invita la Commissione e il Consiglio a rispettare le disposizioni del regolamento finanziario riveduto durante i negoziati sulla prossima generazione di programmi, in virtù delle quali i programmi e le attività dovrebbero, ove possibile e opportuno in conformità della pertinente normativa settoriale, essere attuati tenendo conto del principio della parità di genere </w:t>
            </w:r>
            <w:r>
              <w:rPr>
                <w:b/>
                <w:i/>
              </w:rPr>
              <w:t>e secondo un'adeguata metodologia di integrazione della dimensione di genere</w:t>
            </w:r>
            <w:r>
              <w:t>;</w:t>
            </w:r>
          </w:p>
        </w:tc>
        <w:tc>
          <w:tcPr>
            <w:tcW w:w="4876" w:type="dxa"/>
            <w:tcBorders>
              <w:top w:val="nil"/>
              <w:left w:val="nil"/>
              <w:bottom w:val="nil"/>
              <w:right w:val="nil"/>
            </w:tcBorders>
          </w:tcPr>
          <w:p>
            <w:pPr>
              <w:pStyle w:val="Normal6a"/>
            </w:pPr>
            <w:r>
              <w:t>33.</w:t>
            </w:r>
            <w:r>
              <w:tab/>
            </w:r>
            <w:r>
              <w:t>invita la Commissione e il Consiglio a rispettare le disposizioni del regolamento finanziario riveduto durante i negoziati sulla prossima generazione di programmi, in virtù delle quali i programmi e le attività dovrebbero, ove possibile e opportuno in conformità della pertinente normativa settoriale, essere attuati tenendo conto del principio della parità di genere;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 xml:space="preserve">invita la Commissione, anche in questo caso nel rispetto del regolamento finanziario riveduto, a garantire che la prossima generazione di programmi sia negoziata sulla base di proposte che includano obiettivi </w:t>
            </w:r>
            <w:r>
              <w:rPr>
                <w:b/>
                <w:i/>
              </w:rPr>
              <w:t>specifici, misurabili, attuabili, pertinenti e temporalmente definiti, nonché indicatori pertinenti, accettati, credibili, facili, solidi e basati su prove scientifiche ampiamente riconosciute, e fa osservare</w:t>
            </w:r>
            <w:r>
              <w:t xml:space="preserve"> che, se del caso, </w:t>
            </w:r>
            <w:r>
              <w:rPr>
                <w:b/>
                <w:i/>
              </w:rPr>
              <w:t>i dati raccolti in relazione a tali indicatori dovrebbero essere</w:t>
            </w:r>
            <w:r>
              <w:t xml:space="preserve"> disaggregati per genere e </w:t>
            </w:r>
            <w:r>
              <w:rPr>
                <w:b/>
                <w:i/>
              </w:rPr>
              <w:t>raccolti in modo da consentire</w:t>
            </w:r>
            <w:r>
              <w:t xml:space="preserve"> l'aggregazione di tali dati in tutti i programmi pertinenti;</w:t>
            </w:r>
          </w:p>
        </w:tc>
        <w:tc>
          <w:tcPr>
            <w:tcW w:w="4876" w:type="dxa"/>
            <w:tcBorders>
              <w:top w:val="nil"/>
              <w:left w:val="nil"/>
              <w:bottom w:val="nil"/>
              <w:right w:val="nil"/>
            </w:tcBorders>
          </w:tcPr>
          <w:p>
            <w:pPr>
              <w:pStyle w:val="Normal6a"/>
            </w:pPr>
            <w:r>
              <w:t>34.</w:t>
            </w:r>
            <w:r>
              <w:tab/>
            </w:r>
            <w:r>
              <w:t xml:space="preserve">invita la Commissione, anche in questo caso nel rispetto del regolamento finanziario riveduto, a garantire che la prossima generazione di programmi sia negoziata sulla base di proposte che includano obiettivi che </w:t>
            </w:r>
            <w:r>
              <w:rPr>
                <w:b/>
                <w:i/>
              </w:rPr>
              <w:t>consentono</w:t>
            </w:r>
            <w:r>
              <w:t xml:space="preserve">, se del caso, </w:t>
            </w:r>
            <w:r>
              <w:rPr>
                <w:b/>
                <w:i/>
              </w:rPr>
              <w:t>la raccolta di dati</w:t>
            </w:r>
            <w:r>
              <w:t xml:space="preserve"> disaggregati per genere e l'aggregazione di tali dati in tutti i programmi pertinenti;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Olivier Chastel, Gerben-Jan Gerbrandy,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invita la Commissione, anche in questo caso nel rispetto del regolamento finanziario riveduto, a garantire che la prossima generazione di programmi sia negoziata sulla base di proposte che includano obiettivi specifici, misurabili, attuabili, pertinenti e temporalmente definiti, nonché indicatori pertinenti, accettati, credibili, facili, solidi e basati su prove scientifiche ampiamente riconosciute, e fa osservare che, se del caso, i dati raccolti in relazione a tali indicatori dovrebbero essere disaggregati per genere e raccolti in modo da consentire l'aggregazione di tali dati in tutti i programmi pertinenti;</w:t>
            </w:r>
          </w:p>
        </w:tc>
        <w:tc>
          <w:tcPr>
            <w:tcW w:w="4876" w:type="dxa"/>
            <w:tcBorders>
              <w:top w:val="nil"/>
              <w:left w:val="nil"/>
              <w:bottom w:val="nil"/>
              <w:right w:val="nil"/>
            </w:tcBorders>
          </w:tcPr>
          <w:p>
            <w:pPr>
              <w:pStyle w:val="Normal6a"/>
            </w:pPr>
            <w:r>
              <w:t>34.</w:t>
            </w:r>
            <w:r>
              <w:tab/>
            </w:r>
            <w:r>
              <w:t xml:space="preserve">invita la Commissione, anche in questo caso nel rispetto del regolamento finanziario riveduto, a garantire che la prossima generazione di programmi sia negoziata sulla base di proposte che includano obiettivi specifici, misurabili, attuabili, pertinenti e temporalmente definiti, nonché indicatori pertinenti, accettati, credibili, facili, solidi e basati su prove scientifiche ampiamente riconosciute, e fa osservare che, se del caso, i dati raccolti in relazione a tali indicatori dovrebbero essere disaggregati per genere e raccolti in modo da consentire l'aggregazione di tali dati in tutti i programmi pertinenti; </w:t>
            </w:r>
            <w:r>
              <w:rPr>
                <w:b/>
                <w:i/>
              </w:rPr>
              <w:t>invita a sviluppare e migliorare ulteriormente la metodologia di monitoraggio della dimensione di genere dell'UE e ricorda l'importanza di utilizzare sistematicamente strumenti digitali quali l'intelligenza artificiale per migliorare la raccolta, l'aggregazione e l'analisi dei dati comune a più programmi;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36.</w:t>
            </w:r>
            <w:r>
              <w:tab/>
            </w:r>
            <w:r>
              <w:rPr>
                <w:b/>
                <w:i/>
              </w:rPr>
              <w:t>invita la Commissione a dedicare almeno il 90 % di tutte le azioni esterne dell'UE a interventi che contribuiscano alla parità di genere e all'emancipazione femminile, e a dedicare altresì il 25 % degli strumenti di finanziamento esterno dell'UE nel prossimo QFP alla promozione della parità di genere quale obiettivo principale;</w:t>
            </w:r>
            <w:r>
              <w:t xml:space="preserve"> </w:t>
            </w:r>
            <w:r>
              <w:rPr>
                <w:b/>
                <w:i/>
              </w:rPr>
              <w:t>invita inoltre la Commissione a istituire un fondo dedicato alla promozione della parità di genere a livello globale e a garantire che le azioni che esso sostiene siano incentrate sull'accesso alla salute sessuale e riproduttiva e relativi diritti, aumentando la partecipazione delle donne al processo decisionale, sostenendo le organizzazioni non governative locali guidate da donne e assistendo le donne impegnate nella difesa dei diritti umani a livello locale;</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36.</w:t>
            </w:r>
            <w:r>
              <w:tab/>
            </w:r>
            <w:r>
              <w:rPr>
                <w:b/>
                <w:i/>
              </w:rPr>
              <w:t>invita</w:t>
            </w:r>
            <w:r>
              <w:t xml:space="preserve"> la Commissione a </w:t>
            </w:r>
            <w:r>
              <w:rPr>
                <w:b/>
                <w:i/>
              </w:rPr>
              <w:t>dedicare almeno il 90 % di tutte le</w:t>
            </w:r>
            <w:r>
              <w:t xml:space="preserve"> azioni esterne dell'UE </w:t>
            </w:r>
            <w:r>
              <w:rPr>
                <w:b/>
                <w:i/>
              </w:rPr>
              <w:t>a interventi che contribuiscano</w:t>
            </w:r>
            <w:r>
              <w:t xml:space="preserve"> alla parità di genere </w:t>
            </w:r>
            <w:r>
              <w:rPr>
                <w:b/>
                <w:i/>
              </w:rPr>
              <w:t>e all'emancipazione femminile, e a dedicare altresì il 25 % degli strumenti di finanziamento esterno dell'UE nel prossimo QFP alla promozione della</w:t>
            </w:r>
            <w:r>
              <w:t xml:space="preserve"> parità di genere </w:t>
            </w:r>
            <w:r>
              <w:rPr>
                <w:b/>
                <w:i/>
              </w:rPr>
              <w:t>quale obiettivo principale</w:t>
            </w:r>
            <w:r>
              <w:t xml:space="preserve">; </w:t>
            </w:r>
            <w:r>
              <w:rPr>
                <w:b/>
                <w:i/>
              </w:rPr>
              <w:t>invita inoltre la Commissione a istituire un fondo dedicato alla promozione della parità di genere a livello globale e a garantire che le azioni che esso sostiene siano incentrate sull'accesso alla salute sessuale e riproduttiva e relativi diritti, aumentando la partecipazione delle donne al processo decisionale, sostenendo le organizzazioni non governative locali guidate da donne e assistendo le donne impegnate nella difesa dei diritti umani a livello locale;</w:t>
            </w:r>
          </w:p>
        </w:tc>
        <w:tc>
          <w:tcPr>
            <w:tcW w:w="4876" w:type="dxa"/>
            <w:tcBorders>
              <w:top w:val="nil"/>
              <w:left w:val="nil"/>
              <w:bottom w:val="nil"/>
              <w:right w:val="nil"/>
            </w:tcBorders>
          </w:tcPr>
          <w:p>
            <w:pPr>
              <w:pStyle w:val="Normal6a"/>
            </w:pPr>
            <w:r>
              <w:t>36.</w:t>
            </w:r>
            <w:r>
              <w:tab/>
            </w:r>
            <w:r>
              <w:rPr>
                <w:b/>
                <w:i/>
              </w:rPr>
              <w:t>incoraggia</w:t>
            </w:r>
            <w:r>
              <w:t xml:space="preserve"> la Commissione a </w:t>
            </w:r>
            <w:r>
              <w:rPr>
                <w:b/>
                <w:i/>
              </w:rPr>
              <w:t>garantire che una maggioranza consistente - idealmente circa l'85 % - delle</w:t>
            </w:r>
            <w:r>
              <w:t xml:space="preserve"> azioni esterne dell'UE </w:t>
            </w:r>
            <w:r>
              <w:rPr>
                <w:b/>
                <w:i/>
              </w:rPr>
              <w:t>contribuisca in modo significativo</w:t>
            </w:r>
            <w:r>
              <w:t xml:space="preserve"> alla parità di genere</w:t>
            </w:r>
            <w:r>
              <w:rPr>
                <w:b/>
                <w:i/>
              </w:rPr>
              <w:t>, in linea con gli obiettivi del piano d'azione sulla</w:t>
            </w:r>
            <w:r>
              <w:t xml:space="preserve"> parità di genere </w:t>
            </w:r>
            <w:r>
              <w:rPr>
                <w:b/>
                <w:i/>
              </w:rPr>
              <w:t>III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Olivier Chastel,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36.</w:t>
            </w:r>
            <w:r>
              <w:tab/>
            </w:r>
            <w:r>
              <w:t xml:space="preserve">invita la Commissione a dedicare </w:t>
            </w:r>
            <w:r>
              <w:rPr>
                <w:b/>
                <w:i/>
              </w:rPr>
              <w:t>almeno il 90 %</w:t>
            </w:r>
            <w:r>
              <w:t xml:space="preserve"> di tutte le azioni esterne dell'UE a interventi che contribuiscano alla parità di genere e all'emancipazione femminile, e a dedicare altresì il 25 % degli strumenti di finanziamento esterno dell'UE nel prossimo QFP alla promozione della parità di genere quale obiettivo principale; invita inoltre la Commissione a istituire un fondo dedicato alla promozione della parità di genere a livello globale e a garantire che le azioni che esso sostiene siano incentrate sull'accesso alla salute sessuale e riproduttiva e relativi diritti, aumentando la partecipazione delle donne al processo decisionale, sostenendo le organizzazioni non governative locali guidate da donne e assistendo le donne impegnate nella difesa dei diritti umani a livello locale;</w:t>
            </w:r>
          </w:p>
        </w:tc>
        <w:tc>
          <w:tcPr>
            <w:tcW w:w="4876" w:type="dxa"/>
            <w:tcBorders>
              <w:top w:val="nil"/>
              <w:left w:val="nil"/>
              <w:bottom w:val="nil"/>
              <w:right w:val="nil"/>
            </w:tcBorders>
          </w:tcPr>
          <w:p>
            <w:pPr>
              <w:pStyle w:val="Normal6a"/>
            </w:pPr>
            <w:r>
              <w:t>36.</w:t>
            </w:r>
            <w:r>
              <w:tab/>
            </w:r>
            <w:r>
              <w:t xml:space="preserve">invita la Commissione a dedicare </w:t>
            </w:r>
            <w:r>
              <w:rPr>
                <w:b/>
                <w:i/>
              </w:rPr>
              <w:t>un bilancio più consistente</w:t>
            </w:r>
            <w:r>
              <w:t xml:space="preserve"> di tutte le azioni esterne dell'UE a interventi che contribuiscano alla parità di genere e all'emancipazione femminile, e a dedicare altresì il 25 % degli strumenti di finanziamento esterno dell'UE nel prossimo QFP alla promozione della parità di genere quale obiettivo principale; invita inoltre la Commissione a istituire un fondo dedicato alla promozione della parità di genere a livello globale e a garantire che le azioni che esso sostiene siano incentrate sull'accesso alla salute sessuale e riproduttiva e relativi diritti, aumentando la partecipazione delle donne al processo decisionale, sostenendo le organizzazioni non governative locali guidate da donne e assistendo le donne impegnate nella difesa dei diritti umani a livello locale;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36 bis.</w:t>
            </w:r>
            <w:r>
              <w:tab/>
            </w:r>
            <w:r>
              <w:rPr>
                <w:b/>
                <w:i/>
              </w:rPr>
              <w:t>afferma che la protezione dei diritti delle donne e la lotta contro tutte le forme di violenza nei confronti delle donne e delle ragazze devono rimanere una priorità distinta e non negoziabile dell'Unione;</w:t>
            </w:r>
            <w:r>
              <w:t xml:space="preserve"> </w:t>
            </w:r>
            <w:r>
              <w:rPr>
                <w:b/>
                <w:i/>
              </w:rPr>
              <w:t>sottolinea che tali obiettivi sono radicati nei diritti umani e negli obblighi giuridici universalmente riconosciuti e che pertanto non dovrebbero essere diluiti o inglobati nell'ambito dell'ideologia di genere o di costruzioni di genere più ampie e contestate, che rischiano di deviare l'attenzione e le risorse dalle sfide concrete a cui sono confrontate le donne;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36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36 ter.</w:t>
            </w:r>
            <w:r>
              <w:tab/>
            </w:r>
            <w:r>
              <w:rPr>
                <w:b/>
                <w:i/>
              </w:rPr>
              <w:t>sottolinea che l'azione esterna e la politica estera dell'Unione non dovrebbero essere guidate dall'ideologia di genere o da costruzioni o ideologie correlate, ma dovrebbero invece fondarsi sui principi del diritto internazionale, del rispetto della sovranità dello Stato, della promozione della pace, della sicurezza, della cooperazione economica e della tutela dei diritti umani fondamentali, compresi i diritti delle donne e delle ragazze;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37 bis.</w:t>
            </w:r>
            <w:r>
              <w:tab/>
            </w:r>
            <w:r>
              <w:rPr>
                <w:b/>
                <w:i/>
              </w:rPr>
              <w:t>constata con preoccupazione che le attuali pratiche di rendicontazione di bilancio non forniscono una ripartizione chiara e pubblica dei fondi destinati in modo specifico ai diritti delle donne, a differenza delle iniziative relative alle persone LGBT;</w:t>
            </w:r>
            <w:r>
              <w:t xml:space="preserve"> </w:t>
            </w:r>
            <w:r>
              <w:rPr>
                <w:b/>
                <w:i/>
              </w:rPr>
              <w:t>sottolinea che molti programmi dell'UE raggruppano obiettivi distinti in categorie generali quali la "parità di genere" o la "non discriminazione", rendendo impossibile valutare l'entità dei finanziamenti destinati esclusivamente alla lotta alla violenza contro le donne, al sostegno dell'emancipazione femminile e alla promozione della partecipazione socioeconomica delle donne;</w:t>
            </w:r>
            <w:r>
              <w:t xml:space="preserve"> </w:t>
            </w:r>
            <w:r>
              <w:rPr>
                <w:b/>
                <w:i/>
              </w:rPr>
              <w:t>chiede un sistema di rendicontazione trasparente e disaggregato, che distingua gli stanziamenti per i diritti delle donne da quelli destinati ad altri settori strategici, al fine di garantire la responsabilità, un controllo efficace e un uso mirato delle risorse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37 bis.</w:t>
            </w:r>
            <w:r>
              <w:tab/>
            </w:r>
            <w:r>
              <w:rPr>
                <w:b/>
                <w:i/>
              </w:rPr>
              <w:t>invita la Commissione a garantire che i programmi finanziati dall'UE tutelino e promuovano i diritti delle donne, prestando una particolare attenzione all'accesso all'assistenza sanitaria pubblica, all'assistenza all'infanzia, nonché alla salute sessuale e riproduttiva e ai relativi diritti;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Caterina Chinnici,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38.</w:t>
            </w:r>
            <w:r>
              <w:tab/>
            </w:r>
            <w:r>
              <w:rPr>
                <w:b/>
                <w:i/>
              </w:rPr>
              <w:t>riconosce che il divario retributivo di genere continua a essere un problema significativo nelle</w:t>
            </w:r>
            <w:r>
              <w:t xml:space="preserve"> istituzioni </w:t>
            </w:r>
            <w:r>
              <w:rPr>
                <w:b/>
                <w:i/>
              </w:rPr>
              <w:t>dell'UE;</w:t>
            </w:r>
            <w:r>
              <w:t xml:space="preserve"> </w:t>
            </w:r>
            <w:r>
              <w:rPr>
                <w:b/>
                <w:i/>
              </w:rPr>
              <w:t>esorta</w:t>
            </w:r>
            <w:r>
              <w:t xml:space="preserve"> la Commissione a condurre </w:t>
            </w:r>
            <w:r>
              <w:rPr>
                <w:b/>
                <w:i/>
              </w:rPr>
              <w:t>un'indagine approfondita</w:t>
            </w:r>
            <w:r>
              <w:t xml:space="preserve"> per individuare</w:t>
            </w:r>
            <w:r>
              <w:rPr>
                <w:b/>
                <w:i/>
              </w:rPr>
              <w:t>, all'interno di dette istituzioni,</w:t>
            </w:r>
            <w:r>
              <w:t xml:space="preserve"> i settori in cui </w:t>
            </w:r>
            <w:r>
              <w:rPr>
                <w:b/>
                <w:i/>
              </w:rPr>
              <w:t>il divario è particolarmente ampio e invita la Commissione ad</w:t>
            </w:r>
            <w:r>
              <w:t xml:space="preserve"> attuare misure </w:t>
            </w:r>
            <w:r>
              <w:rPr>
                <w:b/>
                <w:i/>
              </w:rPr>
              <w:t>volte a garantire che le</w:t>
            </w:r>
            <w:r>
              <w:t xml:space="preserve"> istituzioni </w:t>
            </w:r>
            <w:r>
              <w:rPr>
                <w:b/>
                <w:i/>
              </w:rPr>
              <w:t>rispettino i principi da esse difesi e a fissare l'obiettivo di eliminare il divario retributivo di genere nel loro ambito entro il 2030</w:t>
            </w:r>
            <w:r>
              <w:t>;</w:t>
            </w:r>
          </w:p>
        </w:tc>
        <w:tc>
          <w:tcPr>
            <w:tcW w:w="4876" w:type="dxa"/>
            <w:tcBorders>
              <w:top w:val="nil"/>
              <w:left w:val="nil"/>
              <w:bottom w:val="nil"/>
              <w:right w:val="nil"/>
            </w:tcBorders>
          </w:tcPr>
          <w:p>
            <w:pPr>
              <w:pStyle w:val="Normal6a"/>
            </w:pPr>
            <w:r>
              <w:t>38.</w:t>
            </w:r>
            <w:r>
              <w:tab/>
            </w:r>
            <w:r>
              <w:rPr>
                <w:b/>
                <w:i/>
              </w:rPr>
              <w:t>rinnova il suo invito alle</w:t>
            </w:r>
            <w:r>
              <w:t xml:space="preserve"> istituzioni</w:t>
            </w:r>
            <w:r>
              <w:rPr>
                <w:b/>
                <w:i/>
              </w:rPr>
              <w:t>, agli organi e agli organismi dell'UE a migliorare l'equilibrio di genere al livello dell'alta dirigenza;</w:t>
            </w:r>
            <w:r>
              <w:t xml:space="preserve"> </w:t>
            </w:r>
            <w:r>
              <w:rPr>
                <w:b/>
                <w:i/>
              </w:rPr>
              <w:t>invita</w:t>
            </w:r>
            <w:r>
              <w:t xml:space="preserve"> la Commissione a condurre </w:t>
            </w:r>
            <w:r>
              <w:rPr>
                <w:b/>
                <w:i/>
              </w:rPr>
              <w:t>un'analisi</w:t>
            </w:r>
            <w:r>
              <w:t xml:space="preserve"> per individuare i settori in cui </w:t>
            </w:r>
            <w:r>
              <w:rPr>
                <w:b/>
                <w:i/>
              </w:rPr>
              <w:t>tale miglioramento è più necessario e a valutare la possibilità di</w:t>
            </w:r>
            <w:r>
              <w:t xml:space="preserve"> attuare </w:t>
            </w:r>
            <w:r>
              <w:rPr>
                <w:b/>
                <w:i/>
              </w:rPr>
              <w:t>ulteriori</w:t>
            </w:r>
            <w:r>
              <w:t xml:space="preserve"> misure </w:t>
            </w:r>
            <w:r>
              <w:rPr>
                <w:b/>
                <w:i/>
              </w:rPr>
              <w:t>per conseguire l'equilibrio di genere all'interno delle</w:t>
            </w:r>
            <w:r>
              <w:t xml:space="preserve"> istituzioni</w:t>
            </w:r>
            <w:r>
              <w:rPr>
                <w:b/>
                <w:i/>
              </w:rPr>
              <w:t>, degli organi e degli organismi dell'UE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Olivier Chastel,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38.</w:t>
            </w:r>
            <w:r>
              <w:tab/>
            </w:r>
            <w:r>
              <w:t xml:space="preserve">riconosce che il divario retributivo di genere continua a essere un problema significativo nelle istituzioni dell'UE; esorta la Commissione a condurre un'indagine approfondita per individuare, all'interno di dette istituzioni, i settori in cui il divario è particolarmente ampio e invita la Commissione ad attuare misure volte a garantire che le istituzioni rispettino i principi da esse difesi e a fissare l'obiettivo di eliminare il divario retributivo di genere nel loro ambito </w:t>
            </w:r>
            <w:r>
              <w:rPr>
                <w:b/>
                <w:i/>
              </w:rPr>
              <w:t>entro il 2030</w:t>
            </w:r>
            <w:r>
              <w:t>;</w:t>
            </w:r>
          </w:p>
        </w:tc>
        <w:tc>
          <w:tcPr>
            <w:tcW w:w="4876" w:type="dxa"/>
            <w:tcBorders>
              <w:top w:val="nil"/>
              <w:left w:val="nil"/>
              <w:bottom w:val="nil"/>
              <w:right w:val="nil"/>
            </w:tcBorders>
          </w:tcPr>
          <w:p>
            <w:pPr>
              <w:pStyle w:val="Normal6a"/>
            </w:pPr>
            <w:r>
              <w:t>38.</w:t>
            </w:r>
            <w:r>
              <w:tab/>
            </w:r>
            <w:r>
              <w:t xml:space="preserve">riconosce che il divario retributivo di genere continua a essere un problema significativo nelle istituzioni dell'UE; esorta la Commissione a condurre un'indagine approfondita per individuare, all'interno di dette istituzioni, i settori in cui il divario è particolarmente ampio e invita la Commissione ad attuare misure volte a garantire che le istituzioni rispettino i principi da esse difesi e a fissare l'obiettivo di eliminare il divario retributivo di genere nel loro ambito </w:t>
            </w:r>
            <w:r>
              <w:rPr>
                <w:b/>
                <w:i/>
              </w:rPr>
              <w:t>il prima possibile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38 bis.</w:t>
            </w:r>
            <w:r>
              <w:tab/>
            </w:r>
            <w:r>
              <w:rPr>
                <w:b/>
                <w:i/>
              </w:rPr>
              <w:t>mette in evidenza il ruolo importante del luogo di lavoro nel sostenere la vita familiare e l'assistenza nell'ambito della famiglia, e invita la Commissione a promuovere politiche occupazionali che consentano alle madri di assumere le responsabilità legate alla maternità e a entrambi i genitori di impegnarsi pienamente nella prestazione di assistenza;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Virginie Joron, Julien Sanchez,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39.</w:t>
            </w:r>
            <w:r>
              <w:tab/>
            </w:r>
            <w:r>
              <w:t xml:space="preserve">riconosce le persistenti disparità di genere in settori tradizionalmente a prevalenza maschile come l'energia nucleare, la difesa e le industrie ad alta intensità energetica; </w:t>
            </w:r>
            <w:r>
              <w:rPr>
                <w:b/>
                <w:i/>
              </w:rPr>
              <w:t>invita la Commissione a far sì che il bilancio di genere sia applicato come strumento correttivo e trasformativo, al fine di garantire che l'assegnazione delle risorse in tali settori contribuisca attivamente alla parità di genere;</w:t>
            </w:r>
          </w:p>
        </w:tc>
        <w:tc>
          <w:tcPr>
            <w:tcW w:w="4876" w:type="dxa"/>
            <w:tcBorders>
              <w:top w:val="nil"/>
              <w:left w:val="nil"/>
              <w:bottom w:val="nil"/>
              <w:right w:val="nil"/>
            </w:tcBorders>
          </w:tcPr>
          <w:p>
            <w:pPr>
              <w:pStyle w:val="Normal6a"/>
            </w:pPr>
            <w:r>
              <w:t>39.</w:t>
            </w:r>
            <w:r>
              <w:tab/>
            </w:r>
            <w:r>
              <w:t>riconosce le persistenti disparità di genere in settori tradizionalmente a prevalenza maschile come l'energia nucleare, la difesa e le industrie ad alta intensità energetica;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39.</w:t>
            </w:r>
            <w:r>
              <w:tab/>
            </w:r>
            <w:r>
              <w:t xml:space="preserve">riconosce le persistenti disparità di genere in settori tradizionalmente a prevalenza maschile come l'energia nucleare, la difesa e le industrie ad alta intensità energetica; invita la Commissione a </w:t>
            </w:r>
            <w:r>
              <w:rPr>
                <w:b/>
                <w:i/>
              </w:rPr>
              <w:t>far sì che il bilancio di genere sia applicato come strumento correttivo e trasformativo, al fine di</w:t>
            </w:r>
            <w:r>
              <w:t xml:space="preserve"> garantire che l'assegnazione delle risorse in tali settori contribuisca attivamente </w:t>
            </w:r>
            <w:r>
              <w:rPr>
                <w:b/>
                <w:i/>
              </w:rPr>
              <w:t>alla</w:t>
            </w:r>
            <w:r>
              <w:t xml:space="preserve"> parità </w:t>
            </w:r>
            <w:r>
              <w:rPr>
                <w:b/>
                <w:i/>
              </w:rPr>
              <w:t>di genere</w:t>
            </w:r>
            <w:r>
              <w:t>;</w:t>
            </w:r>
          </w:p>
        </w:tc>
        <w:tc>
          <w:tcPr>
            <w:tcW w:w="4876" w:type="dxa"/>
            <w:tcBorders>
              <w:top w:val="nil"/>
              <w:left w:val="nil"/>
              <w:bottom w:val="nil"/>
              <w:right w:val="nil"/>
            </w:tcBorders>
          </w:tcPr>
          <w:p>
            <w:pPr>
              <w:pStyle w:val="Normal6a"/>
            </w:pPr>
            <w:r>
              <w:t>39.</w:t>
            </w:r>
            <w:r>
              <w:tab/>
            </w:r>
            <w:r>
              <w:t xml:space="preserve">riconosce le persistenti disparità di genere in settori tradizionalmente a prevalenza maschile come l'energia nucleare, la difesa e le industrie ad alta intensità energetica; invita la Commissione a garantire che l'assegnazione delle risorse in tali settori contribuisca attivamente </w:t>
            </w:r>
            <w:r>
              <w:rPr>
                <w:b/>
                <w:i/>
              </w:rPr>
              <w:t>a incoraggiare la</w:t>
            </w:r>
            <w:r>
              <w:t xml:space="preserve"> parità </w:t>
            </w:r>
            <w:r>
              <w:rPr>
                <w:b/>
                <w:i/>
              </w:rPr>
              <w:t>tra donne e uomini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39.</w:t>
            </w:r>
            <w:r>
              <w:tab/>
            </w:r>
            <w:r>
              <w:t xml:space="preserve">riconosce le persistenti disparità di genere in settori tradizionalmente </w:t>
            </w:r>
            <w:r>
              <w:rPr>
                <w:b/>
                <w:i/>
              </w:rPr>
              <w:t>a prevalenza maschile come l'energia nucleare, la difesa e le industrie ad alta intensità energetica</w:t>
            </w:r>
            <w:r>
              <w:t xml:space="preserve">; invita la Commissione a </w:t>
            </w:r>
            <w:r>
              <w:rPr>
                <w:b/>
                <w:i/>
              </w:rPr>
              <w:t>far sì che il bilancio di genere sia applicato come strumento correttivo e trasformativo</w:t>
            </w:r>
            <w:r>
              <w:t xml:space="preserve">, al fine di garantire </w:t>
            </w:r>
            <w:r>
              <w:rPr>
                <w:b/>
                <w:i/>
              </w:rPr>
              <w:t>che l'assegnazione delle risorse in tali settori contribuisca attivamente alla</w:t>
            </w:r>
            <w:r>
              <w:t xml:space="preserve"> parità di genere;</w:t>
            </w:r>
          </w:p>
        </w:tc>
        <w:tc>
          <w:tcPr>
            <w:tcW w:w="4876" w:type="dxa"/>
            <w:tcBorders>
              <w:top w:val="nil"/>
              <w:left w:val="nil"/>
              <w:bottom w:val="nil"/>
              <w:right w:val="nil"/>
            </w:tcBorders>
          </w:tcPr>
          <w:p>
            <w:pPr>
              <w:pStyle w:val="Normal6a"/>
            </w:pPr>
            <w:r>
              <w:t>39.</w:t>
            </w:r>
            <w:r>
              <w:tab/>
            </w:r>
            <w:r>
              <w:t xml:space="preserve">riconosce le persistenti disparità di genere in </w:t>
            </w:r>
            <w:r>
              <w:rPr>
                <w:b/>
                <w:i/>
              </w:rPr>
              <w:t>vari</w:t>
            </w:r>
            <w:r>
              <w:t xml:space="preserve"> settori tradizionalmente </w:t>
            </w:r>
            <w:r>
              <w:rPr>
                <w:b/>
                <w:i/>
              </w:rPr>
              <w:t>occupati da un unico genere</w:t>
            </w:r>
            <w:r>
              <w:t xml:space="preserve">; invita la Commissione a </w:t>
            </w:r>
            <w:r>
              <w:rPr>
                <w:b/>
                <w:i/>
              </w:rPr>
              <w:t>garantire e monitorare condizioni non discriminatorie per accedere alle competenze e ai programmi di istruzione necessari per tutti i generi</w:t>
            </w:r>
            <w:r>
              <w:t xml:space="preserve">, al fine di garantire </w:t>
            </w:r>
            <w:r>
              <w:rPr>
                <w:b/>
                <w:i/>
              </w:rPr>
              <w:t>una migliore</w:t>
            </w:r>
            <w:r>
              <w:t xml:space="preserve"> parità di genere </w:t>
            </w:r>
            <w:r>
              <w:rPr>
                <w:b/>
                <w:i/>
              </w:rPr>
              <w:t>in questi settori specifici senza nuocere alla loro competitività</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Olivier Chastel, Gerben-Jan Gerbrandy, Vlad Vasile-Voiculescu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39.</w:t>
            </w:r>
            <w:r>
              <w:tab/>
            </w:r>
            <w:r>
              <w:t xml:space="preserve">riconosce le persistenti disparità di genere in settori </w:t>
            </w:r>
            <w:r>
              <w:rPr>
                <w:b/>
                <w:i/>
              </w:rPr>
              <w:t>tradizionalmente a prevalenza maschile</w:t>
            </w:r>
            <w:r>
              <w:t xml:space="preserve"> come l'energia nucleare, la difesa e le industrie ad alta intensità energetica; invita la Commissione a far sì che il bilancio di genere sia applicato come strumento correttivo e trasformativo, al fine di garantire che l'assegnazione delle risorse in tali settori contribuisca attivamente alla parità di genere;</w:t>
            </w:r>
          </w:p>
        </w:tc>
        <w:tc>
          <w:tcPr>
            <w:tcW w:w="4876" w:type="dxa"/>
            <w:tcBorders>
              <w:top w:val="nil"/>
              <w:left w:val="nil"/>
              <w:bottom w:val="nil"/>
              <w:right w:val="nil"/>
            </w:tcBorders>
          </w:tcPr>
          <w:p>
            <w:pPr>
              <w:pStyle w:val="Normal6a"/>
            </w:pPr>
            <w:r>
              <w:t>39.</w:t>
            </w:r>
            <w:r>
              <w:tab/>
            </w:r>
            <w:r>
              <w:t xml:space="preserve">riconosce le persistenti disparità di genere in </w:t>
            </w:r>
            <w:r>
              <w:rPr>
                <w:b/>
                <w:i/>
              </w:rPr>
              <w:t>alcuni</w:t>
            </w:r>
            <w:r>
              <w:t xml:space="preserve"> settori come l'energia nucleare, la difesa e le industrie ad alta intensità energetica; invita la Commissione a far sì che il bilancio di genere sia applicato come strumento correttivo e trasformativo, al fine di garantire che l'assegnazione delle risorse in tali settori contribuisca attivamente alla parità di genere; </w:t>
            </w:r>
            <w:r>
              <w:rPr>
                <w:b/>
                <w:i/>
              </w:rPr>
              <w:t>chiede di prestare particolare attenzione alle imprenditrici, specialmente nelle PMI e nelle start-up, compreso un monitoraggio specifico in programmi quali InvestEU o Orizzonte Europa;</w:t>
            </w:r>
            <w:r>
              <w:t xml:space="preserve"> </w:t>
            </w:r>
            <w:r>
              <w:rPr>
                <w:b/>
                <w:i/>
              </w:rPr>
              <w:t>chiede meccanismi di monitoraggio e rendicontazione più solidi per garantire che i fondi vadano effettivamente a beneficio delle donne e dei gruppi emarginati;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777.066</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42</w:t>
    </w:r>
    <w:r>
      <w:fldChar w:fldCharType="end"/>
    </w:r>
    <w:r>
      <w:t>/</w:t>
    </w:r>
    <w:r>
      <w:fldChar w:fldCharType="begin"/>
    </w:r>
    <w:r>
      <w:instrText xml:space="preserve"> NUMPAGES </w:instrText>
    </w:r>
    <w:r>
      <w:fldChar w:fldCharType="separate"/>
    </w:r>
    <w:r>
      <w:t>43</w:t>
    </w:r>
    <w:r>
      <w:fldChar w:fldCharType="end"/>
    </w:r>
    <w:r>
      <w:tab/>
    </w:r>
    <w:r>
      <w:rPr>
        <w:rStyle w:val="HideTWBExt"/>
      </w:rPr>
      <w:t>&lt;PathFdR&gt;</w:t>
    </w:r>
    <w:r>
      <w:t>AM\1328085IT.docx</w:t>
    </w:r>
    <w:r>
      <w:rPr>
        <w:rStyle w:val="HideTWBExt"/>
      </w:rPr>
      <w:t>&lt;/PathFdR&gt;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AM\1328085IT.docx</w:t>
    </w:r>
    <w:r>
      <w:rPr>
        <w:rStyle w:val="HideTWBExt"/>
      </w:rPr>
      <w:t>&lt;/PathFdR&gt;</w:t>
    </w:r>
    <w:r>
      <w:tab/>
    </w:r>
    <w:r>
      <w:fldChar w:fldCharType="begin"/>
    </w:r>
    <w:r>
      <w:instrText xml:space="preserve"> PAGE </w:instrText>
    </w:r>
    <w:r>
      <w:fldChar w:fldCharType="separate"/>
    </w:r>
    <w:r>
      <w:t>43</w:t>
    </w:r>
    <w:r>
      <w:fldChar w:fldCharType="end"/>
    </w:r>
    <w:r>
      <w:t>/</w:t>
    </w:r>
    <w:r>
      <w:fldChar w:fldCharType="begin"/>
    </w:r>
    <w:r>
      <w:instrText xml:space="preserve"> NUMPAGES </w:instrText>
    </w:r>
    <w:r>
      <w:fldChar w:fldCharType="separate"/>
    </w:r>
    <w:r>
      <w:t>43</w:t>
    </w:r>
    <w:r>
      <w:fldChar w:fldCharType="end"/>
    </w:r>
    <w:r>
      <w:tab/>
    </w:r>
    <w:r>
      <w:t>PE</w:t>
    </w:r>
    <w:r>
      <w:rPr>
        <w:rStyle w:val="HideTWBExt"/>
      </w:rPr>
      <w:t>&lt;NoPE&gt;</w:t>
    </w:r>
    <w:r>
      <w:t>777.066</w:t>
    </w:r>
    <w:r>
      <w:rPr>
        <w:rStyle w:val="HideTWBExt"/>
      </w:rPr>
      <w:t>&lt;/NoPE&gt;</w:t>
    </w:r>
    <w:r>
      <w:rPr>
        <w:rStyle w:val="HideTWBExt"/>
      </w:rPr>
      <w:t>&lt;Version&gt;</w:t>
    </w:r>
    <w:r>
      <w:t>v01-00</w:t>
    </w:r>
    <w:r>
      <w:rPr>
        <w:rStyle w:val="HideTWBExt"/>
      </w:rPr>
      <w:t>&lt;/Version&gt;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AM\1328085IT.docx</w:t>
    </w:r>
    <w:r>
      <w:rPr>
        <w:rStyle w:val="HideTWBExt"/>
      </w:rPr>
      <w:t>&lt;/PathFdR&gt;</w:t>
    </w:r>
    <w:r>
      <w:tab/>
    </w:r>
    <w:r>
      <w:tab/>
    </w:r>
    <w:r>
      <w:t>PE</w:t>
    </w:r>
    <w:r>
      <w:rPr>
        <w:rStyle w:val="HideTWBExt"/>
      </w:rPr>
      <w:t>&lt;NoPE&gt;</w:t>
    </w:r>
    <w:r>
      <w:t>777.066</w:t>
    </w:r>
    <w:r>
      <w:rPr>
        <w:rStyle w:val="HideTWBExt"/>
      </w:rPr>
      <w:t>&lt;/NoPE&gt;</w:t>
    </w:r>
    <w:r>
      <w:rPr>
        <w:rStyle w:val="HideTWBExt"/>
      </w:rPr>
      <w:t>&lt;Version&gt;</w:t>
    </w:r>
    <w:r>
      <w:t>v01-00</w:t>
    </w:r>
    <w:r>
      <w:rPr>
        <w:rStyle w:val="HideTWBExt"/>
      </w:rPr>
      <w:t>&lt;/Version&gt;</w:t>
    </w:r>
  </w:p>
  <w:p>
    <w:pPr>
      <w:pStyle w:val="EPFooter2"/>
    </w:pPr>
    <w:r>
      <w:t>IT</w:t>
    </w:r>
    <w:r>
      <w:tab/>
    </w:r>
    <w:r>
      <w:rPr>
        <w:rStyle w:val="EPFooter2Motto"/>
      </w:rPr>
      <w:t>Unita nella diversità</w:t>
    </w:r>
    <w:r>
      <w:tab/>
    </w:r>
    <w:r>
      <w:t>IT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43</Pages>
  <Words>8878</Words>
  <Characters>53014</Characters>
  <Application>Microsoft Office Word</Application>
  <DocSecurity>0</DocSecurity>
  <Lines>1</Lines>
  <Paragraphs>763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1328085</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260539</vt:lpwstr>
  </property>
  <property fmtid="{D5CDD505-2E9C-101B-9397-08002B2CF9AE}" pid="7" name="dmxml.render.traceId">
    <vt:lpwstr>68ecba702476d9b6c4fef80daef56e24</vt:lpwstr>
  </property>
  <property fmtid="{D5CDD505-2E9C-101B-9397-08002B2CF9AE}" pid="8" name="FooterPath">
    <vt:lpwstr>AM\1328085IT.docx</vt:lpwstr>
  </property>
  <property fmtid="{D5CDD505-2E9C-101B-9397-08002B2CF9AE}" pid="9" name="PE Number">
    <vt:lpwstr>777.066</vt:lpwstr>
  </property>
  <property fmtid="{D5CDD505-2E9C-101B-9397-08002B2CF9AE}" pid="10" name="UID">
    <vt:lpwstr>eu.europa.europarl-DIN1-2025-0000175169_02.00-it-01.00_text-xml</vt:lpwstr>
  </property>
</Properties>
</file>