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Commissie begrotingscontrole</w:t>
      </w:r>
      <w:r>
        <w:rPr>
          <w:rStyle w:val="HideTWBExt"/>
        </w:rPr>
        <w:t>&lt;/Commission&gt;</w:t>
      </w:r>
    </w:p>
    <w:p>
      <w:pPr>
        <w:pStyle w:val="LineBottom"/>
      </w:pPr>
      <w:r>
        <w:t xml:space="preserve"> </w:t>
      </w:r>
    </w:p>
    <w:p>
      <w:pPr>
        <w:pStyle w:val="CoverReference"/>
      </w:pPr>
      <w:r>
        <w:rPr>
          <w:rStyle w:val="HideTWBExt"/>
        </w:rPr>
        <w:t>&lt;RefProc&gt;</w:t>
      </w:r>
      <w:r>
        <w:t>2025/2033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86</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Marit Maij</w:t>
      </w:r>
      <w:r>
        <w:rPr>
          <w:rStyle w:val="HideTWBExt"/>
        </w:rPr>
        <w:t>&lt;/Rapporteur&gt;</w:t>
      </w:r>
    </w:p>
    <w:p>
      <w:pPr>
        <w:pStyle w:val="CoverNormal24a"/>
      </w:pPr>
      <w:r>
        <w:rPr>
          <w:rStyle w:val="HideTWBExt"/>
        </w:rPr>
        <w:t>&lt;DocRefPE&gt;</w:t>
      </w:r>
      <w:r>
        <w:t>(PE775.770v02-00)</w:t>
      </w:r>
      <w:r>
        <w:rPr>
          <w:rStyle w:val="HideTWBExt"/>
        </w:rPr>
        <w:t>&lt;/DocRefPE&gt;</w:t>
      </w:r>
    </w:p>
    <w:p>
      <w:pPr>
        <w:pStyle w:val="CoverNormal"/>
      </w:pPr>
      <w:r>
        <w:rPr>
          <w:rStyle w:val="HideTWBExt"/>
        </w:rPr>
        <w:t>&lt;Titre&gt;</w:t>
      </w:r>
      <w:r>
        <w:t>Begroting 2024 — Beoordeling van de uitvoering van de gendermainstreamingmethode in de EU-begroting</w:t>
      </w:r>
      <w:r>
        <w:rPr>
          <w:rStyle w:val="HideTWBExt"/>
        </w:rPr>
        <w:t>&lt;/Titre&gt;</w:t>
      </w:r>
    </w:p>
    <w:p>
      <w:pPr>
        <w:pStyle w:val="CoverNormal24a"/>
      </w:pPr>
      <w:r>
        <w:rPr>
          <w:rStyle w:val="HideTWBExt"/>
        </w:rPr>
        <w:t>&lt;DocRef&gt;</w:t>
      </w:r>
      <w:r>
        <w:t>(2025/2033(INI))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voorstel van de Commissie van 16 juli 2025 voor een verordening van de Raad tot bepaling van het meerjarig financieel kader voor de jaren 2028-2034 (COM/2025/571),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voorstel van de Commissie van 16 juli 2025 voor een verordening van het Europees Parlement en de Raad tot vaststelling van een kader voor het traceren van begrotingsuitgaven en voor begrotingsprestaties en andere horizontale regels voor de programma’s en activiteiten van de Unie (COM/2025/545), en de bijbehorende effectbeoordeling (SWD/2025/590),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mededeling van de Commissie van 7 maart 2025 getiteld “Een routekaart voor vrouwenrechten” (COM(2025)0097),</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zijn resolutie van 21 januari 2021 over de EU-strategie inzake gendergelijkheid</w:t>
            </w:r>
            <w:r>
              <w:rPr>
                <w:b/>
                <w:i/>
                <w:vertAlign w:val="superscript"/>
              </w:rPr>
              <w:t>7</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PB C 456 van 10.11.2021, blz. 208.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zijn resolutie van 10 maart 2022 over gendermainstreaming in het Europees Parlement — jaarverslag 2020</w:t>
            </w:r>
            <w:r>
              <w:rPr>
                <w:b/>
                <w:i/>
                <w:vertAlign w:val="superscript"/>
              </w:rPr>
              <w:t>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PB C 347 van 9.9.2022, blz. 139.</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Speciaal verslag 10/2021 van de Europese Rekenkamer van 26 mei 2021 getiteld “Gendermainstreaming in de EU-begroting: tijd om de daad bij het woord te voegen”,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briefing van de Onderzoeksdienst van het Europees Parlement (EPRS) van februari 2025, getiteld “Gender-responsive budgeting: State of play and opportunities for the European Parliament’s 10th term” (Genderbudgettering:</w:t>
            </w:r>
            <w:r>
              <w:t xml:space="preserve"> </w:t>
            </w:r>
            <w:r>
              <w:rPr>
                <w:b/>
                <w:i/>
              </w:rPr>
              <w:t>stand van zaken en mogelijkheden voor de 10e zittingsperiode van het Europees Parlement),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in opdracht van zijn Begrotingscommissie en Commissie begrotingscontrole uitgevoerde studie "Genderbudgettering in de Europese Unie - stand van zaken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overwegende dat gendergelijkheid een in het primaire recht van de Unie verankerde doelstelling van de Unie is en een beginsel dat centraal moet staan in alle beleidslijnen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 xml:space="preserve">overwegende dat veel aan het concept "gendergelijkheid" wordt gerefereerd, maar dat het van essentieel belang is expliciet te verduidelijken dat "gendergelijkheid" in het kader van dit verslag specifiek verwijst naar de gelijkheid van mannen en vrouwen, met onderkenning van en respect voor de biologische en genetische realiteiten die hen definiëren; </w:t>
            </w:r>
            <w:r>
              <w:t xml:space="preserve"> </w:t>
            </w:r>
            <w:r>
              <w:rPr>
                <w:b/>
                <w:i/>
              </w:rPr>
              <w:t>overwegende dat de termen "man" en "vrouw" begrepen worden als verwijzingen naar individuen met onderscheiden biologische geslachten, in overeenstemming met de wetenschappelijke kennis;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w:t>
            </w:r>
            <w:r>
              <w:rPr>
                <w:b/>
                <w:i/>
              </w:rPr>
              <w:t>gendermainstreaming</w:t>
            </w:r>
            <w:r>
              <w:t xml:space="preserve"> een wereldwijd erkende strategie is om te zorgen voor de integratie van een genderperspectief bij het ontwerpen, uitvoeren en evalueren van </w:t>
            </w:r>
            <w:r>
              <w:rPr>
                <w:b/>
                <w:i/>
              </w:rPr>
              <w:t>alle</w:t>
            </w:r>
            <w:r>
              <w:t xml:space="preserve"> beleidslijnen, programma’s en maatregelen</w:t>
            </w:r>
            <w:r>
              <w:rPr>
                <w:b/>
                <w:i/>
              </w:rPr>
              <w:t>, teneinde gendergelijkheid te bevorderen en discriminatie te bestrijden</w:t>
            </w:r>
            <w:r>
              <w:t>;</w:t>
            </w:r>
          </w:p>
        </w:tc>
        <w:tc>
          <w:tcPr>
            <w:tcW w:w="4876" w:type="dxa"/>
            <w:tcBorders>
              <w:top w:val="nil"/>
              <w:left w:val="nil"/>
              <w:bottom w:val="nil"/>
              <w:right w:val="nil"/>
            </w:tcBorders>
          </w:tcPr>
          <w:p>
            <w:pPr>
              <w:pStyle w:val="Normal6a"/>
            </w:pPr>
            <w:r>
              <w:t>B.</w:t>
            </w:r>
            <w:r>
              <w:tab/>
            </w:r>
            <w:r>
              <w:t xml:space="preserve">overwegende dat </w:t>
            </w:r>
            <w:r>
              <w:rPr>
                <w:b/>
                <w:i/>
              </w:rPr>
              <w:t>het bevorderen van gendergelijkheid en het bestrijden van discriminatie</w:t>
            </w:r>
            <w:r>
              <w:t xml:space="preserve"> een wereldwijd erkende strategie is om te zorgen voor de integratie van een genderperspectief bij het ontwerpen, uitvoeren en evalueren van </w:t>
            </w:r>
            <w:r>
              <w:rPr>
                <w:b/>
                <w:i/>
              </w:rPr>
              <w:t>bepaalde Europese</w:t>
            </w:r>
            <w:r>
              <w:t xml:space="preserve"> beleidslijnen, programma’s en maatregelen;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bekritiseert evenwel het feit dat in de EU en wereldwijd zoveel financiering aan het concept gender wordt toegekend, gezien de praktische sociale en veiligheidsuitdagingen waar de burgers van de EU nu al meerdere jaren dag in, dag uit mee worden geconfronteerd;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genderbudgettering door de Raad van Europa wordt gedefinieerd als een op gender gebaseerde beoordeling van de begroting</w:t>
            </w:r>
            <w:r>
              <w:rPr>
                <w:b/>
                <w:i/>
              </w:rPr>
              <w:t>, waarbij het genderperspectief in alle niveaus van het begrotingsproces wordt opgenomen en inkomsten en uitgaven worden herschikt ter bevordering van gendergelijkheid</w:t>
            </w:r>
            <w:r>
              <w:t>;</w:t>
            </w:r>
          </w:p>
        </w:tc>
        <w:tc>
          <w:tcPr>
            <w:tcW w:w="4876" w:type="dxa"/>
            <w:tcBorders>
              <w:top w:val="nil"/>
              <w:left w:val="nil"/>
              <w:bottom w:val="nil"/>
              <w:right w:val="nil"/>
            </w:tcBorders>
          </w:tcPr>
          <w:p>
            <w:pPr>
              <w:pStyle w:val="Normal6a"/>
            </w:pPr>
            <w:r>
              <w:t>C.</w:t>
            </w:r>
            <w:r>
              <w:tab/>
            </w:r>
            <w:r>
              <w:t>overwegende dat genderbudgettering door de Raad van Europa wordt gedefinieerd als een op gender gebaseerde beoordeling van de begroting;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het EIGE genderbudgettering omschrijft als een instrument waarmee beleidsmakers verantwoordingsplicht en transparantie kunnen bevorderen, een evenwichtige deelname van alle genders aan het begrotingsproces kunnen vergroten </w:t>
            </w:r>
            <w:r>
              <w:rPr>
                <w:b/>
                <w:i/>
              </w:rPr>
              <w:t>en gendergelijkheid kunnen bevorderen</w:t>
            </w:r>
            <w:r>
              <w:t>;</w:t>
            </w:r>
          </w:p>
        </w:tc>
        <w:tc>
          <w:tcPr>
            <w:tcW w:w="4876" w:type="dxa"/>
            <w:tcBorders>
              <w:top w:val="nil"/>
              <w:left w:val="nil"/>
              <w:bottom w:val="nil"/>
              <w:right w:val="nil"/>
            </w:tcBorders>
          </w:tcPr>
          <w:p>
            <w:pPr>
              <w:pStyle w:val="Normal6a"/>
            </w:pPr>
            <w:r>
              <w:t>D.</w:t>
            </w:r>
            <w:r>
              <w:tab/>
            </w:r>
            <w:r>
              <w:t xml:space="preserve">overwegende dat het EIGE genderbudgettering omschrijft als een instrument waarmee beleidsmakers verantwoordingsplicht en transparantie kunnen bevorderen, </w:t>
            </w:r>
            <w:r>
              <w:rPr>
                <w:b/>
                <w:i/>
              </w:rPr>
              <w:t>en</w:t>
            </w:r>
            <w:r>
              <w:t xml:space="preserve"> een evenwichtige deelname van alle genders aan het begrotingsproces kunnen vergroten;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de integratie van gendergelijkheid als horizontale prioriteit in de begroting van de Unie een kwestie is die al lang een punt van zorg vormt voor zowel de Commissie begrotingscontrole als het Parlement, en wordt beschouwd als een </w:t>
            </w:r>
            <w:r>
              <w:rPr>
                <w:b/>
                <w:i/>
              </w:rPr>
              <w:t>essentieel</w:t>
            </w:r>
            <w:r>
              <w:t xml:space="preserve"> criterium bij de beoordeling van de uitvoering van de begroting van de Unie en het goede financiële beheer ervan;</w:t>
            </w:r>
          </w:p>
        </w:tc>
        <w:tc>
          <w:tcPr>
            <w:tcW w:w="4876" w:type="dxa"/>
            <w:tcBorders>
              <w:top w:val="nil"/>
              <w:left w:val="nil"/>
              <w:bottom w:val="nil"/>
              <w:right w:val="nil"/>
            </w:tcBorders>
          </w:tcPr>
          <w:p>
            <w:pPr>
              <w:pStyle w:val="Normal6a"/>
            </w:pPr>
            <w:r>
              <w:t>F.</w:t>
            </w:r>
            <w:r>
              <w:tab/>
            </w:r>
            <w:r>
              <w:t xml:space="preserve">overwegende dat de integratie van gendergelijkheid als horizontale prioriteit in de begroting van de Unie een kwestie is die al lang een punt van zorg vormt voor zowel de Commissie begrotingscontrole als het Parlement, en wordt beschouwd als een </w:t>
            </w:r>
            <w:r>
              <w:rPr>
                <w:b/>
                <w:i/>
              </w:rPr>
              <w:t>belangrijk</w:t>
            </w:r>
            <w:r>
              <w:t xml:space="preserve"> criterium bij de beoordeling van de uitvoering van de begroting van de Unie en het goede financiële beheer ervan; </w:t>
            </w:r>
            <w:r>
              <w:rPr>
                <w:b/>
                <w:i/>
              </w:rPr>
              <w:t xml:space="preserve">stelt in dit verband vast dat het Parlement en met name zijn Commissie begrotingscontrole als voorbeelden van goede praktijken moeten dienen; </w:t>
            </w:r>
            <w:r>
              <w:t xml:space="preserve"> </w:t>
            </w:r>
            <w:r>
              <w:rPr>
                <w:b/>
                <w:i/>
              </w:rPr>
              <w:t>betreurt dat dit dode letter blijft, gezien het feit dat het Bureau vier mannen en één vrouw telt, hetgeen niet strookt met de interne regels inzake genderevenwicht als bedoeld in artikel 219 van het Reglement en de verwachtingen met betrekking tot genderevenwicht die het beweert te verdedigen via de begrotingen van de Unie;</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de integratie van gendergelijkheid als horizontale prioriteit in de begroting van de Unie een kwestie is die al lang een punt van zorg vormt voor zowel de Commissie begrotingscontrole als het Parlement, en wordt beschouwd als een essentieel criterium bij de beoordeling van de uitvoering van de begroting van de Unie en het goede financiële beheer ervan;</w:t>
            </w:r>
          </w:p>
        </w:tc>
        <w:tc>
          <w:tcPr>
            <w:tcW w:w="4876" w:type="dxa"/>
            <w:tcBorders>
              <w:top w:val="nil"/>
              <w:left w:val="nil"/>
              <w:bottom w:val="nil"/>
              <w:right w:val="nil"/>
            </w:tcBorders>
          </w:tcPr>
          <w:p>
            <w:pPr>
              <w:pStyle w:val="Normal6a"/>
            </w:pPr>
            <w:r>
              <w:t>F.</w:t>
            </w:r>
            <w:r>
              <w:tab/>
            </w:r>
            <w:r>
              <w:t>overwegende dat de integratie van gendergelijkheid als horizontale prioriteit in de begroting van de Unie een kwestie is die al lang een punt van zorg vormt voor zowel de Commissie begrotingscontrole als het Parlement, en wordt beschouwd als een essentieel criterium bij de beoordeling van de uitvoering van de begroting van de Unie en het goede financiële beheer</w:t>
            </w:r>
            <w:r>
              <w:rPr>
                <w:b/>
                <w:i/>
              </w:rPr>
              <w:t>, de prestaties en de proportionaliteit</w:t>
            </w:r>
            <w:r>
              <w:t xml:space="preserve">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gendermainstreaming in de EU-begroting wordt versterkt in het kader van het Interinstitutioneel Akkoord bij het MFK 2021-2027, waaronder middels de vereisten om - ten eerste - in de context van het kader voor betere regelgeving de beoordeling van genderimpact in effectbeoordelingen en evaluaties te versterken en - ten tweede - een methode te ontwikkelen om (bij wijze van proef vanaf 2023) de uitgaven voor het bevorderen van gendergelijkheid op programmaniveau te meten;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het nastreven van gendergelijkheid een horizontale aanpak van genderbudgettering vereist waarbij rekening wordt gehouden met de meervoudige discriminatie van vrouwen die tot geracialiseerde groepen behoren, personen met een handicap, lhbtiq+-personen, en migranten, teneinde te waarborgen dat de middelen van de EU gebruikt worden voor het bevorderen van gelijkheid op alle gebieden;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het gezin de fundamentele maatschappelijke eenheid is en een kritieke rol vervult bij het bevorderen van het welzijn, de stabiliteit en de ontwikkeling van individuen, gemeenschappen en landen, en dat het van essentieel belang is dat de EU het gezin actief bevordert en ondersteunt met horizontale beleidsmaatregelen;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er sinds 2021 een zorgwekkende afname is van de inspanningen van de lidstaten om gendermainstreaming ten uitvoer te leggen, wat zich niet mag voortzetten op het niveau van de Unie;</w:t>
            </w:r>
          </w:p>
        </w:tc>
        <w:tc>
          <w:tcPr>
            <w:tcW w:w="4876" w:type="dxa"/>
            <w:tcBorders>
              <w:top w:val="nil"/>
              <w:left w:val="nil"/>
              <w:bottom w:val="nil"/>
              <w:right w:val="nil"/>
            </w:tcBorders>
          </w:tcPr>
          <w:p>
            <w:pPr>
              <w:pStyle w:val="Normal6a"/>
            </w:pPr>
            <w:r>
              <w:t>H.</w:t>
            </w:r>
            <w:r>
              <w:tab/>
            </w:r>
            <w:r>
              <w:t xml:space="preserve">overwegende </w:t>
            </w:r>
            <w:r>
              <w:rPr>
                <w:b/>
                <w:i/>
              </w:rPr>
              <w:t>dat het EIGE heeft gerapporteerd</w:t>
            </w:r>
            <w:r>
              <w:t xml:space="preserve"> dat er sinds 2021 een zorgwekkende afname is van de inspanningen van de lidstaten om gendermainstreaming ten uitvoer te leggen, wat zich niet mag voortzetten op het niveau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 systematische integratie van voorafgaande effectbeoordelingen inzake gendergelijkheid en mitigatiemaatregelen in de beleidsvormingsprocessen van de Unie noodzakelijk is om </w:t>
            </w:r>
            <w:r>
              <w:rPr>
                <w:b/>
                <w:i/>
              </w:rPr>
              <w:t>te voorkomen</w:t>
            </w:r>
            <w:r>
              <w:t xml:space="preserve"> dat toekomstige initiatieven </w:t>
            </w:r>
            <w:r>
              <w:rPr>
                <w:b/>
                <w:i/>
              </w:rPr>
              <w:t>onbedoeld</w:t>
            </w:r>
            <w:r>
              <w:t xml:space="preserve"> de gendergelijkheid </w:t>
            </w:r>
            <w:r>
              <w:rPr>
                <w:b/>
                <w:i/>
              </w:rPr>
              <w:t>in het gedrang brengen</w:t>
            </w:r>
            <w:r>
              <w:t>;</w:t>
            </w:r>
          </w:p>
        </w:tc>
        <w:tc>
          <w:tcPr>
            <w:tcW w:w="4876" w:type="dxa"/>
            <w:tcBorders>
              <w:top w:val="nil"/>
              <w:left w:val="nil"/>
              <w:bottom w:val="nil"/>
              <w:right w:val="nil"/>
            </w:tcBorders>
          </w:tcPr>
          <w:p>
            <w:pPr>
              <w:pStyle w:val="Normal6a"/>
            </w:pPr>
            <w:r>
              <w:t>I.</w:t>
            </w:r>
            <w:r>
              <w:tab/>
            </w:r>
            <w:r>
              <w:t xml:space="preserve">overwegende dat de systematische integratie van voorafgaande effectbeoordelingen inzake gendergelijkheid en mitigatiemaatregelen in de beleidsvormingsprocessen van de Unie noodzakelijk is om </w:t>
            </w:r>
            <w:r>
              <w:rPr>
                <w:b/>
                <w:i/>
              </w:rPr>
              <w:t>ervoor te zorgen</w:t>
            </w:r>
            <w:r>
              <w:t xml:space="preserve"> dat toekomstige initiatieven de gendergelijkheid </w:t>
            </w:r>
            <w:r>
              <w:rPr>
                <w:b/>
                <w:i/>
              </w:rPr>
              <w:t>bevorderen en niet ondermijnen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 ingenomen met</w:t>
            </w:r>
            <w:r>
              <w:t xml:space="preserve"> het feit dat de Commissie, in overeenstemming met haar bindende toezeggingen en ingevolge herhaalde verzoeken van het Parlement, een proefmethodologie heeft ontwikkeld om de uitgaven die verband houden met gendergelijkheid op programmaniveau in het MFK 2021</w:t>
            </w:r>
            <w:r>
              <w:rPr>
                <w:b/>
                <w:i/>
              </w:rPr>
              <w:t>‑</w:t>
            </w:r>
            <w:r>
              <w:t>2027 te volgen en te meten, teneinde gendermainstreaming in het begrotingsproces van de Commissie te verbeteren en ervoor te zorgen dat beleidsvorming en de toewijzing van middelen de doelstellingen op het gebied van gendergelijkheid beter bevorderen;</w:t>
            </w:r>
          </w:p>
        </w:tc>
        <w:tc>
          <w:tcPr>
            <w:tcW w:w="4876" w:type="dxa"/>
            <w:tcBorders>
              <w:top w:val="nil"/>
              <w:left w:val="nil"/>
              <w:bottom w:val="nil"/>
              <w:right w:val="nil"/>
            </w:tcBorders>
          </w:tcPr>
          <w:p>
            <w:pPr>
              <w:pStyle w:val="Normal6a"/>
            </w:pPr>
            <w:r>
              <w:t>1.</w:t>
            </w:r>
            <w:r>
              <w:tab/>
            </w:r>
            <w:r>
              <w:rPr>
                <w:b/>
                <w:i/>
              </w:rPr>
              <w:t>betreurt</w:t>
            </w:r>
            <w:r>
              <w:t xml:space="preserve"> het feit dat de Commissie, in overeenstemming met haar bindende toezeggingen en ingevolge herhaalde verzoeken van het Parlement, een proefmethodologie heeft ontwikkeld om de uitgaven die verband houden met gendergelijkheid op programmaniveau in het MFK 2021</w:t>
            </w:r>
            <w:r>
              <w:rPr>
                <w:b/>
                <w:i/>
              </w:rPr>
              <w:t>-</w:t>
            </w:r>
            <w:r>
              <w:t>2027 te volgen en te meten, teneinde gendermainstreaming in het begrotingsproces van de Commissie te verbeteren en ervoor te zorgen dat beleidsvorming en de toewijzing van middelen de doelstellingen op het gebied van gendergelijkheid beter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ingenomen met het feit dat de Commissie, in overeenstemming met haar bindende toezeggingen en ingevolge herhaalde verzoeken van het Parlement, een proefmethodologie heeft ontwikkeld om de uitgaven die verband houden met gendergelijkheid op programmaniveau in het MFK 2021‑2027 te volgen en te meten</w:t>
            </w:r>
            <w:r>
              <w:rPr>
                <w:b/>
                <w:i/>
              </w:rPr>
              <w:t>, teneinde gendermainstreaming in het begrotingsproces van de Commissie te verbeteren en ervoor te zorgen dat beleidsvorming en de toewijzing van middelen de doelstellingen op het gebied van gendergelijkheid beter bevorderen</w:t>
            </w:r>
            <w:r>
              <w:t>;</w:t>
            </w:r>
          </w:p>
        </w:tc>
        <w:tc>
          <w:tcPr>
            <w:tcW w:w="4876" w:type="dxa"/>
            <w:tcBorders>
              <w:top w:val="nil"/>
              <w:left w:val="nil"/>
              <w:bottom w:val="nil"/>
              <w:right w:val="nil"/>
            </w:tcBorders>
          </w:tcPr>
          <w:p>
            <w:pPr>
              <w:pStyle w:val="Normal6a"/>
            </w:pPr>
            <w:r>
              <w:t>1.</w:t>
            </w:r>
            <w:r>
              <w:tab/>
            </w:r>
            <w:r>
              <w:t>is ingenomen met het feit dat de Commissie, in overeenstemming met haar bindende toezeggingen en ingevolge herhaalde verzoeken van het Parlement, een proefmethodologie heeft ontwikkeld om de uitgaven die verband houden met gendergelijkheid op programmaniveau in het MFK 2021‑2027 te volgen en te meten;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 xml:space="preserve">benadrukt dat het MFK moet stoelen op objectieve sociaal-economische criteria en dat ervoor moet worden gezorgd dat de toewijzing van middelen aan de hand van kwantificeerbare economische, financiële en efficiëntie-indicatoren gebeurt, en niet aan de hand van sociologische constructen; </w:t>
            </w:r>
            <w:r>
              <w:t xml:space="preserve"> </w:t>
            </w:r>
            <w:r>
              <w:rPr>
                <w:b/>
                <w:i/>
              </w:rPr>
              <w:t>onderstreept dat de EU-begroting wat de toewijzingscriteria betreft neutraal moet blijven en niet moet worden gebruikt als een instrument om "social engineering"-concepten (zoals gendermainstreaming)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herinnert eraan dat genderbudgettering onder andere betekent dat in alle stadia van het begrotingsproces een gendergelijkheidsperspectief moet worden geïntegreerd;</w:t>
            </w:r>
            <w:r>
              <w:t xml:space="preserve"> </w:t>
            </w:r>
            <w:r>
              <w:rPr>
                <w:b/>
                <w:i/>
              </w:rPr>
              <w:t>is van oordeel dat de methodologie van de Commissie neerkomt op een gedeeltelijke toepassing van het concept genderbudgettering op de EU-begroting, aangezien alleen een tracering van de indicatoren achteraf in het monitoringstadium vereist is;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beklemtoont dat de methodologie van de Commissie verschilt van de beleidsmarker voor gendergelijkheid van de Organisatie voor Economische Samenwerking en Ontwikkeling aangezien ze geen score bevat voor het traceren van de negatieve gevolgen van EU-uitgaven op gendermainstreamingsdoelstellingen en de categorie 0* introduceert voor acties die waarschijnlijk een (vooralsnog evenwel onbekend) positief effect op gendergelijkheid zullen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betreurt evenwel dat de kosten van de implementatie van dit beleid (voor personeel, informatiesystemen voor het monitoren van de desbetreffende indicatoren, enz.) niet worden becijferd, net zo min als die van de voorstellen die in dit verslag worden gedaan, hetgeen een beoordeling van de voorwaarden voor de uitrol ervan onmogelijk maakt;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benadrukt dat noch gendermainstreaming noch de integratie van een genderperspectief moeten worden vastgesteld als voorwaarde voor begrotingsplanning, en dat genderbudgettering niet moet worden opgelegd als verplicht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begrijpt dat het dalende aandeel van vastleggingen met een score van 0* in de loop der jaren het resultaat is van een verbetering van de verslagleggingscapaciteit van de Commissie, waardoor haar directoraten-generaal de bijdrage van hun programma’s aan gendergelijkheid op een meer gedetailleerd niveau beter kunnen meten;</w:t>
            </w:r>
          </w:p>
        </w:tc>
        <w:tc>
          <w:tcPr>
            <w:tcW w:w="4876" w:type="dxa"/>
            <w:tcBorders>
              <w:top w:val="nil"/>
              <w:left w:val="nil"/>
              <w:bottom w:val="nil"/>
              <w:right w:val="nil"/>
            </w:tcBorders>
          </w:tcPr>
          <w:p>
            <w:pPr>
              <w:pStyle w:val="Normal6a"/>
            </w:pPr>
            <w:r>
              <w:t>9.</w:t>
            </w:r>
            <w:r>
              <w:tab/>
            </w:r>
            <w:r>
              <w:t xml:space="preserve">begrijpt dat het dalende aandeel van vastleggingen met een score van 0* in de loop der jaren het resultaat is van een verbetering </w:t>
            </w:r>
            <w:r>
              <w:rPr>
                <w:b/>
                <w:i/>
              </w:rPr>
              <w:t>van de verzameling en beschikbaarheid van gegevens alsook</w:t>
            </w:r>
            <w:r>
              <w:t xml:space="preserve"> van de verslagleggingscapaciteit van de Commissie, waardoor haar directoraten-generaal de bijdrage van hun programma’s aan gendergelijkheid op een meer gedetailleerd niveau beter kunnen meten;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zich er verder van bewust dat, gezien de beperkte verslagleggingscapaciteit tijdens de eerste boekjaren waarin deze methodologie werd toegepast, het weinig toegevoegde waarde heeft om cijfers van het ene boekjaar met die van het andere te vergelijken op basis van de jaarresultaten of om uit dergelijke vergelijkingen conclusies te trekken;</w:t>
            </w:r>
          </w:p>
        </w:tc>
        <w:tc>
          <w:tcPr>
            <w:tcW w:w="4876" w:type="dxa"/>
            <w:tcBorders>
              <w:top w:val="nil"/>
              <w:left w:val="nil"/>
              <w:bottom w:val="nil"/>
              <w:right w:val="nil"/>
            </w:tcBorders>
          </w:tcPr>
          <w:p>
            <w:pPr>
              <w:pStyle w:val="Normal6a"/>
            </w:pPr>
            <w:r>
              <w:t>10.</w:t>
            </w:r>
            <w:r>
              <w:tab/>
            </w:r>
            <w:r>
              <w:t xml:space="preserve">is zich er verder van bewust dat, gezien de beperkte </w:t>
            </w:r>
            <w:r>
              <w:rPr>
                <w:b/>
                <w:i/>
              </w:rPr>
              <w:t>beschikbaarheid van gegevens en</w:t>
            </w:r>
            <w:r>
              <w:t xml:space="preserve"> verslagleggingscapaciteit tijdens de eerste boekjaren waarin deze methodologie werd toegepast, het weinig toegevoegde waarde heeft om cijfers van het ene boekjaar met die van het andere te vergelijken op basis van de jaarresultaten of om uit dergelijke vergelijkingen conclusies te 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betreurt het dat de gebruikte methodologie, die specifiek is ontworpen als instrument voor het volgen van operationele begrotingen, niet geschikt is om de administratieve begrotingen van de instellingen en organen van de Unie adequaat te beoordelen;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betreurt het</w:t>
            </w:r>
            <w:r>
              <w:t xml:space="preserve"> dat de </w:t>
            </w:r>
            <w:r>
              <w:rPr>
                <w:b/>
                <w:i/>
              </w:rPr>
              <w:t>gebruikte</w:t>
            </w:r>
            <w:r>
              <w:t xml:space="preserve"> methodologie, die </w:t>
            </w:r>
            <w:r>
              <w:rPr>
                <w:b/>
                <w:i/>
              </w:rPr>
              <w:t>specifiek</w:t>
            </w:r>
            <w:r>
              <w:t xml:space="preserve"> is ontworpen </w:t>
            </w:r>
            <w:r>
              <w:rPr>
                <w:b/>
                <w:i/>
              </w:rPr>
              <w:t>als instrument voor het volgen van</w:t>
            </w:r>
            <w:r>
              <w:t xml:space="preserve"> operationele begrotingen, </w:t>
            </w:r>
            <w:r>
              <w:rPr>
                <w:b/>
                <w:i/>
              </w:rPr>
              <w:t>niet geschikt is om</w:t>
            </w:r>
            <w:r>
              <w:t xml:space="preserve"> de administratieve begrotingen </w:t>
            </w:r>
            <w:r>
              <w:rPr>
                <w:b/>
                <w:i/>
              </w:rPr>
              <w:t>van</w:t>
            </w:r>
            <w:r>
              <w:t xml:space="preserve"> de instellingen en organen van de Unie adequaat </w:t>
            </w:r>
            <w:r>
              <w:rPr>
                <w:b/>
                <w:i/>
              </w:rPr>
              <w:t>te beoordelen</w:t>
            </w:r>
            <w:r>
              <w:t>;</w:t>
            </w:r>
          </w:p>
        </w:tc>
        <w:tc>
          <w:tcPr>
            <w:tcW w:w="4876" w:type="dxa"/>
            <w:tcBorders>
              <w:top w:val="nil"/>
              <w:left w:val="nil"/>
              <w:bottom w:val="nil"/>
              <w:right w:val="nil"/>
            </w:tcBorders>
          </w:tcPr>
          <w:p>
            <w:pPr>
              <w:pStyle w:val="Normal6a"/>
            </w:pPr>
            <w:r>
              <w:t>15.</w:t>
            </w:r>
            <w:r>
              <w:tab/>
            </w:r>
            <w:r>
              <w:rPr>
                <w:b/>
                <w:i/>
              </w:rPr>
              <w:t>stelt vast</w:t>
            </w:r>
            <w:r>
              <w:t xml:space="preserve"> dat de </w:t>
            </w:r>
            <w:r>
              <w:rPr>
                <w:b/>
                <w:i/>
              </w:rPr>
              <w:t>huidige</w:t>
            </w:r>
            <w:r>
              <w:t xml:space="preserve"> methodologie, die </w:t>
            </w:r>
            <w:r>
              <w:rPr>
                <w:b/>
                <w:i/>
              </w:rPr>
              <w:t>hoofdzakelijk</w:t>
            </w:r>
            <w:r>
              <w:t xml:space="preserve"> is ontworpen </w:t>
            </w:r>
            <w:r>
              <w:rPr>
                <w:b/>
                <w:i/>
              </w:rPr>
              <w:t>voor</w:t>
            </w:r>
            <w:r>
              <w:t xml:space="preserve"> operationele begrotingen, de </w:t>
            </w:r>
            <w:r>
              <w:rPr>
                <w:b/>
                <w:i/>
              </w:rPr>
              <w:t>impact op gendergelijkheid van</w:t>
            </w:r>
            <w:r>
              <w:t xml:space="preserve"> administratieve begrotingen </w:t>
            </w:r>
            <w:r>
              <w:rPr>
                <w:b/>
                <w:i/>
              </w:rPr>
              <w:t>binnen</w:t>
            </w:r>
            <w:r>
              <w:t xml:space="preserve"> de instellingen en organen van de Unie</w:t>
            </w:r>
            <w:r>
              <w:rPr>
                <w:b/>
                <w:i/>
              </w:rPr>
              <w:t>, die ook significant zijn voor algemene gendermainstreamingsinspanningen, niet</w:t>
            </w:r>
            <w:r>
              <w:t xml:space="preserve"> adequaat </w:t>
            </w:r>
            <w:r>
              <w:rPr>
                <w:b/>
                <w:i/>
              </w:rPr>
              <w:t>beoordeelt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spreekt zijn teleurstelling uit over het feit dat</w:t>
            </w:r>
            <w:r>
              <w:t xml:space="preserve"> de methodologie </w:t>
            </w:r>
            <w:r>
              <w:rPr>
                <w:b/>
                <w:i/>
              </w:rPr>
              <w:t>een</w:t>
            </w:r>
            <w:r>
              <w:t xml:space="preserve"> beperkt </w:t>
            </w:r>
            <w:r>
              <w:rPr>
                <w:b/>
                <w:i/>
              </w:rPr>
              <w:t>instrument is waarbij onvoldoende rekening wordt gehouden met</w:t>
            </w:r>
            <w:r>
              <w:t xml:space="preserve"> de secundaire effecten van programma’s op gendergelijkheid, de mogelijke negatieve effecten </w:t>
            </w:r>
            <w:r>
              <w:rPr>
                <w:b/>
                <w:i/>
              </w:rPr>
              <w:t>van programma’s op gendergelijkheid, of andere maatschappelijke factoren die van belang zijn</w:t>
            </w:r>
            <w:r>
              <w:t xml:space="preserve"> voor een </w:t>
            </w:r>
            <w:r>
              <w:rPr>
                <w:b/>
                <w:i/>
              </w:rPr>
              <w:t>intersectionele analyse</w:t>
            </w:r>
            <w:r>
              <w:t xml:space="preserve"> van de beleidseffecten;</w:t>
            </w:r>
          </w:p>
        </w:tc>
        <w:tc>
          <w:tcPr>
            <w:tcW w:w="4876" w:type="dxa"/>
            <w:tcBorders>
              <w:top w:val="nil"/>
              <w:left w:val="nil"/>
              <w:bottom w:val="nil"/>
              <w:right w:val="nil"/>
            </w:tcBorders>
          </w:tcPr>
          <w:p>
            <w:pPr>
              <w:pStyle w:val="Normal6a"/>
            </w:pPr>
            <w:r>
              <w:t>16.</w:t>
            </w:r>
            <w:r>
              <w:tab/>
            </w:r>
            <w:r>
              <w:rPr>
                <w:b/>
                <w:i/>
              </w:rPr>
              <w:t>stelt vast dat de reikwijdte van</w:t>
            </w:r>
            <w:r>
              <w:t xml:space="preserve"> de methodologie beperkt </w:t>
            </w:r>
            <w:r>
              <w:rPr>
                <w:b/>
                <w:i/>
              </w:rPr>
              <w:t>is, aangezien ze</w:t>
            </w:r>
            <w:r>
              <w:t xml:space="preserve"> de secundaire </w:t>
            </w:r>
            <w:r>
              <w:rPr>
                <w:b/>
                <w:i/>
              </w:rPr>
              <w:t>of indirecte</w:t>
            </w:r>
            <w:r>
              <w:t xml:space="preserve"> effecten van programma’s op gendergelijkheid, de mogelijke negatieve effecten</w:t>
            </w:r>
            <w:r>
              <w:rPr>
                <w:b/>
                <w:i/>
              </w:rPr>
              <w:t>, of de</w:t>
            </w:r>
            <w:r>
              <w:t xml:space="preserve"> voor een </w:t>
            </w:r>
            <w:r>
              <w:rPr>
                <w:b/>
                <w:i/>
              </w:rPr>
              <w:t>alomvattende beoordeling</w:t>
            </w:r>
            <w:r>
              <w:t xml:space="preserve"> van de beleidseffecten </w:t>
            </w:r>
            <w:r>
              <w:rPr>
                <w:b/>
                <w:i/>
              </w:rPr>
              <w:t>noodzakelijke intersectionele dimensies, niet adequaat in beeld brengt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spreekt zijn teleurstelling uit over het feit dat de methodologie een beperkt instrument is waarbij onvoldoende rekening wordt gehouden met de secundaire effecten van programma’s op gendergelijkheid, de mogelijke negatieve effecten van programma’s op gendergelijkheid, of andere maatschappelijke factoren </w:t>
            </w:r>
            <w:r>
              <w:rPr>
                <w:b/>
                <w:i/>
              </w:rPr>
              <w:t>die van belang zijn voor een intersectionele analyse van de beleidseffecten</w:t>
            </w:r>
            <w:r>
              <w:t>;</w:t>
            </w:r>
          </w:p>
        </w:tc>
        <w:tc>
          <w:tcPr>
            <w:tcW w:w="4876" w:type="dxa"/>
            <w:tcBorders>
              <w:top w:val="nil"/>
              <w:left w:val="nil"/>
              <w:bottom w:val="nil"/>
              <w:right w:val="nil"/>
            </w:tcBorders>
          </w:tcPr>
          <w:p>
            <w:pPr>
              <w:pStyle w:val="Normal6a"/>
            </w:pPr>
            <w:r>
              <w:t>16.</w:t>
            </w:r>
            <w:r>
              <w:tab/>
            </w:r>
            <w:r>
              <w:t>spreekt zijn teleurstelling uit over het feit dat de methodologie een beperkt instrument is waarbij onvoldoende rekening wordt gehouden met de secundaire effecten van programma’s op gendergelijkheid, de mogelijke negatieve effecten van programma’s op gendergelijkheid, of andere maatschappelijke factoren;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betreurt voorts dat de mogelijke negatieve gevolgen van programma’s voor gendergelijkheid niet in aanmerking worden genomen, vooral gezien de geringe bijdragen aan gendergelijkheid die zijn gemeld voor programma’s in sectoren als concurrentievermogen, defensie en paraatheid;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betreurt</w:t>
            </w:r>
            <w:r>
              <w:t xml:space="preserve"> voorts dat de mogelijke negatieve gevolgen van programma’s voor gendergelijkheid </w:t>
            </w:r>
            <w:r>
              <w:rPr>
                <w:b/>
                <w:i/>
              </w:rPr>
              <w:t>niet</w:t>
            </w:r>
            <w:r>
              <w:t xml:space="preserve"> in aanmerking worden genomen, vooral </w:t>
            </w:r>
            <w:r>
              <w:rPr>
                <w:b/>
                <w:i/>
              </w:rPr>
              <w:t>gezien de geringe bijdragen aan gendergelijkheid die zijn gemeld voor programma’s</w:t>
            </w:r>
            <w:r>
              <w:t xml:space="preserve"> in sectoren als concurrentievermogen, defensie en paraatheid;</w:t>
            </w:r>
          </w:p>
        </w:tc>
        <w:tc>
          <w:tcPr>
            <w:tcW w:w="4876" w:type="dxa"/>
            <w:tcBorders>
              <w:top w:val="nil"/>
              <w:left w:val="nil"/>
              <w:bottom w:val="nil"/>
              <w:right w:val="nil"/>
            </w:tcBorders>
          </w:tcPr>
          <w:p>
            <w:pPr>
              <w:pStyle w:val="Normal6a"/>
            </w:pPr>
            <w:r>
              <w:t>17.</w:t>
            </w:r>
            <w:r>
              <w:tab/>
            </w:r>
            <w:r>
              <w:rPr>
                <w:b/>
                <w:i/>
              </w:rPr>
              <w:t>merkt</w:t>
            </w:r>
            <w:r>
              <w:t xml:space="preserve"> voorts </w:t>
            </w:r>
            <w:r>
              <w:rPr>
                <w:b/>
                <w:i/>
              </w:rPr>
              <w:t>op</w:t>
            </w:r>
            <w:r>
              <w:t xml:space="preserve"> dat de mogelijke negatieve gevolgen van programma’s voor gendergelijkheid </w:t>
            </w:r>
            <w:r>
              <w:rPr>
                <w:b/>
                <w:i/>
              </w:rPr>
              <w:t>onvoldoende</w:t>
            </w:r>
            <w:r>
              <w:t xml:space="preserve"> in aanmerking worden genomen, vooral in sectoren als concurrentievermogen, defensie en paraatheid;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vindt het zonde dat de methodologie, vanwege</w:t>
            </w:r>
            <w:r>
              <w:t xml:space="preserve"> het ex post‑karakter </w:t>
            </w:r>
            <w:r>
              <w:rPr>
                <w:b/>
                <w:i/>
              </w:rPr>
              <w:t>ervan, niet in staat is om structureel</w:t>
            </w:r>
            <w:r>
              <w:t xml:space="preserve"> invloed </w:t>
            </w:r>
            <w:r>
              <w:rPr>
                <w:b/>
                <w:i/>
              </w:rPr>
              <w:t>uit te oefenen</w:t>
            </w:r>
            <w:r>
              <w:t xml:space="preserve"> op het ontwerp van beleid </w:t>
            </w:r>
            <w:r>
              <w:rPr>
                <w:b/>
                <w:i/>
              </w:rPr>
              <w:t>in een ex ante-fase of op de inning en</w:t>
            </w:r>
            <w:r>
              <w:t xml:space="preserve"> toewijzing van financiële middelen, wat essentieel is voor </w:t>
            </w:r>
            <w:r>
              <w:rPr>
                <w:b/>
                <w:i/>
              </w:rPr>
              <w:t>een adequate integratie van gendergelijkheid</w:t>
            </w:r>
            <w:r>
              <w:t xml:space="preserve"> in programma’s van de Unie;</w:t>
            </w:r>
          </w:p>
        </w:tc>
        <w:tc>
          <w:tcPr>
            <w:tcW w:w="4876" w:type="dxa"/>
            <w:tcBorders>
              <w:top w:val="nil"/>
              <w:left w:val="nil"/>
              <w:bottom w:val="nil"/>
              <w:right w:val="nil"/>
            </w:tcBorders>
          </w:tcPr>
          <w:p>
            <w:pPr>
              <w:pStyle w:val="Normal6a"/>
            </w:pPr>
            <w:r>
              <w:t>18.</w:t>
            </w:r>
            <w:r>
              <w:tab/>
            </w:r>
            <w:r>
              <w:rPr>
                <w:b/>
                <w:i/>
              </w:rPr>
              <w:t>stelt dat</w:t>
            </w:r>
            <w:r>
              <w:t xml:space="preserve"> het ex post‑karakter </w:t>
            </w:r>
            <w:r>
              <w:rPr>
                <w:b/>
                <w:i/>
              </w:rPr>
              <w:t>van de methodologie zou kunnen worden verbeterd om structurele</w:t>
            </w:r>
            <w:r>
              <w:t xml:space="preserve"> invloed op het ontwerp van beleid </w:t>
            </w:r>
            <w:r>
              <w:rPr>
                <w:b/>
                <w:i/>
              </w:rPr>
              <w:t>en de</w:t>
            </w:r>
            <w:r>
              <w:t xml:space="preserve"> toewijzing van financiële middelen </w:t>
            </w:r>
            <w:r>
              <w:rPr>
                <w:b/>
                <w:i/>
              </w:rPr>
              <w:t>in de ex ante-fase beter mogelijk te maken</w:t>
            </w:r>
            <w:r>
              <w:t xml:space="preserve">, wat essentieel is voor </w:t>
            </w:r>
            <w:r>
              <w:rPr>
                <w:b/>
                <w:i/>
              </w:rPr>
              <w:t>daadwerkelijke gendermainstreaming</w:t>
            </w:r>
            <w:r>
              <w:t xml:space="preserve"> in programma’s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herinnert eraan dat sociaal beleid en gendergelijkheid op grond van het subsidiariteitsbeginsel tot de bevoegdheden van de lidstaten behoren en derhalve niet via het EU-begrotingskader moeten worden opgelegd;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merkt op dat de tweeledige aanpak van de Commissie inzake gendermainstreaming, die bestaat uit het volgen van de begroting </w:t>
            </w:r>
            <w:r>
              <w:rPr>
                <w:b/>
                <w:i/>
              </w:rPr>
              <w:t>van de Unie</w:t>
            </w:r>
            <w:r>
              <w:t xml:space="preserve"> en het vaststellen van </w:t>
            </w:r>
            <w:r>
              <w:rPr>
                <w:b/>
                <w:i/>
              </w:rPr>
              <w:t>de doelstellingen in de rechtsgrondslagen van de programma’s</w:t>
            </w:r>
            <w:r>
              <w:t xml:space="preserve">, weliswaar een nuttig kader vormt, maar dat deze aanpak </w:t>
            </w:r>
            <w:r>
              <w:rPr>
                <w:b/>
                <w:i/>
              </w:rPr>
              <w:t>versnipperd is en niet alle programma’s in dezelfde mate beïnvloedt, wat afbreuk doet aan de samenhang van de aanpak van de Unie op het gebied van</w:t>
            </w:r>
            <w:r>
              <w:t xml:space="preserve"> gendergelijkheid;</w:t>
            </w:r>
          </w:p>
        </w:tc>
        <w:tc>
          <w:tcPr>
            <w:tcW w:w="4876" w:type="dxa"/>
            <w:tcBorders>
              <w:top w:val="nil"/>
              <w:left w:val="nil"/>
              <w:bottom w:val="nil"/>
              <w:right w:val="nil"/>
            </w:tcBorders>
          </w:tcPr>
          <w:p>
            <w:pPr>
              <w:pStyle w:val="Normal6a"/>
            </w:pPr>
            <w:r>
              <w:t>20.</w:t>
            </w:r>
            <w:r>
              <w:tab/>
            </w:r>
            <w:r>
              <w:t xml:space="preserve">merkt op dat de tweeledige aanpak van de Commissie inzake gendermainstreaming, die bestaat uit het volgen van de begroting en het vaststellen van </w:t>
            </w:r>
            <w:r>
              <w:rPr>
                <w:b/>
                <w:i/>
              </w:rPr>
              <w:t>programmadoelstellingen</w:t>
            </w:r>
            <w:r>
              <w:t xml:space="preserve">, weliswaar een nuttig kader vormt, maar dat deze aanpak </w:t>
            </w:r>
            <w:r>
              <w:rPr>
                <w:b/>
                <w:i/>
              </w:rPr>
              <w:t>van programma tot programma verschilt en baat zou hebben bij grotere coherentie, teneinde voor een consistentere impact op</w:t>
            </w:r>
            <w:r>
              <w:t xml:space="preserve"> gendergelijkheid </w:t>
            </w:r>
            <w:r>
              <w:rPr>
                <w:b/>
                <w:i/>
              </w:rPr>
              <w:t>overal in de Unie te zorgen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herinnert eraan en verwelkomt het dat het Financieel Reglement 2024 de mainstreaming van gendergelijkheidsbeginselen in de EU-begroting versterkt, waaronder middels - in voorkomend geval - het verzamelen en gebruiken van naar gender uitgesplitste gegevens;</w:t>
            </w:r>
            <w:r>
              <w:t xml:space="preserve"> </w:t>
            </w:r>
            <w:r>
              <w:rPr>
                <w:b/>
                <w:i/>
              </w:rPr>
              <w:t>is van oordeel dat deze vereisten het proces waarbij genderbudgettering tot onderdeel van de hele begrotingscyclus wordt gemaakt, kan vergemakkelijken door in toekomstige EU-programma's van meet af aan gendergerelateerde indicatoren op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neemt kennis van de beoordeling van de Commissie van de implementatie van gendermainstreaming in de EU-begroting in de effectbeoordeling bij het voorstel van de Commissie voor een verordening tot vaststelling van een kader voor het traceren van begrotingsuitgaven en voor begrotingsprestaties en andere horizontale regels voor de programma’s en activiteiten van de Unie;</w:t>
            </w:r>
            <w:r>
              <w:t xml:space="preserve"> </w:t>
            </w:r>
            <w:r>
              <w:rPr>
                <w:b/>
                <w:i/>
              </w:rPr>
              <w:t>is van oordeel dat een specifieke evaluatie van de mainstreaming van gendergelijkheidsdoelstellingen in het MFK 2021-2027 moet worden verricht om tot een betere tracering van de bijdrage van de EU-begroting aan gendergelijkheid in de volgende programmeringsperiode te komen, alsook om genderbudgettering gedurende de hele begrotingscyclus mogelijk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deelt het standpunt dat voor de resterende jaren van het MFK 2021</w:t>
            </w:r>
            <w:r>
              <w:rPr>
                <w:b/>
                <w:i/>
              </w:rPr>
              <w:t>‑</w:t>
            </w:r>
            <w:r>
              <w:t xml:space="preserve">2027 prioriteit moet worden gegeven aan het blijven evalueren van programma’s </w:t>
            </w:r>
            <w:r>
              <w:rPr>
                <w:b/>
                <w:i/>
              </w:rPr>
              <w:t>op een zo gedetailleerd mogelijk niveau</w:t>
            </w:r>
            <w:r>
              <w:t xml:space="preserve"> om hun bijdrage aan gendergelijkheid beter te kunnen beoordelen en lessen te kunnen trekken uit de uitvoering ervan, en dat daarbij terdege gebruik moet worden gemaakt van de verbeterde verslaglegging over naar gender uitgesplitste gegevens zoals die sinds 2023 is ingevoerd;</w:t>
            </w:r>
          </w:p>
        </w:tc>
        <w:tc>
          <w:tcPr>
            <w:tcW w:w="4876" w:type="dxa"/>
            <w:tcBorders>
              <w:top w:val="nil"/>
              <w:left w:val="nil"/>
              <w:bottom w:val="nil"/>
              <w:right w:val="nil"/>
            </w:tcBorders>
          </w:tcPr>
          <w:p>
            <w:pPr>
              <w:pStyle w:val="Normal6a"/>
            </w:pPr>
            <w:r>
              <w:t>21.</w:t>
            </w:r>
            <w:r>
              <w:tab/>
            </w:r>
            <w:r>
              <w:t>deelt het standpunt dat voor de resterende jaren van het MFK 2021</w:t>
            </w:r>
            <w:r>
              <w:rPr>
                <w:b/>
                <w:i/>
              </w:rPr>
              <w:t>-</w:t>
            </w:r>
            <w:r>
              <w:t xml:space="preserve">2027 prioriteit moet worden gegeven aan het blijven evalueren van programma’s om hun bijdrage aan gendergelijkheid beter te kunnen beoordelen en lessen te kunnen trekken uit de uitvoering ervan, en dat daarbij terdege gebruik moet worden gemaakt van de verbeterde verslaglegging over naar gender uitgesplitste gegevens zoals die sinds 2023 is ingevoerd; </w:t>
            </w:r>
            <w:r>
              <w:rPr>
                <w:b/>
                <w:i/>
              </w:rPr>
              <w:t>benadrukt het belang van nauwere samenwerking met alle lidstaten om de methodologieën op elkaar af te stemmen en een versnipperde aanpak te vermijden;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verzoekt de Commissie een specifieke en alomvattende evaluatie van de mainstreaming van gendergelijkheidsdoelstellingen in het MFK 2021-2027 te verrichten, onder andere om vanaf de start van de volgende programmeringsperiode genderbudgettering gedurende de hele begrotingscyclus mogelijk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verzoekt dat elke toekomstige beoordeling van de EU-begroting zich uitsluitend op budgettaire verantwoordelijkheid, effectief rendement en doeltreffendheid richt, zonder verwijzing naar gendergebaseerde methodologieën;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betreurt</w:t>
            </w:r>
            <w:r>
              <w:t xml:space="preserve"> dat de door de Commissie ontwikkelde methodologie</w:t>
            </w:r>
            <w:r>
              <w:rPr>
                <w:b/>
                <w:i/>
              </w:rPr>
              <w:t>, ondanks het feit dat zij</w:t>
            </w:r>
            <w:r>
              <w:t xml:space="preserve"> een nuttig instrument is </w:t>
            </w:r>
            <w:r>
              <w:rPr>
                <w:b/>
                <w:i/>
              </w:rPr>
              <w:t>om na te denken over</w:t>
            </w:r>
            <w:r>
              <w:t xml:space="preserve"> de bijdrage van de begroting van de Unie aan gendergelijkheid, </w:t>
            </w:r>
            <w:r>
              <w:rPr>
                <w:b/>
                <w:i/>
              </w:rPr>
              <w:t>structurele</w:t>
            </w:r>
            <w:r>
              <w:t xml:space="preserve"> beperkingen vertoont </w:t>
            </w:r>
            <w:r>
              <w:rPr>
                <w:b/>
                <w:i/>
              </w:rPr>
              <w:t>ten gevolge waarvan zij minder</w:t>
            </w:r>
            <w:r>
              <w:t xml:space="preserve"> transformatievermogen </w:t>
            </w:r>
            <w:r>
              <w:rPr>
                <w:b/>
                <w:i/>
              </w:rPr>
              <w:t>heeft, een situatie die niet ongewijzigd mag blijven</w:t>
            </w:r>
            <w:r>
              <w:t>;</w:t>
            </w:r>
          </w:p>
        </w:tc>
        <w:tc>
          <w:tcPr>
            <w:tcW w:w="4876" w:type="dxa"/>
            <w:tcBorders>
              <w:top w:val="nil"/>
              <w:left w:val="nil"/>
              <w:bottom w:val="nil"/>
              <w:right w:val="nil"/>
            </w:tcBorders>
          </w:tcPr>
          <w:p>
            <w:pPr>
              <w:pStyle w:val="Normal6a"/>
            </w:pPr>
            <w:r>
              <w:t>22.</w:t>
            </w:r>
            <w:r>
              <w:tab/>
            </w:r>
            <w:r>
              <w:rPr>
                <w:b/>
                <w:i/>
              </w:rPr>
              <w:t>erkent</w:t>
            </w:r>
            <w:r>
              <w:t xml:space="preserve"> dat de door de Commissie ontwikkelde methodologie </w:t>
            </w:r>
            <w:r>
              <w:rPr>
                <w:b/>
                <w:i/>
              </w:rPr>
              <w:t>weliswaar</w:t>
            </w:r>
            <w:r>
              <w:t xml:space="preserve"> een nuttig instrument is </w:t>
            </w:r>
            <w:r>
              <w:rPr>
                <w:b/>
                <w:i/>
              </w:rPr>
              <w:t>voor het beoordelen van</w:t>
            </w:r>
            <w:r>
              <w:t xml:space="preserve"> de bijdrage van de begroting van de Unie aan gendergelijkheid, </w:t>
            </w:r>
            <w:r>
              <w:rPr>
                <w:b/>
                <w:i/>
              </w:rPr>
              <w:t>maar ook</w:t>
            </w:r>
            <w:r>
              <w:t xml:space="preserve"> beperkingen vertoont </w:t>
            </w:r>
            <w:r>
              <w:rPr>
                <w:b/>
                <w:i/>
              </w:rPr>
              <w:t>die negatief zouden kunnen uitwerken op haar</w:t>
            </w:r>
            <w:r>
              <w:t xml:space="preserve"> transformatievermogen;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betreurt dat de door de Commissie ontwikkelde methodologie, ondanks het feit dat zij een nuttig instrument is om na te denken over de bijdrage van de begroting van de Unie aan gendergelijkheid, structurele beperkingen vertoont ten gevolge waarvan zij minder transformatievermogen heeft, een situatie die niet ongewijzigd mag blijven;</w:t>
            </w:r>
          </w:p>
        </w:tc>
        <w:tc>
          <w:tcPr>
            <w:tcW w:w="4876" w:type="dxa"/>
            <w:tcBorders>
              <w:top w:val="nil"/>
              <w:left w:val="nil"/>
              <w:bottom w:val="nil"/>
              <w:right w:val="nil"/>
            </w:tcBorders>
          </w:tcPr>
          <w:p>
            <w:pPr>
              <w:pStyle w:val="Normal6a"/>
            </w:pPr>
            <w:r>
              <w:t>22.</w:t>
            </w:r>
            <w:r>
              <w:tab/>
            </w:r>
            <w:r>
              <w:t xml:space="preserve">betreurt dat de door de Commissie ontwikkelde methodologie, ondanks het feit dat zij een nuttig instrument is om na te denken over de bijdrage van de begroting van de Unie aan gendergelijkheid, structurele beperkingen vertoont ten gevolge waarvan zij minder transformatievermogen heeft, een situatie die niet ongewijzigd mag blijven; </w:t>
            </w:r>
            <w:r>
              <w:rPr>
                <w:b/>
                <w:i/>
              </w:rPr>
              <w:t>benadrukt dat de methodologie van meetbare sleutelindicatoren moet worden voorzien om ervoor te zorgen dat genderbudgettering daadwerkelijk resultaten oplevert;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beklemtoont dat, nu de begroting van de Unie wordt beïnvloed door meerdere crises en verschuivingen in politieke prioriteiten, het van essentieel belang is dat genderbudgettering vooraf wordt geïntegreerd in de kern van de begrotingscyclus van programma’s, ook op nieuwe prioritaire gebieden zoals concurrentievermogen, defensie en paraatheid;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beklemtoont dat, nu de begroting van de Unie wordt beïnvloed door meerdere crises en verschuivingen in politieke prioriteiten, het van essentieel belang is dat genderbudgettering vooraf wordt geïntegreerd in de kern van de begrotingscyclus van programma’s, ook op nieuwe prioritaire gebieden zoals concurrentievermogen, defensie en paraatheid;</w:t>
            </w:r>
          </w:p>
        </w:tc>
        <w:tc>
          <w:tcPr>
            <w:tcW w:w="4876" w:type="dxa"/>
            <w:tcBorders>
              <w:top w:val="nil"/>
              <w:left w:val="nil"/>
              <w:bottom w:val="nil"/>
              <w:right w:val="nil"/>
            </w:tcBorders>
          </w:tcPr>
          <w:p>
            <w:pPr>
              <w:pStyle w:val="Normal6a"/>
            </w:pPr>
            <w:r>
              <w:t>23.</w:t>
            </w:r>
            <w:r>
              <w:tab/>
            </w:r>
            <w:r>
              <w:t xml:space="preserve">beklemtoont dat, nu de begroting van de Unie wordt beïnvloed door meerdere crises en verschuivingen in politieke prioriteiten, het van essentieel belang is dat genderbudgettering vooraf </w:t>
            </w:r>
            <w:r>
              <w:rPr>
                <w:b/>
                <w:i/>
              </w:rPr>
              <w:t>proportioneel</w:t>
            </w:r>
            <w:r>
              <w:t xml:space="preserve"> wordt geïntegreerd in de kern van de begrotingscyclus van programma’s, ook op nieuwe prioritaire gebieden zoals concurrentievermogen, defensie en paraatheid;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bis.</w:t>
            </w:r>
            <w:r>
              <w:tab/>
            </w:r>
            <w:r>
              <w:rPr>
                <w:b/>
                <w:i/>
                <w:vertAlign w:val="superscript"/>
              </w:rPr>
              <w:t>herinnert eraan dat het biologische geslacht wordt bepaald door genetische, chromosomale en fysiologische factoren, waaronder reproductieve organen en hormonen, terwijl gender een sociaal en cultureel construct is dat onder andere bestaat uit de rollen, het gedrag en de identiteiten die binnen een samenleving aan individuen worden toegekend;</w:t>
            </w:r>
            <w:r>
              <w:t xml:space="preserve"> </w:t>
            </w:r>
            <w:r>
              <w:rPr>
                <w:b/>
                <w:i/>
                <w:vertAlign w:val="superscript"/>
              </w:rPr>
              <w:t>is van mening dat een genderdimensie noch vooraf noch achteraf in begrotingsprocessen moet worden geïntegreerd en in het bijzonder niet van toepassing moet zijn op gebieden als mededinging, defensie, en paraatheid;</w:t>
            </w:r>
            <w:r>
              <w:t xml:space="preserve"> </w:t>
            </w:r>
            <w:r>
              <w:rPr>
                <w:b/>
                <w:i/>
              </w:rPr>
              <w:t>erkent dat het biologische geslacht wordt bepaald door genetische, chromosomale en fysiologische kenmerken, waaronder reproductieve anatomie en endocriene profielen, die mannen en vrouwen van elkaar onderscheiden1</w:t>
            </w:r>
            <w:r>
              <w:t xml:space="preserve"> </w:t>
            </w:r>
            <w:r>
              <w:rPr>
                <w:b/>
                <w:i/>
                <w:vertAlign w:val="superscript"/>
              </w:rPr>
              <w:t>bis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ter.</w:t>
            </w:r>
            <w:r>
              <w:tab/>
            </w:r>
            <w:r>
              <w:rPr>
                <w:b/>
                <w:i/>
              </w:rPr>
              <w:t>verzoekt mededinging, defensie, veiligheid, onderzoek, en strategische paraatheid expliciet van het toepassingsgebied van genderbudgettering uit te sluiten, aangezien op deze gebieden prioriteit moet worden toegekend aan doeltreffendheid, veerkracht, en objectieve prestatie-indicatoren;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verzoekt de middelen prioritair in te zetten voor programma's ter bestrijding van huiselijk geweld, mensensmokkel, seksuele uitbuiting, en discriminatie op het werk, in plaats van voor genderbudgettering op alle begrotingsterreinen;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dringt erop aan dat naast het MFK ook elk instrument dat op grond van artikel 122 van het Verdrag betreffende de werking van de Europese Unie wordt vastgesteld, voorziet in solide bepalingen inzake gendermainstreaming en genderbudgettering, aangezien dit in het verleden niet altijd het geval is geweest, met mogelijke tekortkomingen bij de uitvoering van programma’s onder indirect beheer tot gevolg;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dringt erop aan</w:t>
            </w:r>
            <w:r>
              <w:t xml:space="preserve"> dat naast het MFK ook elk instrument dat op grond van artikel 122 van het Verdrag betreffende de werking van de Europese Unie wordt vastgesteld</w:t>
            </w:r>
            <w:r>
              <w:rPr>
                <w:b/>
                <w:i/>
              </w:rPr>
              <w:t>, voorziet in solide bepalingen inzake</w:t>
            </w:r>
            <w:r>
              <w:t xml:space="preserve"> gendermainstreaming en genderbudgettering</w:t>
            </w:r>
            <w:r>
              <w:rPr>
                <w:b/>
                <w:i/>
              </w:rPr>
              <w:t>, aangezien dit in het verleden niet altijd het geval is geweest, met mogelijke tekortkomingen bij de uitvoering van programma’s onder indirect beheer tot gevolg</w:t>
            </w:r>
            <w:r>
              <w:t>;</w:t>
            </w:r>
          </w:p>
        </w:tc>
        <w:tc>
          <w:tcPr>
            <w:tcW w:w="4876" w:type="dxa"/>
            <w:tcBorders>
              <w:top w:val="nil"/>
              <w:left w:val="nil"/>
              <w:bottom w:val="nil"/>
              <w:right w:val="nil"/>
            </w:tcBorders>
          </w:tcPr>
          <w:p>
            <w:pPr>
              <w:pStyle w:val="Normal6a"/>
            </w:pPr>
            <w:r>
              <w:t>25.</w:t>
            </w:r>
            <w:r>
              <w:tab/>
            </w:r>
            <w:r>
              <w:rPr>
                <w:b/>
                <w:i/>
              </w:rPr>
              <w:t>beklemtoont</w:t>
            </w:r>
            <w:r>
              <w:t xml:space="preserve"> dat naast het MFK ook elk instrument dat op grond van artikel 122 van het Verdrag betreffende de werking van de Europese Unie wordt vastgesteld </w:t>
            </w:r>
            <w:r>
              <w:rPr>
                <w:b/>
                <w:i/>
              </w:rPr>
              <w:t>in proportionele</w:t>
            </w:r>
            <w:r>
              <w:t xml:space="preserve"> gendermainstreaming en genderbudgettering </w:t>
            </w:r>
            <w:r>
              <w:rPr>
                <w:b/>
                <w:i/>
              </w:rPr>
              <w:t>moet voorzien, maar niet mag leiden tot wijziging van in sectorspecifieke wetgeving vastgestelde programmadoelstellingen, subsidiabiliteits- en/of toekenningscriteria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dringt erop aan dat naast het MFK ook elk instrument dat op grond van artikel 122 van het Verdrag betreffende de werking van de Europese Unie wordt vastgesteld, voorziet in solide bepalingen inzake gendermainstreaming en genderbudgettering, </w:t>
            </w:r>
            <w:r>
              <w:rPr>
                <w:b/>
                <w:i/>
              </w:rPr>
              <w:t>aangezien dit in het verleden niet altijd het geval is geweest, met mogelijke tekortkomingen bij de uitvoering van programma’s onder indirect beheer tot gevolg</w:t>
            </w:r>
            <w:r>
              <w:t>;</w:t>
            </w:r>
          </w:p>
        </w:tc>
        <w:tc>
          <w:tcPr>
            <w:tcW w:w="4876" w:type="dxa"/>
            <w:tcBorders>
              <w:top w:val="nil"/>
              <w:left w:val="nil"/>
              <w:bottom w:val="nil"/>
              <w:right w:val="nil"/>
            </w:tcBorders>
          </w:tcPr>
          <w:p>
            <w:pPr>
              <w:pStyle w:val="Normal6a"/>
            </w:pPr>
            <w:r>
              <w:t>25.</w:t>
            </w:r>
            <w:r>
              <w:tab/>
            </w:r>
            <w:r>
              <w:t xml:space="preserve">dringt erop aan dat naast het MFK ook elk instrument dat op grond van artikel 122 van het Verdrag betreffende de werking van de Europese Unie wordt vastgesteld, voorziet in solide bepalingen inzake gendermainstreaming en genderbudgettering, </w:t>
            </w:r>
            <w:r>
              <w:rPr>
                <w:b/>
                <w:i/>
              </w:rPr>
              <w:t>met het oog op het op alomvattende en consistente wijze volgen van de bijdrage van de EU uit hoofde van alle financieringsinstrumenten aan het bevorderen van gendergelijkheid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bis.</w:t>
            </w:r>
            <w:r>
              <w:tab/>
            </w:r>
            <w:r>
              <w:rPr>
                <w:b/>
                <w:i/>
              </w:rPr>
              <w:t>benadrukt dat de middelen van de begroting van de Unie prioritair moeten worden gebruikt voor maatregelen gericht op het versterken van het gezin, het ondersteunen van ouders bij het opvoeden van hun kinderen, het waarborgen van toegang tot betaalbare kinderopvang, het waarborgen van de rechten van ouders, het bevorderen van een gezond evenwicht tussen werk en privé, en het bevorderen van solidariteit tussen generaties, en niet voor de integratie van omstreden concepten zoals genderideologie in begrotingsprocedures;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verzoekt de Commissie effectbeoordelingen vooraf uit te voeren waarin ook de specifieke gevolgen van het beleid van de Unie voor gendergelijkheid worden geanalyseerd, in overeenstemming met de richtsnoeren voor betere regelgeving;</w:t>
            </w:r>
          </w:p>
        </w:tc>
        <w:tc>
          <w:tcPr>
            <w:tcW w:w="4876" w:type="dxa"/>
            <w:tcBorders>
              <w:top w:val="nil"/>
              <w:left w:val="nil"/>
              <w:bottom w:val="nil"/>
              <w:right w:val="nil"/>
            </w:tcBorders>
          </w:tcPr>
          <w:p>
            <w:pPr>
              <w:pStyle w:val="Normal6a"/>
            </w:pPr>
            <w:r>
              <w:t>26.</w:t>
            </w:r>
            <w:r>
              <w:tab/>
            </w:r>
            <w:r>
              <w:t>verzoekt de Commissie effectbeoordelingen vooraf uit te voeren waarin ook de specifieke gevolgen van het beleid van de Unie voor gendergelijkheid worden geanalyseerd, in overeenstemming met de richtsnoeren voor betere regelgeving</w:t>
            </w:r>
            <w:r>
              <w:rPr>
                <w:b/>
                <w:i/>
              </w:rPr>
              <w:t>, en daarbij op evenwichtige wijze aandacht te besteden aan de sociale, economische en adminstratieve kosten en gevolgen, met name voor kmo's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verzoekt de Commissie begrotingsbeleidsinstrumenten, waaronder belastingregelingen en staatssteunprogramma's, stelselmatig aan gendereffectbeoordelingen te onderwerpen, teneinde onbedoelde genderongelijkheden te identificeren en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verzoekt de Commissie ervoor te zorgen dat </w:t>
            </w:r>
            <w:r>
              <w:rPr>
                <w:b/>
                <w:i/>
              </w:rPr>
              <w:t>geen</w:t>
            </w:r>
            <w:r>
              <w:t xml:space="preserve"> wetgevingsvoorstellen </w:t>
            </w:r>
            <w:r>
              <w:rPr>
                <w:b/>
                <w:i/>
              </w:rPr>
              <w:t>worden aangenomen indien uit de</w:t>
            </w:r>
            <w:r>
              <w:t xml:space="preserve"> effectbeoordelingen vooraf </w:t>
            </w:r>
            <w:r>
              <w:rPr>
                <w:b/>
                <w:i/>
              </w:rPr>
              <w:t>duidelijk blijkt dat zij zouden bijdragen tot een achteruitgang op het gebied van</w:t>
            </w:r>
            <w:r>
              <w:t xml:space="preserve"> gendergelijkheid in de Unie;</w:t>
            </w:r>
          </w:p>
        </w:tc>
        <w:tc>
          <w:tcPr>
            <w:tcW w:w="4876" w:type="dxa"/>
            <w:tcBorders>
              <w:top w:val="nil"/>
              <w:left w:val="nil"/>
              <w:bottom w:val="nil"/>
              <w:right w:val="nil"/>
            </w:tcBorders>
          </w:tcPr>
          <w:p>
            <w:pPr>
              <w:pStyle w:val="Normal6a"/>
            </w:pPr>
            <w:r>
              <w:t>27.</w:t>
            </w:r>
            <w:r>
              <w:tab/>
            </w:r>
            <w:r>
              <w:t xml:space="preserve">verzoekt de Commissie ervoor te zorgen dat wetgevingsvoorstellen </w:t>
            </w:r>
            <w:r>
              <w:rPr>
                <w:b/>
                <w:i/>
              </w:rPr>
              <w:t>in hun</w:t>
            </w:r>
            <w:r>
              <w:t xml:space="preserve"> effectbeoordelingen vooraf </w:t>
            </w:r>
            <w:r>
              <w:rPr>
                <w:b/>
                <w:i/>
              </w:rPr>
              <w:t>indicatoren bevatten met betrekking tot</w:t>
            </w:r>
            <w:r>
              <w:t xml:space="preserve"> gendergelijkheid in de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verzoekt de Commissie </w:t>
            </w:r>
            <w:r>
              <w:rPr>
                <w:b/>
                <w:i/>
              </w:rPr>
              <w:t>ervoor te zorgen dat geen wetgevingsvoorstellen worden aangenomen indien uit</w:t>
            </w:r>
            <w:r>
              <w:t xml:space="preserve"> de effectbeoordelingen vooraf </w:t>
            </w:r>
            <w:r>
              <w:rPr>
                <w:b/>
                <w:i/>
              </w:rPr>
              <w:t>duidelijk blijkt dat zij zouden bijdragen tot een achteruitgang op het gebied van</w:t>
            </w:r>
            <w:r>
              <w:t xml:space="preserve"> gendergelijkheid in </w:t>
            </w:r>
            <w:r>
              <w:rPr>
                <w:b/>
                <w:i/>
              </w:rPr>
              <w:t>de Unie</w:t>
            </w:r>
            <w:r>
              <w:t>;</w:t>
            </w:r>
          </w:p>
        </w:tc>
        <w:tc>
          <w:tcPr>
            <w:tcW w:w="4876" w:type="dxa"/>
            <w:tcBorders>
              <w:top w:val="nil"/>
              <w:left w:val="nil"/>
              <w:bottom w:val="nil"/>
              <w:right w:val="nil"/>
            </w:tcBorders>
          </w:tcPr>
          <w:p>
            <w:pPr>
              <w:pStyle w:val="Normal6a"/>
            </w:pPr>
            <w:r>
              <w:t>27.</w:t>
            </w:r>
            <w:r>
              <w:tab/>
            </w:r>
            <w:r>
              <w:t xml:space="preserve">verzoekt de Commissie de effectbeoordelingen vooraf </w:t>
            </w:r>
            <w:r>
              <w:rPr>
                <w:b/>
                <w:i/>
              </w:rPr>
              <w:t>te versterken, teneinde alle potentiële negatieve gevolgen voor</w:t>
            </w:r>
            <w:r>
              <w:t xml:space="preserve"> gendergelijkheid in </w:t>
            </w:r>
            <w:r>
              <w:rPr>
                <w:b/>
                <w:i/>
              </w:rPr>
              <w:t>het stadium van het formuleren van wetgevingsvoorstellen zorgvuldig in kaart te brengen en tot een minimum te beperken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dringt er bij</w:t>
            </w:r>
            <w:r>
              <w:t xml:space="preserve"> de Commissie </w:t>
            </w:r>
            <w:r>
              <w:rPr>
                <w:b/>
                <w:i/>
              </w:rPr>
              <w:t>op aan</w:t>
            </w:r>
            <w:r>
              <w:t xml:space="preserve"> een “waarborgmechanisme voor gendergelijkheid” in </w:t>
            </w:r>
            <w:r>
              <w:rPr>
                <w:b/>
                <w:i/>
              </w:rPr>
              <w:t>te voeren als standaardonderdeel van</w:t>
            </w:r>
            <w:r>
              <w:t xml:space="preserve"> de wetgevingsprocedures van de Unie, </w:t>
            </w:r>
            <w:r>
              <w:rPr>
                <w:b/>
                <w:i/>
              </w:rPr>
              <w:t>op grond waarvan elk voorstel dat blijkens duidelijke indicatoren of de analyse van de Rekenkamer de strategie en</w:t>
            </w:r>
            <w:r>
              <w:t xml:space="preserve"> doelstellingen van de Unie op het gebied van gendergelijkheid </w:t>
            </w:r>
            <w:r>
              <w:rPr>
                <w:b/>
                <w:i/>
              </w:rPr>
              <w:t>ondermijnt, verplicht moet worden opgeschort of herzien</w:t>
            </w:r>
            <w:r>
              <w:t>;</w:t>
            </w:r>
          </w:p>
        </w:tc>
        <w:tc>
          <w:tcPr>
            <w:tcW w:w="4876" w:type="dxa"/>
            <w:tcBorders>
              <w:top w:val="nil"/>
              <w:left w:val="nil"/>
              <w:bottom w:val="nil"/>
              <w:right w:val="nil"/>
            </w:tcBorders>
          </w:tcPr>
          <w:p>
            <w:pPr>
              <w:pStyle w:val="Normal6a"/>
            </w:pPr>
            <w:r>
              <w:t>28.</w:t>
            </w:r>
            <w:r>
              <w:tab/>
            </w:r>
            <w:r>
              <w:rPr>
                <w:b/>
                <w:i/>
              </w:rPr>
              <w:t>spoort</w:t>
            </w:r>
            <w:r>
              <w:t xml:space="preserve"> de Commissie </w:t>
            </w:r>
            <w:r>
              <w:rPr>
                <w:b/>
                <w:i/>
              </w:rPr>
              <w:t>ertoe aan onderzoek te doen naar meer opties voor het integreren van</w:t>
            </w:r>
            <w:r>
              <w:t xml:space="preserve"> een "waarborgmechanisme voor gendergelijkheid" in de wetgevingsprocedures van de Unie, </w:t>
            </w:r>
            <w:r>
              <w:rPr>
                <w:b/>
                <w:i/>
              </w:rPr>
              <w:t>met het oog op het identificeren en aanpassen van voorstellen die de</w:t>
            </w:r>
            <w:r>
              <w:t xml:space="preserve"> doelstellingen van de Unie op het gebied van gendergelijkheid </w:t>
            </w:r>
            <w:r>
              <w:rPr>
                <w:b/>
                <w:i/>
              </w:rPr>
              <w:t>zouden kunnen ondermijnen, met inachtneming van de respectieve rollen van de andere instellingen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verzoekt de Commissie te onderzoeken of het haalbaar is om verdere maatregelen ter bevordering van gendergelijkheid op managementniveau in te voeren, alsook of het haalbaar is om quota in te voeren om ervoor te zorgen dat alle genders via gerichte ondersteuningsregelingen voldoende bij de beleidsvorming worden betrokken;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verzoekt de Commissie te onderzoeken of het haalbaar is om verdere maatregelen ter bevordering van gendergelijkheid op managementniveau in te voeren, </w:t>
            </w:r>
            <w:r>
              <w:rPr>
                <w:b/>
                <w:i/>
              </w:rPr>
              <w:t>alsook of het haalbaar is om quota in te voeren om ervoor te zorgen dat alle genders via</w:t>
            </w:r>
            <w:r>
              <w:t xml:space="preserve"> gerichte ondersteuningsregelingen </w:t>
            </w:r>
            <w:r>
              <w:rPr>
                <w:b/>
                <w:i/>
              </w:rPr>
              <w:t>voldoende bij de beleidsvorming worden betrokken</w:t>
            </w:r>
            <w:r>
              <w:t>;</w:t>
            </w:r>
          </w:p>
        </w:tc>
        <w:tc>
          <w:tcPr>
            <w:tcW w:w="4876" w:type="dxa"/>
            <w:tcBorders>
              <w:top w:val="nil"/>
              <w:left w:val="nil"/>
              <w:bottom w:val="nil"/>
              <w:right w:val="nil"/>
            </w:tcBorders>
          </w:tcPr>
          <w:p>
            <w:pPr>
              <w:pStyle w:val="Normal6a"/>
            </w:pPr>
            <w:r>
              <w:t>30.</w:t>
            </w:r>
            <w:r>
              <w:tab/>
            </w:r>
            <w:r>
              <w:t xml:space="preserve">verzoekt de Commissie te onderzoeken of het haalbaar is </w:t>
            </w:r>
            <w:r>
              <w:rPr>
                <w:b/>
                <w:i/>
              </w:rPr>
              <w:t>en mogelijkerwijs positieve gevolgen heeft</w:t>
            </w:r>
            <w:r>
              <w:t xml:space="preserve"> om verdere maatregelen ter bevordering van gendergelijkheid op managementniveau in te voeren, </w:t>
            </w:r>
            <w:r>
              <w:rPr>
                <w:b/>
                <w:i/>
              </w:rPr>
              <w:t>en na te denken over</w:t>
            </w:r>
            <w:r>
              <w:t xml:space="preserve"> gerichte ondersteuningsregelingen </w:t>
            </w:r>
            <w:r>
              <w:rPr>
                <w:b/>
                <w:i/>
              </w:rPr>
              <w:t>die inzetten op de participatie van alle genders in beleidsvormingsprocessen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verzoekt de Commissie te onderzoeken of het haalbaar is om verdere maatregelen ter bevordering van gendergelijkheid op managementniveau in te voeren, alsook of </w:t>
            </w:r>
            <w:r>
              <w:rPr>
                <w:b/>
                <w:i/>
              </w:rPr>
              <w:t>het haalbaar is om</w:t>
            </w:r>
            <w:r>
              <w:t xml:space="preserve"> quota </w:t>
            </w:r>
            <w:r>
              <w:rPr>
                <w:b/>
                <w:i/>
              </w:rPr>
              <w:t>in te voeren</w:t>
            </w:r>
            <w:r>
              <w:t xml:space="preserve"> om ervoor te zorgen dat alle genders via gerichte ondersteuningsregelingen voldoende bij de beleidsvorming worden betrokken;</w:t>
            </w:r>
          </w:p>
        </w:tc>
        <w:tc>
          <w:tcPr>
            <w:tcW w:w="4876" w:type="dxa"/>
            <w:tcBorders>
              <w:top w:val="nil"/>
              <w:left w:val="nil"/>
              <w:bottom w:val="nil"/>
              <w:right w:val="nil"/>
            </w:tcBorders>
          </w:tcPr>
          <w:p>
            <w:pPr>
              <w:pStyle w:val="Normal6a"/>
            </w:pPr>
            <w:r>
              <w:t>30.</w:t>
            </w:r>
            <w:r>
              <w:tab/>
            </w:r>
            <w:r>
              <w:t xml:space="preserve">verzoekt de Commissie te onderzoeken of het haalbaar is om verdere maatregelen ter bevordering van gendergelijkheid op managementniveau in te voeren, alsook of quota </w:t>
            </w:r>
            <w:r>
              <w:rPr>
                <w:b/>
                <w:i/>
              </w:rPr>
              <w:t>mogelijk zijn</w:t>
            </w:r>
            <w:r>
              <w:t xml:space="preserve"> om ervoor te zorgen dat alle genders via gerichte ondersteuningsregelingen voldoende bij de beleidsvorming worden betrokken;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roept de Commissie op ervoor te zorgen dat een juridisch bindend minimumpercentage van de EU-begroting wordt besteed aan gendergelijkheid als hoofddoelstelling (overeenkomend met score 2 in de huidige methodologie);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roept de Commissie op </w:t>
            </w:r>
            <w:r>
              <w:rPr>
                <w:b/>
                <w:i/>
              </w:rPr>
              <w:t>ervoor te zorgen</w:t>
            </w:r>
            <w:r>
              <w:t xml:space="preserve"> dat een </w:t>
            </w:r>
            <w:r>
              <w:rPr>
                <w:b/>
                <w:i/>
              </w:rPr>
              <w:t>juridisch bindend</w:t>
            </w:r>
            <w:r>
              <w:t xml:space="preserve"> minimumpercentage van de EU-begroting wordt besteed aan gendergelijkheid als hoofddoelstelling (overeenkomend met score 2 in de huidige methodologie);</w:t>
            </w:r>
          </w:p>
        </w:tc>
        <w:tc>
          <w:tcPr>
            <w:tcW w:w="4876" w:type="dxa"/>
            <w:tcBorders>
              <w:top w:val="nil"/>
              <w:left w:val="nil"/>
              <w:bottom w:val="nil"/>
              <w:right w:val="nil"/>
            </w:tcBorders>
          </w:tcPr>
          <w:p>
            <w:pPr>
              <w:pStyle w:val="Normal6a"/>
            </w:pPr>
            <w:r>
              <w:t>31.</w:t>
            </w:r>
            <w:r>
              <w:tab/>
            </w:r>
            <w:r>
              <w:t xml:space="preserve">roept de Commissie op </w:t>
            </w:r>
            <w:r>
              <w:rPr>
                <w:b/>
                <w:i/>
              </w:rPr>
              <w:t>te onderzoeken of het haalbaar is te bepalen</w:t>
            </w:r>
            <w:r>
              <w:t xml:space="preserve"> dat een minimumpercentage van de EU-begroting wordt besteed aan gendergelijkheid als hoofddoelstelling (overeenkomend met score 2 in de huidige methodologie);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roept de Commissie op ervoor te zorgen dat een </w:t>
            </w:r>
            <w:r>
              <w:rPr>
                <w:b/>
                <w:i/>
              </w:rPr>
              <w:t>juridisch bindend</w:t>
            </w:r>
            <w:r>
              <w:t xml:space="preserve"> minimumpercentage van de EU-begroting wordt besteed aan gendergelijkheid als hoofddoelstelling (overeenkomend met score 2 in de huidige methodologie);</w:t>
            </w:r>
          </w:p>
        </w:tc>
        <w:tc>
          <w:tcPr>
            <w:tcW w:w="4876" w:type="dxa"/>
            <w:tcBorders>
              <w:top w:val="nil"/>
              <w:left w:val="nil"/>
              <w:bottom w:val="nil"/>
              <w:right w:val="nil"/>
            </w:tcBorders>
          </w:tcPr>
          <w:p>
            <w:pPr>
              <w:pStyle w:val="Normal6a"/>
            </w:pPr>
            <w:r>
              <w:t>31.</w:t>
            </w:r>
            <w:r>
              <w:tab/>
            </w:r>
            <w:r>
              <w:t>roept de Commissie op ervoor te zorgen dat een minimumpercentage van de EU-begroting wordt besteed aan gendergelijkheid als hoofddoelstelling (overeenkomend met score 2 in de huidige methodologie);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vraagt de Commissie te overwegen om in de volgende programmeringsperiode een </w:t>
            </w:r>
            <w:r>
              <w:rPr>
                <w:b/>
                <w:i/>
              </w:rPr>
              <w:t>juridisch bindende</w:t>
            </w:r>
            <w:r>
              <w:t xml:space="preserve"> kwantitatieve doelstelling op te nemen voor een deel van de </w:t>
            </w:r>
            <w:r>
              <w:rPr>
                <w:b/>
                <w:i/>
              </w:rPr>
              <w:t>EU‑begroting</w:t>
            </w:r>
            <w:r>
              <w:t xml:space="preserve"> dat moet bijdragen aan de bevordering van gendergelijkheid (overeenkomend met een score van 2 of 1 in de huidige methodologie)</w:t>
            </w:r>
            <w:r>
              <w:rPr>
                <w:b/>
                <w:i/>
              </w:rPr>
              <w:t>, aangezien dergelijke doelstellingen nuttig zijn gebleken voor de mainstreaming van de klimaat- en biodiversiteitsdoelstellingen van de Unie</w:t>
            </w:r>
            <w:r>
              <w:t>;</w:t>
            </w:r>
          </w:p>
        </w:tc>
        <w:tc>
          <w:tcPr>
            <w:tcW w:w="4876" w:type="dxa"/>
            <w:tcBorders>
              <w:top w:val="nil"/>
              <w:left w:val="nil"/>
              <w:bottom w:val="nil"/>
              <w:right w:val="nil"/>
            </w:tcBorders>
          </w:tcPr>
          <w:p>
            <w:pPr>
              <w:pStyle w:val="Normal6a"/>
            </w:pPr>
            <w:r>
              <w:t>32.</w:t>
            </w:r>
            <w:r>
              <w:tab/>
            </w:r>
            <w:r>
              <w:t xml:space="preserve">vraagt de Commissie te overwegen om in de volgende programmeringsperiode een kwantitatieve doelstelling op te nemen voor een deel van de </w:t>
            </w:r>
            <w:r>
              <w:rPr>
                <w:b/>
                <w:i/>
              </w:rPr>
              <w:t>EU-begroting</w:t>
            </w:r>
            <w:r>
              <w:t xml:space="preserve"> dat moet bijdragen aan de bevordering van gendergelijkheid (overeenkomend met een score van 2 of 1 in de huidige methodologie);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vraagt de Commissie te </w:t>
            </w:r>
            <w:r>
              <w:rPr>
                <w:b/>
                <w:i/>
              </w:rPr>
              <w:t>overwegen</w:t>
            </w:r>
            <w:r>
              <w:t xml:space="preserve"> om in de volgende programmeringsperiode een </w:t>
            </w:r>
            <w:r>
              <w:rPr>
                <w:b/>
                <w:i/>
              </w:rPr>
              <w:t>juridisch bindende</w:t>
            </w:r>
            <w:r>
              <w:t xml:space="preserve"> kwantitatieve doelstelling op te nemen voor een deel van de </w:t>
            </w:r>
            <w:r>
              <w:rPr>
                <w:b/>
                <w:i/>
              </w:rPr>
              <w:t>EU‑begroting</w:t>
            </w:r>
            <w:r>
              <w:t xml:space="preserve"> dat moet bijdragen aan de bevordering van gendergelijkheid (overeenkomend met een score van 2 of 1 in de huidige methodologie), </w:t>
            </w:r>
            <w:r>
              <w:rPr>
                <w:b/>
                <w:i/>
              </w:rPr>
              <w:t>aangezien dergelijke</w:t>
            </w:r>
            <w:r>
              <w:t xml:space="preserve"> doelstellingen nuttig zijn gebleken voor de </w:t>
            </w:r>
            <w:r>
              <w:rPr>
                <w:b/>
                <w:i/>
              </w:rPr>
              <w:t>mainstreaming</w:t>
            </w:r>
            <w:r>
              <w:t xml:space="preserve"> van de klimaat- en biodiversiteitsdoelstellingen van de Unie;</w:t>
            </w:r>
          </w:p>
        </w:tc>
        <w:tc>
          <w:tcPr>
            <w:tcW w:w="4876" w:type="dxa"/>
            <w:tcBorders>
              <w:top w:val="nil"/>
              <w:left w:val="nil"/>
              <w:bottom w:val="nil"/>
              <w:right w:val="nil"/>
            </w:tcBorders>
          </w:tcPr>
          <w:p>
            <w:pPr>
              <w:pStyle w:val="Normal6a"/>
            </w:pPr>
            <w:r>
              <w:t>32.</w:t>
            </w:r>
            <w:r>
              <w:tab/>
            </w:r>
            <w:r>
              <w:t xml:space="preserve">vraagt de Commissie te </w:t>
            </w:r>
            <w:r>
              <w:rPr>
                <w:b/>
                <w:i/>
              </w:rPr>
              <w:t>onderzoeken of het mogelijk is</w:t>
            </w:r>
            <w:r>
              <w:t xml:space="preserve"> om in de volgende programmeringsperiode een kwantitatieve doelstelling op te nemen voor een deel van de </w:t>
            </w:r>
            <w:r>
              <w:rPr>
                <w:b/>
                <w:i/>
              </w:rPr>
              <w:t>EU-begroting</w:t>
            </w:r>
            <w:r>
              <w:t xml:space="preserve"> dat moet bijdragen aan de bevordering van gendergelijkheid (overeenkomend met een score van 2 of 1 in de huidige methodologie), </w:t>
            </w:r>
            <w:r>
              <w:rPr>
                <w:b/>
                <w:i/>
              </w:rPr>
              <w:t>in de wetenschap dat vergelijkbare</w:t>
            </w:r>
            <w:r>
              <w:t xml:space="preserve"> doelstellingen nuttig zijn gebleken voor de </w:t>
            </w:r>
            <w:r>
              <w:rPr>
                <w:b/>
                <w:i/>
              </w:rPr>
              <w:t>verwezenlijking</w:t>
            </w:r>
            <w:r>
              <w:t xml:space="preserve"> van de klimaat- en biodiversiteitsdoelstellingen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verzoekt de Commissie en de Raad om tijdens de onderhandelingen over de volgende generatie programma’s de bepalingen van het herziene Financieel Reglement na te leven, namelijk dat programma’s en activiteiten, waar mogelijk en passend in overeenstemming met de relevante sectorspecifieke regels, moeten worden uitgevoerd met inachtneming van het beginsel van </w:t>
            </w:r>
            <w:r>
              <w:rPr>
                <w:b/>
                <w:i/>
              </w:rPr>
              <w:t>gendergelijkheid en overeenkomstig een passende methodologie voor gendermainstreaming</w:t>
            </w:r>
            <w:r>
              <w:t>;</w:t>
            </w:r>
          </w:p>
        </w:tc>
        <w:tc>
          <w:tcPr>
            <w:tcW w:w="4876" w:type="dxa"/>
            <w:tcBorders>
              <w:top w:val="nil"/>
              <w:left w:val="nil"/>
              <w:bottom w:val="nil"/>
              <w:right w:val="nil"/>
            </w:tcBorders>
          </w:tcPr>
          <w:p>
            <w:pPr>
              <w:pStyle w:val="Normal6a"/>
            </w:pPr>
            <w:r>
              <w:t>33.</w:t>
            </w:r>
            <w:r>
              <w:tab/>
            </w:r>
            <w:r>
              <w:t xml:space="preserve">verzoekt de Commissie en de Raad om tijdens de onderhandelingen over de volgende generatie programma’s de bepalingen van het herziene Financieel Reglement na te leven, namelijk dat programma’s en activiteiten, waar mogelijk en passend in overeenstemming met de relevante sectorspecifieke regels, moeten worden uitgevoerd met inachtneming van het beginsel van </w:t>
            </w:r>
            <w:r>
              <w:rPr>
                <w:b/>
                <w:i/>
              </w:rPr>
              <w:t>gelijkheid van mannen en vrouwen;</w:t>
            </w:r>
            <w:r>
              <w:t xml:space="preserve"> </w:t>
            </w:r>
            <w:r>
              <w:rPr>
                <w:b/>
                <w:i/>
              </w:rPr>
              <w:t>verzoekt de EU-instellingen ervoor te zorgen dat in hun begrotingsbeleid en bij de toewijzing van begrotingsmiddelen voldoende rekening wordt gehouden met het gezin en de joods-christelijke waarden, in de onderkenning dat die een essentieel onderdeel uitmaken van het cultureel en historisch fundament van de Unie;</w:t>
            </w:r>
            <w:r>
              <w:t xml:space="preserve"> </w:t>
            </w:r>
            <w:r>
              <w:rPr>
                <w:b/>
                <w:i/>
              </w:rPr>
              <w:t>verzoekt de EU-instellingen verder af te zien van het bevorderen van genderideologie als een normatief kader binnen het externe optreden van de Unie, en herinnert er in dit verband aan dat het beleid van de EU in plaats daarvan verankerd moet zijn in respect voor culturele tradities, de waardigheid van het individu, en versterking van de sociale cohesie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verzoekt de Commissie en de Raad om tijdens de onderhandelingen over de volgende generatie programma’s de bepalingen van het herziene Financieel Reglement na te leven, namelijk dat programma’s en activiteiten, waar mogelijk en passend in overeenstemming met de relevante sectorspecifieke regels, moeten worden uitgevoerd met inachtneming van het beginsel van gendergelijkheid </w:t>
            </w:r>
            <w:r>
              <w:rPr>
                <w:b/>
                <w:i/>
              </w:rPr>
              <w:t>en overeenkomstig een passende methodologie voor gendermainstreaming</w:t>
            </w:r>
            <w:r>
              <w:t>;</w:t>
            </w:r>
          </w:p>
        </w:tc>
        <w:tc>
          <w:tcPr>
            <w:tcW w:w="4876" w:type="dxa"/>
            <w:tcBorders>
              <w:top w:val="nil"/>
              <w:left w:val="nil"/>
              <w:bottom w:val="nil"/>
              <w:right w:val="nil"/>
            </w:tcBorders>
          </w:tcPr>
          <w:p>
            <w:pPr>
              <w:pStyle w:val="Normal6a"/>
            </w:pPr>
            <w:r>
              <w:t>33.</w:t>
            </w:r>
            <w:r>
              <w:tab/>
            </w:r>
            <w:r>
              <w:t>verzoekt de Commissie en de Raad om tijdens de onderhandelingen over de volgende generatie programma’s de bepalingen van het herziene Financieel Reglement na te leven, namelijk dat programma’s en activiteiten, waar mogelijk en passend in overeenstemming met de relevante sectorspecifieke regels, moeten worden uitgevoerd met inachtneming van het beginsel van gendergelijkheid;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vraagt</w:t>
            </w:r>
            <w:r>
              <w:t xml:space="preserve"> de Commissie, ook in overeenstemming met het herziene Financieel Reglement, ervoor te zorgen dat de volgende generatie programma’s wordt onderhandeld op basis van voorstellen </w:t>
            </w:r>
            <w:r>
              <w:rPr>
                <w:b/>
                <w:i/>
              </w:rPr>
              <w:t>die specifieke, meetbare, haalbare, relevante en tijdgebonden</w:t>
            </w:r>
            <w:r>
              <w:t xml:space="preserve"> doelstellingen </w:t>
            </w:r>
            <w:r>
              <w:rPr>
                <w:b/>
                <w:i/>
              </w:rPr>
              <w:t>bevatten, alsmede indicatoren die relevant, aanvaardbaar, geloofwaardig, eenvoudig en robuust zijn en gebaseerd op alom erkend wetenschappelijk bewijs, en merkt op dat de gegevens die in verband met deze indicatoren worden verzameld, waar nodig moeten worden uitgesplitst</w:t>
            </w:r>
            <w:r>
              <w:t xml:space="preserve"> naar gender </w:t>
            </w:r>
            <w:r>
              <w:rPr>
                <w:b/>
                <w:i/>
              </w:rPr>
              <w:t>en moeten worden verzameld op een wijze die de aggregatie</w:t>
            </w:r>
            <w:r>
              <w:t xml:space="preserve"> van dergelijke gegevens in alle relevante programma’s </w:t>
            </w:r>
            <w:r>
              <w:rPr>
                <w:b/>
                <w:i/>
              </w:rPr>
              <w:t>mogelijk maakt</w:t>
            </w:r>
            <w:r>
              <w:t>;</w:t>
            </w:r>
          </w:p>
        </w:tc>
        <w:tc>
          <w:tcPr>
            <w:tcW w:w="4876" w:type="dxa"/>
            <w:tcBorders>
              <w:top w:val="nil"/>
              <w:left w:val="nil"/>
              <w:bottom w:val="nil"/>
              <w:right w:val="nil"/>
            </w:tcBorders>
          </w:tcPr>
          <w:p>
            <w:pPr>
              <w:pStyle w:val="Normal6a"/>
            </w:pPr>
            <w:r>
              <w:t>34.</w:t>
            </w:r>
            <w:r>
              <w:tab/>
            </w:r>
            <w:r>
              <w:rPr>
                <w:b/>
                <w:i/>
              </w:rPr>
              <w:t>verzoekt</w:t>
            </w:r>
            <w:r>
              <w:t xml:space="preserve"> de Commissie, ook in overeenstemming met het herziene Financieel Reglement, ervoor te zorgen dat de volgende generatie programma’s wordt onderhandeld op basis van voorstellen </w:t>
            </w:r>
            <w:r>
              <w:rPr>
                <w:b/>
                <w:i/>
              </w:rPr>
              <w:t>met</w:t>
            </w:r>
            <w:r>
              <w:t xml:space="preserve"> doelstellingen </w:t>
            </w:r>
            <w:r>
              <w:rPr>
                <w:b/>
                <w:i/>
              </w:rPr>
              <w:t>die het verzamelen van</w:t>
            </w:r>
            <w:r>
              <w:t xml:space="preserve"> naar gender </w:t>
            </w:r>
            <w:r>
              <w:rPr>
                <w:b/>
                <w:i/>
              </w:rPr>
              <w:t>uitgesplitste gegevens mogelijk maken, alsook het aggregeren</w:t>
            </w:r>
            <w:r>
              <w:t xml:space="preserve"> van dergelijke gegevens in alle relevante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vraagt de Commissie, ook in overeenstemming met het herziene Financieel Reglement, ervoor te zorgen dat de volgende generatie programma’s wordt onderhandeld op basis van voorstellen die specifieke, meetbare, haalbare, relevante en tijdgebonden doelstellingen bevatten, alsmede indicatoren die relevant, aanvaardbaar, geloofwaardig, eenvoudig en robuust zijn en gebaseerd op alom erkend wetenschappelijk bewijs, en merkt op dat de gegevens die in verband met deze indicatoren worden verzameld, waar nodig moeten worden uitgesplitst naar gender en moeten worden verzameld op een wijze die de aggregatie van dergelijke gegevens in alle relevante programma’s mogelijk maakt;</w:t>
            </w:r>
          </w:p>
        </w:tc>
        <w:tc>
          <w:tcPr>
            <w:tcW w:w="4876" w:type="dxa"/>
            <w:tcBorders>
              <w:top w:val="nil"/>
              <w:left w:val="nil"/>
              <w:bottom w:val="nil"/>
              <w:right w:val="nil"/>
            </w:tcBorders>
          </w:tcPr>
          <w:p>
            <w:pPr>
              <w:pStyle w:val="Normal6a"/>
            </w:pPr>
            <w:r>
              <w:t>34.</w:t>
            </w:r>
            <w:r>
              <w:tab/>
            </w:r>
            <w:r>
              <w:t xml:space="preserve">vraagt de Commissie, ook in overeenstemming met het herziene Financieel Reglement, ervoor te zorgen dat de volgende generatie programma’s wordt onderhandeld op basis van voorstellen die specifieke, meetbare, haalbare, relevante en tijdgebonden doelstellingen bevatten, alsmede indicatoren die relevant, aanvaardbaar, geloofwaardig, eenvoudig en robuust zijn en gebaseerd op alom erkend wetenschappelijk bewijs, en merkt op dat de gegevens die in verband met deze indicatoren worden verzameld, waar nodig moeten worden uitgesplitst naar gender en moeten worden verzameld op een wijze die de aggregatie van dergelijke gegevens in alle relevante programma’s mogelijk maakt; </w:t>
            </w:r>
            <w:r>
              <w:rPr>
                <w:b/>
                <w:i/>
              </w:rPr>
              <w:t>dringt erop aan de gendertraceringsmethodologie van de EU verder te ontwikkelen en te verbeteren, en herinnert eraan dat het belangrijk is stelselmatig gebruik te maken van digitale instrumenten zoals kunstmatige intelligentie om het verzamelen, aggregeren en analyseren van gegevens van en tussen programma's naar een hoger plan te tillen;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verzoekt de Commissie ten minste 90 % van alle externe acties van de EU te wijden aan interventies die bijdragen tot gendergelijkheid en de empowerment van vrouwen, en 25 % van de externe financieringsinstrumenten van de EU in het komende MFK verder te besteden aan de bevordering van gendergelijkheid als hoofddoelstelling;</w:t>
            </w:r>
            <w:r>
              <w:t xml:space="preserve"> </w:t>
            </w:r>
            <w:r>
              <w:rPr>
                <w:b/>
                <w:i/>
              </w:rPr>
              <w:t>verzoekt de Commissie voorts een speciaal fonds op te richten ter bevordering van gendergelijkheid wereldwijd en ervoor te zorgen dat de door haar ondersteunde acties gericht zijn op toegang tot seksuele en reproductieve gezondheid en rechten, vergroting van de deelname van vrouwen aan de besluitvorming, ondersteuning van lokale door vrouwen geleide niet-gouvernementele organisaties en bijstand aan lokale vrouwenrechtenverdedigers;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verzoekt</w:t>
            </w:r>
            <w:r>
              <w:t xml:space="preserve"> de Commissie </w:t>
            </w:r>
            <w:r>
              <w:rPr>
                <w:b/>
                <w:i/>
              </w:rPr>
              <w:t>ten minste 90 % van alle</w:t>
            </w:r>
            <w:r>
              <w:t xml:space="preserve"> externe acties van de EU </w:t>
            </w:r>
            <w:r>
              <w:rPr>
                <w:b/>
                <w:i/>
              </w:rPr>
              <w:t>te wijden aan interventies die</w:t>
            </w:r>
            <w:r>
              <w:t xml:space="preserve"> bijdragen tot gendergelijkheid </w:t>
            </w:r>
            <w:r>
              <w:rPr>
                <w:b/>
                <w:i/>
              </w:rPr>
              <w:t>en de empowerment van vrouwen, en 25 % van de externe financieringsinstrumenten van de EU in het komende MFK verder te besteden aan de bevordering van gendergelijkheid als hoofddoelstelling</w:t>
            </w:r>
            <w:r>
              <w:t xml:space="preserve">; </w:t>
            </w:r>
            <w:r>
              <w:rPr>
                <w:b/>
                <w:i/>
              </w:rPr>
              <w:t>verzoekt de Commissie voorts een speciaal fonds op te richten ter bevordering van gendergelijkheid wereldwijd en ervoor te zorgen dat de door haar ondersteunde acties gericht zijn op toegang tot seksuele en reproductieve gezondheid en rechten, vergroting van de deelname van vrouwen aan de besluitvorming, ondersteuning van lokale door vrouwen geleide niet-gouvernementele organisaties en bijstand aan lokale vrouwenrechtenverdedigers;</w:t>
            </w:r>
          </w:p>
        </w:tc>
        <w:tc>
          <w:tcPr>
            <w:tcW w:w="4876" w:type="dxa"/>
            <w:tcBorders>
              <w:top w:val="nil"/>
              <w:left w:val="nil"/>
              <w:bottom w:val="nil"/>
              <w:right w:val="nil"/>
            </w:tcBorders>
          </w:tcPr>
          <w:p>
            <w:pPr>
              <w:pStyle w:val="Normal6a"/>
            </w:pPr>
            <w:r>
              <w:t>36.</w:t>
            </w:r>
            <w:r>
              <w:tab/>
            </w:r>
            <w:r>
              <w:rPr>
                <w:b/>
                <w:i/>
              </w:rPr>
              <w:t>spoort</w:t>
            </w:r>
            <w:r>
              <w:t xml:space="preserve"> de Commissie </w:t>
            </w:r>
            <w:r>
              <w:rPr>
                <w:b/>
                <w:i/>
              </w:rPr>
              <w:t>aan te garanderen dat verreweg de meeste van de</w:t>
            </w:r>
            <w:r>
              <w:t xml:space="preserve"> externe acties van de EU </w:t>
            </w:r>
            <w:r>
              <w:rPr>
                <w:b/>
                <w:i/>
              </w:rPr>
              <w:t>- idealiter rond de 85 % - op betekenisvolle wijze</w:t>
            </w:r>
            <w:r>
              <w:t xml:space="preserve"> bijdragen tot gendergelijkheid</w:t>
            </w:r>
            <w:r>
              <w:rPr>
                <w:b/>
                <w:i/>
              </w:rPr>
              <w:t>, in overeenstemming met de doelstellingen van het genderactieplan III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verzoekt de Commissie </w:t>
            </w:r>
            <w:r>
              <w:rPr>
                <w:b/>
                <w:i/>
              </w:rPr>
              <w:t>ten minste 90 %</w:t>
            </w:r>
            <w:r>
              <w:t xml:space="preserve"> van alle externe acties van de EU te wijden aan interventies die bijdragen tot gendergelijkheid en de empowerment van vrouwen, en 25 % van de externe financieringsinstrumenten van de EU in het komende MFK verder te besteden aan de bevordering van gendergelijkheid als hoofddoelstelling; verzoekt de Commissie voorts een speciaal fonds op te richten ter bevordering van gendergelijkheid wereldwijd en ervoor te zorgen dat de door haar ondersteunde acties gericht zijn op toegang tot seksuele en reproductieve gezondheid en rechten, vergroting van de deelname van vrouwen aan de besluitvorming, ondersteuning van lokale door vrouwen geleide niet-gouvernementele organisaties en bijstand aan lokale vrouwenrechtenverdedigers;</w:t>
            </w:r>
          </w:p>
        </w:tc>
        <w:tc>
          <w:tcPr>
            <w:tcW w:w="4876" w:type="dxa"/>
            <w:tcBorders>
              <w:top w:val="nil"/>
              <w:left w:val="nil"/>
              <w:bottom w:val="nil"/>
              <w:right w:val="nil"/>
            </w:tcBorders>
          </w:tcPr>
          <w:p>
            <w:pPr>
              <w:pStyle w:val="Normal6a"/>
            </w:pPr>
            <w:r>
              <w:t>36.</w:t>
            </w:r>
            <w:r>
              <w:tab/>
            </w:r>
            <w:r>
              <w:t xml:space="preserve">verzoekt de Commissie </w:t>
            </w:r>
            <w:r>
              <w:rPr>
                <w:b/>
                <w:i/>
              </w:rPr>
              <w:t>een groter deel</w:t>
            </w:r>
            <w:r>
              <w:t xml:space="preserve"> van alle externe acties van de EU te wijden aan interventies die bijdragen tot gendergelijkheid en de empowerment van vrouwen, en 25 % van de externe financieringsinstrumenten van de EU in het komende MFK verder te besteden aan de bevordering van gendergelijkheid als hoofddoelstelling; verzoekt de Commissie voorts een speciaal fonds op te richten ter bevordering van gendergelijkheid wereldwijd en ervoor te zorgen dat de door haar ondersteunde acties gericht zijn op toegang tot seksuele en reproductieve gezondheid en rechten, vergroting van de deelname van vrouwen aan de besluitvorming, ondersteuning van lokale door vrouwen geleide niet-gouvernementele organisaties en bijstand aan lokale vrouwenrechtenverdedigers;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bevestigt dat de bescherming van vrouwenrechten en de bestrijding van alle vormen van geweld tegen vrouwen en meisjes een aparte en niet-onderhandelbare prioriteit van de Unie moeten blijven;</w:t>
            </w:r>
            <w:r>
              <w:t xml:space="preserve"> </w:t>
            </w:r>
            <w:r>
              <w:rPr>
                <w:b/>
                <w:i/>
              </w:rPr>
              <w:t>beklemtoont dat deze doelstellingen geworteld zijn in universeel erkende mensenrechten en wettelijke verplichtingen, en derhalve niet moeten worden verwaterd of ondergebracht onder de paraplu van genderideologie of bredere, omstreden gendergebaseerde constructen die het gevaar inhouden dat de concrete uitdagingen waar vrouwen mee worden geconfronteerd niet langer de aandacht en de middelen krijgen die deze verdienen;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beklemtoont dat genderideologie of daaraan gerelateerde constructen of ideologieën niet leidend moeten zijn voor het externe optreden en het buitenlands beleid van de EU, maar dat die geworteld moeten zijn in de beginselen van het internationaal recht, respect voor de soevereiniteit van staten, de bevordering van vrede, veiligheid, economische samenwerking, en de bescherming van fundamentele mensenrechten, waaronder de rechten van vrouwen en meisjes;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stelt bezorgd vast dat de huidige praktijken op het gebied van begrotingsrapportage geen helder en transparant beeld geven van welke middelen specifiek voor vrouwenrechten worden gebruikt en welke voor lhbtiq-initiatieven;</w:t>
            </w:r>
            <w:r>
              <w:t xml:space="preserve"> </w:t>
            </w:r>
            <w:r>
              <w:rPr>
                <w:b/>
                <w:i/>
              </w:rPr>
              <w:t>beklemtoont dat veel EU-programma's verschillende doelstellingen samenvoegen in brede categorieën zoals "gendergelijkheid" of "non-discriminatie", waardoor het onmogelijk is vast te stellen hoeveel middelen uitsluitend worden gebruikt voor het bestrijden van geweld tegen vrouwen, het ondersteunen van de empowerment van vrouwen, en het bevorderen van hun sociaal-economische participatie;</w:t>
            </w:r>
            <w:r>
              <w:t xml:space="preserve"> </w:t>
            </w:r>
            <w:r>
              <w:rPr>
                <w:b/>
                <w:i/>
              </w:rPr>
              <w:t>dringt aan op een transparant en gedisaggregeerd rapportagesysteem dat een onderscheid maakt tussen de middelen voor vrouwenrechten enerzijds en andere beleidsterreinen anderzijds, teneinde te zorgen voor verantwoordingsplicht, doeltreffend toezicht, en een gericht gebruik van de middelen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verzoekt de Commissie ervoor te zorgen dat door de EU gefinancierde programma's de rechten van vrouwen beschermen en bevorderen, met bijzondere aandacht voor toegang tot volksgezondheid, kinderopvang, en seksuele en reproductieve gezondheid en 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erkent dat de loonkloof tussen de genders een belangrijke kwestie blijft bij</w:t>
            </w:r>
            <w:r>
              <w:t xml:space="preserve"> de instellingen van de EU</w:t>
            </w:r>
            <w:r>
              <w:rPr>
                <w:b/>
                <w:i/>
              </w:rPr>
              <w:t>;</w:t>
            </w:r>
            <w:r>
              <w:t xml:space="preserve"> </w:t>
            </w:r>
            <w:r>
              <w:rPr>
                <w:b/>
                <w:i/>
              </w:rPr>
              <w:t>dringt er bij</w:t>
            </w:r>
            <w:r>
              <w:t xml:space="preserve"> de Commissie </w:t>
            </w:r>
            <w:r>
              <w:rPr>
                <w:b/>
                <w:i/>
              </w:rPr>
              <w:t>op aan een grondig onderzoek in te stellen</w:t>
            </w:r>
            <w:r>
              <w:t xml:space="preserve"> om na te gaan op welke gebieden </w:t>
            </w:r>
            <w:r>
              <w:rPr>
                <w:b/>
                <w:i/>
              </w:rPr>
              <w:t>binnen deze instellingen de kloof bijzonder groot is, en verzoekt de Commissie</w:t>
            </w:r>
            <w:r>
              <w:t xml:space="preserve"> maatregelen te nemen om </w:t>
            </w:r>
            <w:r>
              <w:rPr>
                <w:b/>
                <w:i/>
              </w:rPr>
              <w:t>ervoor te zorgen dat de instellingen de beginselen die zij voorstaan, naleven, en zich ten doel te stellen de loonkloof tussen de genders</w:t>
            </w:r>
            <w:r>
              <w:t xml:space="preserve"> binnen de instellingen </w:t>
            </w:r>
            <w:r>
              <w:rPr>
                <w:b/>
                <w:i/>
              </w:rPr>
              <w:t>weg te werken tegen 2030</w:t>
            </w:r>
            <w:r>
              <w:t>;</w:t>
            </w:r>
          </w:p>
        </w:tc>
        <w:tc>
          <w:tcPr>
            <w:tcW w:w="4876" w:type="dxa"/>
            <w:tcBorders>
              <w:top w:val="nil"/>
              <w:left w:val="nil"/>
              <w:bottom w:val="nil"/>
              <w:right w:val="nil"/>
            </w:tcBorders>
          </w:tcPr>
          <w:p>
            <w:pPr>
              <w:pStyle w:val="Normal6a"/>
            </w:pPr>
            <w:r>
              <w:t>38.</w:t>
            </w:r>
            <w:r>
              <w:tab/>
            </w:r>
            <w:r>
              <w:rPr>
                <w:b/>
                <w:i/>
              </w:rPr>
              <w:t>herhaalt zijn verzoek aan</w:t>
            </w:r>
            <w:r>
              <w:t xml:space="preserve"> de instellingen</w:t>
            </w:r>
            <w:r>
              <w:rPr>
                <w:b/>
                <w:i/>
              </w:rPr>
              <w:t>, organen en instanties</w:t>
            </w:r>
            <w:r>
              <w:t xml:space="preserve"> van de EU </w:t>
            </w:r>
            <w:r>
              <w:rPr>
                <w:b/>
                <w:i/>
              </w:rPr>
              <w:t>om het genderevenwicht op het niveau van het hoger management te verbeteren;</w:t>
            </w:r>
            <w:r>
              <w:t xml:space="preserve"> </w:t>
            </w:r>
            <w:r>
              <w:rPr>
                <w:b/>
                <w:i/>
              </w:rPr>
              <w:t>verzoekt</w:t>
            </w:r>
            <w:r>
              <w:t xml:space="preserve"> de Commissie </w:t>
            </w:r>
            <w:r>
              <w:rPr>
                <w:b/>
                <w:i/>
              </w:rPr>
              <w:t>een analyse te verrichten</w:t>
            </w:r>
            <w:r>
              <w:t xml:space="preserve"> om na te gaan op welke gebieden </w:t>
            </w:r>
            <w:r>
              <w:rPr>
                <w:b/>
                <w:i/>
              </w:rPr>
              <w:t>een dergelijke verbetering het dringendst is, en de mogelijkheid te onderzoeken om aanvullende</w:t>
            </w:r>
            <w:r>
              <w:t xml:space="preserve"> maatregelen te nemen om binnen de instellingen</w:t>
            </w:r>
            <w:r>
              <w:rPr>
                <w:b/>
                <w:i/>
              </w:rPr>
              <w:t>, organen en instanties van de EU genderevenwicht tot stand te brengen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erkent dat de loonkloof tussen de genders </w:t>
            </w:r>
            <w:r>
              <w:rPr>
                <w:b/>
                <w:i/>
              </w:rPr>
              <w:t>een belangrijke</w:t>
            </w:r>
            <w:r>
              <w:t xml:space="preserve"> kwestie blijft bij de instellingen van de EU; dringt er bij de Commissie op aan een grondig onderzoek in te stellen om na te gaan op welke gebieden binnen deze instellingen de kloof bijzonder groot is, en verzoekt de Commissie maatregelen te nemen om ervoor te zorgen dat de instellingen de beginselen die zij voorstaan, naleven, en zich ten doel te stellen de loonkloof tussen de genders binnen de instellingen weg te werken </w:t>
            </w:r>
            <w:r>
              <w:rPr>
                <w:b/>
                <w:i/>
              </w:rPr>
              <w:t>tegen 2030</w:t>
            </w:r>
            <w:r>
              <w:t>;</w:t>
            </w:r>
          </w:p>
        </w:tc>
        <w:tc>
          <w:tcPr>
            <w:tcW w:w="4876" w:type="dxa"/>
            <w:tcBorders>
              <w:top w:val="nil"/>
              <w:left w:val="nil"/>
              <w:bottom w:val="nil"/>
              <w:right w:val="nil"/>
            </w:tcBorders>
          </w:tcPr>
          <w:p>
            <w:pPr>
              <w:pStyle w:val="Normal6a"/>
            </w:pPr>
            <w:r>
              <w:t>38.</w:t>
            </w:r>
            <w:r>
              <w:tab/>
            </w:r>
            <w:r>
              <w:t xml:space="preserve">erkent dat de loonkloof tussen de genders </w:t>
            </w:r>
            <w:r>
              <w:rPr>
                <w:b/>
                <w:i/>
              </w:rPr>
              <w:t>één van de belangrijkste</w:t>
            </w:r>
            <w:r>
              <w:t xml:space="preserve"> kwestie blijft bij de instellingen van de EU; dringt er bij de Commissie op aan een grondig onderzoek in te stellen om na te gaan op welke gebieden binnen deze instellingen de kloof bijzonder groot is, en verzoekt de Commissie maatregelen te nemen om ervoor te zorgen dat de instellingen de beginselen die zij voorstaan, naleven, en zich ten doel te stellen de loonkloof tussen de genders binnen de instellingen </w:t>
            </w:r>
            <w:r>
              <w:rPr>
                <w:b/>
                <w:i/>
              </w:rPr>
              <w:t>zo snel mogelijk</w:t>
            </w:r>
            <w:r>
              <w:t xml:space="preserve"> weg te 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bis.</w:t>
            </w:r>
            <w:r>
              <w:tab/>
            </w:r>
            <w:r>
              <w:rPr>
                <w:b/>
                <w:i/>
              </w:rPr>
              <w:t>benadrukt dat de arbeidsplaats een belangrijke rol vervult bij het ondersteunen van het familie- en gezinsleven en van pleegzorg, en verzoekt de Commissie werkgelegenheidsbeleid te bevorderen dat moeders in staat stelt om kinderen te baren respectievelijk beide ouders om volledig deel te nemen aan zorgtaken;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erkent de aanhoudende genderongelijkheid in traditioneel door mannen gedomineerde sectoren, zoals kernenergie, defensie en energie-intensieve industrieën; </w:t>
            </w:r>
            <w:r>
              <w:rPr>
                <w:b/>
                <w:i/>
              </w:rPr>
              <w:t>verzoekt de Commissie ervoor te zorgen dat genderbudgettering wordt toegepast als een corrigerend en transformatief instrument om te waarborgen dat de toewijzing van middelen in deze sectoren actief bijdraagt tot gendergelijkheid;</w:t>
            </w:r>
          </w:p>
        </w:tc>
        <w:tc>
          <w:tcPr>
            <w:tcW w:w="4876" w:type="dxa"/>
            <w:tcBorders>
              <w:top w:val="nil"/>
              <w:left w:val="nil"/>
              <w:bottom w:val="nil"/>
              <w:right w:val="nil"/>
            </w:tcBorders>
          </w:tcPr>
          <w:p>
            <w:pPr>
              <w:pStyle w:val="Normal6a"/>
            </w:pPr>
            <w:r>
              <w:t>39.</w:t>
            </w:r>
            <w:r>
              <w:tab/>
            </w:r>
            <w:r>
              <w:t>erkent de aanhoudende genderongelijkheid in traditioneel door mannen gedomineerde sectoren, zoals kernenergie, defensie en energie-intensieve industrieën;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erkent de aanhoudende genderongelijkheid in traditioneel door mannen gedomineerde sectoren, zoals kernenergie, defensie en energie-intensieve industrieën; verzoekt de Commissie ervoor te zorgen dat </w:t>
            </w:r>
            <w:r>
              <w:rPr>
                <w:b/>
                <w:i/>
              </w:rPr>
              <w:t>genderbudgettering wordt toegepast als een corrigerend en transformatief instrument om te waarborgen dat</w:t>
            </w:r>
            <w:r>
              <w:t xml:space="preserve"> de toewijzing van middelen in deze sectoren actief bijdraagt tot gendergelijkheid;</w:t>
            </w:r>
          </w:p>
        </w:tc>
        <w:tc>
          <w:tcPr>
            <w:tcW w:w="4876" w:type="dxa"/>
            <w:tcBorders>
              <w:top w:val="nil"/>
              <w:left w:val="nil"/>
              <w:bottom w:val="nil"/>
              <w:right w:val="nil"/>
            </w:tcBorders>
          </w:tcPr>
          <w:p>
            <w:pPr>
              <w:pStyle w:val="Normal6a"/>
            </w:pPr>
            <w:r>
              <w:t>39.</w:t>
            </w:r>
            <w:r>
              <w:tab/>
            </w:r>
            <w:r>
              <w:t xml:space="preserve">erkent de aanhoudende genderongelijkheid in traditioneel door mannen gedomineerde sectoren, zoals kernenergie, defensie en energie-intensieve industrieën; verzoekt de Commissie ervoor te zorgen dat de toewijzing van middelen in deze sectoren actief bijdraagt tot </w:t>
            </w:r>
            <w:r>
              <w:rPr>
                <w:b/>
                <w:i/>
              </w:rPr>
              <w:t>het bevorderen van</w:t>
            </w:r>
            <w:r>
              <w:t xml:space="preserve"> gendergelijkheid;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erkent de aanhoudende genderongelijkheid in traditioneel door </w:t>
            </w:r>
            <w:r>
              <w:rPr>
                <w:b/>
                <w:i/>
              </w:rPr>
              <w:t>mannen gedomineerde sectoren, zoals kernenergie, defensie en energie-intensieve industrieën</w:t>
            </w:r>
            <w:r>
              <w:t xml:space="preserve">; verzoekt de Commissie ervoor te zorgen dat </w:t>
            </w:r>
            <w:r>
              <w:rPr>
                <w:b/>
                <w:i/>
              </w:rPr>
              <w:t>genderbudgettering wordt toegepast als een corrigerend en transformatief instrument om te waarborgen dat de toewijzing van middelen in deze sectoren actief bijdraagt tot</w:t>
            </w:r>
            <w:r>
              <w:t xml:space="preserve"> gendergelijkheid;</w:t>
            </w:r>
          </w:p>
        </w:tc>
        <w:tc>
          <w:tcPr>
            <w:tcW w:w="4876" w:type="dxa"/>
            <w:tcBorders>
              <w:top w:val="nil"/>
              <w:left w:val="nil"/>
              <w:bottom w:val="nil"/>
              <w:right w:val="nil"/>
            </w:tcBorders>
          </w:tcPr>
          <w:p>
            <w:pPr>
              <w:pStyle w:val="Normal6a"/>
            </w:pPr>
            <w:r>
              <w:t>39.</w:t>
            </w:r>
            <w:r>
              <w:tab/>
            </w:r>
            <w:r>
              <w:t xml:space="preserve">erkent de aanhoudende genderongelijkheid in </w:t>
            </w:r>
            <w:r>
              <w:rPr>
                <w:b/>
                <w:i/>
              </w:rPr>
              <w:t>meerdere sectoren die</w:t>
            </w:r>
            <w:r>
              <w:t xml:space="preserve"> traditioneel door </w:t>
            </w:r>
            <w:r>
              <w:rPr>
                <w:b/>
                <w:i/>
              </w:rPr>
              <w:t>één gender worden gedomineerd</w:t>
            </w:r>
            <w:r>
              <w:t xml:space="preserve">; verzoekt de Commissie ervoor te zorgen dat </w:t>
            </w:r>
            <w:r>
              <w:rPr>
                <w:b/>
                <w:i/>
              </w:rPr>
              <w:t>alle genders op niet-discriminerende wijze toegang hebben tot vaardigheidstrainingen en opleidingsprogramma's, teneinde een betere</w:t>
            </w:r>
            <w:r>
              <w:t xml:space="preserve"> gendergelijkheid </w:t>
            </w:r>
            <w:r>
              <w:rPr>
                <w:b/>
                <w:i/>
              </w:rPr>
              <w:t>in deze specifieke sectoren te waarborgen, evenwel zonder het concurrentievermogen van bedrijven aan te tasten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erkent de aanhoudende genderongelijkheid in </w:t>
            </w:r>
            <w:r>
              <w:rPr>
                <w:b/>
                <w:i/>
              </w:rPr>
              <w:t>traditioneel door mannen gedomineerde</w:t>
            </w:r>
            <w:r>
              <w:t xml:space="preserve"> sectoren, zoals kernenergie, defensie en energie-intensieve industrieën; verzoekt de Commissie ervoor te zorgen dat genderbudgettering wordt toegepast als een corrigerend en transformatief instrument om te waarborgen dat de toewijzing van middelen in deze sectoren actief bijdraagt tot gendergelijkheid;</w:t>
            </w:r>
          </w:p>
        </w:tc>
        <w:tc>
          <w:tcPr>
            <w:tcW w:w="4876" w:type="dxa"/>
            <w:tcBorders>
              <w:top w:val="nil"/>
              <w:left w:val="nil"/>
              <w:bottom w:val="nil"/>
              <w:right w:val="nil"/>
            </w:tcBorders>
          </w:tcPr>
          <w:p>
            <w:pPr>
              <w:pStyle w:val="Normal6a"/>
            </w:pPr>
            <w:r>
              <w:t>39.</w:t>
            </w:r>
            <w:r>
              <w:tab/>
            </w:r>
            <w:r>
              <w:t xml:space="preserve">erkent de aanhoudende genderongelijkheid in </w:t>
            </w:r>
            <w:r>
              <w:rPr>
                <w:b/>
                <w:i/>
              </w:rPr>
              <w:t>sommige</w:t>
            </w:r>
            <w:r>
              <w:t xml:space="preserve"> sectoren, zoals kernenergie, defensie en energie-intensieve industrieën; verzoekt de Commissie ervoor te zorgen dat genderbudgettering wordt toegepast als een corrigerend en transformatief instrument om te waarborgen dat de toewijzing van middelen in deze sectoren actief bijdraagt tot gendergelijkheid; </w:t>
            </w:r>
            <w:r>
              <w:rPr>
                <w:b/>
                <w:i/>
              </w:rPr>
              <w:t>dringt erop aan in het bijzonder aandacht te besteden aan vrouwelijke ondernemers, met name in kmo's en start-ups, waaronder in de vorm van specifieke monitoring in het kader van programma's zoals InvestEU of Horizon Europa;</w:t>
            </w:r>
            <w:r>
              <w:t xml:space="preserve"> </w:t>
            </w:r>
            <w:r>
              <w:rPr>
                <w:b/>
                <w:i/>
              </w:rPr>
              <w:t>wijst op het belang van betere monitoring- en rapportagemechanismen, teneinde te waarborgen dat de middelen daadwerkelijk ten goede komen aan vrouwen en gemarginaliseerde groepen;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AM\1328085NL.docx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AM\1328085NL.docx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AM\1328085NL.docx</w:t>
    </w:r>
    <w:r>
      <w:rPr>
        <w:rStyle w:val="HideTWBExt"/>
      </w:rPr>
      <w:t>&lt;/PathFdR&gt;</w:t>
    </w:r>
    <w:r>
      <w:tab/>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8317</Words>
  <Characters>52477</Characters>
  <Application>Microsoft Office Word</Application>
  <DocSecurity>0</DocSecurity>
  <Lines>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1328085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261101</vt:lpwstr>
  </property>
  <property fmtid="{D5CDD505-2E9C-101B-9397-08002B2CF9AE}" pid="7" name="dmxml.render.traceId">
    <vt:lpwstr>68ed0fc0322b89bb11b8c41a4815e4c6</vt:lpwstr>
  </property>
  <property fmtid="{D5CDD505-2E9C-101B-9397-08002B2CF9AE}" pid="8" name="FooterPath">
    <vt:lpwstr>AM\1328085NL.docx</vt:lpwstr>
  </property>
  <property fmtid="{D5CDD505-2E9C-101B-9397-08002B2CF9AE}" pid="9" name="PE Number">
    <vt:lpwstr>777.066</vt:lpwstr>
  </property>
  <property fmtid="{D5CDD505-2E9C-101B-9397-08002B2CF9AE}" pid="10" name="UID">
    <vt:lpwstr>eu.europa.europarl-DIN1-2025-0000175169_02.00-nl-01.00_text-xml</vt:lpwstr>
  </property>
</Properties>
</file>