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Java 24.2.0 -->
  <w:body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804"/>
        <w:gridCol w:w="2268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exact" w:val="1417"/>
          <w:jc w:val="center"/>
        </w:trPr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EPName"/>
            </w:pPr>
            <w:r>
              <w:t>Evropský parlament</w:t>
            </w:r>
          </w:p>
          <w:p>
            <w:pPr>
              <w:pStyle w:val="EPTerm"/>
              <w:jc w:val="left"/>
            </w:pPr>
            <w:r>
              <w:t>2024-2029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pStyle w:val="EPLogo"/>
              <w:jc w:val="right"/>
            </w:pPr>
            <w: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91.56pt;height:50.11pt">
                  <v:imagedata r:id="rId4" o:title=""/>
                </v:shape>
              </w:pict>
            </w:r>
          </w:p>
        </w:tc>
      </w:tr>
    </w:tbl>
    <w:p>
      <w:pPr>
        <w:pStyle w:val="LineTop"/>
      </w:pPr>
      <w:r>
        <w:t xml:space="preserve"> </w:t>
      </w:r>
    </w:p>
    <w:p>
      <w:pPr>
        <w:pStyle w:val="EPBody"/>
      </w:pPr>
      <w:r>
        <w:rPr>
          <w:rStyle w:val="HideTWBExt"/>
        </w:rPr>
        <w:t>&lt;Commission&gt;</w:t>
      </w:r>
      <w:r>
        <w:rPr>
          <w:rStyle w:val="HideTWBInt"/>
        </w:rPr>
        <w:t>{CONT}</w:t>
      </w:r>
      <w:r>
        <w:t>Výbor pro rozpočtovou kontrolu</w:t>
      </w:r>
      <w:r>
        <w:rPr>
          <w:rStyle w:val="HideTWBExt"/>
        </w:rPr>
        <w:t>&lt;/Commission&gt;</w:t>
      </w:r>
    </w:p>
    <w:p>
      <w:pPr>
        <w:pStyle w:val="LineBottom"/>
      </w:pPr>
      <w:r>
        <w:t xml:space="preserve"> </w:t>
      </w:r>
    </w:p>
    <w:p>
      <w:pPr>
        <w:pStyle w:val="CoverReference"/>
      </w:pPr>
      <w:r>
        <w:rPr>
          <w:rStyle w:val="HideTWBExt"/>
        </w:rPr>
        <w:t>&lt;RefProc&gt;</w:t>
      </w:r>
      <w:r>
        <w:t>2025/2034</w:t>
      </w:r>
      <w:r>
        <w:rPr>
          <w:rStyle w:val="HideTWBExt"/>
        </w:rPr>
        <w:t>&lt;/RefProc&gt;</w:t>
      </w:r>
      <w:r>
        <w:rPr>
          <w:rStyle w:val="HideTWBExt"/>
        </w:rPr>
        <w:t>&lt;RefTypeProc&gt;</w:t>
      </w:r>
      <w:r>
        <w:t>(INI)</w:t>
      </w:r>
      <w:r>
        <w:rPr>
          <w:rStyle w:val="HideTWBExt"/>
        </w:rPr>
        <w:t>&lt;/RefTypeProc&gt;</w:t>
      </w:r>
    </w:p>
    <w:p>
      <w:pPr>
        <w:pStyle w:val="CoverDate"/>
      </w:pPr>
      <w:r>
        <w:rPr>
          <w:rStyle w:val="HideTWBExt"/>
        </w:rPr>
        <w:t>&lt;Date&gt;</w:t>
      </w:r>
      <w:r>
        <w:rPr>
          <w:rStyle w:val="HideTWBInt"/>
        </w:rPr>
        <w:t>{14/11/2025}</w:t>
      </w:r>
      <w:r>
        <w:t>14. 11. 2025</w:t>
      </w:r>
      <w:r>
        <w:rPr>
          <w:rStyle w:val="HideTWBExt"/>
        </w:rPr>
        <w:t>&lt;/Date&gt;</w:t>
      </w:r>
    </w:p>
    <w:p>
      <w:pPr>
        <w:pStyle w:val="CoverDocType"/>
      </w:pPr>
      <w:r>
        <w:rPr>
          <w:rStyle w:val="HideTWBExt"/>
        </w:rPr>
        <w:t>&lt;TypeAM&gt;</w:t>
      </w:r>
      <w:r>
        <w:t>POZMĚŇOVACÍ NÁVRHY</w:t>
      </w:r>
      <w:r>
        <w:rPr>
          <w:rStyle w:val="HideTWBExt"/>
        </w:rPr>
        <w:t>&lt;/TypeAM&gt;</w:t>
      </w:r>
    </w:p>
    <w:p>
      <w:pPr>
        <w:pStyle w:val="CoverDocType24a"/>
      </w:pPr>
      <w:r>
        <w:rPr>
          <w:rStyle w:val="HideTWBExt"/>
        </w:rPr>
        <w:t>&lt;RangeAM&gt;</w:t>
      </w:r>
      <w:r>
        <w:t>1</w:t>
      </w:r>
      <w:r>
        <w:t xml:space="preserve"> - </w:t>
      </w:r>
      <w:r>
        <w:t>111</w:t>
      </w:r>
      <w:r>
        <w:rPr>
          <w:rStyle w:val="HideTWBExt"/>
        </w:rPr>
        <w:t>&lt;/RangeAM&gt;</w:t>
      </w:r>
    </w:p>
    <w:p>
      <w:pPr>
        <w:pStyle w:val="CoverBold"/>
      </w:pPr>
      <w:r>
        <w:rPr>
          <w:rStyle w:val="HideTWBExt"/>
        </w:rPr>
        <w:t>&lt;TitreType&gt;</w:t>
      </w:r>
      <w:r>
        <w:t>Návrh zprávy</w:t>
      </w:r>
      <w:r>
        <w:rPr>
          <w:rStyle w:val="HideTWBExt"/>
        </w:rPr>
        <w:t>&lt;/TitreType&gt;</w:t>
      </w:r>
    </w:p>
    <w:p>
      <w:pPr>
        <w:pStyle w:val="CoverBold"/>
      </w:pPr>
      <w:r>
        <w:rPr>
          <w:rStyle w:val="HideTWBExt"/>
        </w:rPr>
        <w:t>&lt;Rapporteur&gt;</w:t>
      </w:r>
      <w:r>
        <w:t>Olivier Chastel</w:t>
      </w:r>
      <w:r>
        <w:rPr>
          <w:rStyle w:val="HideTWBExt"/>
        </w:rPr>
        <w:t>&lt;/Rapporteur&gt;</w:t>
      </w:r>
    </w:p>
    <w:p>
      <w:pPr>
        <w:pStyle w:val="CoverNormal24a"/>
      </w:pPr>
      <w:r>
        <w:rPr>
          <w:rStyle w:val="HideTWBExt"/>
        </w:rPr>
        <w:t>&lt;DocRefPE&gt;</w:t>
      </w:r>
      <w:r>
        <w:t>(PE778.327v01-00)</w:t>
      </w:r>
      <w:r>
        <w:rPr>
          <w:rStyle w:val="HideTWBExt"/>
        </w:rPr>
        <w:t>&lt;/DocRefPE&gt;</w:t>
      </w:r>
    </w:p>
    <w:p>
      <w:pPr>
        <w:pStyle w:val="CoverNormal"/>
      </w:pPr>
      <w:r>
        <w:rPr>
          <w:rStyle w:val="HideTWBExt"/>
        </w:rPr>
        <w:t>&lt;Titre&gt;</w:t>
      </w:r>
      <w:r>
        <w:t>Výběr ukazatelů výkonnosti pro audit a rozpočtovou kontrolu v kontextu financování opatření na podporu budoucí evropské konkurenceschopnosti</w:t>
      </w:r>
      <w:r>
        <w:rPr>
          <w:rStyle w:val="HideTWBExt"/>
        </w:rPr>
        <w:t>&lt;/Titre&gt;</w:t>
      </w:r>
    </w:p>
    <w:p>
      <w:pPr>
        <w:pStyle w:val="CoverNormal24a"/>
      </w:pPr>
      <w:r>
        <w:rPr>
          <w:rStyle w:val="HideTWBExt"/>
        </w:rPr>
        <w:t>&lt;DocRef&gt;</w:t>
      </w:r>
      <w:r>
        <w:t>(2025/2034(INI))</w:t>
      </w:r>
      <w:r>
        <w:rPr>
          <w:rStyle w:val="HideTWBExt"/>
        </w:rPr>
        <w:t>&lt;/DocRef&gt;</w:t>
      </w:r>
    </w:p>
    <w:p>
      <w:r>
        <w:br w:type="page"/>
      </w:r>
      <w:r>
        <w:t>AM_Com_NonLegReport</w:t>
      </w:r>
    </w:p>
    <w:p>
      <w:pPr>
        <w:pStyle w:val="AmNumberTabs"/>
      </w:pPr>
      <w:r>
        <w:br w:type="page"/>
      </w:r>
      <w:r>
        <w:rPr>
          <w:rStyle w:val="HideTWBExt"/>
        </w:rPr>
        <w:t>&lt;RepeatBlock-Amend&gt;</w:t>
      </w: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Kinga Kollár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Právní východisko 2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–</w:t>
            </w:r>
            <w:r>
              <w:tab/>
            </w:r>
            <w:r>
              <w:t>s ohledem na Smlouvu o fungování Evropské unie,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–</w:t>
            </w:r>
            <w:r>
              <w:tab/>
            </w:r>
            <w:r>
              <w:t xml:space="preserve">s ohledem na Smlouvu o fungování Evropské unie, </w:t>
            </w:r>
            <w:r>
              <w:rPr>
                <w:b/>
                <w:i/>
              </w:rPr>
              <w:t>a zejména na článek 318 a čl. 322 odst. 1 písm. a) této smlouvy,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Julien Sanchez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Právní východisko 6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–</w:t>
            </w:r>
            <w:r>
              <w:tab/>
            </w:r>
            <w:r>
              <w:rPr>
                <w:b/>
                <w:i/>
              </w:rPr>
              <w:t>s ohledem na interinstitucionální dohodu ze dne 16. prosince 2020 mezi Evropským parlamentem, Radou Evropské unie a Evropskou komisí o rozpočtové kázni, spolupráci v rozpočtových záležitostech a řádném finančním řízení, jakož i o nových vlastních zdrojích, včetně plánu zavádění nových vlastních zdrojů</w:t>
            </w:r>
            <w:r>
              <w:rPr>
                <w:b/>
                <w:i/>
                <w:vertAlign w:val="superscript"/>
              </w:rPr>
              <w:t>4</w:t>
            </w:r>
            <w:r>
              <w:rPr>
                <w:b/>
                <w:i/>
              </w:rPr>
              <w:t>,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vypouští se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_________________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  <w:vertAlign w:val="superscript"/>
              </w:rPr>
              <w:t>4</w:t>
            </w:r>
            <w:r>
              <w:t xml:space="preserve"> </w:t>
            </w:r>
            <w:r>
              <w:rPr>
                <w:b/>
                <w:i/>
              </w:rPr>
              <w:t>Úř. věst. L 433 I, 22.12.2020, s. 28, ELI:</w:t>
            </w:r>
            <w:r>
              <w:t xml:space="preserve"> </w:t>
            </w:r>
            <w:r>
              <w:rPr>
                <w:b/>
                <w:i/>
              </w:rPr>
              <w:t>http://data.europa.eu/eli/agree_interinstit/2020/1222/oj.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{FR}</w:t>
      </w:r>
      <w:r>
        <w:t>fr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Kinga Kollár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odůvodnění A a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Aa.</w:t>
            </w:r>
            <w:r>
              <w:tab/>
            </w:r>
            <w:r>
              <w:rPr>
                <w:b/>
                <w:i/>
              </w:rPr>
              <w:t>vzhledem k tomu, že článek 318 SFEU vyžaduje, aby Komise každoročně předkládala Evropskému parlamentu a Radě účetní závěrku za předchozí rozpočtový rok týkající se plnění rozpočtu a hodnotící zprávu o financích Unie založenou na dosažených výsledcích;</w:t>
            </w:r>
            <w:r>
              <w:t xml:space="preserve"> </w:t>
            </w:r>
            <w:r>
              <w:rPr>
                <w:b/>
                <w:i/>
              </w:rPr>
              <w:t>vzhledem k tomu, že kromě toho by se na základě článku 322 SFEU měla uplatňovat finanční pravidla pro určování plnění rozpočtu a pro předkládání účtů a jejich audit;</w:t>
            </w:r>
            <w:r>
              <w:t xml:space="preserve"> </w:t>
            </w:r>
            <w:r>
              <w:rPr>
                <w:b/>
                <w:i/>
              </w:rPr>
              <w:t>vzhledem k tomu, že používání vhodných, spolehlivých a transparentních ukazatelů pro dosažení výsledků a pro účely auditu může zlepšit hodnocení plnění rozpočtu a jeho srovnávání prováděné každoročně Evropským parlamentem a Radou;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Kinga Kollár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odůvodnění B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B.</w:t>
            </w:r>
            <w:r>
              <w:tab/>
            </w:r>
            <w:r>
              <w:t xml:space="preserve">vzhledem k tomu, že v souladu s finančním nařízením by měla být vytvořena vazba mezi stanovenými cíli a výkonnostními ukazateli, výsledky a zásadami hospodárnosti, účinnosti a účelnosti; vzhledem k tomu, že pokrok při dosahování cílů by měl být sledován pomocí ukazatelů výkonnosti, které </w:t>
            </w:r>
            <w:r>
              <w:rPr>
                <w:b/>
                <w:i/>
              </w:rPr>
              <w:t>jsou</w:t>
            </w:r>
            <w:r>
              <w:t xml:space="preserve"> relevantní, přijímané, důvěryhodné, jednoduché a spolehlivé </w:t>
            </w:r>
            <w:r>
              <w:rPr>
                <w:b/>
                <w:i/>
              </w:rPr>
              <w:t>a které se</w:t>
            </w:r>
            <w:r>
              <w:t xml:space="preserve"> zakládají na široce uznávaných vědeckých důkazech; vzhledem k tomu, že by měla být případně vymezena účinná, transparentní a komplexní metodika;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B.</w:t>
            </w:r>
            <w:r>
              <w:tab/>
            </w:r>
            <w:r>
              <w:t xml:space="preserve">vzhledem k tomu, že v souladu s finančním nařízením by měla být vytvořena vazba mezi stanovenými cíli a výkonnostními ukazateli, výsledky a zásadami hospodárnosti, účinnosti a účelnosti; vzhledem k tomu, že </w:t>
            </w:r>
            <w:r>
              <w:rPr>
                <w:b/>
                <w:i/>
              </w:rPr>
              <w:t>přepracované finanční nařízení z roku 2024 upevnilo právní základ výkonnostního rámce a potvrdilo, že</w:t>
            </w:r>
            <w:r>
              <w:t xml:space="preserve"> pokrok při dosahování cílů by měl být sledován pomocí ukazatelů výkonnosti, které </w:t>
            </w:r>
            <w:r>
              <w:rPr>
                <w:b/>
                <w:i/>
              </w:rPr>
              <w:t>splňují kritéria RACER (</w:t>
            </w:r>
            <w:r>
              <w:t>relevantní, přijímané, důvěryhodné, jednoduché a spolehlivé</w:t>
            </w:r>
            <w:r>
              <w:rPr>
                <w:b/>
                <w:i/>
              </w:rPr>
              <w:t>),</w:t>
            </w:r>
            <w:r>
              <w:t xml:space="preserve"> zakládají </w:t>
            </w:r>
            <w:r>
              <w:rPr>
                <w:b/>
                <w:i/>
              </w:rPr>
              <w:t>se</w:t>
            </w:r>
            <w:r>
              <w:t xml:space="preserve"> na široce uznávaných vědeckých důkazech </w:t>
            </w:r>
            <w:r>
              <w:rPr>
                <w:b/>
                <w:i/>
              </w:rPr>
              <w:t>a jsou případně rozčleněny podle pohlaví a měly by být agregovatelné</w:t>
            </w:r>
            <w:r>
              <w:t>; vzhledem k tomu, že by měla být případně vymezena účinná, transparentní a komplexní metodika;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5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Terry Reintke</w:t>
      </w:r>
      <w:r>
        <w:rPr>
          <w:rStyle w:val="HideTWBExt"/>
          <w:b w:val="0"/>
        </w:rPr>
        <w:t>&lt;/Members&gt;</w:t>
      </w:r>
    </w:p>
    <w:p>
      <w:r>
        <w:rPr>
          <w:rStyle w:val="HideTWBExt"/>
          <w:b w:val="0"/>
        </w:rPr>
        <w:t>&lt;AuNomDe&gt;</w:t>
      </w:r>
      <w:r>
        <w:rPr>
          <w:rStyle w:val="HideTWBInt"/>
        </w:rPr>
        <w:t>{Verts/ALE}</w:t>
      </w:r>
      <w:r>
        <w:t>za skupinu Verts/ALE</w:t>
      </w:r>
      <w:r>
        <w:rPr>
          <w:rStyle w:val="HideTWBExt"/>
          <w:b w:val="0"/>
        </w:rPr>
        <w:t>&lt;/AuNomDe&gt;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odůvodnění B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B.</w:t>
            </w:r>
            <w:r>
              <w:tab/>
            </w:r>
            <w:r>
              <w:t>vzhledem k tomu, že v souladu s finančním nařízením by měla být vytvořena vazba mezi stanovenými cíli a výkonnostními ukazateli, výsledky a zásadami hospodárnosti, účinnosti a účelnosti; vzhledem k tomu, že pokrok při dosahování cílů by měl být sledován pomocí ukazatelů výkonnosti, které jsou relevantní, přijímané, důvěryhodné, jednoduché a spolehlivé a které se zakládají na široce uznávaných vědeckých důkazech; vzhledem k tomu, že by měla být případně vymezena účinná, transparentní a komplexní metodika;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B.</w:t>
            </w:r>
            <w:r>
              <w:tab/>
            </w:r>
            <w:r>
              <w:t>vzhledem k tomu, že v souladu s finančním nařízením by měla být vytvořena vazba mezi stanovenými cíli a výkonnostními ukazateli, výsledky a zásadami hospodárnosti, účinnosti a účelnosti; vzhledem k tomu, že pokrok při dosahování cílů by měl být sledován pomocí ukazatelů výkonnosti, které jsou relevantní, přijímané, důvěryhodné, jednoduché a spolehlivé a které se zakládají na široce uznávaných vědeckých důkazech</w:t>
            </w:r>
            <w:r>
              <w:rPr>
                <w:b/>
                <w:i/>
              </w:rPr>
              <w:t>, jež by měly být jasně definovány a zpřístupněny v otevřeném a strojově čitelném formátu</w:t>
            </w:r>
            <w:r>
              <w:t>; vzhledem k tomu, že by měla být případně vymezena účinná, transparentní a komplexní metodika;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6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Kinga Kollár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odůvodnění B a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Ba.</w:t>
            </w:r>
            <w:r>
              <w:tab/>
            </w:r>
            <w:r>
              <w:rPr>
                <w:b/>
                <w:i/>
              </w:rPr>
              <w:t>vzhledem k tomu, že návrh nařízení Evropského parlamentu a Rady, kterým se stanoví rámec pro sledování a výkonnost rozpočtových výdajů a další horizontální pravidla pro programy a činnosti Unie, který předložila Komise, stanoví jednotný rámec pro sestavování rozpočtu podle výkonnosti;</w:t>
            </w:r>
            <w:r>
              <w:t xml:space="preserve"> </w:t>
            </w:r>
            <w:r>
              <w:rPr>
                <w:b/>
                <w:i/>
              </w:rPr>
              <w:t>vzhledem k tomu, že návrh definuje „ukazatel výstupů“ jako kvantitativní ukazatel výkonnosti, který sleduje, co je přímo vytvářeno nebo podporováno prováděním činnosti, a „ukazatel výsledků“ jako kvantitativní ukazatel výkonnosti, který sleduje přímé účinky podporovaných činností;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7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Kinga Kollár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odůvodnění C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C.</w:t>
            </w:r>
            <w:r>
              <w:tab/>
            </w:r>
            <w:r>
              <w:t xml:space="preserve">vzhledem k tomu, že zajištění udržitelné prosperity a konkurenceschopnosti EU </w:t>
            </w:r>
            <w:r>
              <w:rPr>
                <w:b/>
                <w:i/>
              </w:rPr>
              <w:t>tvoří část</w:t>
            </w:r>
            <w:r>
              <w:t xml:space="preserve"> politických priorit Komise na období 2024–2029;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C.</w:t>
            </w:r>
            <w:r>
              <w:tab/>
            </w:r>
            <w:r>
              <w:t xml:space="preserve">vzhledem k tomu, že zajištění udržitelné prosperity a konkurenceschopnosti EU </w:t>
            </w:r>
            <w:r>
              <w:rPr>
                <w:b/>
                <w:i/>
              </w:rPr>
              <w:t>je klíčovou součástí</w:t>
            </w:r>
            <w:r>
              <w:t xml:space="preserve"> politických priorit Komise na období 2024–2029; </w:t>
            </w:r>
            <w:r>
              <w:rPr>
                <w:b/>
                <w:i/>
              </w:rPr>
              <w:t>vzhledem k tomu, že k účinnému dosažení těchto cílů bude zapotřebí přilákat a mobilizovat soukromé investice, přičemž zásadní význam bude mít dokončení bankovní unie a rozvoj unie úspor a investic;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8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Carla Tavares, José Cepeda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odůvodnění C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C.</w:t>
            </w:r>
            <w:r>
              <w:tab/>
            </w:r>
            <w:r>
              <w:t>vzhledem k tomu, že zajištění udržitelné prosperity a konkurenceschopnosti EU tvoří část politických priorit Komise na období 2024–2029;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C.</w:t>
            </w:r>
            <w:r>
              <w:tab/>
            </w:r>
            <w:r>
              <w:t>vzhledem k tomu, že zajištění udržitelné prosperity a konkurenceschopnosti EU</w:t>
            </w:r>
            <w:r>
              <w:rPr>
                <w:b/>
                <w:i/>
              </w:rPr>
              <w:t>, podpora sociální spravedlnosti a posílení regionální soudržnosti</w:t>
            </w:r>
            <w:r>
              <w:t xml:space="preserve"> tvoří část politických priorit Komise na období 2024–2029;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9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Carla Tavares, José Cepeda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odůvodnění D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D.</w:t>
            </w:r>
            <w:r>
              <w:tab/>
            </w:r>
            <w:r>
              <w:t>vzhledem k tomu, že Draghiho zpráva přinesla varování, že klesající konkurenceschopnost EU, kterou ještě zhoršuje stále méně stabilní geopolitické prostředí, spolu s řadou krizí, jimž čelila v posledních letech, představuje pro Unii existenční hrozbu; vzhledem k tomu, že se v této zprávě odhaduje, že aby překlenula investiční mezeru, musí EU mobilizovat další veřejné a soukromé investice ve výši 4,4–4,7 % HDP EU, tj. přibližně 750–800 miliard EUR ročně v letech 2025–2030;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D.</w:t>
            </w:r>
            <w:r>
              <w:tab/>
            </w:r>
            <w:r>
              <w:t xml:space="preserve">vzhledem k tomu, že Draghiho zpráva přinesla varování, že klesající konkurenceschopnost EU, kterou ještě zhoršuje stále méně stabilní geopolitické prostředí, spolu s řadou krizí, jimž čelila v posledních letech, představuje pro Unii existenční hrozbu; vzhledem k tomu, že </w:t>
            </w:r>
            <w:r>
              <w:rPr>
                <w:b/>
                <w:i/>
              </w:rPr>
              <w:t>zpráva stanoví, že jediným způsobem, jak se s touto výzvou vypořádat, je růst a zvýšení produktivity při současném zachování našich hodnot rovnosti a sociálního začlenění;</w:t>
            </w:r>
            <w:r>
              <w:t xml:space="preserve"> </w:t>
            </w:r>
            <w:r>
              <w:rPr>
                <w:b/>
                <w:i/>
              </w:rPr>
              <w:t>vzhledem k tomu, že</w:t>
            </w:r>
            <w:r>
              <w:t xml:space="preserve"> se v této zprávě odhaduje, že aby překlenula investiční mezeru, musí EU mobilizovat další veřejné a soukromé investice ve výši 4,4–4,7 % HDP EU, tj. přibližně 750–800 miliard EUR ročně v letech 2025–2030; </w:t>
            </w:r>
            <w:r>
              <w:rPr>
                <w:b/>
                <w:i/>
              </w:rPr>
              <w:t>vzhledem k tomu, že tyto rozsáhlé investice by měly být směrovány především do souběžné ekologické a digitální transformace, která zajistí sociální a environmentální udržitelnost;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10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Cristian Terheş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odůvodnění D a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Da.</w:t>
            </w:r>
            <w:r>
              <w:tab/>
            </w:r>
            <w:r>
              <w:rPr>
                <w:b/>
                <w:i/>
              </w:rPr>
              <w:t>vzhledem k tomu, že Draghiho zpráva zdokumentovala, že vysoké ceny energií v Evropě, které jsou v současné době 2–3krát vyšší než v USA nebo Číně, podkopávají konkurenceschopnost Unie;</w:t>
            </w:r>
            <w:r>
              <w:t xml:space="preserve"> </w:t>
            </w:r>
            <w:r>
              <w:rPr>
                <w:b/>
                <w:i/>
              </w:rPr>
              <w:t>vzhledem k tomu, že ke kolísání cen a umělému zvýšení nákladů na výrobu elektřiny významně přispěl stávající systém EU pro obchodování s emisemi (ETS) navzdory svému environmentálnímu účelu;</w:t>
            </w:r>
            <w:r>
              <w:t xml:space="preserve"> </w:t>
            </w:r>
            <w:r>
              <w:rPr>
                <w:b/>
                <w:i/>
              </w:rPr>
              <w:t>vzhledem k tomu, že model marginálních cen na trhu EU s elektřinou umožňuje nejdražšímu zdroji energie – obvykle výrobě elektřiny z uhlí nebo plynu – stanovit konečnou tržní cenu, což vede ke strukturálnímu předražení levnějších a obnovitelných zdrojů elektřiny;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Cristian Terheş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odůvodnění D b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Db.</w:t>
            </w:r>
            <w:r>
              <w:tab/>
            </w:r>
            <w:r>
              <w:rPr>
                <w:b/>
                <w:i/>
              </w:rPr>
              <w:t>vzhledem k tomu, že Draghiho zpráva zdůraznila, že nedostatečná energetická propojenost a roztříštěná vnitrostátní infrastruktura zůstávají hlavními překážkami pro dosažení integrovaného a odolného evropského trhu s energií, což brání tomu, aby vnitřní trh fungoval jako skutečný jednotný trh s energií, a způsobuje újmu evropským spotřebitelům a podnikům;</w:t>
            </w:r>
            <w:r>
              <w:t xml:space="preserve"> </w:t>
            </w:r>
            <w:r>
              <w:rPr>
                <w:b/>
                <w:i/>
              </w:rPr>
              <w:t>vzhledem k tomu, že větší přeshraniční energetická propojení – včetně elektrických sítí, plynárenských sítí a vodíkových koridorů – mají zásadní význam pro snížení nákladů na energii, zlepšení bezpečnosti dodávek, umožnění plného využívání energie z obnovitelných zdrojů a zajištění toho, aby přechod Evropy na čistou energii spíše posílil než oslabil její průmyslovou konkurenceschopnost;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Cristian Terheş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odůvodnění D c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Dc.</w:t>
            </w:r>
            <w:r>
              <w:tab/>
            </w:r>
            <w:r>
              <w:rPr>
                <w:b/>
                <w:i/>
              </w:rPr>
              <w:t>vzhledem k tomu, že dokončení a modernizace evropských dopravních koridorů – včetně vnitrozemských vodních cest, železničních sítí a silniční infrastruktury – mají zásadní význam pro posílení konkurenceschopnosti EU, usnadnění účinného propojení západ-východ a zajištění bezproblémového přístupu výrobků z EU na nové trhy, včetně Asie;</w:t>
            </w:r>
            <w:r>
              <w:t xml:space="preserve"> </w:t>
            </w:r>
            <w:r>
              <w:rPr>
                <w:b/>
                <w:i/>
              </w:rPr>
              <w:t>vzhledem k tomu, že plně funkční multimodální koridory zkrátí dobu tranzitu a uhlíkovou stopu, sníží náklady na logistiku, posílí obchodní toky a podpoří hospodářskou soudržnost mezi členskými státy;</w:t>
            </w:r>
            <w:r>
              <w:t xml:space="preserve"> </w:t>
            </w:r>
            <w:r>
              <w:rPr>
                <w:b/>
                <w:i/>
              </w:rPr>
              <w:t>vzhledem k tomu, že investice do těchto strategických koridorů jsou klíčovým prvkem evropské globální obchodní strategie a odolnosti průmyslu;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Cristian Terheş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odůvodnění D d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Dd.</w:t>
            </w:r>
            <w:r>
              <w:tab/>
            </w:r>
            <w:r>
              <w:rPr>
                <w:b/>
                <w:i/>
              </w:rPr>
              <w:t>vzhledem k tomu, že oblast Černého moře hraje strategickou úlohu při posilování propojení Evropské unie s Blízkým východem a Asií a slouží jako klíčová brána pro obchodní trasy, dodávky energie a přístup ke kritickým surovinám, včetně zemního plynu, vzácných kovů a dalších základních zdrojů;</w:t>
            </w:r>
            <w:r>
              <w:t xml:space="preserve"> </w:t>
            </w:r>
            <w:r>
              <w:rPr>
                <w:b/>
                <w:i/>
              </w:rPr>
              <w:t>vzhledem k tomu, že posílení dopravní, energetické a digitální infrastruktury v povodí Černého moře má zásadní význam pro diverzifikaci dodavatelských řetězců, zajištění energetické bezpečnosti a zvýšení konkurenceschopnosti a odolnosti průmyslu EU;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Cristian Terheş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odůvodnění D e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De.</w:t>
            </w:r>
            <w:r>
              <w:tab/>
            </w:r>
            <w:r>
              <w:rPr>
                <w:b/>
                <w:i/>
              </w:rPr>
              <w:t>vzhledem k tomu, že tzv. střední koridor, který propojuje Evropu se Střední Asií a Blízkým východem přes jižní Kavkaz a kaspickou oblast, je strategickou obchodní trasou, která zvyšuje konkurenceschopnost EU tím, že zkracuje dobu tranzitu, snižuje náklady na logistiku, diverzifikuje dodavatelské řetězce a posiluje odolnost průmyslu;</w:t>
            </w:r>
            <w:r>
              <w:t xml:space="preserve"> </w:t>
            </w:r>
            <w:r>
              <w:rPr>
                <w:b/>
                <w:i/>
              </w:rPr>
              <w:t>vzhledem k tomu, že cílené investice do železniční, silniční a přístavní infrastruktury, jakož i do energetických a datových kabelů podél tohoto koridoru mají zásadní význam pro bezpečné, účinné a udržitelné obchodní toky;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15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Carla Tavares, José Cepeda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odůvodnění E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E.</w:t>
            </w:r>
            <w:r>
              <w:tab/>
            </w:r>
            <w:r>
              <w:t>vzhledem k tomu, že Kompas konkurenceschopnosti, který rovněž vychází z Draghiho zprávy, stanoví v souladu s Lettovou zprávou strategickou cestu Unie k obnovení její konkurenceschopnosti v celosvětovém měřítku tak, že se má zaměřit na tři hlavní pilíře – inovace, dekarbonizaci a hospodářskou bezpečnost – doplněné o horizontální faktory, jako je zjednodušení, zvýšená koordinace na úrovni EU a členských států a posílený jednotný trh;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E.</w:t>
            </w:r>
            <w:r>
              <w:tab/>
            </w:r>
            <w:r>
              <w:t xml:space="preserve">vzhledem k tomu, že Kompas konkurenceschopnosti, který rovněž vychází z Draghiho zprávy, stanoví v souladu s Lettovou zprávou strategickou cestu Unie k obnovení její konkurenceschopnosti v celosvětovém měřítku tak, že se má zaměřit na tři hlavní pilíře – inovace, dekarbonizaci a hospodářskou bezpečnost – doplněné o horizontální faktory, jako je zjednodušení, </w:t>
            </w:r>
            <w:r>
              <w:rPr>
                <w:b/>
                <w:i/>
              </w:rPr>
              <w:t>podpora dovedností a kvalitních pracovních míst,</w:t>
            </w:r>
            <w:r>
              <w:t xml:space="preserve"> zvýšená koordinace na úrovni EU a členských států a posílený jednotný trh; </w:t>
            </w:r>
            <w:r>
              <w:rPr>
                <w:b/>
                <w:i/>
              </w:rPr>
              <w:t>vzhledem k tomu, že jakákoli strategie v oblasti konkurenceschopnosti musí být založena na evropském pilíři sociálních práv, cílech udržitelného rozvoje OSN a zásadách spravedlivého zdanění, sociální soudržnosti a snižování nerovností;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16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Tomáš Zdechovský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odůvodnění F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F.</w:t>
            </w:r>
            <w:r>
              <w:tab/>
            </w:r>
            <w:r>
              <w:t>vzhledem k tomu, že EÚD opakovaně zjišťuje nedostatky v koncepci, provádění a odpovědnosti systémů měření výkonnosti používaných pro programy financování EU a vyzval k většímu využívání ukazatelů výkonnosti, které budou měřit a sledovat dlouhodobější dopady výdajů EU;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F.</w:t>
            </w:r>
            <w:r>
              <w:tab/>
            </w:r>
            <w:r>
              <w:t xml:space="preserve">vzhledem k tomu, že EÚD opakovaně zjišťuje nedostatky v koncepci, provádění a odpovědnosti systémů měření výkonnosti používaných pro programy financování EU a vyzval k většímu využívání ukazatelů výkonnosti, které budou měřit a sledovat dlouhodobější dopady výdajů EU; </w:t>
            </w:r>
            <w:r>
              <w:rPr>
                <w:b/>
                <w:i/>
              </w:rPr>
              <w:t>vzhledem k tomu, že zajištění spolehlivosti informací o výkonnosti je nezbytné pro ochranu finančních zájmů Unie a pro posílení důvěry veřejnosti v rozpočet EU;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17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Kinga Kollár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odůvodnění F a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Fa.</w:t>
            </w:r>
            <w:r>
              <w:tab/>
            </w:r>
            <w:r>
              <w:rPr>
                <w:b/>
                <w:i/>
              </w:rPr>
              <w:t>vzhledem k tomu, že při průběžném hodnocení programu InvestEU bylo zjištěno, že jeho provádění značně pokročilo a přispívá k ekologickým, digitálním a sociálním cílům EU tím, že podporuje inovace, a zároveň byla zdůrazněna přetrvávající administrativní zátěž;</w:t>
            </w:r>
            <w:r>
              <w:t xml:space="preserve"> </w:t>
            </w:r>
            <w:r>
              <w:rPr>
                <w:b/>
                <w:i/>
              </w:rPr>
              <w:t>vzhledem k tomu, že hodnocení konstatuje, že vzhledem k rané fázi provádění programu jsou komplexní údaje o klíčových ukazatelích výkonnosti a klíčových monitorovacích ukazatelích omezené;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18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Şerban Dimitrie Sturdza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odůvodnění F a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Fa.</w:t>
            </w:r>
            <w:r>
              <w:tab/>
            </w:r>
            <w:r>
              <w:rPr>
                <w:b/>
                <w:i/>
              </w:rPr>
              <w:t>vzhledem k tomu, že je třeba přijmout rozhodná opatření ke zvýšení konkurenceschopnosti Evropy s cílem podpořit vyšší úroveň produktivity, zaměstnanosti a prosperity;</w:t>
            </w:r>
            <w:r>
              <w:t xml:space="preserve"> </w:t>
            </w:r>
            <w:r>
              <w:rPr>
                <w:b/>
                <w:i/>
              </w:rPr>
              <w:t>vzhledem k tomu, že integrovaný jednotný trh zůstává páteří hospodářské síly EU a základem její dlouhodobé prosperity;</w:t>
            </w:r>
            <w:r>
              <w:t xml:space="preserve"> </w:t>
            </w:r>
            <w:r>
              <w:rPr>
                <w:b/>
                <w:i/>
              </w:rPr>
              <w:t>vzhledem k tomu, že inovace, rozvoj dovedností a volný pohyb zboží, služeb, kapitálu a pracovních sil jsou klíčovými hnacími silami konkurenceschopnosti a růstu;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19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Terry Reintke</w:t>
      </w:r>
      <w:r>
        <w:rPr>
          <w:rStyle w:val="HideTWBExt"/>
          <w:b w:val="0"/>
        </w:rPr>
        <w:t>&lt;/Members&gt;</w:t>
      </w:r>
    </w:p>
    <w:p>
      <w:r>
        <w:rPr>
          <w:rStyle w:val="HideTWBExt"/>
          <w:b w:val="0"/>
        </w:rPr>
        <w:t>&lt;AuNomDe&gt;</w:t>
      </w:r>
      <w:r>
        <w:rPr>
          <w:rStyle w:val="HideTWBInt"/>
        </w:rPr>
        <w:t>{Verts/ALE}</w:t>
      </w:r>
      <w:r>
        <w:t>za skupinu Verts/ALE</w:t>
      </w:r>
      <w:r>
        <w:rPr>
          <w:rStyle w:val="HideTWBExt"/>
          <w:b w:val="0"/>
        </w:rPr>
        <w:t>&lt;/AuNomDe&gt;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odůvodnění F a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Fa.</w:t>
            </w:r>
            <w:r>
              <w:tab/>
            </w:r>
            <w:r>
              <w:rPr>
                <w:b/>
                <w:i/>
              </w:rPr>
              <w:t>vzhledem k tomu, že výdaje EU zaměřené na konkurenceschopnost musí být v souladu se zásadou „významně nepoškozovat“ a taxonomií EU a měly by zohledňovat cíle v oblasti klimatu, biologické rozmanitosti, sociální oblasti a rovnosti žen a mužů a zajistit, aby ukazatele výkonnosti sledovaly tyto rozměry spolu s hospodářskými výstupy a výsledky;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20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Dick Erixon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1.</w:t>
            </w:r>
            <w:r>
              <w:tab/>
            </w:r>
            <w:r>
              <w:t>připomíná, že je třeba zajistit, aby rozpočet EU plnil politické priority Unie, včetně posílení konkurenceschopnosti</w:t>
            </w:r>
            <w:r>
              <w:rPr>
                <w:b/>
                <w:i/>
              </w:rPr>
              <w:t>, podpory udržitelné prosperity a zajištění svrchovanosti a nezávislosti EU coby geopolitického aktéra</w:t>
            </w:r>
            <w: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1.</w:t>
            </w:r>
            <w:r>
              <w:tab/>
            </w:r>
            <w:r>
              <w:t xml:space="preserve">připomíná, že je třeba zajistit, aby rozpočet EU plnil politické priority Unie, včetně posílení </w:t>
            </w:r>
            <w:r>
              <w:rPr>
                <w:b/>
                <w:i/>
              </w:rPr>
              <w:t>hospodářského růstu a</w:t>
            </w:r>
            <w:r>
              <w:t xml:space="preserve"> konkurenceschopnosti </w:t>
            </w:r>
            <w:r>
              <w:rPr>
                <w:b/>
                <w:i/>
              </w:rPr>
              <w:t>a vytváření jasné přidané hodnoty pro občany EU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21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Şerban Dimitrie Sturdza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1.</w:t>
            </w:r>
            <w:r>
              <w:tab/>
            </w:r>
            <w:r>
              <w:t xml:space="preserve">připomíná, že je třeba zajistit, aby rozpočet EU </w:t>
            </w:r>
            <w:r>
              <w:rPr>
                <w:b/>
                <w:i/>
              </w:rPr>
              <w:t>plnil politické priority Unie, včetně posílení konkurenceschopnosti, podpory udržitelné prosperity a zajištění svrchovanosti a nezávislosti EU coby</w:t>
            </w:r>
            <w:r>
              <w:t xml:space="preserve"> geopolitického aktéra;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1.</w:t>
            </w:r>
            <w:r>
              <w:tab/>
            </w:r>
            <w:r>
              <w:t xml:space="preserve">připomíná, že je třeba zajistit, aby rozpočet EU </w:t>
            </w:r>
            <w:r>
              <w:rPr>
                <w:b/>
                <w:i/>
              </w:rPr>
              <w:t>přinášel hmatatelné výsledky v souladu se zásadami řádného finančního řízení se zaměřením na měřitelné ukazatele zaměřené na produktivitu, zaměstnanost a inovace s cílem posílit konkurenceschopnost, podpořit udržitelnou prosperitu a zajistit svrchovanost a nezávislost EU jako</w:t>
            </w:r>
            <w:r>
              <w:t xml:space="preserve"> geopolitického aktéra;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22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Eero Heinäluoma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1.</w:t>
            </w:r>
            <w:r>
              <w:tab/>
            </w:r>
            <w:r>
              <w:t>připomíná, že je třeba zajistit, aby rozpočet EU plnil politické priority Unie, včetně posílení konkurenceschopnosti, podpory udržitelné prosperity a zajištění svrchovanosti a nezávislosti EU coby geopolitického aktéra;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1.</w:t>
            </w:r>
            <w:r>
              <w:tab/>
            </w:r>
            <w:r>
              <w:t xml:space="preserve">připomíná, že je třeba zajistit, aby rozpočet EU plnil politické priority Unie </w:t>
            </w:r>
            <w:r>
              <w:rPr>
                <w:b/>
                <w:i/>
              </w:rPr>
              <w:t>a zaměřoval se na investice v oblastech, v nichž má společná činnost Unie větší dopad a přidanou hodnotu ve srovnání s politickými opatřeními na celostátní nebo nižší než celostátní úrovni</w:t>
            </w:r>
            <w:r>
              <w:t>, včetně posílení konkurenceschopnosti, podpory udržitelné prosperity a zajištění svrchovanosti a nezávislosti EU coby geopolitického aktéra;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23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Kinga Kollár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1.</w:t>
            </w:r>
            <w:r>
              <w:tab/>
            </w:r>
            <w:r>
              <w:rPr>
                <w:b/>
                <w:i/>
              </w:rPr>
              <w:t>připomíná</w:t>
            </w:r>
            <w:r>
              <w:t>, že je třeba zajistit, aby rozpočet EU plnil politické priority Unie</w:t>
            </w:r>
            <w:r>
              <w:rPr>
                <w:b/>
                <w:i/>
              </w:rPr>
              <w:t>, včetně</w:t>
            </w:r>
            <w:r>
              <w:t xml:space="preserve"> posílení konkurenceschopnosti, </w:t>
            </w:r>
            <w:r>
              <w:rPr>
                <w:b/>
                <w:i/>
              </w:rPr>
              <w:t>podpory</w:t>
            </w:r>
            <w:r>
              <w:t xml:space="preserve"> udržitelné prosperity a zajištění svrchovanosti a nezávislosti EU coby geopolitického aktéra;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1.</w:t>
            </w:r>
            <w:r>
              <w:tab/>
            </w:r>
            <w:r>
              <w:rPr>
                <w:b/>
                <w:i/>
              </w:rPr>
              <w:t>zdůrazňuje</w:t>
            </w:r>
            <w:r>
              <w:t xml:space="preserve">, že je třeba zajistit, aby rozpočet EU plnil </w:t>
            </w:r>
            <w:r>
              <w:rPr>
                <w:b/>
                <w:i/>
              </w:rPr>
              <w:t>tři hlavní</w:t>
            </w:r>
            <w:r>
              <w:t xml:space="preserve"> politické priority Unie</w:t>
            </w:r>
            <w:r>
              <w:rPr>
                <w:b/>
                <w:i/>
              </w:rPr>
              <w:t>:</w:t>
            </w:r>
            <w:r>
              <w:t xml:space="preserve"> posílení konkurenceschopnosti, </w:t>
            </w:r>
            <w:r>
              <w:rPr>
                <w:b/>
                <w:i/>
              </w:rPr>
              <w:t>podpora</w:t>
            </w:r>
            <w:r>
              <w:t xml:space="preserve"> udržitelné prosperity a zajištění svrchovanosti a nezávislosti EU coby geopolitického aktéra; </w:t>
            </w:r>
            <w:r>
              <w:rPr>
                <w:b/>
                <w:i/>
              </w:rPr>
              <w:t>dále zdůrazňuje, že k dosažení těchto cílů jsou regulační změny stejně důležité jako finanční opatření;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24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Carla Tavares, José Cepeda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1.</w:t>
            </w:r>
            <w:r>
              <w:tab/>
            </w:r>
            <w:r>
              <w:t>připomíná, že je třeba zajistit, aby rozpočet EU plnil politické priority Unie, včetně posílení konkurenceschopnosti, podpory udržitelné prosperity a zajištění svrchovanosti a nezávislosti EU coby geopolitického aktéra;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1.</w:t>
            </w:r>
            <w:r>
              <w:tab/>
            </w:r>
            <w:r>
              <w:t xml:space="preserve">připomíná, že je třeba zajistit, aby rozpočet EU plnil politické priority Unie, včetně posílení konkurenceschopnosti, podpory udržitelné </w:t>
            </w:r>
            <w:r>
              <w:rPr>
                <w:b/>
                <w:i/>
              </w:rPr>
              <w:t>a inkluzivní</w:t>
            </w:r>
            <w:r>
              <w:t xml:space="preserve"> prosperity</w:t>
            </w:r>
            <w:r>
              <w:rPr>
                <w:b/>
                <w:i/>
              </w:rPr>
              <w:t>, podpory sociální spravedlnosti</w:t>
            </w:r>
            <w:r>
              <w:t xml:space="preserve"> a zajištění svrchovanosti a nezávislosti EU coby geopolitického aktéra;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25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Carla Tavares, José Cepeda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 a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1a.</w:t>
            </w:r>
            <w:r>
              <w:tab/>
            </w:r>
            <w:r>
              <w:rPr>
                <w:b/>
                <w:i/>
              </w:rPr>
              <w:t>zdůrazňuje, že konkurenceschopnost bez sociální soudržnosti je neudržitelná;</w:t>
            </w:r>
            <w:r>
              <w:t xml:space="preserve"> </w:t>
            </w:r>
            <w:r>
              <w:rPr>
                <w:b/>
                <w:i/>
              </w:rPr>
              <w:t>trvá na tom, že každý výkonnostní rámec musí měřit nejen hospodářský výstup, ale také sociální blahobyt, kvalitu života, snižování nerovností, pokrok v oblasti rovnosti žen a mužů a vytváření důstojných pracovních míst, která obstojí i v budoucnu;</w:t>
            </w:r>
            <w:r>
              <w:t xml:space="preserve"> </w:t>
            </w:r>
            <w:r>
              <w:rPr>
                <w:b/>
                <w:i/>
              </w:rPr>
              <w:t>vyzývá proto k začlenění ukazatelů sociálního dopadu do všech programů souvisejících s konkurenceschopností;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26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Şerban Dimitrie Sturdza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 a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1a.</w:t>
            </w:r>
            <w:r>
              <w:tab/>
            </w:r>
            <w:r>
              <w:rPr>
                <w:b/>
                <w:i/>
              </w:rPr>
              <w:t>zdůrazňuje, že o evropskou konkurenceschopnost je třeba usilovat prostřednictvím účinného přidělování zdrojů a politik, jejichž cílem je snížit administrativní zátěž, podpořit soukromé investice a posílit jednotný trh;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27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Cristian Terheş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 a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1a.</w:t>
            </w:r>
            <w:r>
              <w:tab/>
            </w:r>
            <w:r>
              <w:rPr>
                <w:b/>
                <w:i/>
              </w:rPr>
              <w:t>vyzývá Komisi, aby provedla analýzu zkušeností jiných zemí se zaváděním rozpočtových systémů založených na výkonnosti a určila získané zkušenosti;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28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Kinga Kollár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2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2.</w:t>
            </w:r>
            <w:r>
              <w:tab/>
            </w:r>
            <w:r>
              <w:t>domnívá se, že je naprosto nezbytné, aby se rozpočet EU více zaměřoval na výsledky; znovu potvrzuje, že aby bylo možné sledovat a hodnotit pokrok při dosahování politických cílů EU, je třeba stanovit a používat ukazatele výkonnosti, které budou konkrétní, měřitelné, dosažitelné, relevantní a časově vymezené (SMART);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2.</w:t>
            </w:r>
            <w:r>
              <w:tab/>
            </w:r>
            <w:r>
              <w:t xml:space="preserve">domnívá se, že je naprosto nezbytné, aby se rozpočet EU více zaměřoval na výsledky </w:t>
            </w:r>
            <w:r>
              <w:rPr>
                <w:b/>
                <w:i/>
              </w:rPr>
              <w:t>a aby každé vynaložené euro přinášelo občanům a podnikům měřitelnou hodnotu</w:t>
            </w:r>
            <w:r>
              <w:t xml:space="preserve">; znovu potvrzuje, že aby bylo možné sledovat a hodnotit pokrok při dosahování politických cílů EU </w:t>
            </w:r>
            <w:r>
              <w:rPr>
                <w:b/>
                <w:i/>
              </w:rPr>
              <w:t>a zajistit, aby zdroje Unie byly účinně a efektivně vynakládány</w:t>
            </w:r>
            <w:r>
              <w:t xml:space="preserve">, je třeba stanovit a používat ukazatele výkonnosti, které budou konkrétní, měřitelné, dosažitelné, relevantní a časově vymezené (SMART); </w:t>
            </w:r>
            <w:r>
              <w:rPr>
                <w:b/>
                <w:i/>
              </w:rPr>
              <w:t>domnívá se, že všechny druhy ukazatelů mají zásadní význam pro hodnocení výkonnosti programů, a proto by se mělo usilovat o rovnováhu mezi ukazateli vstupů, výsledků a dopadů;</w:t>
            </w:r>
            <w:r>
              <w:t xml:space="preserve"> </w:t>
            </w:r>
            <w:r>
              <w:rPr>
                <w:b/>
                <w:i/>
              </w:rPr>
              <w:t>zdůrazňuje, že dalšími relevantními aspekty při výběru vhodných ukazatelů by měla být administrativní zátěž, náklady na shromažďování údajů, srovnatelnost a agregovatelnost;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29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Dick Erixon, Şerban Dimitrie Sturdza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2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2.</w:t>
            </w:r>
            <w:r>
              <w:tab/>
            </w:r>
            <w:r>
              <w:t xml:space="preserve">domnívá se, že je naprosto nezbytné, aby se rozpočet EU </w:t>
            </w:r>
            <w:r>
              <w:rPr>
                <w:b/>
                <w:i/>
              </w:rPr>
              <w:t>více</w:t>
            </w:r>
            <w:r>
              <w:t xml:space="preserve"> zaměřoval na výsledky; znovu potvrzuje, že aby bylo možné sledovat a hodnotit pokrok při dosahování politických cílů EU, je třeba stanovit a používat ukazatele výkonnosti, které budou konkrétní, měřitelné, dosažitelné, relevantní a časově vymezené (SMART);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2.</w:t>
            </w:r>
            <w:r>
              <w:tab/>
            </w:r>
            <w:r>
              <w:t xml:space="preserve">domnívá se, že je naprosto nezbytné, aby se rozpočet EU zaměřoval </w:t>
            </w:r>
            <w:r>
              <w:rPr>
                <w:b/>
                <w:i/>
              </w:rPr>
              <w:t>především</w:t>
            </w:r>
            <w:r>
              <w:t xml:space="preserve"> na výsledky; znovu potvrzuje, že aby bylo možné sledovat a hodnotit pokrok při dosahování politických cílů EU, je třeba stanovit a používat ukazatele výkonnosti, které budou konkrétní, měřitelné, dosažitelné, relevantní a časově vymezené (SMART);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30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Pasquale Tridico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2 a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2a.</w:t>
            </w:r>
            <w:r>
              <w:tab/>
            </w:r>
            <w:r>
              <w:rPr>
                <w:b/>
                <w:i/>
              </w:rPr>
              <w:t>v této souvislosti zdůrazňuje, že celkové cíle ukazatelů výkonnosti EU musí zahrnovat snižování nerovností, zajištění přístupu ke kvalitním veřejným službám, posílení vzdělávacích systémů a podporu sociální a environmentální udržitelnosti jako klíčových složek evropské konkurenceschopnosti;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31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Dick Erixon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2 a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2a.</w:t>
            </w:r>
            <w:r>
              <w:tab/>
            </w:r>
            <w:r>
              <w:rPr>
                <w:b/>
                <w:i/>
              </w:rPr>
              <w:t>zdůrazňuje, že ukazatele výkonnosti musí být výslovně odvozeny z cílů každého programu a zachycovat výstupy, výsledky a především dopady;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32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Kinga Kollár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3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3.</w:t>
            </w:r>
            <w:r>
              <w:tab/>
            </w:r>
            <w:r>
              <w:t>se znepokojením konstatuje, že EÚD ve svých auditech opakovaně zjistil, že většina ukazatelů výkonnosti používaných pro programy financování EU je ukazateli vstupů a výstupů, které neposkytují relevantní informace o pokroku při dosahování cílů opatření financovaných EU; dále vyjadřuje politování nad tím, že v mnoha případech chyběly pro ukazatele základní údaje a podkladové údaje použité pro ukazatele nebyly ani dohledatelné, ani spolehlivé; vyzývá Komisi, aby zajistila, že ukazatele používané pro projekty financované EU budou měřitelné, ověřitelné a založené na spolehlivých zdrojích údajů, které zajistí sledovatelnost podkladových údajů, s jasnými výchozími hodnotami a definicemi, aby se zabránilo rozdílným výkladům;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3.</w:t>
            </w:r>
            <w:r>
              <w:tab/>
            </w:r>
            <w:r>
              <w:t xml:space="preserve">se znepokojením konstatuje, že EÚD ve svých auditech opakovaně zjistil, že většina ukazatelů výkonnosti používaných pro programy financování EU je ukazateli vstupů a výstupů, které neposkytují relevantní informace o pokroku při dosahování cílů opatření financovaných EU; dále vyjadřuje politování nad tím, že v mnoha případech chyběly pro ukazatele základní údaje a podkladové údaje použité pro ukazatele nebyly ani dohledatelné, ani spolehlivé </w:t>
            </w:r>
            <w:r>
              <w:rPr>
                <w:b/>
                <w:i/>
              </w:rPr>
              <w:t>a že definice ukazatelů výkonnosti se v jednotlivých programech financování liší</w:t>
            </w:r>
            <w:r>
              <w:t>; vyzývá Komisi, aby zajistila, že ukazatele používané pro projekty financované EU budou měřitelné, ověřitelné a založené na spolehlivých zdrojích údajů, které zajistí sledovatelnost podkladových údajů, s jasnými výchozími hodnotami a definicemi, aby se zabránilo rozdílným výkladům;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33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Terry Reintke</w:t>
      </w:r>
      <w:r>
        <w:rPr>
          <w:rStyle w:val="HideTWBExt"/>
          <w:b w:val="0"/>
        </w:rPr>
        <w:t>&lt;/Members&gt;</w:t>
      </w:r>
    </w:p>
    <w:p>
      <w:r>
        <w:rPr>
          <w:rStyle w:val="HideTWBExt"/>
          <w:b w:val="0"/>
        </w:rPr>
        <w:t>&lt;AuNomDe&gt;</w:t>
      </w:r>
      <w:r>
        <w:rPr>
          <w:rStyle w:val="HideTWBInt"/>
        </w:rPr>
        <w:t>{Verts/ALE}</w:t>
      </w:r>
      <w:r>
        <w:t>za skupinu Verts/ALE</w:t>
      </w:r>
      <w:r>
        <w:rPr>
          <w:rStyle w:val="HideTWBExt"/>
          <w:b w:val="0"/>
        </w:rPr>
        <w:t>&lt;/AuNomDe&gt;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3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3.</w:t>
            </w:r>
            <w:r>
              <w:tab/>
            </w:r>
            <w:r>
              <w:t>se znepokojením konstatuje, že EÚD ve svých auditech opakovaně zjistil, že většina ukazatelů výkonnosti používaných pro programy financování EU je ukazateli vstupů a výstupů, které neposkytují relevantní informace o pokroku při dosahování cílů opatření financovaných EU; dále vyjadřuje politování nad tím, že v mnoha případech chyběly pro ukazatele základní údaje a podkladové údaje použité pro ukazatele nebyly ani dohledatelné, ani spolehlivé; vyzývá Komisi, aby zajistila, že ukazatele používané pro projekty financované EU budou měřitelné, ověřitelné a založené na spolehlivých zdrojích údajů</w:t>
            </w:r>
            <w:r>
              <w:rPr>
                <w:b/>
                <w:i/>
              </w:rPr>
              <w:t>, které zajistí sledovatelnost podkladových údajů</w:t>
            </w:r>
            <w:r>
              <w:t>, s jasnými výchozími hodnotami a definicemi, aby se zabránilo rozdílným výkladům;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3.</w:t>
            </w:r>
            <w:r>
              <w:tab/>
            </w:r>
            <w:r>
              <w:t xml:space="preserve">se znepokojením konstatuje, že EÚD ve svých auditech opakovaně zjistil, že většina ukazatelů výkonnosti používaných pro programy financování EU je ukazateli vstupů a výstupů, které neposkytují relevantní informace o pokroku při dosahování cílů opatření financovaných EU; dále vyjadřuje politování nad tím, že v mnoha případech chyběly pro ukazatele základní údaje a podkladové údaje použité pro ukazatele nebyly ani dohledatelné, ani spolehlivé; vyzývá Komisi, aby zajistila, že ukazatele používané pro projekty financované EU budou měřitelné, ověřitelné a založené na spolehlivých zdrojích údajů </w:t>
            </w:r>
            <w:r>
              <w:rPr>
                <w:b/>
                <w:i/>
              </w:rPr>
              <w:t>sledovatelné až na úroveň smlouvy a příjemce</w:t>
            </w:r>
            <w:r>
              <w:t>, s jasnými výchozími hodnotami a definicemi, aby se zabránilo rozdílným výkladům;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34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Carla Tavares, José Cepeda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3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3.</w:t>
            </w:r>
            <w:r>
              <w:tab/>
            </w:r>
            <w:r>
              <w:t>se znepokojením konstatuje, že EÚD ve svých auditech opakovaně zjistil, že většina ukazatelů výkonnosti používaných pro programy financování EU je ukazateli vstupů a výstupů, které neposkytují relevantní informace o pokroku při dosahování cílů opatření financovaných EU; dále vyjadřuje politování nad tím, že v mnoha případech chyběly pro ukazatele základní údaje a podkladové údaje použité pro ukazatele nebyly ani dohledatelné, ani spolehlivé; vyzývá Komisi</w:t>
            </w:r>
            <w:r>
              <w:rPr>
                <w:b/>
                <w:i/>
              </w:rPr>
              <w:t>, aby zajistila</w:t>
            </w:r>
            <w:r>
              <w:t>, že ukazatele používané pro projekty financované EU budou měřitelné, ověřitelné a založené na spolehlivých zdrojích údajů, které zajistí sledovatelnost podkladových údajů, s jasnými výchozími hodnotami a definicemi, aby se zabránilo rozdílným výkladům;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3.</w:t>
            </w:r>
            <w:r>
              <w:tab/>
            </w:r>
            <w:r>
              <w:t xml:space="preserve">se znepokojením konstatuje, že EÚD ve svých auditech opakovaně zjistil, že většina ukazatelů výkonnosti používaných pro programy financování EU je ukazateli vstupů a výstupů, které neposkytují relevantní informace o pokroku při dosahování cílů opatření financovaných EU; dále vyjadřuje politování nad tím, že v mnoha případech chyběly pro ukazatele základní údaje a podkladové údaje použité pro ukazatele nebyly ani dohledatelné, ani spolehlivé; vyzývá Komisi </w:t>
            </w:r>
            <w:r>
              <w:rPr>
                <w:b/>
                <w:i/>
              </w:rPr>
              <w:t>a členské státy, aby zajistily</w:t>
            </w:r>
            <w:r>
              <w:t>, že ukazatele používané pro projekty financované EU budou měřitelné, ověřitelné a založené na spolehlivých zdrojích údajů, které zajistí sledovatelnost podkladových údajů, s jasnými výchozími hodnotami a definicemi, aby se zabránilo rozdílným výkladům;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35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Cristian Terheş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3 a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3a.</w:t>
            </w:r>
            <w:r>
              <w:tab/>
            </w:r>
            <w:r>
              <w:rPr>
                <w:b/>
                <w:i/>
              </w:rPr>
              <w:t>se znepokojením konstatuje, že srovnávací přehledy inovací vypracované Komisí soustavně ukazují, že EU v klíčových ukazatelích inovací zaostává za ostatními globálními aktéry;</w:t>
            </w:r>
            <w:r>
              <w:t xml:space="preserve"> </w:t>
            </w:r>
            <w:r>
              <w:rPr>
                <w:b/>
                <w:i/>
              </w:rPr>
              <w:t>zdůrazňuje, že kritéria způsobilosti pro financování by měla být rozšířena tak, aby zahrnovala nejen průlomové inovace splňující normu „Globální stav techniky“, ale také širší spektrum inovací s velkým dopadem a aplikovaných inovací schopných vytvářet průmyslový rozsah, zaměstnanost a šíření technologií v členských státech;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36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Kinga Kollár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4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4.</w:t>
            </w:r>
            <w:r>
              <w:tab/>
            </w:r>
            <w:r>
              <w:t>vyjadřuje politování nad tím, že výkonnostní rámec pro rozpočet EU na období 2021–2027 je i nadále příliš složitý a roztříštěný; bere na vědomí závěr Komise</w:t>
            </w:r>
            <w:r>
              <w:rPr>
                <w:vertAlign w:val="superscript"/>
              </w:rPr>
              <w:t>8</w:t>
            </w:r>
            <w:r>
              <w:t>, že se v rámci víceletého finančního rámce (VFR) na období 2021–2027 používá více než 5 000 heterogenních neagregovatelných ukazatelů výkonnosti a že v rámci Nástroje pro oživení a odolnost bylo definováno přibližně 7000 milníků a cílů, které reagují na různé potřeby, jako je posuzování výkonnosti v souvislosti s návrhem rozpočtu a monitorování a hodnocení programů, plánů členských států a vyplácení prostředků;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4.</w:t>
            </w:r>
            <w:r>
              <w:tab/>
            </w:r>
            <w:r>
              <w:t xml:space="preserve">vyjadřuje politování nad tím, že výkonnostní rámec pro rozpočet EU na období 2021–2027 je i nadále příliš složitý a roztříštěný; </w:t>
            </w:r>
            <w:r>
              <w:rPr>
                <w:b/>
                <w:i/>
              </w:rPr>
              <w:t>s politováním</w:t>
            </w:r>
            <w:r>
              <w:t xml:space="preserve"> bere na vědomí závěr Komise</w:t>
            </w:r>
            <w:r>
              <w:rPr>
                <w:vertAlign w:val="superscript"/>
              </w:rPr>
              <w:t>8</w:t>
            </w:r>
            <w:r>
              <w:t>, že se v rámci víceletého finančního rámce (VFR) na období 2021–2027 používá více než 5 000 heterogenních neagregovatelných ukazatelů výkonnosti</w:t>
            </w:r>
            <w:r>
              <w:rPr>
                <w:b/>
                <w:i/>
              </w:rPr>
              <w:t>, což tedy neumožňuje objektivněji posoudit účinnost financování podle VFR,</w:t>
            </w:r>
            <w:r>
              <w:t xml:space="preserve"> a že v rámci Nástroje pro oživení a odolnost bylo definováno přibližně 7000 milníků a cílů, které reagují na různé potřeby, jako je posuzování výkonnosti v souvislosti s návrhem rozpočtu a monitorování a hodnocení programů, plánů členských států a vyplácení prostředků; </w:t>
            </w:r>
            <w:r>
              <w:rPr>
                <w:b/>
                <w:i/>
              </w:rPr>
              <w:t>zdůrazňuje zejména, že koncepce Nástroje pro oživení a odolnost ztížila zajištění dostatečné sledovatelnosti a kontrolovatelnosti využívání finančních prostředků EU, jakož i srovnatelnosti výsledků s jinými výdajovými nástroji EU;</w:t>
            </w:r>
            <w:r>
              <w:t xml:space="preserve"> </w:t>
            </w:r>
            <w:r>
              <w:rPr>
                <w:b/>
                <w:i/>
              </w:rPr>
              <w:t>vyzývá Komisi, aby pro budoucí nástroje vytvořila komplexnější, harmonizovanější, transparentnější a ověřitelnější rámec ukazatelů výkonnosti, který zajistí, aby Parlament a Evropský účetní dvůr mohly plně vykonávat své povinnosti v oblasti dohledu;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_________________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_________________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vertAlign w:val="superscript"/>
              </w:rPr>
              <w:t>8</w:t>
            </w:r>
            <w:r>
              <w:t xml:space="preserve"> </w:t>
            </w:r>
            <w:r>
              <w:t>Zpráva o posouzení dopadů (SWD(2025)0590) připojená k návrhu nařízení Komise, kterým se stanoví rámec pro sledování rozpočtových výdajů a výkonnostní rámec (COM(2025)0545).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vertAlign w:val="superscript"/>
              </w:rPr>
              <w:t>8</w:t>
            </w:r>
            <w:r>
              <w:t xml:space="preserve"> </w:t>
            </w:r>
            <w:r>
              <w:t>Zpráva o posouzení dopadů (SWD(2025)0590) připojená k návrhu nařízení Komise, kterým se stanoví rámec pro sledování rozpočtových výdajů a výkonnostní rámec (COM(2025)0545).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37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Julien Sanchez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4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4.</w:t>
            </w:r>
            <w:r>
              <w:tab/>
            </w:r>
            <w:r>
              <w:t>vyjadřuje politování nad tím, že výkonnostní rámec pro rozpočet EU na období 2021–2027 je i nadále příliš složitý a roztříštěný; bere na vědomí závěr Komise</w:t>
            </w:r>
            <w:r>
              <w:rPr>
                <w:vertAlign w:val="superscript"/>
              </w:rPr>
              <w:t>8</w:t>
            </w:r>
            <w:r>
              <w:t>, že se v rámci víceletého finančního rámce (VFR) na období 2021–2027 používá více než 5 000 heterogenních neagregovatelných ukazatelů výkonnosti a že v rámci Nástroje pro oživení a odolnost bylo definováno přibližně 7000 milníků a cílů, které reagují na různé potřeby, jako je posuzování výkonnosti v souvislosti s návrhem rozpočtu a monitorování a hodnocení programů, plánů členských států a vyplácení prostředků;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4.</w:t>
            </w:r>
            <w:r>
              <w:tab/>
            </w:r>
            <w:r>
              <w:t>vyjadřuje politování nad tím, že výkonnostní rámec pro rozpočet EU na období 2021–2027 je i nadále příliš složitý a roztříštěný; bere na vědomí závěr Komise</w:t>
            </w:r>
            <w:r>
              <w:rPr>
                <w:vertAlign w:val="superscript"/>
              </w:rPr>
              <w:t>8</w:t>
            </w:r>
            <w:r>
              <w:t xml:space="preserve">, že se v rámci víceletého finančního rámce (VFR) na období 2021–2027 používá více než 5 000 heterogenních neagregovatelných ukazatelů výkonnosti a že v rámci Nástroje pro oživení a odolnost bylo definováno přibližně 7000 milníků a cílů, které reagují na různé potřeby, jako je posuzování výkonnosti v souvislosti s návrhem rozpočtu a monitorování a hodnocení programů, plánů členských států a vyplácení prostředků; </w:t>
            </w:r>
            <w:r>
              <w:rPr>
                <w:b/>
                <w:i/>
              </w:rPr>
              <w:t>vyjadřuje politování nad tím, že jak opakovaně popsal Evropský účetní dvůr, tyto ukazatele nejsou v současné době založeny na spolehlivých, kvantifikovatelných a měřitelných prvcích neumožňujících vlastní výklad;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_________________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_________________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vertAlign w:val="superscript"/>
              </w:rPr>
              <w:t>8</w:t>
            </w:r>
            <w:r>
              <w:t xml:space="preserve"> </w:t>
            </w:r>
            <w:r>
              <w:t>Zpráva o posouzení dopadů (SWD(2025)0590) připojená k návrhu nařízení Komise, kterým se stanoví rámec pro sledování rozpočtových výdajů a výkonnostní rámec (COM(2025)0545).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vertAlign w:val="superscript"/>
              </w:rPr>
              <w:t>8</w:t>
            </w:r>
            <w:r>
              <w:t xml:space="preserve"> </w:t>
            </w:r>
            <w:r>
              <w:t>Zpráva o posouzení dopadů (SWD(2025)0590) připojená k návrhu nařízení Komise, kterým se stanoví rámec pro sledování rozpočtových výdajů a výkonnostní rámec (COM(2025)0545).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{FR}</w:t>
      </w:r>
      <w:r>
        <w:t>fr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38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Cristian Terheş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4 a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4a.</w:t>
            </w:r>
            <w:r>
              <w:tab/>
            </w:r>
            <w:r>
              <w:rPr>
                <w:b/>
                <w:i/>
              </w:rPr>
              <w:t>se znepokojením konstatuje, že nadměrná regulační a administrativní zátěž nadále oslabuje konkurenceschopnost evropských společností ve srovnání s jinými světovými hospodářskými bloky;</w:t>
            </w:r>
            <w:r>
              <w:t xml:space="preserve"> </w:t>
            </w:r>
            <w:r>
              <w:rPr>
                <w:b/>
                <w:i/>
              </w:rPr>
              <w:t>zdůrazňuje, že tato zátěž zvyšuje provozní náklady, snižuje odvětvovou produktivitu a vytváří překážky pro vstup nových podniků na trh, čímž odrazuje od hospodářské soutěže a inovací;</w:t>
            </w:r>
            <w:r>
              <w:t xml:space="preserve"> </w:t>
            </w:r>
            <w:r>
              <w:rPr>
                <w:b/>
                <w:i/>
              </w:rPr>
              <w:t>dále konstatuje, že tato neefektivnost se může promítnout i do vyšších cen pro spotřebitele;</w:t>
            </w:r>
            <w:r>
              <w:t xml:space="preserve"> </w:t>
            </w:r>
            <w:r>
              <w:rPr>
                <w:b/>
                <w:i/>
              </w:rPr>
              <w:t>připomíná, že mezinárodní ukazatele, včetně databáze Doing Business Světové banky, naznačují, že podnikatelské prostředí v EU zůstává méně příznivé než v jiných zemích;</w:t>
            </w:r>
            <w:r>
              <w:t xml:space="preserve"> </w:t>
            </w:r>
            <w:r>
              <w:rPr>
                <w:b/>
                <w:i/>
              </w:rPr>
              <w:t>zdůrazňuje, že 61 % podniků, které se zúčastnily investičního průzkumu EIB v roce 2023, označilo regulaci za hlavní překážku dlouhodobých investic v EU, zatímco 83 % společností dotazovaných organizací BusinessEurope ve 21 členských státech uvedlo složitost regulace a zdlouhavé povolovací postupy jako klíčové odrazující prostředky pro investice v Evropě;</w:t>
            </w:r>
            <w:r>
              <w:t xml:space="preserve"> </w:t>
            </w:r>
            <w:r>
              <w:rPr>
                <w:b/>
                <w:i/>
              </w:rPr>
              <w:t>vyzývá proto k systematickému snižování a zjednodušování regulačních a administrativních požadavků, zejména pro malé a střední podniky, s cílem posílit evropské podnikatelské prostředí a globální konkurenceschopnost</w:t>
            </w:r>
            <w:r>
              <w:rPr>
                <w:b/>
                <w:i/>
                <w:vertAlign w:val="superscript"/>
              </w:rPr>
              <w:t>1a</w:t>
            </w:r>
            <w:r>
              <w:rPr>
                <w:b/>
                <w:i/>
              </w:rPr>
              <w:t>;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_________________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  <w:vertAlign w:val="superscript"/>
              </w:rPr>
              <w:t>1a</w:t>
            </w:r>
            <w:r>
              <w:t xml:space="preserve"> </w:t>
            </w:r>
            <w:r>
              <w:rPr>
                <w:b/>
                <w:i/>
              </w:rPr>
              <w:t>https://www.eib.org/en/publications/online/all/eib-investment-survey-2023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39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Cristian Terheş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5 a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5a.</w:t>
            </w:r>
            <w:r>
              <w:tab/>
            </w:r>
            <w:r>
              <w:rPr>
                <w:b/>
                <w:i/>
              </w:rPr>
              <w:t>vyzývá Komisi a členské státy, aby určily a odstranily regulační překážky, které narušují fungování a konkurenceschopnost jednotného trhu v oblasti obrany;</w:t>
            </w:r>
            <w:r>
              <w:t xml:space="preserve"> </w:t>
            </w:r>
            <w:r>
              <w:rPr>
                <w:b/>
                <w:i/>
              </w:rPr>
              <w:t>vítá iniciativy zaměřené na posílení evropské preference při zadávání veřejných zakázek v oblasti obrany za předpokladu, že tato opatření neohrozí okamžité doplnění kritických zásob;</w:t>
            </w:r>
            <w:r>
              <w:t xml:space="preserve"> </w:t>
            </w:r>
            <w:r>
              <w:rPr>
                <w:b/>
                <w:i/>
              </w:rPr>
              <w:t>zdůrazňuje, že je důležité zvýšit výrobní kapacitu, podporovat inovace a jasně rozlišovat mezi krátkodobými naléhavými požadavky a dlouhodobým strategickým rozvojem a zároveň zajistit, aby finanční prostředky Unie byly využívány účinně, transparentně a v plném souladu s platnými požadavky finančního dohledu a výkonnostního rámce;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40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Arno Bausemer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6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6.</w:t>
            </w:r>
            <w:r>
              <w:tab/>
            </w:r>
            <w:r>
              <w:t>domnívá se, že rámec pro výkonnost rozpočtu EU by měl být zjednodušen tak, aby bylo možné harmonizovaným způsobem měřit dopady výdajů Unie v členských státech, a tím snížit celkovou administrativní zátěž, zefektivnit povinnosti podávání zpráv a zvýšit transparentnost snížením informačního zahlcení, a zároveň umožnit plné pochopení účinků financování EU, včetně přidané hodnoty intervencí EU, kterých by členské státy nemohly dosáhnout samostatně;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6.</w:t>
            </w:r>
            <w:r>
              <w:tab/>
            </w:r>
            <w:r>
              <w:t xml:space="preserve">domnívá se, že rámec pro výkonnost rozpočtu EU by měl být zjednodušen tak, aby bylo možné harmonizovaným způsobem měřit dopady výdajů Unie v členských státech, a tím snížit celkovou administrativní zátěž, zefektivnit povinnosti podávání zpráv a zvýšit transparentnost snížením informačního zahlcení, a zároveň umožnit plné pochopení účinků financování EU, včetně přidané hodnoty intervencí EU, kterých by členské státy nemohly dosáhnout samostatně; </w:t>
            </w:r>
            <w:r>
              <w:rPr>
                <w:b/>
                <w:i/>
              </w:rPr>
              <w:t>zdůrazňuje, že v zájmu zajištění demokratické a vnitrostátní rozpočtové autonomie musí posuzování výkonnosti programů financovaných EU zůstat v první řadě odpovědností členských států a jejich vnitrostátních kontrolních orgánů;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{DE}</w:t>
      </w:r>
      <w:r>
        <w:t>de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41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Kinga Kollár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6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6.</w:t>
            </w:r>
            <w:r>
              <w:tab/>
            </w:r>
            <w:r>
              <w:t>domnívá se, že rámec pro výkonnost rozpočtu EU by měl být zjednodušen tak, aby bylo možné harmonizovaným způsobem měřit dopady výdajů Unie v členských státech, a tím snížit celkovou administrativní zátěž, zefektivnit povinnosti podávání zpráv a zvýšit transparentnost snížením informačního zahlcení, a zároveň umožnit plné pochopení účinků financování EU, včetně přidané hodnoty intervencí EU, kterých by členské státy nemohly dosáhnout samostatně;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6.</w:t>
            </w:r>
            <w:r>
              <w:tab/>
            </w:r>
            <w:r>
              <w:t xml:space="preserve">domnívá se, že rámec pro výkonnost rozpočtu EU by měl být zjednodušen tak, aby bylo možné harmonizovaným </w:t>
            </w:r>
            <w:r>
              <w:rPr>
                <w:b/>
                <w:i/>
              </w:rPr>
              <w:t>a přiměřeným</w:t>
            </w:r>
            <w:r>
              <w:t xml:space="preserve"> způsobem měřit </w:t>
            </w:r>
            <w:r>
              <w:rPr>
                <w:b/>
                <w:i/>
              </w:rPr>
              <w:t>přesně a realisticky</w:t>
            </w:r>
            <w:r>
              <w:t xml:space="preserve"> dopady výdajů Unie v členských státech, a tím snížit celkovou administrativní zátěž, </w:t>
            </w:r>
            <w:r>
              <w:rPr>
                <w:b/>
                <w:i/>
              </w:rPr>
              <w:t>zejména pro malé a střední podniky a místní orgány;</w:t>
            </w:r>
            <w:r>
              <w:t xml:space="preserve"> zefektivnit povinnosti podávání zpráv a zvýšit transparentnost snížením informačního zahlcení, a zároveň umožnit plné pochopení účinků financování EU, včetně přidané hodnoty intervencí EU, kterých by členské státy nemohly dosáhnout samostatně; </w:t>
            </w:r>
            <w:r>
              <w:rPr>
                <w:b/>
                <w:i/>
              </w:rPr>
              <w:t>zdůrazňuje, že zjednodušení by nemělo být na úkor transparentnosti, ale mělo by pomoci racionalizovat podávání zpráv a zajistit, aby informace o výkonnosti financování byly přístupnější a užitečnější;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42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Terry Reintke</w:t>
      </w:r>
      <w:r>
        <w:rPr>
          <w:rStyle w:val="HideTWBExt"/>
          <w:b w:val="0"/>
        </w:rPr>
        <w:t>&lt;/Members&gt;</w:t>
      </w:r>
    </w:p>
    <w:p>
      <w:r>
        <w:rPr>
          <w:rStyle w:val="HideTWBExt"/>
          <w:b w:val="0"/>
        </w:rPr>
        <w:t>&lt;AuNomDe&gt;</w:t>
      </w:r>
      <w:r>
        <w:rPr>
          <w:rStyle w:val="HideTWBInt"/>
        </w:rPr>
        <w:t>{Verts/ALE}</w:t>
      </w:r>
      <w:r>
        <w:t>za skupinu Verts/ALE</w:t>
      </w:r>
      <w:r>
        <w:rPr>
          <w:rStyle w:val="HideTWBExt"/>
          <w:b w:val="0"/>
        </w:rPr>
        <w:t>&lt;/AuNomDe&gt;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6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6.</w:t>
            </w:r>
            <w:r>
              <w:tab/>
            </w:r>
            <w:r>
              <w:t>domnívá se, že rámec pro výkonnost rozpočtu EU by měl být zjednodušen tak, aby bylo možné harmonizovaným způsobem měřit dopady výdajů Unie v členských státech, a tím snížit celkovou administrativní zátěž, zefektivnit povinnosti podávání zpráv a zvýšit transparentnost snížením informačního zahlcení, a zároveň umožnit plné pochopení účinků financování EU, včetně přidané hodnoty intervencí EU, kterých by členské státy nemohly dosáhnout samostatně;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6.</w:t>
            </w:r>
            <w:r>
              <w:tab/>
            </w:r>
            <w:r>
              <w:t xml:space="preserve">domnívá se, že rámec pro výkonnost rozpočtu EU by měl být zjednodušen tak, aby bylo možné harmonizovaným způsobem měřit dopady výdajů Unie v členských státech, a tím snížit celkovou administrativní zátěž, zefektivnit povinnosti podávání zpráv a zvýšit transparentnost snížením informačního zahlcení, a zároveň umožnit plné pochopení účinků financování EU, včetně přidané hodnoty intervencí EU, kterých by členské státy nemohly dosáhnout samostatně; </w:t>
            </w:r>
            <w:r>
              <w:rPr>
                <w:b/>
                <w:i/>
              </w:rPr>
              <w:t>zdůrazňuje, že zjednodušení nesmí oslabit auditní stopy;</w:t>
            </w:r>
            <w:r>
              <w:t xml:space="preserve"> </w:t>
            </w:r>
            <w:r>
              <w:rPr>
                <w:b/>
                <w:i/>
              </w:rPr>
              <w:t>připomíná, že všechny ukazatele musí být provázány se základními závazky, platbami a smlouvami, přičemž identifikátory příjemců a údaje o zadávání veřejných zakázek musí umožňovat analýzu rizik;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43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Dick Erixon, Şerban Dimitrie Sturdza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6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6.</w:t>
            </w:r>
            <w:r>
              <w:tab/>
            </w:r>
            <w:r>
              <w:t>domnívá se, že rámec pro výkonnost rozpočtu EU by měl být zjednodušen tak, aby bylo možné harmonizovaným způsobem měřit dopady výdajů Unie v členských státech, a tím snížit celkovou administrativní zátěž, zefektivnit povinnosti podávání zpráv a zvýšit transparentnost snížením informačního zahlcení, a zároveň umožnit plné pochopení účinků financování EU, včetně přidané hodnoty intervencí EU, kterých by členské státy nemohly dosáhnout samostatně;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6.</w:t>
            </w:r>
            <w:r>
              <w:tab/>
            </w:r>
            <w:r>
              <w:t xml:space="preserve">domnívá se, že rámec pro výkonnost rozpočtu EU by měl být zjednodušen tak, aby bylo možné harmonizovaným způsobem měřit dopady výdajů Unie v členských státech, a tím snížit celkovou administrativní zátěž, zefektivnit povinnosti podávání zpráv a zvýšit transparentnost snížením informačního zahlcení, a zároveň umožnit plné pochopení účinků financování EU, včetně přidané hodnoty intervencí EU, kterých by členské státy nemohly dosáhnout samostatně; </w:t>
            </w:r>
            <w:r>
              <w:rPr>
                <w:b/>
                <w:i/>
              </w:rPr>
              <w:t>všechny výkonnostní rámce by měly být podrobeny analýze nákladů a přínosů, která zajistí transparentnost a splnění cílů fiskální udržitelnosti;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44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Carla Tavares, José Cepeda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6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6.</w:t>
            </w:r>
            <w:r>
              <w:tab/>
            </w:r>
            <w:r>
              <w:t xml:space="preserve">domnívá se, že rámec pro výkonnost rozpočtu EU by měl </w:t>
            </w:r>
            <w:r>
              <w:rPr>
                <w:b/>
                <w:i/>
              </w:rPr>
              <w:t>být zjednodušen tak, aby bylo možné</w:t>
            </w:r>
            <w:r>
              <w:t xml:space="preserve"> harmonizovaným způsobem </w:t>
            </w:r>
            <w:r>
              <w:rPr>
                <w:b/>
                <w:i/>
              </w:rPr>
              <w:t>měřit</w:t>
            </w:r>
            <w:r>
              <w:t xml:space="preserve"> dopady výdajů Unie v členských státech, a tím </w:t>
            </w:r>
            <w:r>
              <w:rPr>
                <w:b/>
                <w:i/>
              </w:rPr>
              <w:t>snížit</w:t>
            </w:r>
            <w:r>
              <w:t xml:space="preserve"> celkovou administrativní zátěž</w:t>
            </w:r>
            <w:r>
              <w:rPr>
                <w:b/>
                <w:i/>
              </w:rPr>
              <w:t>, zefektivnit</w:t>
            </w:r>
            <w:r>
              <w:t xml:space="preserve"> povinnosti podávání zpráv a zvýšit transparentnost </w:t>
            </w:r>
            <w:r>
              <w:rPr>
                <w:b/>
                <w:i/>
              </w:rPr>
              <w:t>snížením</w:t>
            </w:r>
            <w:r>
              <w:t xml:space="preserve"> informačního zahlcení, a zároveň umožnit plné pochopení účinků financování EU, včetně přidané hodnoty intervencí EU, kterých by členské státy nemohly dosáhnout samostatně;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6.</w:t>
            </w:r>
            <w:r>
              <w:tab/>
            </w:r>
            <w:r>
              <w:t xml:space="preserve">domnívá se, že rámec pro výkonnost rozpočtu EU by měl </w:t>
            </w:r>
            <w:r>
              <w:rPr>
                <w:b/>
                <w:i/>
              </w:rPr>
              <w:t>umožnit měřit</w:t>
            </w:r>
            <w:r>
              <w:t xml:space="preserve"> harmonizovaným způsobem dopady výdajů Unie v členských státech, a tím </w:t>
            </w:r>
            <w:r>
              <w:rPr>
                <w:b/>
                <w:i/>
              </w:rPr>
              <w:t>zefektivnit</w:t>
            </w:r>
            <w:r>
              <w:t xml:space="preserve"> celkovou administrativní zátěž </w:t>
            </w:r>
            <w:r>
              <w:rPr>
                <w:b/>
                <w:i/>
              </w:rPr>
              <w:t>a</w:t>
            </w:r>
            <w:r>
              <w:t xml:space="preserve"> povinnosti podávání zpráv a zvýšit transparentnost </w:t>
            </w:r>
            <w:r>
              <w:rPr>
                <w:b/>
                <w:i/>
              </w:rPr>
              <w:t>zabráněním</w:t>
            </w:r>
            <w:r>
              <w:t xml:space="preserve"> informačního zahlcení, a zároveň umožnit plné pochopení účinků financování EU, včetně přidané hodnoty intervencí EU, kterých by členské státy nemohly dosáhnout samostatně;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45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Şerban Dimitrie Sturdza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6 a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6a.</w:t>
            </w:r>
            <w:r>
              <w:tab/>
            </w:r>
            <w:r>
              <w:rPr>
                <w:b/>
                <w:i/>
              </w:rPr>
              <w:t>zdůrazňuje, že výdaje zaměřené na konkurenceschopnost by měly upřednostňovat účinnost a dlouhodobý růst produktivity před krátkodobým přerozdělováním;</w:t>
            </w:r>
            <w:r>
              <w:t xml:space="preserve"> </w:t>
            </w:r>
            <w:r>
              <w:rPr>
                <w:b/>
                <w:i/>
              </w:rPr>
              <w:t>zdůrazňuje, že evropské zdroje by měly být zaměřeny na nápravu neefektivnosti trhu, stimulaci soukromých investic a podporu projektů s měřitelným hospodářským dopadem a jasnou přidanou hodnotou;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46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Pasquale Tridico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6 a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6a.</w:t>
            </w:r>
            <w:r>
              <w:tab/>
            </w:r>
            <w:r>
              <w:rPr>
                <w:b/>
                <w:i/>
              </w:rPr>
              <w:t>zdůrazňuje, že schopnost Unie dosahovat pokroku v klíčových oblastech politiky je často blokována na úrovni Rady z důvodu požadavku jednomyslnosti;</w:t>
            </w:r>
            <w:r>
              <w:t xml:space="preserve"> </w:t>
            </w:r>
            <w:r>
              <w:rPr>
                <w:b/>
                <w:i/>
              </w:rPr>
              <w:t>domnívá se, že hlubší integrace by proto měla zahrnovat postupný přechod k hlasování kvalifikovanou většinou, aby bylo možné přijmout včasná a účinná opatření na úrovni EU;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47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Tomáš Zdechovský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6 a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6a.</w:t>
            </w:r>
            <w:r>
              <w:tab/>
            </w:r>
            <w:r>
              <w:rPr>
                <w:b/>
                <w:i/>
              </w:rPr>
              <w:t>zdůrazňuje, že úsilí o zjednodušení nesmí být prováděno na úkor odpovědnosti;</w:t>
            </w:r>
            <w:r>
              <w:t xml:space="preserve"> </w:t>
            </w:r>
            <w:r>
              <w:rPr>
                <w:b/>
                <w:i/>
              </w:rPr>
              <w:t>zdůrazňuje, že snížení počtu ukazatelů by mělo být doprovázeno jasnějšími vazbami mezi výdaji a měřitelnými výsledky politiky, včetně poměru nákladové efektivnosti;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48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Carla Tavares, José Cepeda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7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7.</w:t>
            </w:r>
            <w:r>
              <w:tab/>
            </w:r>
            <w:r>
              <w:t>připomíná, že způsoby shromažďování údajů se v jednotlivých členských státech i v rámci členských států liší, což ztěžuje agregaci údajů o výkonnosti na úrovni EU; opakuje svou výzvu Komisi, aby rozvíjela bezpečnou a interoperabilní infrastrukturu IT s využitím schopností umělé inteligence, strojového učení a vytěžování dat s cílem zlepšit provádění politik a usnadnit monitorování, podávání zpráv a dohled; trvá na tom, aby byly údaje o ukazatelích a metodiky zveřejňovány v reálném čase prostřednictvím interoperabilního systému monitorování, podávání zpráv a auditu, čímž se zvýší transparentnost a zajistí sledovatelnost až na úroveň projektů a konečných příjemců;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7.</w:t>
            </w:r>
            <w:r>
              <w:tab/>
            </w:r>
            <w:r>
              <w:t xml:space="preserve">připomíná, že způsoby shromažďování údajů se v jednotlivých členských státech i v rámci členských států liší, což ztěžuje agregaci údajů o výkonnosti na úrovni EU; opakuje svou výzvu Komisi, aby rozvíjela bezpečnou a interoperabilní infrastrukturu IT s využitím schopností umělé inteligence, strojového učení a vytěžování dat s cílem zlepšit provádění politik a usnadnit monitorování, podávání zpráv a dohled; </w:t>
            </w:r>
            <w:r>
              <w:rPr>
                <w:b/>
                <w:i/>
              </w:rPr>
              <w:t>zdůrazňuje, že umělá inteligence musí být využívána tak, aby byly zaručeny přísné zásady etického využívání, transparentnosti, ochrany údajů, lidského dohledu a ochrany před algoritmickou předpojatostí nebo zneužitím;</w:t>
            </w:r>
            <w:r>
              <w:t xml:space="preserve"> trvá na tom, aby byly údaje o ukazatelích a metodiky zveřejňovány v reálném čase prostřednictvím interoperabilního systému monitorování, podávání zpráv a auditu, čímž se zvýší transparentnost a zajistí sledovatelnost až na úroveň projektů a konečných příjemců; </w:t>
            </w:r>
            <w:r>
              <w:rPr>
                <w:b/>
                <w:i/>
              </w:rPr>
              <w:t>dále trvá na tom, že tyto údaje musí zahrnovat komplexní informace o sociální a environmentální stopě financovaných projektů;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49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Tomáš Zdechovský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7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7.</w:t>
            </w:r>
            <w:r>
              <w:tab/>
            </w:r>
            <w:r>
              <w:t>připomíná, že způsoby shromažďování údajů se v jednotlivých členských státech i v rámci členských států liší, což ztěžuje agregaci údajů o výkonnosti na úrovni EU; opakuje svou výzvu Komisi, aby rozvíjela bezpečnou a interoperabilní infrastrukturu IT s využitím schopností umělé inteligence, strojového učení a vytěžování dat s cílem zlepšit provádění politik a usnadnit monitorování, podávání zpráv a dohled; trvá na tom, aby byly údaje o ukazatelích a metodiky zveřejňovány v reálném čase prostřednictvím interoperabilního systému monitorování, podávání zpráv a auditu, čímž se zvýší transparentnost a zajistí sledovatelnost až na úroveň projektů a konečných příjemců;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7.</w:t>
            </w:r>
            <w:r>
              <w:tab/>
            </w:r>
            <w:r>
              <w:t xml:space="preserve">připomíná, že způsoby shromažďování údajů se v jednotlivých členských státech i v rámci členských států liší, což ztěžuje agregaci údajů o výkonnosti na úrovni EU; opakuje svou výzvu Komisi, aby rozvíjela bezpečnou a interoperabilní infrastrukturu IT s využitím schopností umělé inteligence, strojového učení a vytěžování dat s cílem zlepšit provádění politik a usnadnit monitorování, podávání zpráv a dohled; trvá na tom, aby byly údaje o ukazatelích a metodiky zveřejňovány v reálném čase prostřednictvím interoperabilního systému monitorování, podávání zpráv a auditu, čímž se zvýší transparentnost a zajistí sledovatelnost až na úroveň projektů a konečných příjemců; </w:t>
            </w:r>
            <w:r>
              <w:rPr>
                <w:b/>
                <w:i/>
              </w:rPr>
              <w:t>zdůrazňuje, že všichni příjemci finančních prostředků Unie, včetně příjemců v rámci nepřímého řízení, by měli být identifikovatelní, aby bylo možné provádět účinný audit a předcházet dvojímu financování;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50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Kinga Kollár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7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7.</w:t>
            </w:r>
            <w:r>
              <w:tab/>
            </w:r>
            <w:r>
              <w:t>připomíná, že způsoby shromažďování údajů se v jednotlivých členských státech i v rámci členských států liší, což ztěžuje agregaci údajů o výkonnosti na úrovni EU; opakuje svou výzvu Komisi, aby rozvíjela bezpečnou a interoperabilní infrastrukturu IT s využitím schopností umělé inteligence, strojového učení a vytěžování dat s cílem zlepšit provádění politik a usnadnit monitorování, podávání zpráv a dohled; trvá na tom, aby byly údaje o ukazatelích a metodiky zveřejňovány v reálném čase prostřednictvím interoperabilního systému monitorování, podávání zpráv a auditu, čímž se zvýší transparentnost a zajistí sledovatelnost až na úroveň projektů a konečných příjemců;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7.</w:t>
            </w:r>
            <w:r>
              <w:tab/>
            </w:r>
            <w:r>
              <w:t xml:space="preserve">připomíná, že způsoby shromažďování údajů se v jednotlivých členských státech i v rámci členských států liší, což ztěžuje agregaci </w:t>
            </w:r>
            <w:r>
              <w:rPr>
                <w:b/>
                <w:i/>
              </w:rPr>
              <w:t>a srovnávání</w:t>
            </w:r>
            <w:r>
              <w:t xml:space="preserve"> údajů o výkonnosti na úrovni EU; opakuje svou výzvu Komisi, aby rozvíjela bezpečnou a interoperabilní infrastrukturu IT s využitím schopností umělé inteligence, strojového učení a vytěžování dat s cílem zlepšit provádění politik a usnadnit monitorování, podávání zpráv a dohled; trvá na tom, aby byly údaje o ukazatelích a metodiky zveřejňovány v reálném čase prostřednictvím interoperabilního systému monitorování, podávání zpráv a auditu </w:t>
            </w:r>
            <w:r>
              <w:rPr>
                <w:b/>
                <w:i/>
              </w:rPr>
              <w:t>při zaručení maximální bezpečnosti údajů</w:t>
            </w:r>
            <w:r>
              <w:t>, čímž se zvýší transparentnost a zajistí sledovatelnost až na úroveň projektů a konečných příjemců;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51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Dick Erixon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7 a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7a.</w:t>
            </w:r>
            <w:r>
              <w:tab/>
            </w:r>
            <w:r>
              <w:rPr>
                <w:b/>
                <w:i/>
              </w:rPr>
              <w:t>vyzývá Komisi, aby zveřejnila jasná a uživatelsky vstřícná shrnutí výkonnosti a výdajů (včetně jednostránkových přehledů a interaktivních přehledů se strojově čitelnými datovými soubory) v souladu s doporučeními OECD posílit podávání zpráv o výkonnosti začleněním finančních informací a informací o výkonnosti (dokumenty OECD o sestavování rozpočtu, č. 2025/07);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52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Pasquale Tridico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7 a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7a.</w:t>
            </w:r>
            <w:r>
              <w:tab/>
            </w:r>
            <w:r>
              <w:rPr>
                <w:b/>
                <w:i/>
              </w:rPr>
              <w:t>zdůrazňuje, že zvýšené využívání umělé inteligence při monitorování a zpracování údajů musí podléhat přísné regulaci, aby se zabránilo algoritmické diskriminaci, zajistila transparentnost a odpovědnost a zaručilo plné dodržování základních práv, včetně důkladného lidského dohledu;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53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Terry Reintke</w:t>
      </w:r>
      <w:r>
        <w:rPr>
          <w:rStyle w:val="HideTWBExt"/>
          <w:b w:val="0"/>
        </w:rPr>
        <w:t>&lt;/Members&gt;</w:t>
      </w:r>
    </w:p>
    <w:p>
      <w:r>
        <w:rPr>
          <w:rStyle w:val="HideTWBExt"/>
          <w:b w:val="0"/>
        </w:rPr>
        <w:t>&lt;AuNomDe&gt;</w:t>
      </w:r>
      <w:r>
        <w:rPr>
          <w:rStyle w:val="HideTWBInt"/>
        </w:rPr>
        <w:t>{Verts/ALE}</w:t>
      </w:r>
      <w:r>
        <w:t>za skupinu Verts/ALE</w:t>
      </w:r>
      <w:r>
        <w:rPr>
          <w:rStyle w:val="HideTWBExt"/>
          <w:b w:val="0"/>
        </w:rPr>
        <w:t>&lt;/AuNomDe&gt;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8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8.</w:t>
            </w:r>
            <w:r>
              <w:tab/>
            </w:r>
            <w:r>
              <w:t>považuje za nezbytné ověřovat a zajišťovat spolehlivost údajů používaných ke stanovení ukazatelů výkonnosti; se znepokojením konstatuje, že v důsledku zavedení a rostoucího využívání modelů provádění, jako je RRF, založených na financování odděleném od nákladů – kdy jsou platby vypláceny na základě dosažení předem stanovených milníků a cílů – mohou nedostatky ve spolehlivosti údajů nepříznivě ovlivnit finanční zájmy Unie;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8.</w:t>
            </w:r>
            <w:r>
              <w:tab/>
            </w:r>
            <w:r>
              <w:t xml:space="preserve">považuje za nezbytné ověřovat a zajišťovat spolehlivost údajů používaných ke stanovení ukazatelů výkonnosti; se znepokojením konstatuje, že v důsledku zavedení a rostoucího využívání modelů provádění, jako je RRF, založených na financování odděleném od nákladů – kdy jsou platby vypláceny na základě dosažení předem stanovených milníků a cílů – mohou nedostatky ve spolehlivosti údajů nepříznivě ovlivnit finanční zájmy Unie; </w:t>
            </w:r>
            <w:r>
              <w:rPr>
                <w:b/>
                <w:i/>
              </w:rPr>
              <w:t>trvá proto na povinných kontrolách proveditelnosti ex ante a ověřování milníků a cílů ex post, systematickém předávání podezření na podvod nebo závažné nesrovnalosti úřadu OLAF a Úřadu evropského veřejného žalobce a na možnosti pozastavit platby;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54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Kinga Kollár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8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8.</w:t>
            </w:r>
            <w:r>
              <w:tab/>
            </w:r>
            <w:r>
              <w:t xml:space="preserve">považuje za nezbytné ověřovat a zajišťovat spolehlivost údajů používaných ke stanovení ukazatelů výkonnosti; se znepokojením konstatuje, že v důsledku zavedení a rostoucího využívání modelů provádění, jako je RRF, založených na financování odděleném od nákladů – kdy jsou platby vypláceny na základě dosažení předem stanovených milníků a cílů – </w:t>
            </w:r>
            <w:r>
              <w:rPr>
                <w:b/>
                <w:i/>
              </w:rPr>
              <w:t>mohou</w:t>
            </w:r>
            <w:r>
              <w:t xml:space="preserve"> nedostatky ve spolehlivosti údajů </w:t>
            </w:r>
            <w:r>
              <w:rPr>
                <w:b/>
                <w:i/>
              </w:rPr>
              <w:t>nepříznivě ovlivnit finanční zájmy</w:t>
            </w:r>
            <w:r>
              <w:t xml:space="preserve"> Unie;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8.</w:t>
            </w:r>
            <w:r>
              <w:tab/>
            </w:r>
            <w:r>
              <w:t xml:space="preserve">považuje za nezbytné ověřovat a zajišťovat spolehlivost údajů používaných ke stanovení ukazatelů výkonnosti; se znepokojením konstatuje, že v důsledku zavedení a rostoucího využívání modelů provádění, jako je RRF, založených na financování odděleném od nákladů – kdy jsou platby vypláceny na základě dosažení předem stanovených milníků a cílů – </w:t>
            </w:r>
            <w:r>
              <w:rPr>
                <w:b/>
                <w:i/>
              </w:rPr>
              <w:t>ztěžují</w:t>
            </w:r>
            <w:r>
              <w:t xml:space="preserve"> nedostatky ve spolehlivosti údajů </w:t>
            </w:r>
            <w:r>
              <w:rPr>
                <w:b/>
                <w:i/>
              </w:rPr>
              <w:t>ochranu finančních zájmů</w:t>
            </w:r>
            <w:r>
              <w:t xml:space="preserve"> Unie;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55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Şerban Dimitrie Sturdza, Dick Erixon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9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9.</w:t>
            </w:r>
            <w:r>
              <w:tab/>
            </w:r>
            <w:r>
              <w:t>vyzývá Komisi, aby do svých zpráv o výkonnosti zahrnula podstatné informace o zajištění kvality používaném pro ukazatele výkonnosti; požaduje nezávislé ověřování všech údajů o výkonnosti vykázaných členskými státy, a to i vnitrostátními auditními orgány a Účetním dvorem, a zpřístupnění výsledků Parlamentu;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9.</w:t>
            </w:r>
            <w:r>
              <w:tab/>
            </w:r>
            <w:r>
              <w:t>vyzývá Komisi, aby do svých zpráv o výkonnosti zahrnula podstatné informace o zajištění kvality používaném pro ukazatele výkonnosti</w:t>
            </w:r>
            <w:r>
              <w:rPr>
                <w:b/>
                <w:i/>
              </w:rPr>
              <w:t>;</w:t>
            </w:r>
            <w:r>
              <w:t xml:space="preserve"> </w:t>
            </w:r>
            <w:r>
              <w:rPr>
                <w:b/>
                <w:i/>
              </w:rPr>
              <w:t>zdůrazňuje, že ukazatele výkonnosti by měly být izolovány od politického vlivu a navrženy po konzultaci s nezávislými odborníky, vnitrostátními kontrolními orgány a Evropským účetním dvorem;</w:t>
            </w:r>
            <w:r>
              <w:t xml:space="preserve"> </w:t>
            </w:r>
            <w:r>
              <w:rPr>
                <w:b/>
                <w:i/>
              </w:rPr>
              <w:t>zdůrazňuje, že pravidelný a transparentní přezkum relevantnosti a spolehlivosti ukazatelů má zásadní význam pro zajištění důvěryhodnosti a důvěry veřejnosti ve výdaje EU</w:t>
            </w:r>
            <w:r>
              <w:t>; požaduje nezávislé ověřování všech údajů o výkonnosti vykázaných členskými státy, a to i vnitrostátními auditními orgány a Účetním dvorem, a zpřístupnění výsledků Parlamentu;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56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Terry Reintke</w:t>
      </w:r>
      <w:r>
        <w:rPr>
          <w:rStyle w:val="HideTWBExt"/>
          <w:b w:val="0"/>
        </w:rPr>
        <w:t>&lt;/Members&gt;</w:t>
      </w:r>
    </w:p>
    <w:p>
      <w:r>
        <w:rPr>
          <w:rStyle w:val="HideTWBExt"/>
          <w:b w:val="0"/>
        </w:rPr>
        <w:t>&lt;AuNomDe&gt;</w:t>
      </w:r>
      <w:r>
        <w:rPr>
          <w:rStyle w:val="HideTWBInt"/>
        </w:rPr>
        <w:t>{Verts/ALE}</w:t>
      </w:r>
      <w:r>
        <w:t>za skupinu Verts/ALE</w:t>
      </w:r>
      <w:r>
        <w:rPr>
          <w:rStyle w:val="HideTWBExt"/>
          <w:b w:val="0"/>
        </w:rPr>
        <w:t>&lt;/AuNomDe&gt;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9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9.</w:t>
            </w:r>
            <w:r>
              <w:tab/>
            </w:r>
            <w:r>
              <w:t>vyzývá Komisi, aby do svých zpráv o výkonnosti zahrnula podstatné informace o zajištění kvality používaném pro ukazatele výkonnosti; požaduje nezávislé ověřování všech údajů o výkonnosti vykázaných členskými státy, a to i vnitrostátními auditními orgány a Účetním dvorem, a zpřístupnění výsledků Parlamentu;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9.</w:t>
            </w:r>
            <w:r>
              <w:tab/>
            </w:r>
            <w:r>
              <w:t xml:space="preserve">vyzývá Komisi, aby do svých zpráv o výkonnosti zahrnula podstatné informace o zajištění kvality používaném pro ukazatele výkonnosti; požaduje nezávislé ověřování všech údajů o výkonnosti vykázaných členskými státy, a to i vnitrostátními auditními orgány a Účetním dvorem, a zpřístupnění výsledků Parlamentu; </w:t>
            </w:r>
            <w:r>
              <w:rPr>
                <w:b/>
                <w:i/>
              </w:rPr>
              <w:t>požaduje, aby ověřovací zprávy a soubory údajů byly s náležitým ohledem na důvěrnost zveřejňovány v otevřeném formátu, který umožní přístup subjektům občanské společnosti a výzkumným pracovníkům;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57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Kinga Kollár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9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9.</w:t>
            </w:r>
            <w:r>
              <w:tab/>
            </w:r>
            <w:r>
              <w:t>vyzývá Komisi, aby do svých zpráv o výkonnosti zahrnula podstatné informace o zajištění kvality používaném pro ukazatele výkonnosti; požaduje nezávislé ověřování všech údajů o výkonnosti vykázaných členskými státy, a to i vnitrostátními auditními orgány a Účetním dvorem, a zpřístupnění výsledků Parlamentu;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i/>
              </w:rPr>
              <w:t>(Netýká se českého znění.)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58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Eero Heinäluoma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9 a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9a.</w:t>
            </w:r>
            <w:r>
              <w:tab/>
            </w:r>
            <w:r>
              <w:rPr>
                <w:b/>
                <w:i/>
              </w:rPr>
              <w:t>domnívá se, že právní stát je základním předpokladem pro posílení konkurenceschopnosti EU;</w:t>
            </w:r>
            <w:r>
              <w:t xml:space="preserve"> </w:t>
            </w:r>
            <w:r>
              <w:rPr>
                <w:b/>
                <w:i/>
              </w:rPr>
              <w:t>zdůrazňuje, že výzvy v oblasti právního státu mají nepříznivý dopad na důvěru investorů, spotřebitele a integritu jednotného trhu, jak je uvedeno ve zprávě Komise o právním státu 2025;</w:t>
            </w:r>
            <w:r>
              <w:t xml:space="preserve"> </w:t>
            </w:r>
            <w:r>
              <w:rPr>
                <w:b/>
                <w:i/>
              </w:rPr>
              <w:t>domnívá se proto, že výkonnostní rámec rozpočtu EU by měl rovněž zachycovat ukazatele týkající se právního státu, jako je fungování soudního systému, boj proti korupci a účinný systém brzd a protivah, které přispívají k právní jistotě a předvídatelnému prostředí pro fungování podniků;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59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Dick Erixon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9 a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9a.</w:t>
            </w:r>
            <w:r>
              <w:tab/>
            </w:r>
            <w:r>
              <w:rPr>
                <w:b/>
                <w:i/>
              </w:rPr>
              <w:t>apeluje na Komisi, aby pravidelně přehodnocovala pokračování programů, u nichž Evropský účetní dvůr zjistil nedostatečnou účinnost nebo závažné nedostatky v podávání zpráv o dopadu;</w:t>
            </w:r>
            <w:r>
              <w:t xml:space="preserve"> </w:t>
            </w:r>
            <w:r>
              <w:rPr>
                <w:b/>
                <w:i/>
              </w:rPr>
              <w:t>vyzývá k tomu, aby byly finanční prostředky případně přerozděleny na účinnější opatření nebo vráceny občanům prostřednictvím nižšího daňového zatížení;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60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Terry Reintke</w:t>
      </w:r>
      <w:r>
        <w:rPr>
          <w:rStyle w:val="HideTWBExt"/>
          <w:b w:val="0"/>
        </w:rPr>
        <w:t>&lt;/Members&gt;</w:t>
      </w:r>
    </w:p>
    <w:p>
      <w:r>
        <w:rPr>
          <w:rStyle w:val="HideTWBExt"/>
          <w:b w:val="0"/>
        </w:rPr>
        <w:t>&lt;AuNomDe&gt;</w:t>
      </w:r>
      <w:r>
        <w:rPr>
          <w:rStyle w:val="HideTWBInt"/>
        </w:rPr>
        <w:t>{Verts/ALE}</w:t>
      </w:r>
      <w:r>
        <w:t>za skupinu Verts/ALE</w:t>
      </w:r>
      <w:r>
        <w:rPr>
          <w:rStyle w:val="HideTWBExt"/>
          <w:b w:val="0"/>
        </w:rPr>
        <w:t>&lt;/AuNomDe&gt;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9 a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9a.</w:t>
            </w:r>
            <w:r>
              <w:tab/>
            </w:r>
            <w:r>
              <w:rPr>
                <w:b/>
                <w:i/>
              </w:rPr>
              <w:t>zdůrazňuje, že účinné řízení výkonnosti předpokládá dodržování zásad právního státu a ochranu finančních zájmů EU;</w:t>
            </w:r>
            <w:r>
              <w:t xml:space="preserve"> </w:t>
            </w:r>
            <w:r>
              <w:rPr>
                <w:b/>
                <w:i/>
              </w:rPr>
              <w:t>připomíná, že pokud přetrvávají závažné nedostatky v kontrolních systémech, musí být platby pozastaveny a musí být uplatněny finanční opravy;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61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Dick Erixon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10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10.</w:t>
            </w:r>
            <w:r>
              <w:tab/>
            </w:r>
            <w:r>
              <w:t xml:space="preserve">připomíná, že Mario Draghi ve své zprávě naléhavě vyzývá EU k provedení rozsáhlých reforem na podporu konkurenceschopnosti </w:t>
            </w:r>
            <w:r>
              <w:rPr>
                <w:b/>
                <w:i/>
              </w:rPr>
              <w:t>se zaměřením na inovace, dekarbonizaci a obranu a požaduje masivní investice do strategických odvětví, jako je zelená energie, digitální infrastruktura a vyspělá výroba, podpořené zjednodušením právních předpisů a silnější koordinací na úrovni EU;</w:t>
            </w:r>
            <w:r>
              <w:t xml:space="preserve"> </w:t>
            </w:r>
            <w:r>
              <w:rPr>
                <w:b/>
                <w:i/>
              </w:rPr>
              <w:t>v této souvislosti se domnívá, že pro sledování pokroku</w:t>
            </w:r>
            <w:r>
              <w:t xml:space="preserve"> a měření dopadu </w:t>
            </w:r>
            <w:r>
              <w:rPr>
                <w:b/>
                <w:i/>
              </w:rPr>
              <w:t>je nezbytný spolehlivý výkonnostní rámec</w:t>
            </w:r>
            <w: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10.</w:t>
            </w:r>
            <w:r>
              <w:tab/>
            </w:r>
            <w:r>
              <w:t>připomíná, že Mario Draghi ve své zprávě naléhavě vyzývá EU k provedení rozsáhlých reforem na podporu konkurenceschopnosti </w:t>
            </w:r>
            <w:r>
              <w:rPr>
                <w:b/>
                <w:i/>
              </w:rPr>
              <w:t>a že provádění musí upřednostňovat účinnost výdajů</w:t>
            </w:r>
            <w:r>
              <w:t xml:space="preserve"> a měření </w:t>
            </w:r>
            <w:r>
              <w:rPr>
                <w:b/>
                <w:i/>
              </w:rPr>
              <w:t>výsledků;</w:t>
            </w:r>
            <w:r>
              <w:t xml:space="preserve"> </w:t>
            </w:r>
            <w:r>
              <w:rPr>
                <w:b/>
                <w:i/>
              </w:rPr>
              <w:t>připomíná, že každé euro musí být vynaloženo efektivně;</w:t>
            </w:r>
            <w:r>
              <w:t xml:space="preserve"> </w:t>
            </w:r>
            <w:r>
              <w:rPr>
                <w:b/>
                <w:i/>
              </w:rPr>
              <w:t>zdůrazňuje, že projekty financované EU by měly být vybírány výhradně na základě očekávané návratnosti a měřitelného</w:t>
            </w:r>
            <w:r>
              <w:t xml:space="preserve"> dopadu </w:t>
            </w:r>
            <w:r>
              <w:rPr>
                <w:b/>
                <w:i/>
              </w:rPr>
              <w:t>v souladu se zásadami hospodárnosti, účinnosti a účelnosti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62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Arno Bausemer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10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10.</w:t>
            </w:r>
            <w:r>
              <w:tab/>
            </w:r>
            <w:r>
              <w:t>připomíná, že Mario Draghi ve své zprávě naléhavě vyzývá EU k provedení rozsáhlých reforem na podporu konkurenceschopnosti se zaměřením na inovace, dekarbonizaci a obranu a požaduje masivní investice do strategických odvětví, jako je zelená energie, digitální infrastruktura a vyspělá výroba, podpořené zjednodušením právních předpisů a silnější koordinací na úrovni EU; v této souvislosti se domnívá, že pro sledování pokroku a měření dopadu je nezbytný spolehlivý výkonnostní rámec;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10.</w:t>
            </w:r>
            <w:r>
              <w:tab/>
            </w:r>
            <w:r>
              <w:t xml:space="preserve">připomíná, že Mario Draghi ve své zprávě naléhavě vyzývá EU k provedení rozsáhlých reforem na podporu konkurenceschopnosti se zaměřením na inovace, dekarbonizaci a obranu a požaduje masivní investice do strategických odvětví, jako je zelená energie, digitální infrastruktura a vyspělá výroba, podpořené zjednodušením právních předpisů a silnější koordinací na úrovni EU; v této souvislosti se domnívá, že pro sledování pokroku a měření dopadu je nezbytný spolehlivý výkonnostní rámec; </w:t>
            </w:r>
            <w:r>
              <w:rPr>
                <w:b/>
                <w:i/>
              </w:rPr>
              <w:t>zdůrazňuje, že ukazatele výkonnosti musí být objektivní, měřitelné a nesmí být politicky ani ideologicky zaujaté, aby hodnocení programů EU bylo založeno na ověřitelných důkazech a nebylo ovlivňováno konkrétními politickými programy;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{DE}</w:t>
      </w:r>
      <w:r>
        <w:t>de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63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Cristian Terheş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10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10.</w:t>
            </w:r>
            <w:r>
              <w:tab/>
            </w:r>
            <w:r>
              <w:t>připomíná, že Mario Draghi ve své zprávě naléhavě vyzývá EU k provedení rozsáhlých reforem na podporu konkurenceschopnosti se zaměřením na inovace</w:t>
            </w:r>
            <w:r>
              <w:rPr>
                <w:b/>
                <w:i/>
              </w:rPr>
              <w:t>, dekarbonizaci</w:t>
            </w:r>
            <w:r>
              <w:t xml:space="preserve"> a obranu a požaduje masivní investice do strategických odvětví, jako je </w:t>
            </w:r>
            <w:r>
              <w:rPr>
                <w:b/>
                <w:i/>
              </w:rPr>
              <w:t>zelená energie,</w:t>
            </w:r>
            <w:r>
              <w:t xml:space="preserve"> digitální infrastruktura a vyspělá výroba, podpořené zjednodušením právních předpisů a silnější koordinací na úrovni EU; v této souvislosti se domnívá, že pro sledování pokroku a měření dopadu je nezbytný spolehlivý výkonnostní rámec;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10.</w:t>
            </w:r>
            <w:r>
              <w:tab/>
            </w:r>
            <w:r>
              <w:t>připomíná, že Mario Draghi ve své zprávě naléhavě vyzývá EU k provedení rozsáhlých reforem na podporu konkurenceschopnosti se zaměřením na inovace a obranu a požaduje masivní investice do strategických odvětví, jako je digitální infrastruktura a vyspělá výroba, podpořené zjednodušením právních předpisů a silnější koordinací na úrovni EU; v této souvislosti se domnívá, že pro sledování pokroku a měření dopadu je nezbytný spolehlivý výkonnostní rámec;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64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Pasquale Tridico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10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10.</w:t>
            </w:r>
            <w:r>
              <w:tab/>
            </w:r>
            <w:r>
              <w:t>připomíná, že Mario Draghi ve své zprávě naléhavě vyzývá EU k provedení rozsáhlých reforem na podporu konkurenceschopnosti se zaměřením na inovace</w:t>
            </w:r>
            <w:r>
              <w:rPr>
                <w:b/>
                <w:i/>
              </w:rPr>
              <w:t>,</w:t>
            </w:r>
            <w:r>
              <w:t xml:space="preserve"> dekarbonizaci </w:t>
            </w:r>
            <w:r>
              <w:rPr>
                <w:b/>
                <w:i/>
              </w:rPr>
              <w:t>a obranu</w:t>
            </w:r>
            <w:r>
              <w:t xml:space="preserve"> a požaduje masivní investice do strategických odvětví, jako je zelená energie, digitální infrastruktura a vyspělá výroba, podpořené zjednodušením právních předpisů a silnější koordinací na úrovni EU; v této souvislosti se domnívá, že pro sledování pokroku a měření dopadu je nezbytný spolehlivý výkonnostní rámec;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10.</w:t>
            </w:r>
            <w:r>
              <w:tab/>
            </w:r>
            <w:r>
              <w:t xml:space="preserve">připomíná, že Mario Draghi ve své zprávě naléhavě vyzývá EU k provedení rozsáhlých reforem na podporu konkurenceschopnosti se zaměřením na inovace </w:t>
            </w:r>
            <w:r>
              <w:rPr>
                <w:b/>
                <w:i/>
              </w:rPr>
              <w:t>a</w:t>
            </w:r>
            <w:r>
              <w:t> dekarbonizaci a požaduje masivní investice do strategických odvětví, jako je zelená energie, digitální infrastruktura a vyspělá výroba, podpořené zjednodušením právních předpisů a silnější koordinací na úrovni EU; v této souvislosti se domnívá, že pro sledování pokroku a měření dopadu je nezbytný spolehlivý výkonnostní rámec;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65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Kinga Kollár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10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10.</w:t>
            </w:r>
            <w:r>
              <w:tab/>
            </w:r>
            <w:r>
              <w:t>připomíná, že Mario Draghi ve své zprávě naléhavě vyzývá EU k provedení rozsáhlých reforem na podporu konkurenceschopnosti se zaměřením na inovace, dekarbonizaci a obranu a požaduje masivní investice do strategických odvětví, jako je zelená energie, digitální infrastruktura a vyspělá výroba, podpořené zjednodušením právních předpisů a silnější koordinací na úrovni EU; v této souvislosti se domnívá, že pro sledování pokroku a měření dopadu je nezbytný spolehlivý výkonnostní rámec;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10.</w:t>
            </w:r>
            <w:r>
              <w:tab/>
            </w:r>
            <w:r>
              <w:t xml:space="preserve">připomíná, že Mario Draghi ve své zprávě naléhavě vyzývá EU k provedení rozsáhlých reforem na podporu konkurenceschopnosti se zaměřením na inovace, dekarbonizaci a obranu a požaduje masivní investice do strategických odvětví, jako je zelená energie, digitální infrastruktura a vyspělá výroba, podpořené zjednodušením právních předpisů a silnější koordinací na úrovni EU; v této souvislosti se domnívá, že pro sledování pokroku a měření dopadu je nezbytný spolehlivý výkonnostní rámec </w:t>
            </w:r>
            <w:r>
              <w:rPr>
                <w:b/>
                <w:i/>
              </w:rPr>
              <w:t>a systém ukazatelů, které přímo propojují výkonnost s hospodářskou silou Evropské unie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66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Eero Heinäluoma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10 a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10a.</w:t>
            </w:r>
            <w:r>
              <w:tab/>
            </w:r>
            <w:r>
              <w:rPr>
                <w:b/>
                <w:i/>
              </w:rPr>
              <w:t>připomíná, že Draghiho zpráva zdůrazňuje, že excelence v oblasti výzkumu a inovací má zásadní význam pro konkurenceschopnost EU a že v rámci systému EU pro výzkum a inovace, včetně programu Horizont Evropa, by mělo existovat pouze jedno výběrové kritérium, a to excelence;</w:t>
            </w:r>
            <w:r>
              <w:t xml:space="preserve"> </w:t>
            </w:r>
            <w:r>
              <w:rPr>
                <w:b/>
                <w:i/>
              </w:rPr>
              <w:t>v této souvislosti opakuje svůj postoj, že financování výzkumu a inovací by mělo být i nadále určováno zásadou excelence a mělo by být i nadále založeno na zásluhách;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67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Şerban Dimitrie Sturdza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11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11.</w:t>
            </w:r>
            <w:r>
              <w:tab/>
            </w:r>
            <w:r>
              <w:t>zdůrazňuje, že provádění doporučení uvedených ve Draghiho zprávě by mělo být monitorováno pomocí příslušných ukazatelů výkonnosti, které odrážejí pokrok, jehož EU dosáhla při zvyšování své konkurenceschopnosti; zdůrazňuje, že ukazatele musí být pečlivě navrženy a měly by odrážet nejen výstupy (např. počet financovaných projektů), ale také výsledky a dopady (např. zvýšení produktivity, snížení emisí, vytvořená pracovní místa, pákový efekt programů EU, zejména pokud jde o mobilizaci soukromých investic), aby bylo možné měřit efektivnost a účinnost výdajů EU;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11.</w:t>
            </w:r>
            <w:r>
              <w:tab/>
            </w:r>
            <w:r>
              <w:t xml:space="preserve">zdůrazňuje, že provádění doporučení uvedených ve Draghiho zprávě by mělo být monitorováno pomocí příslušných ukazatelů výkonnosti, které odrážejí pokrok, jehož EU dosáhla při zvyšování své konkurenceschopnosti; zdůrazňuje, že ukazatele musí být pečlivě navrženy a měly by odrážet nejen výstupy (např. počet financovaných projektů), ale také výsledky a dopady (např. zvýšení produktivity, snížení emisí, vytvořená pracovní místa, pákový efekt programů EU, zejména pokud jde o mobilizaci soukromých investic), aby bylo možné měřit efektivnost a účinnost výdajů EU; </w:t>
            </w:r>
            <w:r>
              <w:rPr>
                <w:b/>
                <w:i/>
              </w:rPr>
              <w:t>zdůrazňuje, že ukazatele založené na výsledcích by se měly zaměřit na dlouhodobé zvýšení konkurenceschopnosti, včetně růstu produktivity, vedoucího postavení v oblasti technologií, diverzifikace vývozu a udržitelné tvorby pracovních míst, a nikoli na krátkodobou metriku vyplácení nebo politicky definované milníky;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68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Tomáš Zdechovský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11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11.</w:t>
            </w:r>
            <w:r>
              <w:tab/>
            </w:r>
            <w:r>
              <w:t>zdůrazňuje, že provádění doporučení uvedených ve Draghiho zprávě by mělo být monitorováno pomocí příslušných ukazatelů výkonnosti, které odrážejí pokrok, jehož EU dosáhla při zvyšování své konkurenceschopnosti; zdůrazňuje, že ukazatele musí být pečlivě navrženy a měly by odrážet nejen výstupy (např. počet financovaných projektů), ale také výsledky a dopady (např. zvýšení produktivity, snížení emisí, vytvořená pracovní místa, pákový efekt programů EU, zejména pokud jde o mobilizaci soukromých investic), aby bylo možné měřit efektivnost a účinnost výdajů EU;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11.</w:t>
            </w:r>
            <w:r>
              <w:tab/>
            </w:r>
            <w:r>
              <w:t xml:space="preserve">zdůrazňuje, že provádění doporučení uvedených ve Draghiho zprávě by mělo být monitorováno pomocí příslušných ukazatelů výkonnosti, které odrážejí pokrok, jehož EU dosáhla při zvyšování své konkurenceschopnosti; zdůrazňuje, že ukazatele musí být pečlivě navrženy a měly by odrážet nejen výstupy (např. počet financovaných projektů), ale také výsledky a dopady (např. zvýšení produktivity, snížení emisí, vytvořená pracovní místa, pákový efekt programů EU, zejména pokud jde o mobilizaci soukromých investic), aby bylo možné měřit efektivnost a účinnost výdajů EU; </w:t>
            </w:r>
            <w:r>
              <w:rPr>
                <w:b/>
                <w:i/>
              </w:rPr>
              <w:t>zdůrazňuje, že definice ukazatelů výkonnosti se musí vyhnout politickým nebo subjektivním kritériím a místo toho se zaměřit na měřitelné výsledky v oblasti konkurenceschopnosti, jako je produktivita, obchodní bilance a pákový efekt investic;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69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Dick Erixon, Şerban Dimitrie Sturdza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11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11.</w:t>
            </w:r>
            <w:r>
              <w:tab/>
            </w:r>
            <w:r>
              <w:t>zdůrazňuje, že provádění doporučení uvedených ve Draghiho zprávě by mělo být monitorováno pomocí příslušných ukazatelů výkonnosti, které odrážejí pokrok, jehož EU dosáhla při zvyšování své konkurenceschopnosti; zdůrazňuje, že ukazatele musí být pečlivě navrženy a měly by odrážet nejen výstupy (např. počet financovaných projektů), ale také výsledky a dopady (např. zvýšení produktivity, snížení emisí, vytvořená pracovní místa, pákový efekt programů EU, zejména pokud jde o mobilizaci soukromých investic), aby bylo možné měřit efektivnost a účinnost výdajů EU;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11.</w:t>
            </w:r>
            <w:r>
              <w:tab/>
            </w:r>
            <w:r>
              <w:t>zdůrazňuje, že provádění doporučení uvedených ve Draghiho zprávě by mělo být monitorováno pomocí příslušných ukazatelů výkonnosti, které odrážejí pokrok, jehož EU dosáhla při zvyšování své konkurenceschopnosti</w:t>
            </w:r>
            <w:r>
              <w:rPr>
                <w:b/>
                <w:i/>
              </w:rPr>
              <w:t>, s pozitivním dopadem na hospodářských růst v členských státech</w:t>
            </w:r>
            <w:r>
              <w:t xml:space="preserve">; zdůrazňuje, že ukazatele musí být pečlivě navrženy a měly by odrážet nejen výstupy (např. počet financovaných projektů), ale také výsledky a dopady (např. zvýšení produktivity, snížení emisí, vytvořená pracovní místa, pákový efekt programů EU, zejména pokud jde o mobilizaci soukromých investic), aby bylo možné měřit efektivnost a účinnost výdajů EU; </w:t>
            </w:r>
            <w:r>
              <w:rPr>
                <w:b/>
                <w:i/>
              </w:rPr>
              <w:t>připomíná, že strukturální reformy jsou nedílnou součástí dosažení cílů v oblasti konkurenceschopnosti a musí se odrazit v rámcích pro měření výkonnosti;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70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Kinga Kollár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11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11.</w:t>
            </w:r>
            <w:r>
              <w:tab/>
            </w:r>
            <w:r>
              <w:t>zdůrazňuje, že provádění doporučení uvedených ve Draghiho zprávě by mělo být monitorováno pomocí příslušných ukazatelů výkonnosti, které odrážejí pokrok, jehož EU dosáhla při zvyšování své konkurenceschopnosti; zdůrazňuje, že ukazatele musí být pečlivě navrženy a měly by odrážet nejen výstupy (např. počet financovaných projektů), ale také výsledky a dopady (např. zvýšení produktivity, snížení emisí, vytvořená pracovní místa, pákový efekt programů EU, zejména pokud jde o mobilizaci soukromých investic), aby bylo možné měřit efektivnost a účinnost výdajů EU;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11.</w:t>
            </w:r>
            <w:r>
              <w:tab/>
            </w:r>
            <w:r>
              <w:t xml:space="preserve">zdůrazňuje, že provádění doporučení uvedených ve Draghiho zprávě </w:t>
            </w:r>
            <w:r>
              <w:rPr>
                <w:b/>
                <w:i/>
              </w:rPr>
              <w:t>a Kompasu konkurenceschopnosti</w:t>
            </w:r>
            <w:r>
              <w:t xml:space="preserve"> by mělo být monitorováno pomocí příslušných ukazatelů výkonnosti, které odrážejí pokrok, jehož EU dosáhla při zvyšování své konkurenceschopnosti </w:t>
            </w:r>
            <w:r>
              <w:rPr>
                <w:b/>
                <w:i/>
              </w:rPr>
              <w:t>a hospodářského růstu prostřednictvím inovací, vedoucího postavení v oblasti technologií a odolnosti průmyslu</w:t>
            </w:r>
            <w:r>
              <w:t>; zdůrazňuje, že ukazatele musí být pečlivě navrženy a měly by odrážet nejen výstupy (např. počet financovaných projektů), ale také výsledky a dopady (např. zvýšení produktivity, snížení emisí, vytvořená pracovní místa, pákový efekt programů EU, zejména pokud jde o mobilizaci soukromých investic), aby bylo možné měřit efektivnost a účinnost výdajů EU;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71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Carla Tavares, José Cepeda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11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11.</w:t>
            </w:r>
            <w:r>
              <w:tab/>
            </w:r>
            <w:r>
              <w:t>zdůrazňuje, že provádění doporučení uvedených ve Draghiho zprávě by mělo být monitorováno pomocí příslušných ukazatelů výkonnosti, které odrážejí pokrok, jehož EU dosáhla při zvyšování své konkurenceschopnosti; zdůrazňuje, že ukazatele musí být pečlivě navrženy a měly by odrážet nejen výstupy (např. počet financovaných projektů), ale také výsledky a dopady (např. zvýšení produktivity, snížení emisí, vytvořená pracovní místa, pákový efekt programů EU, zejména pokud jde o mobilizaci soukromých investic), aby bylo možné měřit efektivnost a účinnost výdajů EU;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11.</w:t>
            </w:r>
            <w:r>
              <w:tab/>
            </w:r>
            <w:r>
              <w:t>zdůrazňuje, že provádění doporučení uvedených ve Draghiho zprávě by mělo být monitorováno pomocí příslušných ukazatelů výkonnosti, které odrážejí pokrok, jehož EU dosáhla při zvyšování své konkurenceschopnosti</w:t>
            </w:r>
            <w:r>
              <w:rPr>
                <w:b/>
                <w:i/>
              </w:rPr>
              <w:t>, přičemž je důležité zajistit zároveň sociální spravedlnost</w:t>
            </w:r>
            <w:r>
              <w:t xml:space="preserve">; zdůrazňuje, že ukazatele musí být pečlivě navrženy a měly by odrážet nejen výstupy (např. počet financovaných projektů), ale také výsledky a dopady (např. zvýšení produktivity, snížení emisí, vytvořená </w:t>
            </w:r>
            <w:r>
              <w:rPr>
                <w:b/>
                <w:i/>
              </w:rPr>
              <w:t>udržitelná a bezpečná</w:t>
            </w:r>
            <w:r>
              <w:t xml:space="preserve"> pracovní místa</w:t>
            </w:r>
            <w:r>
              <w:rPr>
                <w:b/>
                <w:i/>
              </w:rPr>
              <w:t>, zlepšování sociální a územní soudržnosti, rovnost žen a mužů</w:t>
            </w:r>
            <w:r>
              <w:t>, pákový efekt programů EU, zejména pokud jde o mobilizaci soukromých investic), aby bylo možné měřit efektivnost a účinnost výdajů EU;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72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Cristian Terheş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11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11.</w:t>
            </w:r>
            <w:r>
              <w:tab/>
            </w:r>
            <w:r>
              <w:t xml:space="preserve">zdůrazňuje, že provádění doporučení uvedených ve Draghiho zprávě by mělo být monitorováno pomocí příslušných ukazatelů výkonnosti, které odrážejí pokrok, jehož EU dosáhla při zvyšování své konkurenceschopnosti; zdůrazňuje, že ukazatele musí být pečlivě navrženy a měly by odrážet nejen výstupy (např. počet financovaných projektů), ale také výsledky a dopady (např. zvýšení produktivity, </w:t>
            </w:r>
            <w:r>
              <w:rPr>
                <w:b/>
                <w:i/>
              </w:rPr>
              <w:t>snížení emisí,</w:t>
            </w:r>
            <w:r>
              <w:t xml:space="preserve"> vytvořená pracovní místa, pákový efekt programů EU, zejména pokud jde o mobilizaci soukromých investic), aby bylo možné měřit efektivnost a účinnost výdajů EU;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11.</w:t>
            </w:r>
            <w:r>
              <w:tab/>
            </w:r>
            <w:r>
              <w:t>zdůrazňuje, že provádění doporučení uvedených ve Draghiho zprávě by mělo být monitorováno pomocí příslušných ukazatelů výkonnosti, které odrážejí pokrok, jehož EU dosáhla při zvyšování své konkurenceschopnosti; zdůrazňuje, že ukazatele musí být pečlivě navrženy a měly by odrážet nejen výstupy (např. počet financovaných projektů), ale také výsledky a dopady (např. zvýšení produktivity, vytvořená pracovní místa, pákový efekt programů EU, zejména pokud jde o mobilizaci soukromých investic), aby bylo možné měřit efektivnost a účinnost výdajů EU;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73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Şerban Dimitrie Sturdza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11 a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11a.</w:t>
            </w:r>
            <w:r>
              <w:tab/>
            </w:r>
            <w:r>
              <w:rPr>
                <w:b/>
                <w:i/>
              </w:rPr>
              <w:t>konstatuje, že používání ukazatelů krátkodobého vyplácení prostředků, které měří především čerpání finančních prostředků nebo míru plnění rozpočtu, poskytuje informace o administrativním pokroku, a nikoli o skutečném hospodářském nebo společenském dopadu výdajů EU;</w:t>
            </w:r>
            <w:r>
              <w:t xml:space="preserve"> </w:t>
            </w:r>
            <w:r>
              <w:rPr>
                <w:b/>
                <w:i/>
              </w:rPr>
              <w:t>zdůrazňuje, že tyto ukazatele mohou vytvářet zavádějící představu o úspěchu, pokud jsou finanční prostředky plně vynaloženy, ale nevedou k měřitelným zlepšením v oblasti inovací, investic nebo zaměstnanosti;</w:t>
            </w:r>
            <w:r>
              <w:t xml:space="preserve"> </w:t>
            </w:r>
            <w:r>
              <w:rPr>
                <w:b/>
                <w:i/>
              </w:rPr>
              <w:t>připomíná, že Evropský účetní dvůr opakovaně kritizoval nadměrné spoléhání se na míru výdajů a milníky plateb ve výkonnostním rámci EU, a vyzývá k posunu směrem k ukazatelům výsledků a ukazatelům dopadu, které odrážejí skutečné zvýšení konkurenceschopnosti a optimální využití prostředků;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74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Dick Erixon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11 a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11a.</w:t>
            </w:r>
            <w:r>
              <w:tab/>
            </w:r>
            <w:r>
              <w:rPr>
                <w:b/>
                <w:i/>
              </w:rPr>
              <w:t>upozorňuje na to, že horizontální minimální podíly pro vybrané priority automaticky nezlepšují výsledky;</w:t>
            </w:r>
            <w:r>
              <w:t xml:space="preserve"> </w:t>
            </w:r>
            <w:r>
              <w:rPr>
                <w:b/>
                <w:i/>
              </w:rPr>
              <w:t>konstatuje, že Komise ve svém návrhu VFR na období 2028–2034 ze dne 16. července 2025 navrhuje cíl 35 % výdajů v oblasti klimatu a životního prostředí (více než 700 miliard EUR), které musí zůstat podřízeny měřitelné účinnosti a transparentnímu podávání zpráv o dopadu;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75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Kinga Kollár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12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12.</w:t>
            </w:r>
            <w:r>
              <w:tab/>
            </w:r>
            <w:r>
              <w:t xml:space="preserve">zdůrazňuje, že </w:t>
            </w:r>
            <w:r>
              <w:rPr>
                <w:b/>
                <w:i/>
              </w:rPr>
              <w:t>je třeba zahrnout</w:t>
            </w:r>
            <w:r>
              <w:t xml:space="preserve"> údaje týkající se projektů </w:t>
            </w:r>
            <w:r>
              <w:rPr>
                <w:b/>
                <w:i/>
              </w:rPr>
              <w:t>do lepšího</w:t>
            </w:r>
            <w:r>
              <w:t xml:space="preserve"> vykazování výkonnosti u finančních nástrojů prováděných v rámci nepřímého řízení, jako je InvestEU; uznává, že vzhledem k tržní a poptávkové povaze finančních nástrojů závisí výkonnost těchto programů na jejich přijetí trhem, což omezuje schopnost Komise předem stanovit konkrétní milníky a cíle;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12.</w:t>
            </w:r>
            <w:r>
              <w:tab/>
            </w:r>
            <w:r>
              <w:t xml:space="preserve">zdůrazňuje, že údaje týkající se projektů </w:t>
            </w:r>
            <w:r>
              <w:rPr>
                <w:b/>
                <w:i/>
              </w:rPr>
              <w:t>by měly být základem pro lepší</w:t>
            </w:r>
            <w:r>
              <w:t xml:space="preserve"> vykazování výkonnosti u finančních nástrojů prováděných v rámci nepřímého řízení, jako je InvestEU</w:t>
            </w:r>
            <w:r>
              <w:rPr>
                <w:b/>
                <w:i/>
              </w:rPr>
              <w:t>, měly by však být ve standardizovaném formátu a měly by se omezovat na klíčové informace potřebné k měření úspěchu programu, jako je mobilizace soukromých investic, k nimž by bez programu nemohlo dojít</w:t>
            </w:r>
            <w:r>
              <w:t>; uznává, že vzhledem k tržní a poptávkové povaze finančních nástrojů závisí výkonnost těchto programů na jejich přijetí trhem, což omezuje schopnost Komise předem stanovit konkrétní milníky a cíle;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76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Dick Erixon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12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12.</w:t>
            </w:r>
            <w:r>
              <w:tab/>
            </w:r>
            <w:r>
              <w:t>zdůrazňuje, že je třeba zahrnout údaje týkající se projektů do lepšího vykazování výkonnosti u finančních nástrojů prováděných v rámci nepřímého řízení, jako je InvestEU; uznává, že vzhledem k tržní a poptávkové povaze finančních nástrojů závisí výkonnost těchto programů na jejich přijetí trhem, což omezuje schopnost Komise předem stanovit konkrétní milníky a cíle;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12.</w:t>
            </w:r>
            <w:r>
              <w:tab/>
            </w:r>
            <w:r>
              <w:t xml:space="preserve">zdůrazňuje, že je třeba zahrnout údaje týkající se projektů do lepšího vykazování výkonnosti u finančních nástrojů prováděných v rámci nepřímého řízení, jako je InvestEU; uznává, že vzhledem k tržní a poptávkové povaze finančních nástrojů závisí výkonnost těchto programů na jejich přijetí trhem, což omezuje schopnost Komise předem stanovit konkrétní milníky a cíle; </w:t>
            </w:r>
            <w:r>
              <w:rPr>
                <w:b/>
                <w:i/>
              </w:rPr>
              <w:t>zdůrazňuje, že v případě podpory malých a středních podniků a rychle se rozvíjejících podniků by hlavním měřítkem úspěchu měla být produktivita a růst hrubé přidané hodnoty, výsledky v oblasti vývozu a inovací a vytváření kvalitních pracovních míst, zatímco počet příjemců by měl být sekundární a měl by být používán k vysvětlování výsledků, nikoli k jejich nahrazení;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77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Cristian Terheş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12 a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12a.</w:t>
            </w:r>
            <w:r>
              <w:tab/>
            </w:r>
            <w:r>
              <w:rPr>
                <w:b/>
                <w:i/>
              </w:rPr>
              <w:t>zdůrazňuje, že Draghiho zpráva spojuje úspěch evropské strategie konkurenceschopnosti s vytvořením spolehlivého a transparentního výkonnostního rámce, který bude schopen sledovat pokrok nejen z hlediska výstupů, ale také výsledků a dlouhodobých dopadů;</w:t>
            </w:r>
            <w:r>
              <w:t xml:space="preserve"> </w:t>
            </w:r>
            <w:r>
              <w:rPr>
                <w:b/>
                <w:i/>
              </w:rPr>
              <w:t>zdůrazňuje, že jsou zapotřebí ukazatele výkonnosti, které komplexně zachycují výsledky opatření financovaných EU, včetně výstupů (jako je počet financovaných projektů), výsledků (jako je zvýšení produktivity, tvorba pracovních míst a mobilizované soukromé investice) a dopadů (jako je posílená strategická autonomie);</w:t>
            </w:r>
            <w:r>
              <w:t xml:space="preserve"> </w:t>
            </w:r>
            <w:r>
              <w:rPr>
                <w:b/>
                <w:i/>
              </w:rPr>
              <w:t>vyzývá k tomu, aby tyto ukazatele byly veřejné a harmonizované napříč programy EU a aby podléhaly transparentnímu podávání zpráv a nezávislému auditu, čímž se zajistí odpovědnost a srovnatelnost při využívání veřejných prostředků;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78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Kinga Kollár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12 a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12a.</w:t>
            </w:r>
            <w:r>
              <w:tab/>
            </w:r>
            <w:r>
              <w:rPr>
                <w:b/>
                <w:i/>
              </w:rPr>
              <w:t>domnívá se, že je nezbytné vytvořit komplexní rámec pro hodnocení rizik ex ante, zejména pro projekty, které se vyznačují vysokým rizikem a vysokým výnosem, aby bylo zajištěno vyvážené hodnocení jejich přidané hodnoty, nákladů a přínosů;</w:t>
            </w:r>
            <w:r>
              <w:t xml:space="preserve"> </w:t>
            </w:r>
            <w:r>
              <w:rPr>
                <w:b/>
                <w:i/>
              </w:rPr>
              <w:t>zdůrazňuje, že dosažení politických cílů Unie v oblasti konkurenceschopnosti vyžaduje spolehlivý systém auditu a kontroly podporovaný soudržnou metodikou posuzování rizik;</w:t>
            </w:r>
            <w:r>
              <w:t xml:space="preserve"> </w:t>
            </w:r>
            <w:r>
              <w:rPr>
                <w:b/>
                <w:i/>
              </w:rPr>
              <w:t>zdůrazňuje, že tato metodika by měla umožnit přiměřenou míru rizika, která je zásadní pro podporu inovací, a zároveň zajistit odpovídající záruky na ochranu rozpočtu EU, zejména proti podvodům a nefinančním rizikům;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79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Kinga Kollár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12 b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12b.</w:t>
            </w:r>
            <w:r>
              <w:tab/>
            </w:r>
            <w:r>
              <w:rPr>
                <w:b/>
                <w:i/>
              </w:rPr>
              <w:t>navrhuje, aby v zájmu lepšího hodnocení dopadu financování EU na konkurenceschopnost bylo použito důkladnější makroekonomické modelování, které by zahrnovalo nejnovější pokrok v hospodářském výzkumu;</w:t>
            </w:r>
            <w:r>
              <w:t xml:space="preserve"> </w:t>
            </w:r>
            <w:r>
              <w:rPr>
                <w:b/>
                <w:i/>
              </w:rPr>
              <w:t>konstatuje, že modely, které zachycují různorodost domácností a podniků a distribuční účinky, umožňují komplexnější předběžné posouzení dopadu financování EU na produktivitu, investiční chování a regionální konkurenceschopnost;</w:t>
            </w:r>
            <w:r>
              <w:t xml:space="preserve"> </w:t>
            </w:r>
            <w:r>
              <w:rPr>
                <w:b/>
                <w:i/>
              </w:rPr>
              <w:t>navrhuje, aby byl tento přístup doplněn využíváním mikrodat a regionálních ukazatelů výkonnosti s cílem zlepšit faktickou základnu pro navrhování politik a zacílení finančních prostředků;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80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Arno Bausemer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13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13.</w:t>
            </w:r>
            <w:r>
              <w:tab/>
            </w:r>
            <w:r>
              <w:t>vyzývá Komisi a členské státy, aby zavedly a důsledně používaly harmonizovaný soubor klíčových ukazatelů zaměřených na podporu konkurenceschopnosti ve všech členských státech, což umožní jejich srovnatelnost, referenční srovnávání a agregaci údajů na úrovni EU a zároveň v případě potřeby umožní používání ukazatelů přizpůsobených vnitrostátním nebo regionálním potřebám; zdůrazňuje, že při definování a přezkumu ukazatelů by měly proběhnout konzultace s podnikatelskými sdruženími, výzkumnými institucemi a občanskou společností, aby se zajistilo, že budou odrážet skutečné potřeby v oblasti konkurenceschopnosti;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13.</w:t>
            </w:r>
            <w:r>
              <w:tab/>
            </w:r>
            <w:r>
              <w:t xml:space="preserve">vyzývá Komisi a členské státy, aby zavedly a důsledně používaly harmonizovaný soubor klíčových ukazatelů zaměřených na podporu konkurenceschopnosti ve všech členských státech, což umožní jejich srovnatelnost, referenční srovnávání a agregaci údajů na úrovni EU a zároveň v případě potřeby umožní používání ukazatelů přizpůsobených vnitrostátním nebo regionálním potřebám; zdůrazňuje, že při definování a přezkumu ukazatelů by měly proběhnout konzultace s podnikatelskými sdruženími, výzkumnými institucemi a občanskou společností, aby se zajistilo, že budou odrážet skutečné potřeby v oblasti konkurenceschopnosti; </w:t>
            </w:r>
            <w:r>
              <w:rPr>
                <w:b/>
                <w:i/>
              </w:rPr>
              <w:t>poukazuje na to, že zavedení dodatečných výkonnostních rámců nesmí vést ke zvýšení administrativní zátěže, dalším povinnostem v oblasti podávání zpráv ani zdvojování stávajících kontrolních mechanismů pro členské státy;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{DE}</w:t>
      </w:r>
      <w:r>
        <w:t>de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81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Carla Tavares, José Cepeda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13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13.</w:t>
            </w:r>
            <w:r>
              <w:tab/>
            </w:r>
            <w:r>
              <w:t>vyzývá Komisi a členské státy, aby zavedly a důsledně používaly harmonizovaný soubor klíčových ukazatelů zaměřených na podporu konkurenceschopnosti ve všech členských státech, což umožní jejich srovnatelnost, referenční srovnávání a agregaci údajů na úrovni EU a zároveň v případě potřeby umožní používání ukazatelů přizpůsobených vnitrostátním nebo regionálním potřebám; zdůrazňuje, že při definování a přezkumu ukazatelů by měly proběhnout konzultace s podnikatelskými sdruženími, výzkumnými institucemi a občanskou společností, aby se zajistilo, že budou odrážet skutečné potřeby v oblasti konkurenceschopnosti;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13.</w:t>
            </w:r>
            <w:r>
              <w:tab/>
            </w:r>
            <w:r>
              <w:t xml:space="preserve">vyzývá Komisi a členské státy, aby zavedly a důsledně používaly harmonizovaný soubor klíčových ukazatelů zaměřených na podporu konkurenceschopnosti ve všech členských státech, což umožní jejich srovnatelnost, referenční srovnávání a agregaci údajů na úrovni EU a zároveň v případě potřeby umožní používání ukazatelů přizpůsobených vnitrostátním nebo regionálním potřebám; zdůrazňuje, že při definování a přezkumu ukazatelů by měly proběhnout konzultace s podnikatelskými sdruženími, </w:t>
            </w:r>
            <w:r>
              <w:rPr>
                <w:b/>
                <w:i/>
              </w:rPr>
              <w:t>odborovými svazy, sociálními partnery,</w:t>
            </w:r>
            <w:r>
              <w:t xml:space="preserve"> výzkumnými institucemi a občanskou společností, aby se zajistilo, že budou odrážet skutečné potřeby v oblasti konkurenceschopnosti</w:t>
            </w:r>
            <w:r>
              <w:rPr>
                <w:b/>
                <w:i/>
              </w:rPr>
              <w:t>, a zaručilo dodržování vysokých pracovních a sociálních norem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82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Kinga Kollár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13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13.</w:t>
            </w:r>
            <w:r>
              <w:tab/>
            </w:r>
            <w:r>
              <w:t>vyzývá Komisi a členské státy, aby zavedly a důsledně používaly harmonizovaný soubor klíčových ukazatelů zaměřených na podporu konkurenceschopnosti ve všech členských státech, což umožní jejich srovnatelnost, referenční srovnávání a agregaci údajů na úrovni EU a zároveň v případě potřeby umožní používání ukazatelů přizpůsobených vnitrostátním nebo regionálním potřebám; zdůrazňuje, že při definování a přezkumu ukazatelů by měly proběhnout konzultace s podnikatelskými sdruženími, výzkumnými institucemi a občanskou společností, aby se zajistilo, že budou odrážet skutečné potřeby v oblasti konkurenceschopnosti;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13.</w:t>
            </w:r>
            <w:r>
              <w:tab/>
            </w:r>
            <w:r>
              <w:t xml:space="preserve">vyzývá Komisi a členské státy, aby zavedly a </w:t>
            </w:r>
            <w:r>
              <w:rPr>
                <w:b/>
                <w:i/>
              </w:rPr>
              <w:t>v příštím VFR</w:t>
            </w:r>
            <w:r>
              <w:t xml:space="preserve"> důsledně používaly harmonizovaný soubor klíčových ukazatelů</w:t>
            </w:r>
            <w:r>
              <w:rPr>
                <w:b/>
                <w:i/>
              </w:rPr>
              <w:t>, jako jsou ukazatele, které jsou již součástí evropského srovnávacího přehledu inovací,</w:t>
            </w:r>
            <w:r>
              <w:t xml:space="preserve"> zaměřených na podporu konkurenceschopnosti ve všech členských státech, což umožní jejich srovnatelnost, referenční srovnávání a agregaci údajů na úrovni EU a zároveň v případě potřeby umožní používání ukazatelů přizpůsobených vnitrostátním nebo regionálním potřebám; zdůrazňuje, že při definování a přezkumu ukazatelů by měly proběhnout konzultace s podnikatelskými sdruženími, výzkumnými institucemi a občanskou společností, aby se zajistilo, že budou odrážet skutečné potřeby v oblasti konkurenceschopnosti;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83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Pasquale Tridico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13 a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13a.</w:t>
            </w:r>
            <w:r>
              <w:tab/>
            </w:r>
            <w:r>
              <w:rPr>
                <w:b/>
                <w:i/>
              </w:rPr>
              <w:t>zdůrazňuje, že vzdělávání, odborná příprava a dostupnost kvalifikované pracovní síly jsou zásadními faktory konkurenceschopnosti EU;</w:t>
            </w:r>
            <w:r>
              <w:t xml:space="preserve"> </w:t>
            </w:r>
            <w:r>
              <w:rPr>
                <w:b/>
                <w:i/>
              </w:rPr>
              <w:t>vyzývá proto k začlenění ukazatelů souvisejících s přístupem ke kvalitnímu vzdělávání, účastí na odborném a celoživotním učení, rozvojem dovedností a začleňováním na trh práce;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84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Dick Erixon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14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14.</w:t>
            </w:r>
            <w:r>
              <w:tab/>
            </w:r>
            <w:r>
              <w:t xml:space="preserve">domnívá se, že v případě projektů, které podporují inovace a strategické technologie, by </w:t>
            </w:r>
            <w:r>
              <w:rPr>
                <w:b/>
                <w:i/>
              </w:rPr>
              <w:t>mohly být použity tyto ukazatele výstupů:</w:t>
            </w:r>
            <w:r>
              <w:t xml:space="preserve"> </w:t>
            </w:r>
            <w:r>
              <w:rPr>
                <w:b/>
                <w:i/>
              </w:rPr>
              <w:t>objem mobilizovaných finančních prostředků,</w:t>
            </w:r>
            <w:r>
              <w:t xml:space="preserve"> návratnost investic, počet financovaných projektů podle odvětví </w:t>
            </w:r>
            <w:r>
              <w:rPr>
                <w:b/>
                <w:i/>
              </w:rPr>
              <w:t>(tj. umělá inteligence, kvantová technologie, biotechnologie)</w:t>
            </w:r>
            <w:r>
              <w:t xml:space="preserve"> a počet startupů a scaleupů založených nebo expandujících v EU</w:t>
            </w:r>
            <w:r>
              <w:rPr>
                <w:b/>
                <w:i/>
              </w:rPr>
              <w:t>;</w:t>
            </w:r>
            <w:r>
              <w:t xml:space="preserve"> </w:t>
            </w:r>
            <w:r>
              <w:rPr>
                <w:b/>
                <w:i/>
              </w:rPr>
              <w:t>domnívá se, že by mohly být rovněž použity ukazatele</w:t>
            </w:r>
            <w:r>
              <w:t xml:space="preserve"> výsledků</w:t>
            </w:r>
            <w:r>
              <w:rPr>
                <w:b/>
                <w:i/>
              </w:rPr>
              <w:t>, jako je počet patentů podaných v rámci projektů financovaných EU a míra přežití společností financovaných EU po třech letech</w:t>
            </w:r>
            <w: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14.</w:t>
            </w:r>
            <w:r>
              <w:tab/>
            </w:r>
            <w:r>
              <w:t xml:space="preserve">domnívá se, že v případě projektů, které podporují inovace a strategické technologie, by </w:t>
            </w:r>
            <w:r>
              <w:rPr>
                <w:b/>
                <w:i/>
              </w:rPr>
              <w:t>měření výkonnosti mělo být prováděno především z hlediska dopadu:</w:t>
            </w:r>
            <w:r>
              <w:t xml:space="preserve"> návratnost investic</w:t>
            </w:r>
            <w:r>
              <w:rPr>
                <w:b/>
                <w:i/>
              </w:rPr>
              <w:t>, přijetí na trhu a růst příjmů, které lze připsat inovacím financovaným EU;</w:t>
            </w:r>
            <w:r>
              <w:t xml:space="preserve"> </w:t>
            </w:r>
            <w:r>
              <w:rPr>
                <w:b/>
                <w:i/>
              </w:rPr>
              <w:t>domnívá se, že ukazatele výstupů, jako jsou mobilizované finanční prostředky</w:t>
            </w:r>
            <w:r>
              <w:t>, počet financovaných projektů podle odvětví a počet startupů a scaleupů založených nebo expandujících v EU</w:t>
            </w:r>
            <w:r>
              <w:rPr>
                <w:b/>
                <w:i/>
              </w:rPr>
              <w:t> by měly být druhotné a měly by být používány spíše k vysvětlení</w:t>
            </w:r>
            <w:r>
              <w:t xml:space="preserve"> výsledků </w:t>
            </w:r>
            <w:r>
              <w:rPr>
                <w:b/>
                <w:i/>
              </w:rPr>
              <w:t>než k jejich nahrazení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85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Kinga Kollár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14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14.</w:t>
            </w:r>
            <w:r>
              <w:tab/>
            </w:r>
            <w:r>
              <w:t>domnívá se, že v případě projektů, které podporují inovace a strategické technologie, by mohly být použity tyto ukazatele výstupů: objem mobilizovaných finančních prostředků, návratnost investic, počet financovaných projektů podle odvětví (tj. umělá inteligence, kvantová technologie, biotechnologie) a počet startupů a scaleupů založených nebo expandujících v EU; domnívá se, že by mohly být rovněž použity ukazatele výsledků, jako je počet patentů podaných v rámci projektů financovaných EU a míra přežití společností financovaných EU po třech letech;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14.</w:t>
            </w:r>
            <w:r>
              <w:tab/>
            </w:r>
            <w:r>
              <w:t xml:space="preserve">domnívá se, že v případě projektů, které podporují inovace a strategické technologie, by mohly být použity tyto ukazatele výstupů: objem mobilizovaných </w:t>
            </w:r>
            <w:r>
              <w:rPr>
                <w:b/>
                <w:i/>
              </w:rPr>
              <w:t>unijních a skutečně soukromých</w:t>
            </w:r>
            <w:r>
              <w:t xml:space="preserve"> finančních prostředků, návratnost investic, počet financovaných projektů podle odvětví (tj. umělá inteligence, kvantová technologie, biotechnologie) a počet </w:t>
            </w:r>
            <w:r>
              <w:rPr>
                <w:b/>
                <w:i/>
              </w:rPr>
              <w:t>jednorožců,</w:t>
            </w:r>
            <w:r>
              <w:t xml:space="preserve"> startupů a scaleupů založených nebo expandujících v </w:t>
            </w:r>
            <w:r>
              <w:rPr>
                <w:b/>
                <w:i/>
              </w:rPr>
              <w:t>EU, které obdržely finanční prostředky</w:t>
            </w:r>
            <w:r>
              <w:t xml:space="preserve"> EU; domnívá se, že by mohly být rovněž použity ukazatele výsledků, jako je počet patentů podaných v rámci projektů financovaných EU</w:t>
            </w:r>
            <w:r>
              <w:rPr>
                <w:b/>
                <w:i/>
              </w:rPr>
              <w:t>, návratnost investic EU podle jednotlivých odvětví</w:t>
            </w:r>
            <w:r>
              <w:t xml:space="preserve"> a míra přežití společností financovaných EU po třech letech; </w:t>
            </w:r>
            <w:r>
              <w:rPr>
                <w:b/>
                <w:i/>
              </w:rPr>
              <w:t>domnívá se, že by mohly být rovněž použity ukazatele dopadu, jako je zvýšení počtu podniků dosahujících vysoké digitální intenzity, zvýšení kapacity (produkce za rok) ve výrobě hlubokých a digitálních technologií (např. konkrétních typů zařízení), zvýšení objemu rizikového kapitálu investovaného v Evropě, zvýšení tržního stropu evropských společností, zvýšení počtu evropských primárních veřejných nabídek akcií a počtu vyvážejících společností;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86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Carla Tavares, José Cepeda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14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14.</w:t>
            </w:r>
            <w:r>
              <w:tab/>
            </w:r>
            <w:r>
              <w:t xml:space="preserve">domnívá se, že v případě projektů, které podporují inovace a strategické technologie, by mohly být použity tyto ukazatele výstupů: objem mobilizovaných finančních prostředků, návratnost investic, počet financovaných projektů podle odvětví (tj. umělá inteligence, </w:t>
            </w:r>
            <w:r>
              <w:rPr>
                <w:b/>
                <w:i/>
              </w:rPr>
              <w:t>kvantová</w:t>
            </w:r>
            <w:r>
              <w:t xml:space="preserve"> technologie, biotechnologie) </w:t>
            </w:r>
            <w:r>
              <w:rPr>
                <w:b/>
                <w:i/>
              </w:rPr>
              <w:t>a</w:t>
            </w:r>
            <w:r>
              <w:t xml:space="preserve"> počet startupů a scaleupů založených nebo expandujících v EU; domnívá se, že by mohly být rovněž použity ukazatele výsledků, jako je počet patentů podaných v rámci projektů financovaných EU a míra přežití společností financovaných EU po třech letech;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14.</w:t>
            </w:r>
            <w:r>
              <w:tab/>
            </w:r>
            <w:r>
              <w:t xml:space="preserve">domnívá se, že v případě projektů, které podporují inovace a strategické technologie, by mohly být použity tyto ukazatele výstupů: objem mobilizovaných finančních prostředků, návratnost investic, počet financovaných projektů podle odvětví (tj. umělá inteligence, </w:t>
            </w:r>
            <w:r>
              <w:rPr>
                <w:b/>
                <w:i/>
              </w:rPr>
              <w:t>kvantové</w:t>
            </w:r>
            <w:r>
              <w:t xml:space="preserve"> technologie, biotechnologie)</w:t>
            </w:r>
            <w:r>
              <w:rPr>
                <w:b/>
                <w:i/>
              </w:rPr>
              <w:t>,</w:t>
            </w:r>
            <w:r>
              <w:t xml:space="preserve"> počet startupů a scaleupů založených nebo expandujících v EU</w:t>
            </w:r>
            <w:r>
              <w:rPr>
                <w:b/>
                <w:i/>
              </w:rPr>
              <w:t>, procentní podíl financovaných startupů vedených ženami a dopad na zaměstnanost z hlediska vytváření nebo rušení pracovních míst</w:t>
            </w:r>
            <w:r>
              <w:t>; domnívá se, že by mohly být rovněž použity ukazatele výsledků, jako je počet patentů podaných v rámci projektů financovaných EU a míra přežití společností financovaných EU po třech letech;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87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Dick Erixon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15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15.</w:t>
            </w:r>
            <w:r>
              <w:tab/>
            </w:r>
            <w:r>
              <w:t xml:space="preserve">domnívá se, že by mělo být podporováno </w:t>
            </w:r>
            <w:r>
              <w:rPr>
                <w:b/>
                <w:i/>
              </w:rPr>
              <w:t>přemísťování</w:t>
            </w:r>
            <w:r>
              <w:t xml:space="preserve"> průmyslu do EU, aby se snížila její strategická závislost</w:t>
            </w:r>
            <w:r>
              <w:rPr>
                <w:b/>
                <w:i/>
              </w:rPr>
              <w:t>;</w:t>
            </w:r>
            <w:r>
              <w:t xml:space="preserve"> </w:t>
            </w:r>
            <w:r>
              <w:rPr>
                <w:b/>
                <w:i/>
              </w:rPr>
              <w:t>navrhuje, aby se pokrok měřil pomocí ukazatelů</w:t>
            </w:r>
            <w:r>
              <w:t xml:space="preserve"> výstupů, jako je počet projektů </w:t>
            </w:r>
            <w:r>
              <w:rPr>
                <w:b/>
                <w:i/>
              </w:rPr>
              <w:t>a</w:t>
            </w:r>
            <w:r>
              <w:t xml:space="preserve"> malých a středních podniků</w:t>
            </w:r>
            <w:r>
              <w:rPr>
                <w:b/>
                <w:i/>
              </w:rPr>
              <w:t>, které se přemístily do EU</w:t>
            </w:r>
            <w:r>
              <w:t xml:space="preserve">, počet vytvořených nebo expandujících startupů a scaleupů </w:t>
            </w:r>
            <w:r>
              <w:rPr>
                <w:b/>
                <w:i/>
              </w:rPr>
              <w:t>a vytváření pracovních míst</w:t>
            </w:r>
            <w:r>
              <w:t xml:space="preserve"> v průmyslu v cílových regionech</w:t>
            </w:r>
            <w:r>
              <w:rPr>
                <w:b/>
                <w:i/>
              </w:rPr>
              <w:t>;</w:t>
            </w:r>
            <w:r>
              <w:t xml:space="preserve"> </w:t>
            </w:r>
            <w:r>
              <w:rPr>
                <w:b/>
                <w:i/>
              </w:rPr>
              <w:t>domnívá se</w:t>
            </w:r>
            <w:r>
              <w:t xml:space="preserve">, </w:t>
            </w:r>
            <w:r>
              <w:rPr>
                <w:b/>
                <w:i/>
              </w:rPr>
              <w:t>že by mohly být rovněž použity ukazatele</w:t>
            </w:r>
            <w:r>
              <w:t xml:space="preserve"> výsledků, </w:t>
            </w:r>
            <w:r>
              <w:rPr>
                <w:b/>
                <w:i/>
              </w:rPr>
              <w:t>jako je snížení dovozu vyplývající ze snížené strategické závislosti na dovážených kritických surovinách</w:t>
            </w:r>
            <w: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15.</w:t>
            </w:r>
            <w:r>
              <w:tab/>
            </w:r>
            <w:r>
              <w:t xml:space="preserve">domnívá se, že by mělo být podporováno </w:t>
            </w:r>
            <w:r>
              <w:rPr>
                <w:b/>
                <w:i/>
              </w:rPr>
              <w:t>přemisťování</w:t>
            </w:r>
            <w:r>
              <w:t xml:space="preserve"> průmyslu do EU, aby se snížila její strategická závislost</w:t>
            </w:r>
            <w:r>
              <w:rPr>
                <w:b/>
                <w:i/>
              </w:rPr>
              <w:t>, a to na základě nezávislé analýzy nákladů a přínosů a posouzení subsidiarity a proporcionality;</w:t>
            </w:r>
            <w:r>
              <w:t xml:space="preserve"> </w:t>
            </w:r>
            <w:r>
              <w:rPr>
                <w:b/>
                <w:i/>
              </w:rPr>
              <w:t>zdůrazňuje, že měření výkonnosti by mělo být prováděno především z hlediska dopadu:</w:t>
            </w:r>
            <w:r>
              <w:t xml:space="preserve"> </w:t>
            </w:r>
            <w:r>
              <w:rPr>
                <w:b/>
                <w:i/>
              </w:rPr>
              <w:t>prokazatelné snížení strategické závislosti u určených vstupů (např. kritických surovin/součástí) ve srovnání s definovanou výchozí/hypotetickou hodnotou, vyšší produktivitou a hrubou přidanou hodnotou v cílových hodnotových řetězcích, větší odolností dodávek a lepší obchodní výkonností;</w:t>
            </w:r>
            <w:r>
              <w:t xml:space="preserve"> </w:t>
            </w:r>
            <w:r>
              <w:rPr>
                <w:b/>
                <w:i/>
              </w:rPr>
              <w:t>domnívá se, že ukazatele</w:t>
            </w:r>
            <w:r>
              <w:t xml:space="preserve"> výstupů, jako je počet projektů</w:t>
            </w:r>
            <w:r>
              <w:rPr>
                <w:b/>
                <w:i/>
              </w:rPr>
              <w:t>, přemisťování</w:t>
            </w:r>
            <w:r>
              <w:t xml:space="preserve"> malých a středních podniků, počet vytvořených nebo expandujících startupů a scaleupů</w:t>
            </w:r>
            <w:r>
              <w:rPr>
                <w:b/>
                <w:i/>
              </w:rPr>
              <w:t>, investovaný kapitál a pracovní místa</w:t>
            </w:r>
            <w:r>
              <w:t xml:space="preserve"> v průmyslu v cílových regionech, </w:t>
            </w:r>
            <w:r>
              <w:rPr>
                <w:b/>
                <w:i/>
              </w:rPr>
              <w:t>by měly být sekundární a měly by být používány k vysvětlování</w:t>
            </w:r>
            <w:r>
              <w:t xml:space="preserve"> výsledků, </w:t>
            </w:r>
            <w:r>
              <w:rPr>
                <w:b/>
                <w:i/>
              </w:rPr>
              <w:t>a nikoli k jejich nahrazení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88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Kinga Kollár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15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15.</w:t>
            </w:r>
            <w:r>
              <w:tab/>
            </w:r>
            <w:r>
              <w:t xml:space="preserve">domnívá se, že by mělo být podporováno přemísťování průmyslu </w:t>
            </w:r>
            <w:r>
              <w:rPr>
                <w:b/>
                <w:i/>
              </w:rPr>
              <w:t>do EU</w:t>
            </w:r>
            <w:r>
              <w:t xml:space="preserve">, aby se snížila její strategická závislost; navrhuje, aby se pokrok měřil pomocí ukazatelů výstupů, jako je počet projektů a malých a středních podniků, které se přemístily do EU, počet vytvořených nebo expandujících startupů a scaleupů a vytváření pracovních míst v průmyslu v cílových regionech; domnívá se, že by mohly být rovněž použity ukazatele výsledků, jako je </w:t>
            </w:r>
            <w:r>
              <w:rPr>
                <w:b/>
                <w:i/>
              </w:rPr>
              <w:t>snížení dovozu vyplývající ze snížené strategické závislosti na</w:t>
            </w:r>
            <w:r>
              <w:t xml:space="preserve"> dovážených kritických </w:t>
            </w:r>
            <w:r>
              <w:rPr>
                <w:b/>
                <w:i/>
              </w:rPr>
              <w:t>surovinách</w:t>
            </w:r>
            <w: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15.</w:t>
            </w:r>
            <w:r>
              <w:tab/>
            </w:r>
            <w:r>
              <w:t xml:space="preserve">domnívá se, že by mělo být podporováno přemísťování průmyslu </w:t>
            </w:r>
            <w:r>
              <w:rPr>
                <w:b/>
                <w:i/>
              </w:rPr>
              <w:t>a soběstačnost v kritických surovinách</w:t>
            </w:r>
            <w:r>
              <w:t xml:space="preserve">, aby se snížila její strategická závislost; navrhuje, aby se pokrok měřil pomocí ukazatelů výstupů, jako je počet projektů a malých a středních podniků, které se </w:t>
            </w:r>
            <w:r>
              <w:rPr>
                <w:b/>
                <w:i/>
              </w:rPr>
              <w:t>v důsledku financování EU</w:t>
            </w:r>
            <w:r>
              <w:t xml:space="preserve"> přemístily do EU, počet vytvořených nebo expandujících startupů a scaleupů a vytváření pracovních míst v průmyslu v cílových regionech; domnívá se, že by mohly být rovněž použity ukazatele výsledků, jako je </w:t>
            </w:r>
            <w:r>
              <w:rPr>
                <w:b/>
                <w:i/>
              </w:rPr>
              <w:t>zvýšení podílu kritických surovin</w:t>
            </w:r>
            <w:r>
              <w:t xml:space="preserve"> dovážených </w:t>
            </w:r>
            <w:r>
              <w:rPr>
                <w:b/>
                <w:i/>
              </w:rPr>
              <w:t>od nových strategických partnerů nebo získávaných z EU a zvýšení objemu (v tunách) recyklovaných</w:t>
            </w:r>
            <w:r>
              <w:t xml:space="preserve"> kritických </w:t>
            </w:r>
            <w:r>
              <w:rPr>
                <w:b/>
                <w:i/>
              </w:rPr>
              <w:t>surovin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89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Carla Tavares, José Cepeda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15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15.</w:t>
            </w:r>
            <w:r>
              <w:tab/>
            </w:r>
            <w:r>
              <w:t>domnívá se, že by mělo být podporováno přemísťování průmyslu do EU, aby se snížila její strategická závislost; navrhuje, aby se pokrok měřil pomocí ukazatelů výstupů, jako je počet projektů a malých a středních podniků, které se přemístily do EU, počet vytvořených nebo expandujících startupů a scaleupů a vytváření pracovních míst v průmyslu v cílových regionech; domnívá se, že by mohly být rovněž použity ukazatele výsledků, jako je snížení dovozu vyplývající ze snížené strategické závislosti na dovážených kritických surovinách;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15.</w:t>
            </w:r>
            <w:r>
              <w:tab/>
            </w:r>
            <w:r>
              <w:t>domnívá se, že by mělo být podporováno přemísťování průmyslu do EU, aby se snížila její strategická závislost; navrhuje, aby se pokrok měřil pomocí ukazatelů výstupů, jako je počet projektů a malých a středních podniků, které se přemístily do EU, počet vytvořených nebo expandujících startupů a scaleupů</w:t>
            </w:r>
            <w:r>
              <w:rPr>
                <w:b/>
                <w:i/>
              </w:rPr>
              <w:t>, procento financovaných startupů vedených ženami</w:t>
            </w:r>
            <w:r>
              <w:t xml:space="preserve"> a vytváření pracovních míst v průmyslu v cílových regionech</w:t>
            </w:r>
            <w:r>
              <w:rPr>
                <w:b/>
                <w:i/>
              </w:rPr>
              <w:t>, včetně míry pokrytí kolektivními smlouvami</w:t>
            </w:r>
            <w:r>
              <w:t xml:space="preserve">; domnívá se, že by mohly být rovněž použity ukazatele výsledků, jako je </w:t>
            </w:r>
            <w:r>
              <w:rPr>
                <w:b/>
                <w:i/>
              </w:rPr>
              <w:t>snížení uhlíkové stopy a</w:t>
            </w:r>
            <w:r>
              <w:t xml:space="preserve"> snížení dovozu vyplývající ze snížené strategické závislosti na dovážených kritických surovinách;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90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Carla Tavares, José Cepeda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16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16.</w:t>
            </w:r>
            <w:r>
              <w:tab/>
            </w:r>
            <w:r>
              <w:t xml:space="preserve">domnívá se, že by měl být podporován společný nákup energie pro průmysl, aby se snížily náklady na energii a zajistily dodávky energie; navrhuje, aby se pokrok měřil pomocí ukazatelů výstupů, jako je počet zúčastněných společností a podíl energie z obnovitelných zdrojů ve společných smlouvách; domnívá se, že by mohly být rovněž použity ukazatele výsledků, jako jsou změny průměrných cen energie v cílových odvětvích </w:t>
            </w:r>
            <w:r>
              <w:rPr>
                <w:b/>
                <w:i/>
              </w:rPr>
              <w:t>a</w:t>
            </w:r>
            <w:r>
              <w:t xml:space="preserve"> snížení přerušení dodávek;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16.</w:t>
            </w:r>
            <w:r>
              <w:tab/>
            </w:r>
            <w:r>
              <w:t>domnívá se, že by měl být podporován společný nákup energie pro průmysl, aby se snížily náklady na energii a zajistily dodávky energie; navrhuje, aby se pokrok měřil pomocí ukazatelů výstupů, jako je počet zúčastněných společností</w:t>
            </w:r>
            <w:r>
              <w:rPr>
                <w:b/>
                <w:i/>
              </w:rPr>
              <w:t>, objem nákupu energie</w:t>
            </w:r>
            <w:r>
              <w:t xml:space="preserve"> a podíl energie z obnovitelných zdrojů ve společných smlouvách; domnívá se, že by mohly být rovněž použity ukazatele výsledků, jako jsou změny průměrných cen energie v cílových odvětvích</w:t>
            </w:r>
            <w:r>
              <w:rPr>
                <w:b/>
                <w:i/>
              </w:rPr>
              <w:t>,</w:t>
            </w:r>
            <w:r>
              <w:t xml:space="preserve"> snížení přerušení dodávek </w:t>
            </w:r>
            <w:r>
              <w:rPr>
                <w:b/>
                <w:i/>
              </w:rPr>
              <w:t>a zvýšení používání energie z obnovitelných zdrojů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91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Cristian Terheş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16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16.</w:t>
            </w:r>
            <w:r>
              <w:tab/>
            </w:r>
            <w:r>
              <w:rPr>
                <w:b/>
                <w:i/>
              </w:rPr>
              <w:t>domnívá se, že by měl být podporován</w:t>
            </w:r>
            <w:r>
              <w:t xml:space="preserve"> společný nákup energie pro průmysl</w:t>
            </w:r>
            <w:r>
              <w:rPr>
                <w:b/>
                <w:i/>
              </w:rPr>
              <w:t>, aby se snížily</w:t>
            </w:r>
            <w:r>
              <w:t xml:space="preserve"> náklady </w:t>
            </w:r>
            <w:r>
              <w:rPr>
                <w:b/>
                <w:i/>
              </w:rPr>
              <w:t>na energii a zajistily dodávky energie;</w:t>
            </w:r>
            <w:r>
              <w:t xml:space="preserve"> </w:t>
            </w:r>
            <w:r>
              <w:rPr>
                <w:b/>
                <w:i/>
              </w:rPr>
              <w:t>navrhuje, aby se</w:t>
            </w:r>
            <w:r>
              <w:t xml:space="preserve"> pokrok </w:t>
            </w:r>
            <w:r>
              <w:rPr>
                <w:b/>
                <w:i/>
              </w:rPr>
              <w:t>měřil pomocí ukazatelů výstupů, jako je počet zúčastněných společností a podíl energie z obnovitelných zdrojů ve společných smlouvách;</w:t>
            </w:r>
            <w:r>
              <w:t xml:space="preserve"> </w:t>
            </w:r>
            <w:r>
              <w:rPr>
                <w:b/>
                <w:i/>
              </w:rPr>
              <w:t>domnívá se, že by mohly být rovněž použity ukazatele</w:t>
            </w:r>
            <w:r>
              <w:t xml:space="preserve"> výsledků, jako jsou </w:t>
            </w:r>
            <w:r>
              <w:rPr>
                <w:b/>
                <w:i/>
              </w:rPr>
              <w:t>změny průměrných cen</w:t>
            </w:r>
            <w:r>
              <w:t xml:space="preserve"> energie </w:t>
            </w:r>
            <w:r>
              <w:rPr>
                <w:b/>
                <w:i/>
              </w:rPr>
              <w:t>v cílových odvětvích a snížení přerušení</w:t>
            </w:r>
            <w:r>
              <w:t xml:space="preserve"> dodávek;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16.</w:t>
            </w:r>
            <w:r>
              <w:tab/>
            </w:r>
            <w:r>
              <w:rPr>
                <w:b/>
                <w:i/>
              </w:rPr>
              <w:t>zdůrazňuje, že</w:t>
            </w:r>
            <w:r>
              <w:t xml:space="preserve"> společný nákup energie pro průmysl </w:t>
            </w:r>
            <w:r>
              <w:rPr>
                <w:b/>
                <w:i/>
              </w:rPr>
              <w:t>má potenciál snížit</w:t>
            </w:r>
            <w:r>
              <w:t xml:space="preserve"> náklady </w:t>
            </w:r>
            <w:r>
              <w:rPr>
                <w:b/>
                <w:i/>
              </w:rPr>
              <w:t>a zvýšit energetickou bezpečnost Evropy, pokud bude i nadále řízen trhem a bude dobrovolný;</w:t>
            </w:r>
            <w:r>
              <w:t xml:space="preserve"> </w:t>
            </w:r>
            <w:r>
              <w:rPr>
                <w:b/>
                <w:i/>
              </w:rPr>
              <w:t>zdůrazňuje, že</w:t>
            </w:r>
            <w:r>
              <w:t xml:space="preserve"> pokrok </w:t>
            </w:r>
            <w:r>
              <w:rPr>
                <w:b/>
                <w:i/>
              </w:rPr>
              <w:t>by měl být hodnocen prostřednictvím konkrétních</w:t>
            </w:r>
            <w:r>
              <w:t xml:space="preserve"> výsledků, jako jsou </w:t>
            </w:r>
            <w:r>
              <w:rPr>
                <w:b/>
                <w:i/>
              </w:rPr>
              <w:t>snížené ceny</w:t>
            </w:r>
            <w:r>
              <w:t xml:space="preserve"> energie </w:t>
            </w:r>
            <w:r>
              <w:rPr>
                <w:b/>
                <w:i/>
              </w:rPr>
              <w:t>a lepší spolehlivost</w:t>
            </w:r>
            <w:r>
              <w:t xml:space="preserve"> dodávek;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92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Kinga Kollár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16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16.</w:t>
            </w:r>
            <w:r>
              <w:tab/>
            </w:r>
            <w:r>
              <w:t xml:space="preserve">domnívá se, že </w:t>
            </w:r>
            <w:r>
              <w:rPr>
                <w:b/>
                <w:i/>
              </w:rPr>
              <w:t>by měl být podporován</w:t>
            </w:r>
            <w:r>
              <w:t xml:space="preserve"> společný nákup energie </w:t>
            </w:r>
            <w:r>
              <w:rPr>
                <w:b/>
                <w:i/>
              </w:rPr>
              <w:t>pro průmysl, aby se snížily náklady na energii a zajistily dodávky energie</w:t>
            </w:r>
            <w:r>
              <w:t xml:space="preserve">; navrhuje, aby se pokrok měřil pomocí ukazatelů výstupů, jako je počet zúčastněných společností a podíl energie z obnovitelných zdrojů ve společných smlouvách; domnívá se, že by mohly být rovněž použity ukazatele výsledků, jako jsou změny průměrných cen energie v cílových odvětvích </w:t>
            </w:r>
            <w:r>
              <w:rPr>
                <w:b/>
                <w:i/>
              </w:rPr>
              <w:t>a</w:t>
            </w:r>
            <w:r>
              <w:t xml:space="preserve"> snížení přerušení dodávek;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16.</w:t>
            </w:r>
            <w:r>
              <w:tab/>
            </w:r>
            <w:r>
              <w:t xml:space="preserve">domnívá se, že </w:t>
            </w:r>
            <w:r>
              <w:rPr>
                <w:b/>
                <w:i/>
              </w:rPr>
              <w:t>v zájmu snížení nákladů na energii a zabezpečení dodávek by měla být přijata opatření zaměřená na</w:t>
            </w:r>
            <w:r>
              <w:t xml:space="preserve"> společný nákup energie </w:t>
            </w:r>
            <w:r>
              <w:rPr>
                <w:b/>
                <w:i/>
              </w:rPr>
              <w:t>v průmyslu a dekarbonizaci průmyslu, aniž by to mělo nepatřičný dopad na energetickou bezpečnost kteréhokoli členského státu</w:t>
            </w:r>
            <w:r>
              <w:t xml:space="preserve">; navrhuje, aby se pokrok měřil pomocí ukazatelů výstupů, jako je počet zúčastněných společností a podíl energie z obnovitelných zdrojů ve společných smlouvách; domnívá se, že by mohly být rovněž použity ukazatele výsledků, jako </w:t>
            </w:r>
            <w:r>
              <w:rPr>
                <w:b/>
                <w:i/>
              </w:rPr>
              <w:t>je dodatečná energetická kapacita instalovaná při výrobě elektřiny (MW);</w:t>
            </w:r>
            <w:r>
              <w:t xml:space="preserve"> </w:t>
            </w:r>
            <w:r>
              <w:rPr>
                <w:b/>
                <w:i/>
              </w:rPr>
              <w:t>dále se domnívá, že by mohly být rovněž použity ukazatele dopadu, jako</w:t>
            </w:r>
            <w:r>
              <w:t xml:space="preserve"> jsou změny průměrných cen energie v cílových odvětvích</w:t>
            </w:r>
            <w:r>
              <w:rPr>
                <w:b/>
                <w:i/>
              </w:rPr>
              <w:t>,</w:t>
            </w:r>
            <w:r>
              <w:t xml:space="preserve"> snížení přerušení dodávek </w:t>
            </w:r>
            <w:r>
              <w:rPr>
                <w:b/>
                <w:i/>
              </w:rPr>
              <w:t>a snížení emisí skleníkových plynů (tCO2e), jichž bylo dosaženo díky technologiím zachycování uhlíku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93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Ondřej Knotek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16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16.</w:t>
            </w:r>
            <w:r>
              <w:tab/>
            </w:r>
            <w:r>
              <w:t>domnívá se, že by měl být podporován společný nákup energie pro průmysl, aby se snížily náklady na energii a zajistily dodávky energie; navrhuje, aby se pokrok měřil pomocí ukazatelů výstupů, jako je počet zúčastněných společností a podíl energie z obnovitelných zdrojů ve společných smlouvách; domnívá se, že by mohly být rovněž použity ukazatele výsledků, jako jsou změny průměrných cen energie v cílových odvětvích a snížení přerušení dodávek;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16.</w:t>
            </w:r>
            <w:r>
              <w:tab/>
            </w:r>
            <w:r>
              <w:t xml:space="preserve">domnívá se, že by měl být podporován společný nákup energie pro průmysl, aby se snížily náklady na energii a zajistily dodávky energie; navrhuje, aby se pokrok měřil pomocí ukazatelů výstupů, jako je počet zúčastněných společností a podíl energie z obnovitelných </w:t>
            </w:r>
            <w:r>
              <w:rPr>
                <w:b/>
                <w:i/>
              </w:rPr>
              <w:t>a nízkouhlíkových</w:t>
            </w:r>
            <w:r>
              <w:t xml:space="preserve"> zdrojů ve společných smlouvách; domnívá se, že by mohly být rovněž použity ukazatele výsledků, jako jsou změny průměrných cen energie v cílových odvětvích a snížení přerušení dodávek;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94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Cristian Terheş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16 a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16a.</w:t>
            </w:r>
            <w:r>
              <w:tab/>
            </w:r>
            <w:r>
              <w:rPr>
                <w:b/>
                <w:i/>
              </w:rPr>
              <w:t>vyzývá Evropskou komisi, aby urychlila opatření zaměřená na snížení nákladů na energii a zvýšení energetické bezpečnosti v celé Unii, mimo jiné podporou dokončení přeshraničních propojení elektrických a plynárenských sítí, podporou integrace obnovitelných zdrojů energie, přezkumem mechanismu marginálních cen na velkoobchodních trzích s elektřinou a zajištěním účinného fungování systému EU pro obchodování s emisemi;</w:t>
            </w:r>
            <w:r>
              <w:t xml:space="preserve"> </w:t>
            </w:r>
            <w:r>
              <w:rPr>
                <w:b/>
                <w:i/>
              </w:rPr>
              <w:t>zdůrazňuje, že je třeba investovat do inteligentních sítí, skladování energie a vodíkových koridorů s cílem usnadnit odolný a konkurenceschopný energetický systém;</w:t>
            </w:r>
            <w:r>
              <w:t xml:space="preserve"> </w:t>
            </w:r>
            <w:r>
              <w:rPr>
                <w:b/>
                <w:i/>
              </w:rPr>
              <w:t>zdůrazňuje, že tato opatření mají zásadní význam pro snížení volatility cen energií, posílení konkurenceschopnosti průmyslu a zajištění přechodu Evropy na udržitelné nízkouhlíkové hospodářství;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95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Şerban Dimitrie Sturdza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16 a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16a.</w:t>
            </w:r>
            <w:r>
              <w:tab/>
            </w:r>
            <w:r>
              <w:rPr>
                <w:b/>
                <w:i/>
              </w:rPr>
              <w:t>zdůrazňuje, že konkurenceschopnost závisí na soudržném souboru základních podmínek, včetně kvalifikované a zdravé pracovní síly, účinné strategické infrastruktury, silného finančního sektoru schopného poskytovat individualizované financování inovací a dobře fungujících institucí a trhů, které odměňují výkonnost a podnikání;</w:t>
            </w:r>
            <w:r>
              <w:t xml:space="preserve"> </w:t>
            </w:r>
            <w:r>
              <w:rPr>
                <w:b/>
                <w:i/>
              </w:rPr>
              <w:t>vyzývá Komisi, aby vypracovala konkrétní ukazatele výkonnosti, které by odrážely tyto strukturální faktory a jejich příspěvek k produktivitě a růstu;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96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Cristian Terheş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16 b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16b.</w:t>
            </w:r>
            <w:r>
              <w:tab/>
            </w:r>
            <w:r>
              <w:rPr>
                <w:b/>
                <w:i/>
              </w:rPr>
              <w:t>vyzývá Evropskou komisi, aby upřednostňovala investice do klíčových evropských dopravních koridorů, včetně vnitrozemských vodních cest, jako je Dunaj, železničních sítí a silniční infrastruktury, s cílem posílit propojení západ-východ, snížit náklady na logistiku, zkrátit dobu tranzitu a usnadnit přístup na globální trhy;</w:t>
            </w:r>
            <w:r>
              <w:t xml:space="preserve"> </w:t>
            </w:r>
            <w:r>
              <w:rPr>
                <w:b/>
                <w:i/>
              </w:rPr>
              <w:t>zdůrazňuje, že moderní a plně funkční multimodální koridory mají zásadní význam pro posílení průmyslové konkurenceschopnosti, hospodářské soudržnosti a odolnosti obchodu EU;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97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Dick Erixon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17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17.</w:t>
            </w:r>
            <w:r>
              <w:tab/>
            </w:r>
            <w:r>
              <w:rPr>
                <w:b/>
                <w:i/>
              </w:rPr>
              <w:t>domnívá se, že by EU měla investovat</w:t>
            </w:r>
            <w:r>
              <w:t xml:space="preserve"> do talentů v kritických odvětvích, </w:t>
            </w:r>
            <w:r>
              <w:rPr>
                <w:b/>
                <w:i/>
              </w:rPr>
              <w:t>aby posílila svou dlouhodobou konkurenceschopnost prostřednictvím kvalifikované pracovní síly;</w:t>
            </w:r>
            <w:r>
              <w:t xml:space="preserve"> </w:t>
            </w:r>
            <w:r>
              <w:rPr>
                <w:b/>
                <w:i/>
              </w:rPr>
              <w:t>navrhuje, aby se pokrok měřil pomocí ukazatelů výstupů, jako je počet mladých lidí, kteří každoročně absolvují školení (se zvláštním zaměřením na genderovou vyváženost), míra účasti v programech vzdělávání dospělých a celoživotního vzdělávání a míra spokojenosti partnerských společností;</w:t>
            </w:r>
            <w:r>
              <w:t xml:space="preserve"> </w:t>
            </w:r>
            <w:r>
              <w:rPr>
                <w:b/>
                <w:i/>
              </w:rPr>
              <w:t>domnívá se, že by se mohly použít i ukazatele výsledků, jako jsou změny míry zaměstnanosti</w:t>
            </w:r>
            <w:r>
              <w:t xml:space="preserve"> v cílových odvětvích;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17.</w:t>
            </w:r>
            <w:r>
              <w:tab/>
            </w:r>
            <w:r>
              <w:rPr>
                <w:b/>
                <w:i/>
              </w:rPr>
              <w:t>zdůrazňuje, že investice do lidského kapitálu, dovedností a talentů jsou v pravomoci členských států a že pokud EU investuje</w:t>
            </w:r>
            <w:r>
              <w:t xml:space="preserve"> do talentů v kritických odvětvích, </w:t>
            </w:r>
            <w:r>
              <w:rPr>
                <w:b/>
                <w:i/>
              </w:rPr>
              <w:t>je třeba nejprve posoudit dopad na snížení nezaměstnanosti, kratší dobu trvání nezaměstnanosti, růst mezd a udržitelnost pracovních míst</w:t>
            </w:r>
            <w:r>
              <w:t xml:space="preserve"> v cílových odvětvích; </w:t>
            </w:r>
            <w:r>
              <w:rPr>
                <w:b/>
                <w:i/>
              </w:rPr>
              <w:t>domnívá se, že počet příjemců může sloužit jako sekundární ukazatel, neboť cílem programů financovaných daňovými poplatníky jsou lepší výsledky na trhu práce a v sociální oblasti, nikoli maximalizace počtu příjemců;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98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Terry Reintke</w:t>
      </w:r>
      <w:r>
        <w:rPr>
          <w:rStyle w:val="HideTWBExt"/>
          <w:b w:val="0"/>
        </w:rPr>
        <w:t>&lt;/Members&gt;</w:t>
      </w:r>
    </w:p>
    <w:p>
      <w:r>
        <w:rPr>
          <w:rStyle w:val="HideTWBExt"/>
          <w:b w:val="0"/>
        </w:rPr>
        <w:t>&lt;AuNomDe&gt;</w:t>
      </w:r>
      <w:r>
        <w:rPr>
          <w:rStyle w:val="HideTWBInt"/>
        </w:rPr>
        <w:t>{Verts/ALE}</w:t>
      </w:r>
      <w:r>
        <w:t>za skupinu Verts/ALE</w:t>
      </w:r>
      <w:r>
        <w:rPr>
          <w:rStyle w:val="HideTWBExt"/>
          <w:b w:val="0"/>
        </w:rPr>
        <w:t>&lt;/AuNomDe&gt;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17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17.</w:t>
            </w:r>
            <w:r>
              <w:tab/>
            </w:r>
            <w:r>
              <w:t xml:space="preserve">domnívá se, že by EU měla investovat do talentů v kritických odvětvích, aby posílila svou dlouhodobou konkurenceschopnost prostřednictvím kvalifikované pracovní síly; navrhuje, aby se pokrok měřil pomocí ukazatelů výstupů, jako je počet mladých lidí, kteří každoročně absolvují školení (se zvláštním zaměřením na genderovou vyváženost), míra účasti v programech vzdělávání dospělých a celoživotního vzdělávání a míra spokojenosti partnerských společností; domnívá se, že by </w:t>
            </w:r>
            <w:r>
              <w:rPr>
                <w:b/>
                <w:i/>
              </w:rPr>
              <w:t>se</w:t>
            </w:r>
            <w:r>
              <w:t xml:space="preserve"> mohly </w:t>
            </w:r>
            <w:r>
              <w:rPr>
                <w:b/>
                <w:i/>
              </w:rPr>
              <w:t>použít i</w:t>
            </w:r>
            <w:r>
              <w:t xml:space="preserve"> ukazatele výsledků, </w:t>
            </w:r>
            <w:r>
              <w:rPr>
                <w:b/>
                <w:i/>
              </w:rPr>
              <w:t>jako jsou změny míry zaměstnanosti</w:t>
            </w:r>
            <w:r>
              <w:t xml:space="preserve"> v cílových odvětvích;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17.</w:t>
            </w:r>
            <w:r>
              <w:tab/>
            </w:r>
            <w:r>
              <w:t xml:space="preserve">domnívá se, že by EU měla investovat do talentů v kritických odvětvích, aby posílila svou dlouhodobou konkurenceschopnost prostřednictvím kvalifikované pracovní síly; navrhuje, aby se pokrok měřil pomocí ukazatelů výstupů, jako je počet mladých lidí, kteří každoročně absolvují školení (se zvláštním zaměřením na genderovou vyváženost </w:t>
            </w:r>
            <w:r>
              <w:rPr>
                <w:b/>
                <w:i/>
              </w:rPr>
              <w:t>a nedostatečně zastoupení skupiny</w:t>
            </w:r>
            <w:r>
              <w:t xml:space="preserve">), míra účasti v programech vzdělávání dospělých a celoživotního vzdělávání a míra spokojenosti partnerských společností; domnívá se, že by mohly </w:t>
            </w:r>
            <w:r>
              <w:rPr>
                <w:b/>
                <w:i/>
              </w:rPr>
              <w:t>být rovněž použity</w:t>
            </w:r>
            <w:r>
              <w:t xml:space="preserve"> ukazatele výsledků, </w:t>
            </w:r>
            <w:r>
              <w:rPr>
                <w:b/>
                <w:i/>
              </w:rPr>
              <w:t>včetně míry obsazenosti pracovních míst, růstu mezd a udržení zaměstnanců</w:t>
            </w:r>
            <w:r>
              <w:t xml:space="preserve"> v cílových </w:t>
            </w:r>
            <w:r>
              <w:rPr>
                <w:b/>
                <w:i/>
              </w:rPr>
              <w:t>zelených a digitálních</w:t>
            </w:r>
            <w:r>
              <w:t xml:space="preserve"> odvětvích;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99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Carla Tavares, José Cepeda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17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17.</w:t>
            </w:r>
            <w:r>
              <w:tab/>
            </w:r>
            <w:r>
              <w:t xml:space="preserve">domnívá se, že by EU měla investovat do talentů v kritických odvětvích, aby posílila svou dlouhodobou konkurenceschopnost prostřednictvím kvalifikované pracovní síly; navrhuje, aby se pokrok měřil pomocí ukazatelů výstupů, jako je počet mladých lidí, kteří každoročně absolvují školení (se zvláštním zaměřením na genderovou vyváženost), míra účasti v programech vzdělávání dospělých a celoživotního vzdělávání a míra spokojenosti partnerských společností; domnívá se, že by </w:t>
            </w:r>
            <w:r>
              <w:rPr>
                <w:b/>
                <w:i/>
              </w:rPr>
              <w:t>se</w:t>
            </w:r>
            <w:r>
              <w:t xml:space="preserve"> mohly </w:t>
            </w:r>
            <w:r>
              <w:rPr>
                <w:b/>
                <w:i/>
              </w:rPr>
              <w:t>použít i</w:t>
            </w:r>
            <w:r>
              <w:t xml:space="preserve"> ukazatele výsledků, jako jsou změny míry zaměstnanosti v cílových odvětvích;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17.</w:t>
            </w:r>
            <w:r>
              <w:tab/>
            </w:r>
            <w:r>
              <w:t xml:space="preserve">domnívá se, že by EU měla investovat do talentů v kritických odvětvích, aby posílila svou dlouhodobou konkurenceschopnost prostřednictvím kvalifikované pracovní síly; navrhuje, aby se pokrok měřil pomocí ukazatelů výstupů, jako je počet mladých lidí, kteří každoročně absolvují školení (se zvláštním zaměřením na genderovou vyváženost </w:t>
            </w:r>
            <w:r>
              <w:rPr>
                <w:b/>
                <w:i/>
              </w:rPr>
              <w:t>a sociální začlenění</w:t>
            </w:r>
            <w:r>
              <w:t xml:space="preserve">), míra účasti v programech vzdělávání dospělých a celoživotního vzdělávání a míra spokojenosti partnerských společností </w:t>
            </w:r>
            <w:r>
              <w:rPr>
                <w:b/>
                <w:i/>
              </w:rPr>
              <w:t>a sociálních partnerů</w:t>
            </w:r>
            <w:r>
              <w:t xml:space="preserve">; domnívá se, že by mohly </w:t>
            </w:r>
            <w:r>
              <w:rPr>
                <w:b/>
                <w:i/>
              </w:rPr>
              <w:t>být rovněž použity</w:t>
            </w:r>
            <w:r>
              <w:t xml:space="preserve"> ukazatele výsledků, jako jsou změny míry zaměstnanosti </w:t>
            </w:r>
            <w:r>
              <w:rPr>
                <w:b/>
                <w:i/>
              </w:rPr>
              <w:t>a míra přechodu z odborné přípravy nebo dočasného zaměstnání do trvalého zaměstnání</w:t>
            </w:r>
            <w:r>
              <w:t xml:space="preserve"> v cílových odvětvích;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100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Kinga Kollár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17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17.</w:t>
            </w:r>
            <w:r>
              <w:tab/>
            </w:r>
            <w:r>
              <w:t xml:space="preserve">domnívá se, že by EU měla investovat do talentů </w:t>
            </w:r>
            <w:r>
              <w:rPr>
                <w:b/>
                <w:i/>
              </w:rPr>
              <w:t>v</w:t>
            </w:r>
            <w:r>
              <w:t xml:space="preserve"> kritických odvětvích, aby posílila svou dlouhodobou konkurenceschopnost prostřednictvím kvalifikované pracovní síly; navrhuje, aby se pokrok měřil pomocí ukazatelů výstupů, jako je počet </w:t>
            </w:r>
            <w:r>
              <w:rPr>
                <w:b/>
                <w:i/>
              </w:rPr>
              <w:t>mladých</w:t>
            </w:r>
            <w:r>
              <w:t xml:space="preserve"> lidí, kteří každoročně absolvují školení (se zvláštním zaměřením na genderovou vyváženost), míra účasti v programech vzdělávání dospělých a celoživotního </w:t>
            </w:r>
            <w:r>
              <w:rPr>
                <w:b/>
                <w:i/>
              </w:rPr>
              <w:t>vzdělávání</w:t>
            </w:r>
            <w:r>
              <w:t xml:space="preserve"> a míra spokojenosti partnerských společností; domnívá se, že by se mohly použít i ukazatele výsledků, jako jsou změny míry zaměstnanosti v cílových odvětvích;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17.</w:t>
            </w:r>
            <w:r>
              <w:tab/>
            </w:r>
            <w:r>
              <w:t xml:space="preserve">domnívá se, že by EU měla investovat do talentů </w:t>
            </w:r>
            <w:r>
              <w:rPr>
                <w:b/>
                <w:i/>
              </w:rPr>
              <w:t>ve strategických a</w:t>
            </w:r>
            <w:r>
              <w:t xml:space="preserve"> kritických odvětvích, aby posílila svou dlouhodobou konkurenceschopnost prostřednictvím kvalifikované pracovní síly; navrhuje, aby se pokrok měřil pomocí ukazatelů výstupů, jako je počet lidí, kteří každoročně absolvují školení (se zvláštním zaměřením na genderovou vyváženost), </w:t>
            </w:r>
            <w:r>
              <w:rPr>
                <w:b/>
                <w:i/>
              </w:rPr>
              <w:t>počet osob s vysokoškolským studiem v oblasti přírodních věd, technologií, inženýrství nebo matematiky (STEM) absolvovaným v rámci vysokoškolského nebo odborného vzdělávání a přípravy,</w:t>
            </w:r>
            <w:r>
              <w:t xml:space="preserve"> míra účasti v programech vzdělávání dospělých a celoživotního </w:t>
            </w:r>
            <w:r>
              <w:rPr>
                <w:b/>
                <w:i/>
              </w:rPr>
              <w:t>učení</w:t>
            </w:r>
            <w:r>
              <w:t xml:space="preserve"> a míra spokojenosti partnerských společností; domnívá se, že by se mohly použít i ukazatele výsledků, jako jsou změny míry zaměstnanosti v cílových odvětvích;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101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Julien Sanchez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17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17.</w:t>
            </w:r>
            <w:r>
              <w:tab/>
            </w:r>
            <w:r>
              <w:t xml:space="preserve">domnívá se, že by EU měla investovat do talentů v kritických odvětvích, aby posílila svou dlouhodobou konkurenceschopnost prostřednictvím kvalifikované pracovní síly; navrhuje, aby se pokrok měřil pomocí ukazatelů výstupů, jako je počet mladých lidí, kteří každoročně absolvují školení </w:t>
            </w:r>
            <w:r>
              <w:rPr>
                <w:b/>
                <w:i/>
              </w:rPr>
              <w:t>(se zvláštním zaměřením na genderovou vyváženost)</w:t>
            </w:r>
            <w:r>
              <w:t>, míra účasti v programech vzdělávání dospělých a celoživotního vzdělávání a míra spokojenosti partnerských společností; domnívá se, že by se mohly použít i ukazatele výsledků, jako jsou změny míry zaměstnanosti v cílových odvětvích;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17.</w:t>
            </w:r>
            <w:r>
              <w:tab/>
            </w:r>
            <w:r>
              <w:t xml:space="preserve">domnívá se, že by EU měla investovat do talentů v kritických odvětvích, aby posílila svou dlouhodobou konkurenceschopnost prostřednictvím kvalifikované pracovní síly; navrhuje, aby se pokrok měřil pomocí ukazatelů výstupů, jako je počet mladých lidí, kteří každoročně absolvují školení </w:t>
            </w:r>
            <w:r>
              <w:rPr>
                <w:b/>
                <w:i/>
              </w:rPr>
              <w:t>a po studiích naleznou zaměstnání ve svém oboru</w:t>
            </w:r>
            <w:r>
              <w:t>, míra účasti v programech vzdělávání dospělých a celoživotního vzdělávání a míra spokojenosti partnerských společností; domnívá se, že by se mohly použít i ukazatele výsledků, jako jsou změny míry zaměstnanosti v cílových odvětvích;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{FR}</w:t>
      </w:r>
      <w:r>
        <w:t>fr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102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Cristian Terheş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17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17.</w:t>
            </w:r>
            <w:r>
              <w:tab/>
            </w:r>
            <w:r>
              <w:t xml:space="preserve">domnívá se, že by EU měla investovat do talentů v kritických odvětvích, aby posílila svou dlouhodobou konkurenceschopnost prostřednictvím kvalifikované pracovní síly; navrhuje, aby se pokrok měřil pomocí ukazatelů výstupů, jako je počet mladých lidí, kteří každoročně absolvují školení </w:t>
            </w:r>
            <w:r>
              <w:rPr>
                <w:b/>
                <w:i/>
              </w:rPr>
              <w:t>(se zvláštním zaměřením na genderovou vyváženost)</w:t>
            </w:r>
            <w:r>
              <w:t>, míra účasti v programech vzdělávání dospělých a celoživotního vzdělávání a míra spokojenosti partnerských společností; domnívá se, že by se mohly použít i ukazatele výsledků, jako jsou změny míry zaměstnanosti v cílových odvětvích;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17.</w:t>
            </w:r>
            <w:r>
              <w:tab/>
            </w:r>
            <w:r>
              <w:t>domnívá se, že by EU měla investovat do talentů v kritických odvětvích, aby posílila svou dlouhodobou konkurenceschopnost prostřednictvím kvalifikované pracovní síly; navrhuje, aby se pokrok měřil pomocí ukazatelů výstupů, jako je počet mladých lidí, kteří každoročně absolvují školení, míra účasti v programech vzdělávání dospělých a celoživotního vzdělávání a míra spokojenosti partnerských společností; domnívá se, že by se mohly použít i ukazatele výsledků, jako jsou změny míry zaměstnanosti v cílových odvětvích;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103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Şerban Dimitrie Sturdza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17 a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17a.</w:t>
            </w:r>
            <w:r>
              <w:tab/>
            </w:r>
            <w:r>
              <w:rPr>
                <w:b/>
                <w:i/>
              </w:rPr>
              <w:t>zdůrazňuje, že úspěch evropských projektů v oblasti konkurenceschopnosti závisí na mobilizaci soukromého kapitálu;</w:t>
            </w:r>
            <w:r>
              <w:t xml:space="preserve"> </w:t>
            </w:r>
            <w:r>
              <w:rPr>
                <w:b/>
                <w:i/>
              </w:rPr>
              <w:t>vyzývá Komisi, aby zavedla konkrétní ukazatele pro měření pákového efektu finančních prostředků EU při mobilizaci soukromých investic, poměru veřejného a soukromého financování a dosažené návratnosti investic;</w:t>
            </w:r>
            <w:r>
              <w:t xml:space="preserve"> </w:t>
            </w:r>
            <w:r>
              <w:rPr>
                <w:b/>
                <w:i/>
              </w:rPr>
              <w:t>zdůrazňuje, že úspěch programů EU by měl být hodnocen podle jejich schopnosti přilákat a udržet růst soukromého sektoru;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104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Dick Erixon, Şerban Dimitrie Sturdza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18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18.</w:t>
            </w:r>
            <w:r>
              <w:tab/>
            </w:r>
            <w:r>
              <w:t xml:space="preserve">domnívá se, že v zájmu urychlení </w:t>
            </w:r>
            <w:r>
              <w:rPr>
                <w:b/>
                <w:i/>
              </w:rPr>
              <w:t>ekologických a digitálních průmyslových projektů</w:t>
            </w:r>
            <w:r>
              <w:t xml:space="preserve"> je třeba věnovat zvláštní pozornost inovativním malým a středním podnikům a zároveň pokračovat ve zjednodušování; navrhuje, aby se pokrok měřil pomocí ukazatelů, jako je počet projektů schválených ročně, míra odvolání nebo sporů souvisejících s postupy a doba potřebná k získání finančních prostředků EU – od podání žádosti až po vyplacení prostředků;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18.</w:t>
            </w:r>
            <w:r>
              <w:tab/>
            </w:r>
            <w:r>
              <w:t xml:space="preserve">domnívá se, že v zájmu urychlení </w:t>
            </w:r>
            <w:r>
              <w:rPr>
                <w:b/>
                <w:i/>
              </w:rPr>
              <w:t>konkurenceschopnosti a hospodářského růstu</w:t>
            </w:r>
            <w:r>
              <w:t xml:space="preserve"> je třeba věnovat zvláštní pozornost inovativním malým a středním podnikům</w:t>
            </w:r>
            <w:r>
              <w:rPr>
                <w:b/>
                <w:i/>
              </w:rPr>
              <w:t>, mimo jiné omezením byrokracie, která brání přístupu k financování,</w:t>
            </w:r>
            <w:r>
              <w:t xml:space="preserve"> a zároveň pokračovat ve zjednodušování</w:t>
            </w:r>
            <w:r>
              <w:rPr>
                <w:b/>
                <w:i/>
              </w:rPr>
              <w:t>;</w:t>
            </w:r>
            <w:r>
              <w:t xml:space="preserve"> </w:t>
            </w:r>
            <w:r>
              <w:rPr>
                <w:b/>
                <w:i/>
              </w:rPr>
              <w:t>vyzývá k důkladnému posouzení a racionalizaci požadavků na podávání zpráv o výkonnosti s cílem zajistit pouze odpovídající administrativní zátěž</w:t>
            </w:r>
            <w:r>
              <w:t xml:space="preserve">; navrhuje, aby se pokrok měřil pomocí ukazatelů, jako je počet projektů schválených ročně, míra odvolání nebo sporů souvisejících s postupy a doba potřebná k získání finančních prostředků EU – od podání žádosti až po vyplacení prostředků; </w:t>
            </w:r>
            <w:r>
              <w:rPr>
                <w:b/>
                <w:i/>
              </w:rPr>
              <w:t>vyzývá ke strukturovanému přezkumu v polovině období a přezkumu ex post s cílem ukončit nebo přepracovat nevýkonné intervence zjištěné Evropským účetním dvorem, přičemž finanční prostředky by měly být přerozděleny na účinnější opatření nebo případně vráceny občanům;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105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Cristian Terheş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18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18.</w:t>
            </w:r>
            <w:r>
              <w:tab/>
            </w:r>
            <w:r>
              <w:t xml:space="preserve">domnívá se, že v zájmu urychlení </w:t>
            </w:r>
            <w:r>
              <w:rPr>
                <w:b/>
                <w:i/>
              </w:rPr>
              <w:t>ekologických a digitálních</w:t>
            </w:r>
            <w:r>
              <w:t xml:space="preserve"> průmyslových projektů </w:t>
            </w:r>
            <w:r>
              <w:rPr>
                <w:b/>
                <w:i/>
              </w:rPr>
              <w:t>je třeba věnovat</w:t>
            </w:r>
            <w:r>
              <w:t xml:space="preserve"> zvláštní pozornost inovativním malým a středním podnikům a zároveň </w:t>
            </w:r>
            <w:r>
              <w:rPr>
                <w:b/>
                <w:i/>
              </w:rPr>
              <w:t>pokračovat ve zjednodušování</w:t>
            </w:r>
            <w:r>
              <w:t>; navrhuje, aby se pokrok měřil pomocí ukazatelů, jako je počet projektů schválených ročně, míra odvolání nebo sporů souvisejících s postupy a doba potřebná k získání finančních prostředků EU – od podání žádosti až po vyplacení prostředků;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18.</w:t>
            </w:r>
            <w:r>
              <w:tab/>
            </w:r>
            <w:r>
              <w:t>domnívá se, že v zájmu urychlení průmyslových projektů</w:t>
            </w:r>
            <w:r>
              <w:rPr>
                <w:b/>
                <w:i/>
              </w:rPr>
              <w:t>, které posilují konkurenceschopnost a odolnost evropského průmyslu, by měla být</w:t>
            </w:r>
            <w:r>
              <w:t xml:space="preserve"> zvláštní pozornost </w:t>
            </w:r>
            <w:r>
              <w:rPr>
                <w:b/>
                <w:i/>
              </w:rPr>
              <w:t>věnována</w:t>
            </w:r>
            <w:r>
              <w:t xml:space="preserve"> inovativním malým a středním podnikům a zároveň </w:t>
            </w:r>
            <w:r>
              <w:rPr>
                <w:b/>
                <w:i/>
              </w:rPr>
              <w:t>by mělo být zajištěno zjednodušení administrativních postupů</w:t>
            </w:r>
            <w:r>
              <w:t xml:space="preserve">; navrhuje, aby se pokrok </w:t>
            </w:r>
            <w:r>
              <w:rPr>
                <w:b/>
                <w:i/>
              </w:rPr>
              <w:t>v tomto ohledu</w:t>
            </w:r>
            <w:r>
              <w:t xml:space="preserve"> měřil pomocí ukazatelů, jako je počet projektů schválených ročně, míra odvolání nebo sporů souvisejících s postupy a doba potřebná k získání finančních prostředků EU – od podání žádosti až po vyplacení prostředků;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106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Carla Tavares, José Cepeda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18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18.</w:t>
            </w:r>
            <w:r>
              <w:tab/>
            </w:r>
            <w:r>
              <w:t>domnívá se, že v zájmu urychlení ekologických a digitálních průmyslových projektů je třeba věnovat zvláštní pozornost inovativním malým a středním podnikům a zároveň pokračovat ve zjednodušování; navrhuje, aby se pokrok měřil pomocí ukazatelů, jako je počet projektů schválených ročně, míra odvolání nebo sporů souvisejících s postupy a doba potřebná k získání finančních prostředků EU – od podání žádosti až po vyplacení prostředků;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18.</w:t>
            </w:r>
            <w:r>
              <w:tab/>
            </w:r>
            <w:r>
              <w:t>domnívá se, že v zájmu urychlení ekologických a digitálních průmyslových projektů je třeba věnovat zvláštní pozornost inovativním malým a středním podnikům a zároveň pokračovat ve zjednodušování</w:t>
            </w:r>
            <w:r>
              <w:rPr>
                <w:b/>
                <w:i/>
              </w:rPr>
              <w:t>, které je chápáno jako jednodušší postupy a vykazování;</w:t>
            </w:r>
            <w:r>
              <w:t xml:space="preserve"> </w:t>
            </w:r>
            <w:r>
              <w:rPr>
                <w:b/>
                <w:i/>
              </w:rPr>
              <w:t>zdůrazňuje, že zjednodušení nesmí vést k deregulaci, která oslabuje environmentální, sociální nebo pracovní normy, a musí být provedeno způsobem, který zaručí regulační jistotu, jakož i řádné zohlednění, konzultace a posouzení dopadů</w:t>
            </w:r>
            <w:r>
              <w:t>; navrhuje, aby se pokrok měřil pomocí ukazatelů, jako je počet projektů schválených ročně, míra odvolání nebo sporů souvisejících s postupy a doba potřebná k získání finančních prostředků EU – od podání žádosti až po vyplacení prostředků;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107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Kinga Kollár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18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18.</w:t>
            </w:r>
            <w:r>
              <w:tab/>
            </w:r>
            <w:r>
              <w:t xml:space="preserve">domnívá se, že v zájmu urychlení ekologických a digitálních </w:t>
            </w:r>
            <w:r>
              <w:rPr>
                <w:b/>
                <w:i/>
              </w:rPr>
              <w:t>průmyslových projektů</w:t>
            </w:r>
            <w:r>
              <w:t xml:space="preserve"> je třeba věnovat zvláštní pozornost inovativním malým a středním podnikům </w:t>
            </w:r>
            <w:r>
              <w:rPr>
                <w:b/>
                <w:i/>
              </w:rPr>
              <w:t>a zároveň pokračovat ve zjednodušování</w:t>
            </w:r>
            <w:r>
              <w:t xml:space="preserve">; navrhuje, aby se pokrok měřil pomocí ukazatelů, jako je počet projektů </w:t>
            </w:r>
            <w:r>
              <w:rPr>
                <w:b/>
                <w:i/>
              </w:rPr>
              <w:t>schválených</w:t>
            </w:r>
            <w:r>
              <w:t xml:space="preserve"> ročně</w:t>
            </w:r>
            <w:r>
              <w:rPr>
                <w:b/>
                <w:i/>
              </w:rPr>
              <w:t>, míra</w:t>
            </w:r>
            <w:r>
              <w:t xml:space="preserve"> odvolání nebo sporů souvisejících s postupy </w:t>
            </w:r>
            <w:r>
              <w:rPr>
                <w:b/>
                <w:i/>
              </w:rPr>
              <w:t>a doba potřebná</w:t>
            </w:r>
            <w:r>
              <w:t xml:space="preserve"> k získání finančních prostředků EU – od podání žádosti až po vyplacení prostředků;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18.</w:t>
            </w:r>
            <w:r>
              <w:tab/>
            </w:r>
            <w:r>
              <w:t xml:space="preserve">domnívá se, že v zájmu urychlení ekologických a digitálních </w:t>
            </w:r>
            <w:r>
              <w:rPr>
                <w:b/>
                <w:i/>
              </w:rPr>
              <w:t>transformací</w:t>
            </w:r>
            <w:r>
              <w:t xml:space="preserve"> je třeba věnovat zvláštní pozornost inovativním malým a středním podnikům</w:t>
            </w:r>
            <w:r>
              <w:rPr>
                <w:b/>
                <w:i/>
              </w:rPr>
              <w:t>, pro něž má zjednodušení kritický význam</w:t>
            </w:r>
            <w:r>
              <w:t xml:space="preserve">; navrhuje, aby se pokrok </w:t>
            </w:r>
            <w:r>
              <w:rPr>
                <w:b/>
                <w:i/>
              </w:rPr>
              <w:t>ve snižování administrativní zátěže</w:t>
            </w:r>
            <w:r>
              <w:t xml:space="preserve"> měřil pomocí ukazatelů, jako je počet projektů </w:t>
            </w:r>
            <w:r>
              <w:rPr>
                <w:b/>
                <w:i/>
              </w:rPr>
              <w:t>s malými a středními podniky, které byly</w:t>
            </w:r>
            <w:r>
              <w:t xml:space="preserve"> ročně </w:t>
            </w:r>
            <w:r>
              <w:rPr>
                <w:b/>
                <w:i/>
              </w:rPr>
              <w:t>schváleny a uzavřeny, snížení míry</w:t>
            </w:r>
            <w:r>
              <w:t xml:space="preserve"> odvolání nebo sporů souvisejících s postupy </w:t>
            </w:r>
            <w:r>
              <w:rPr>
                <w:b/>
                <w:i/>
              </w:rPr>
              <w:t>podávání žádostí a zkrácení doby potřebné</w:t>
            </w:r>
            <w:r>
              <w:t xml:space="preserve"> k získání finančních prostředků EU – od podání žádosti až po vyplacení prostředků;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108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Cristian Terheş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18 a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18a.</w:t>
            </w:r>
            <w:r>
              <w:tab/>
            </w:r>
            <w:r>
              <w:rPr>
                <w:b/>
                <w:i/>
              </w:rPr>
              <w:t>vyzývá Evropskou komisi, aby posílila hospodářskou diplomacii EU a plně provedla strategii Global Gateway s cílem zajistit strategické dopravní koridory, včetně tzv. středního koridoru spojujícího Evropu se Střední Asií a Blízkým východem, posílit propojení se světovými trhy a zajistit spolehlivý přístup k surovinám a energetickým zdrojům;</w:t>
            </w:r>
            <w:r>
              <w:t xml:space="preserve"> </w:t>
            </w:r>
            <w:r>
              <w:rPr>
                <w:b/>
                <w:i/>
              </w:rPr>
              <w:t>zdůrazňuje, že cílené investice a diplomatická angažovanost mají zásadní význam pro otevření nových obchodních tras, snížení závislosti na jednotlivých dodavatelích a posílení konkurenceschopnosti, odolnosti a globálního vlivu průmyslu Unie;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109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Dick Erixon, Şerban Dimitrie Sturdza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18 a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18a.</w:t>
            </w:r>
            <w:r>
              <w:tab/>
            </w:r>
            <w:r>
              <w:rPr>
                <w:b/>
                <w:i/>
              </w:rPr>
              <w:t>zdůrazňuje, že přechod od vykazování na základě vstupů a činností k vykazování zaměřenému na výsledky a dopady by měl snížit administrativní zátěž auditorů i příjemců tím, že se zaměří na významnost a proporcionalitu;</w:t>
            </w:r>
            <w:r>
              <w:t xml:space="preserve"> </w:t>
            </w:r>
            <w:r>
              <w:rPr>
                <w:b/>
                <w:i/>
              </w:rPr>
              <w:t>vyzývá Komisi, aby zefektivnila ukazatele, zjednodušila šablony, zabránila duplicitním žádostem o údaje a uplatňovala zásadu „pouze jednou“, aby příjemci mohli trávit více času dosahováním výsledků a méně času zaškrtáváním políček;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110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Şerban Dimitrie Sturdza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18 a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18a.</w:t>
            </w:r>
            <w:r>
              <w:tab/>
            </w:r>
            <w:r>
              <w:rPr>
                <w:b/>
                <w:i/>
              </w:rPr>
              <w:t>zdůrazňuje, že obnovení konkurenceschopnosti Evropy vyžaduje přechod od krátkodobého krizového řízení k dlouhodobé strategii založené na inovacích, účinnosti a globální otevřenosti;</w:t>
            </w:r>
            <w:r>
              <w:t xml:space="preserve"> </w:t>
            </w:r>
            <w:r>
              <w:rPr>
                <w:b/>
                <w:i/>
              </w:rPr>
              <w:t>vyzývá k obnovení závazku k posílení jednotného trhu, snížení roztříštěnosti právních předpisů a zajištění toho, aby programy EU podporovaly reálnou ekonomiku, a nikoli byrokratickou expanzi;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111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Tomáš Zdechovský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18 a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18a.</w:t>
            </w:r>
            <w:r>
              <w:tab/>
            </w:r>
            <w:r>
              <w:rPr>
                <w:b/>
                <w:i/>
              </w:rPr>
              <w:t>zdůrazňuje, že Evropský fond pro konkurenceschopnost a všechny budoucí nástroje by měly zahrnovat povinné audity výkonnosti v polovině období prováděné Evropským účetním dvorem, které zajistí, aby byla neprodleně zavedena nápravná opatření, pokud výsledky neodpovídají stanoveným cílům;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r>
        <w:rPr>
          <w:rStyle w:val="HideTWBExt"/>
        </w:rPr>
        <w:t>&lt;/RepeatBlock-Amend&gt;</w:t>
      </w:r>
    </w:p>
    <w:sectPr>
      <w:footerReference w:type="even" r:id="rId5"/>
      <w:footerReference w:type="default" r:id="rId6"/>
      <w:footerReference w:type="first" r:id="rId7"/>
      <w:pgSz w:w="11909" w:h="16834"/>
      <w:pgMar w:top="1134" w:right="1417" w:bottom="1417" w:left="1417" w:header="1134" w:footer="567"/>
      <w:cols w:space="720"/>
      <w:titlePg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7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7A87" w:usb1="80000000" w:usb2="00000008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EPFooter"/>
    </w:pPr>
    <w:r>
      <w:t>PE</w:t>
    </w:r>
    <w:r>
      <w:rPr>
        <w:rStyle w:val="HideTWBExt"/>
      </w:rPr>
      <w:t>&lt;NoPE&gt;</w:t>
    </w:r>
    <w:r>
      <w:t>779.587</w:t>
    </w:r>
    <w:r>
      <w:rPr>
        <w:rStyle w:val="HideTWBExt"/>
      </w:rPr>
      <w:t>&lt;/NoPE&gt;</w:t>
    </w:r>
    <w:r>
      <w:rPr>
        <w:rStyle w:val="HideTWBExt"/>
      </w:rPr>
      <w:t>&lt;Version&gt;</w:t>
    </w:r>
    <w:r>
      <w:t>v01-00</w:t>
    </w:r>
    <w:r>
      <w:rPr>
        <w:rStyle w:val="HideTWBExt"/>
      </w:rPr>
      <w:t>&lt;/Version&gt;</w:t>
    </w:r>
    <w:r>
      <w:tab/>
    </w:r>
    <w:r>
      <w:fldChar w:fldCharType="begin"/>
    </w:r>
    <w:r>
      <w:instrText xml:space="preserve"> PAGE </w:instrText>
    </w:r>
    <w:r>
      <w:fldChar w:fldCharType="separate"/>
    </w:r>
    <w:r>
      <w:t>66</w:t>
    </w:r>
    <w:r>
      <w:fldChar w:fldCharType="end"/>
    </w:r>
    <w:r>
      <w:t>/</w:t>
    </w:r>
    <w:r>
      <w:fldChar w:fldCharType="begin"/>
    </w:r>
    <w:r>
      <w:instrText xml:space="preserve"> NUMPAGES </w:instrText>
    </w:r>
    <w:r>
      <w:fldChar w:fldCharType="separate"/>
    </w:r>
    <w:r>
      <w:t>67</w:t>
    </w:r>
    <w:r>
      <w:fldChar w:fldCharType="end"/>
    </w:r>
    <w:r>
      <w:tab/>
    </w:r>
    <w:r>
      <w:rPr>
        <w:rStyle w:val="HideTWBExt"/>
      </w:rPr>
      <w:t>&lt;PathFdR&gt;</w:t>
    </w:r>
    <w:r>
      <w:t>AM\1331809CS.docx</w:t>
    </w:r>
    <w:r>
      <w:rPr>
        <w:rStyle w:val="HideTWBExt"/>
      </w:rPr>
      <w:t>&lt;/PathFdR&gt;</w:t>
    </w:r>
  </w:p>
  <w:p>
    <w:pPr>
      <w:pStyle w:val="EPFooter2"/>
    </w:pPr>
    <w:r>
      <w:t>CS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EPFooter"/>
    </w:pPr>
    <w:r>
      <w:rPr>
        <w:rStyle w:val="HideTWBExt"/>
      </w:rPr>
      <w:t>&lt;PathFdR&gt;</w:t>
    </w:r>
    <w:r>
      <w:t>AM\1331809CS.docx</w:t>
    </w:r>
    <w:r>
      <w:rPr>
        <w:rStyle w:val="HideTWBExt"/>
      </w:rPr>
      <w:t>&lt;/PathFdR&gt;</w:t>
    </w:r>
    <w:r>
      <w:tab/>
    </w:r>
    <w:r>
      <w:fldChar w:fldCharType="begin"/>
    </w:r>
    <w:r>
      <w:instrText xml:space="preserve"> PAGE </w:instrText>
    </w:r>
    <w:r>
      <w:fldChar w:fldCharType="separate"/>
    </w:r>
    <w:r>
      <w:t>67</w:t>
    </w:r>
    <w:r>
      <w:fldChar w:fldCharType="end"/>
    </w:r>
    <w:r>
      <w:t>/</w:t>
    </w:r>
    <w:r>
      <w:fldChar w:fldCharType="begin"/>
    </w:r>
    <w:r>
      <w:instrText xml:space="preserve"> NUMPAGES </w:instrText>
    </w:r>
    <w:r>
      <w:fldChar w:fldCharType="separate"/>
    </w:r>
    <w:r>
      <w:t>67</w:t>
    </w:r>
    <w:r>
      <w:fldChar w:fldCharType="end"/>
    </w:r>
    <w:r>
      <w:tab/>
    </w:r>
    <w:r>
      <w:t>PE</w:t>
    </w:r>
    <w:r>
      <w:rPr>
        <w:rStyle w:val="HideTWBExt"/>
      </w:rPr>
      <w:t>&lt;NoPE&gt;</w:t>
    </w:r>
    <w:r>
      <w:t>779.587</w:t>
    </w:r>
    <w:r>
      <w:rPr>
        <w:rStyle w:val="HideTWBExt"/>
      </w:rPr>
      <w:t>&lt;/NoPE&gt;</w:t>
    </w:r>
    <w:r>
      <w:rPr>
        <w:rStyle w:val="HideTWBExt"/>
      </w:rPr>
      <w:t>&lt;Version&gt;</w:t>
    </w:r>
    <w:r>
      <w:t>v01-00</w:t>
    </w:r>
    <w:r>
      <w:rPr>
        <w:rStyle w:val="HideTWBExt"/>
      </w:rPr>
      <w:t>&lt;/Version&gt;</w:t>
    </w:r>
  </w:p>
  <w:p>
    <w:pPr>
      <w:pStyle w:val="EPFooter2"/>
    </w:pPr>
    <w:r>
      <w:tab/>
    </w:r>
    <w:r>
      <w:tab/>
    </w:r>
    <w:r>
      <w:t>CS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EPFooter"/>
    </w:pPr>
    <w:r>
      <w:rPr>
        <w:rStyle w:val="HideTWBExt"/>
      </w:rPr>
      <w:t>&lt;PathFdR&gt;</w:t>
    </w:r>
    <w:r>
      <w:t>AM\1331809CS.docx</w:t>
    </w:r>
    <w:r>
      <w:rPr>
        <w:rStyle w:val="HideTWBExt"/>
      </w:rPr>
      <w:t>&lt;/PathFdR&gt;</w:t>
    </w:r>
    <w:r>
      <w:tab/>
    </w:r>
    <w:r>
      <w:tab/>
    </w:r>
    <w:r>
      <w:t>PE</w:t>
    </w:r>
    <w:r>
      <w:rPr>
        <w:rStyle w:val="HideTWBExt"/>
      </w:rPr>
      <w:t>&lt;NoPE&gt;</w:t>
    </w:r>
    <w:r>
      <w:t>779.587</w:t>
    </w:r>
    <w:r>
      <w:rPr>
        <w:rStyle w:val="HideTWBExt"/>
      </w:rPr>
      <w:t>&lt;/NoPE&gt;</w:t>
    </w:r>
    <w:r>
      <w:rPr>
        <w:rStyle w:val="HideTWBExt"/>
      </w:rPr>
      <w:t>&lt;Version&gt;</w:t>
    </w:r>
    <w:r>
      <w:t>v01-00</w:t>
    </w:r>
    <w:r>
      <w:rPr>
        <w:rStyle w:val="HideTWBExt"/>
      </w:rPr>
      <w:t>&lt;/Version&gt;</w:t>
    </w:r>
  </w:p>
  <w:p>
    <w:pPr>
      <w:pStyle w:val="EPFooter2"/>
    </w:pPr>
    <w:r>
      <w:t>CS</w:t>
    </w:r>
    <w:r>
      <w:tab/>
    </w:r>
    <w:r>
      <w:rPr>
        <w:rStyle w:val="EPFooter2Motto"/>
      </w:rPr>
      <w:t>Jednotná v rozmanitosti</w:t>
    </w:r>
    <w:r>
      <w:tab/>
    </w:r>
    <w:r>
      <w:t>CS</w:t>
    </w:r>
  </w:p>
</w:ft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stylePaneFormatFilter w:val="3F01"/>
  <w:defaultTabStop w:val="720"/>
  <w:evenAndOddHeaders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77B3E"/>
    <w:rsid w:val="00A77B3E"/>
    <w:rsid w:val="00CA2A55"/>
  </w:rsids>
  <w:docVars>
    <w:docVar w:name="restartBrut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&#13;_x000a_{\f34\fbidi \froman\fcharset0\fprq2{\*\panose 02040503050406030204}Cambria Math;}{\flomajor\f31500\fbidi \froman\fcharset0\fprq2{\*\panose 02020603050405020304}Times New Roman;}&#13;_x000a_{\fdbmajor\f31501\fbidi \froman\fcharset0\fprq2{\*\panose 02020603050405020304}Times New Roman;}{\fhimajor\f31502\fbidi \fswiss\fcharset0\fprq2{\*\panose 020f0302020204030204}Calibri Light;}&#13;_x000a_{\fbimajor\f31503\fbidi \froman\fcharset0\fprq2{\*\panose 02020603050405020304}Times New Roman;}{\flominor\f31504\fbidi \froman\fcharset0\fprq2{\*\panose 02020603050405020304}Times New Roman;}&#13;_x000a_{\fdbminor\f31505\fbidi \froman\fcharset0\fprq2{\*\panose 02020603050405020304}Times New Roman;}{\fhiminor\f31506\fbidi \fswiss\fcharset0\fprq2{\*\panose 020f0502020204030204}Calibri;}&#13;_x000a_{\fbiminor\f31507\fbidi \froman\fcharset0\fprq2{\*\panose 02020603050405020304}Times New Roman;}{\f276\fbidi \froman\fcharset238\fprq2 Times New Roman CE;}{\f277\fbidi \froman\fcharset204\fprq2 Times New Roman Cyr;}&#13;_x000a_{\f279\fbidi \froman\fcharset161\fprq2 Times New Roman Greek;}{\f280\fbidi \froman\fcharset162\fprq2 Times New Roman Tur;}{\f281\fbidi \froman\fcharset177\fprq2 Times New Roman (Hebrew);}{\f282\fbidi \froman\fcharset178\fprq2 Times New Roman (Arabic);}&#13;_x000a_{\f283\fbidi \froman\fcharset186\fprq2 Times New Roman Baltic;}{\f284\fbidi \froman\fcharset163\fprq2 Times New Roman (Vietnamese);}{\f286\fbidi \fswiss\fcharset238\fprq2 Arial CE;}{\f287\fbidi \fswiss\fcharset204\fprq2 Arial Cyr;}&#13;_x000a_{\f289\fbidi \fswiss\fcharset161\fprq2 Arial Greek;}{\f290\fbidi \fswiss\fcharset162\fprq2 Arial Tur;}{\f291\fbidi \fswiss\fcharset177\fprq2 Arial (Hebrew);}{\f292\fbidi \fswiss\fcharset178\fprq2 Arial (Arabic);}&#13;_x000a_{\f293\fbidi \fswiss\fcharset186\fprq2 Arial Baltic;}{\f294\fbidi \fswiss\fcharset163\fprq2 Arial (Vietnamese);}{\f616\fbidi \froman\fcharset238\fprq2 Cambria Math CE;}{\f617\fbidi \froman\fcharset204\fprq2 Cambria Math Cyr;}&#13;_x000a_{\f619\fbidi \froman\fcharset161\fprq2 Cambria Math Greek;}{\f620\fbidi \froman\fcharset162\fprq2 Cambria Math Tur;}{\f623\fbidi \froman\fcharset186\fprq2 Cambria Math Baltic;}{\f624\fbidi \froman\fcharset163\fprq2 Cambria Math (Vietnamese);}&#13;_x000a_{\flomajor\f31508\fbidi \froman\fcharset238\fprq2 Times New Roman CE;}{\flomajor\f31509\fbidi \froman\fcharset204\fprq2 Times New Roman Cyr;}{\flomajor\f31511\fbidi \froman\fcharset161\fprq2 Times New Roman Greek;}&#13;_x000a_{\flomajor\f31512\fbidi \froman\fcharset162\fprq2 Times New Roman Tur;}{\flomajor\f31513\fbidi \froman\fcharset177\fprq2 Times New Roman (Hebrew);}{\flomajor\f31514\fbidi \froman\fcharset178\fprq2 Times New Roman (Arabic);}&#13;_x000a_{\flomajor\f31515\fbidi \froman\fcharset186\fprq2 Times New Roman Baltic;}{\flomajor\f31516\fbidi \froman\fcharset163\fprq2 Times New Roman (Vietnamese);}{\fdbmajor\f31518\fbidi \froman\fcharset238\fprq2 Times New Roman CE;}&#13;_x000a_{\fdbmajor\f31519\fbidi \froman\fcharset204\fprq2 Times New Roman Cyr;}{\fdbmajor\f31521\fbidi \froman\fcharset161\fprq2 Times New Roman Greek;}{\fdbmajor\f31522\fbidi \froman\fcharset162\fprq2 Times New Roman Tur;}&#13;_x000a_{\fdbmajor\f31523\fbidi \froman\fcharset177\fprq2 Times New Roman (Hebrew);}{\fdbmajor\f31524\fbidi \froman\fcharset178\fprq2 Times New Roman (Arabic);}{\fdbmajor\f31525\fbidi \froman\fcharset186\fprq2 Times New Roman Baltic;}&#13;_x000a_{\fdbmajor\f31526\fbidi \froman\fcharset163\fprq2 Times New Roman (Vietnamese);}{\fhimajor\f31528\fbidi \fswiss\fcharset238\fprq2 Calibri Light CE;}{\fhimajor\f31529\fbidi \fswiss\fcharset204\fprq2 Calibri Light Cyr;}&#13;_x000a_{\fhimajor\f31531\fbidi \fswiss\fcharset161\fprq2 Calibri Light Greek;}{\fhimajor\f31532\fbidi \fswiss\fcharset162\fprq2 Calibri Light Tur;}{\fhimajor\f31533\fbidi \fswiss\fcharset177\fprq2 Calibri Light (Hebrew);}&#13;_x000a_{\fhimajor\f31534\fbidi \fswiss\fcharset178\fprq2 Calibri Light (Arabic);}{\fhimajor\f31535\fbidi \fswiss\fcharset186\fprq2 Calibri Light Baltic;}{\fhimajor\f31536\fbidi \fswiss\fcharset163\fprq2 Calibri Light (Vietnamese);}&#13;_x000a_{\fbimajor\f31538\fbidi \froman\fcharset238\fprq2 Times New Roman CE;}{\fbimajor\f31539\fbidi \froman\fcharset204\fprq2 Times New Roman Cyr;}{\fbimajor\f31541\fbidi \froman\fcharset161\fprq2 Times New Roman Greek;}&#13;_x000a_{\fbimajor\f31542\fbidi \froman\fcharset162\fprq2 Times New Roman Tur;}{\fbimajor\f31543\fbidi \froman\fcharset177\fprq2 Times New Roman (Hebrew);}{\fbimajor\f31544\fbidi \froman\fcharset178\fprq2 Times New Roman (Arabic);}&#13;_x000a_{\fbimajor\f31545\fbidi \froman\fcharset186\fprq2 Times New Roman Baltic;}{\fbimajor\f31546\fbidi \froman\fcharset163\fprq2 Times New Roman (Vietnamese);}{\flominor\f31548\fbidi \froman\fcharset238\fprq2 Times New Roman CE;}&#13;_x000a_{\flominor\f31549\fbidi \froman\fcharset204\fprq2 Times New Roman Cyr;}{\flominor\f31551\fbidi \froman\fcharset161\fprq2 Times New Roman Greek;}{\flominor\f31552\fbidi \froman\fcharset162\fprq2 Times New Roman Tur;}&#13;_x000a_{\flominor\f31553\fbidi \froman\fcharset177\fprq2 Times New Roman (Hebrew);}{\flominor\f31554\fbidi \froman\fcharset178\fprq2 Times New Roman (Arabic);}{\flominor\f31555\fbidi \froman\fcharset186\fprq2 Times New Roman Baltic;}&#13;_x000a_{\flominor\f31556\fbidi \froman\fcharset163\fprq2 Times New Roman (Vietnamese);}{\fdbminor\f31558\fbidi \froman\fcharset238\fprq2 Times New Roman CE;}{\fdbminor\f31559\fbidi \froman\fcharset204\fprq2 Times New Roman Cyr;}&#13;_x000a_{\fdbminor\f31561\fbidi \froman\fcharset161\fprq2 Times New Roman Greek;}{\fdbminor\f31562\fbidi \froman\fcharset162\fprq2 Times New Roman Tur;}{\fdbminor\f31563\fbidi \froman\fcharset177\fprq2 Times New Roman (Hebrew);}&#13;_x000a_{\fdbminor\f31564\fbidi \froman\fcharset178\fprq2 Times New Roman (Arabic);}{\fdbminor\f31565\fbidi \froman\fcharset186\fprq2 Times New Roman Baltic;}{\fdbminor\f31566\fbidi \froman\fcharset163\fprq2 Times New Roman (Vietnamese);}&#13;_x000a_{\fhiminor\f31568\fbidi \fswiss\fcharset238\fprq2 Calibri CE;}{\fhiminor\f31569\fbidi \fswiss\fcharset204\fprq2 Calibri Cyr;}{\fhiminor\f31571\fbidi \fswiss\fcharset161\fprq2 Calibri Greek;}{\fhiminor\f31572\fbidi \fswiss\fcharset162\fprq2 Calibri Tur;}&#13;_x000a_{\fhiminor\f31573\fbidi \fswiss\fcharset177\fprq2 Calibri (Hebrew);}{\fhiminor\f31574\fbidi \fswiss\fcharset178\fprq2 Calibri (Arabic);}{\fhiminor\f31575\fbidi \fswiss\fcharset186\fprq2 Calibri Baltic;}&#13;_x000a_{\fhiminor\f31576\fbidi \fswiss\fcharset163\fprq2 Calibri (Vietnamese);}{\fbiminor\f31578\fbidi \froman\fcharset238\fprq2 Times New Roman CE;}{\fbiminor\f31579\fbidi \froman\fcharset204\fprq2 Times New Roman Cyr;}&#13;_x000a_{\fbiminor\f31581\fbidi \froman\fcharset161\fprq2 Times New Roman Greek;}{\fbiminor\f31582\fbidi \froman\fcharset162\fprq2 Times New Roman Tur;}{\fbiminor\f31583\fbidi \froman\fcharset177\fprq2 Times New Roman (Hebrew);}&#13;_x000a_{\fbiminor\f31584\fbidi \froman\fcharset178\fprq2 Times New Roman (Arabic);}{\fbiminor\f31585\fbidi \froman\fcharset186\fprq2 Times New Roman Baltic;}{\fbiminor\f31586\fbidi \froman\fcharset163\fprq2 Times New Roman (Vietnamese);}}&#13;_x000a_{\colortbl;\red0\green0\blue0;\red0\green0\blue255;\red0\green255\blue255;\red0\green255\blue0;\red255\green0\blue255;\red255\green0\blue0;\red255\green255\blue0;\red255\green255\blue255;\red0\green0\blue128;\red0\green128\blue128;\red0\green128\blue0;&#13;_x000a_\red128\green0\blue128;\red128\green0\blue0;\red128\green128\blue0;\red128\green128\blue128;\red192\green192\blue192;}{\*\defchp }{\*\defpap \ql \li0\ri0\widctlpar\wrapdefault\aspalpha\aspnum\faauto\adjustright\rin0\lin0\itap0 }\noqfpromote {\stylesheet{&#13;_x000a_\ql \li0\ri0\widctlpar\wrapdefault\aspalpha\aspnum\faauto\adjustright\rin0\lin0\itap0 \rtlch\fcs1 \af0\afs20\alang1025 \ltrch\fcs0 \fs24\lang2057\langfe2057\cgrid\langnp2057\langfenp2057 \snext0 \sqformat \spriority0 Normal;}{\*\cs10 \additive &#13;_x000a_\ssemihidden \spriority0 Default Paragraph Font;}{\*\ts11\tsrowd\trftsWidthB3\trpaddl108\trpaddr108\trpaddfl3\trpaddft3\trpaddfb3\trpaddfr3\tblind0\tblindtype3\tsvertalt\tsbrdrt\tsbrdrl\tsbrdrb\tsbrdrr\tsbrdrdgl\tsbrdrdgr\tsbrdrh\tsbrdrv &#13;_x000a_\ql \li0\ri0\widctlpar\wrapdefault\aspalpha\aspnum\faauto\adjustright\rin0\lin0\itap0 \rtlch\fcs1 \af0\afs20\alang1025 \ltrch\fcs0 \fs20\lang2057\langfe2057\cgrid\langnp2057\langfenp2057 \snext11 \ssemihidden \spriority0 Normal Table;}{\*\cs15 \additive &#13;_x000a_\v\f1\fs20\cf9\lang1024\langfe1024\noproof \spriority0 \styrsid1140430 HideTWBExt;}{\s16\qr \li0\ri0\sb240\sa240\nowidctlpar\wrapdefault\aspalpha\aspnum\faauto\adjustright\rin0\lin0\itap0 \rtlch\fcs1 \af0\afs20\alang1025 \ltrch\fcs0 &#13;_x000a_\fs24\lang2057\langfe2057\cgrid\langnp2057\langfenp2057 \sbasedon0 \snext16 \spriority0 \styrsid1140430 AmOrLang;}{\s17\ql \li0\ri0\sa120\nowidctlpar\wrapdefault\aspalpha\aspnum\faauto\adjustright\rin0\lin0\itap0 \rtlch\fcs1 \af0\afs20\alang1025 &#13;_x000a_\ltrch\fcs0 \fs24\lang2057\langfe2057\cgrid\langnp2057\langfenp2057 \sbasedon0 \snext17 \spriority0 \styrsid1140430 Normal6a;}{\s18\ql \li0\ri0\nowidctlpar\wrapdefault\aspalpha\aspnum\faauto\adjustright\rin0\lin0\itap0 \rtlch\fcs1 \af0\afs20\alang1025 &#13;_x000a_\ltrch\fcs0 \b\fs24\lang2057\langfe2057\cgrid\langnp2057\langfenp2057 \sbasedon0 \snext18 \spriority0 \styrsid1140430 NormalBold;}{\s19\qc \li0\ri0\sa240\nowidctlpar\wrapdefault\aspalpha\aspnum\faauto\adjustright\rin0\lin0\itap0 \rtlch\fcs1 &#13;_x000a_\af0\afs20\alang1025 \ltrch\fcs0 \i\fs24\lang2057\langfe2057\cgrid\langnp2057\langfenp2057 \sbasedon0 \snext19 \spriority0 \styrsid1140430 AmColumnHeading;}{\s20\ql \li0\ri0\sb240\nowidctlpar&#13;_x000a_\tx879\tx936\tx1021\tx1077\tx1134\tx1191\tx1247\tx1304\tx1361\tx1418\tx1474\tx1531\tx1588\tx1644\tx1701\tx1758\tx1814\tx1871\tx2070\tx2126\tx3374\tx3430\wrapdefault\aspalpha\aspnum\faauto\adjustright\rin0\lin0\itap0 \rtlch\fcs1 \af0\afs20\alang1025 &#13;_x000a_\ltrch\fcs0 \b\fs24\lang2057\langfe2057\cgrid\langnp2057\langfenp2057 \sbasedon0 \snext20 \spriority0 \styrsid1140430 AmNumberTabs;}}{\*\rsidtbl \rsid24658\rsid358857\rsid735077\rsid787282\rsid1140430\rsid2892074\rsid3622648\rsid4666813\rsid5708216&#13;_x000a_\rsid6641733\rsid7553164\rsid8465581\rsid8681905\rsid8724649\rsid9636012\rsid9862312\rsid11215221\rsid11370291\rsid11434737\rsid11607138\rsid11824949\rsid12154954\rsid12213393\rsid14424199\rsid15204470\rsid15285974\rsid15535219\rsid15950462\rsid16324206&#13;_x000a_\rsid16662270}{\mmathPr\mmathFont34\mbrkBin0\mbrkBinSub0\msmallFrac0\mdispDef1\mlMargin0\mrMargin0\mdefJc1\mwrapIndent1440\mintLim0\mnaryLim1}{\info{\author FELIX Karina}{\operator FELIX Karina}{\creatim\yr2019\mo7\dy3\hr17\min21}&#13;_x000a_{\revtim\yr2019\mo7\dy3\hr17\min21}{\version1}{\edmins0}{\nofpages1}{\nofwords25}{\nofchars291}{\*\company European Parliament}{\nofcharsws294}{\vern97}}{\*\xmlnstbl {\xmlns1 http://schemas.microsoft.com/office/word/2003/wordml}}&#13;_x000a_\paperw11906\paperh16838\margl1418\margr1418\margt1134\margb1418\gutter0\ltrsect &#13;_x000a_\facingp\widowctrl\ftnbj\aenddoc\ftnrestart\trackmoves0\trackformatting1\donotembedsysfont1\relyonvml0\donotembedlingdata0\grfdocevents0\validatexml1\showplaceholdtext0\ignoremixedcontent0\saveinvalidxml0&#13;_x000a_\showxmlerrors1\margmirror\noxlattoyen\expshrtn\noultrlspc\dntblnsbdb\nospaceforul\formshade\horzdoc\dghspace180\dgvspace180\dghorigin1701\dgvorigin1984\dghshow0\dgvshow0&#13;_x000a_\jexpand\viewkind1\viewscale100\pgbrdrhead\pgbrdrfoot\nolnhtadjtbl\nojkernpunct\rsidroot1140430\utinl \donotshowprops1\fet0{\*\wgrffmtfilter 013f}\ilfomacatclnup0{\*\template C:\\Users\\kfelix\\AppData\\Local\\Temp\\Blank1.dot}{\*\ftnsep \ltrpar &#13;_x000a_\pard\plain \ltrpar\ql \li0\ri0\widctlpar\wrapdefault\aspalpha\aspnum\faauto\adjustright\rin0\lin0\itap0 \rtlch\fcs1 \af0\afs20\alang1025 \ltrch\fcs0 \fs24\lang2057\langfe2057\cgrid\langnp2057\langfenp2057 {\rtlch\fcs1 \af0 \ltrch\fcs0 \insrsid12213393 &#13;_x000a_\chftnsep &#13;_x000a_\par }}{\*\ftnsepc \ltrpar \pard\plain \ltrpar\ql \li0\ri0\widctlpar\wrapdefault\aspalpha\aspnum\faauto\adjustright\rin0\lin0\itap0 \rtlch\fcs1 \af0\afs20\alang1025 \ltrch\fcs0 \fs24\lang2057\langfe2057\cgrid\langnp2057\langfenp2057 {\rtlch\fcs1 \af0 &#13;_x000a_\ltrch\fcs0 \insrsid12213393 \chftnsepc &#13;_x000a_\par }}{\*\aftnsep \ltrpar \pard\plain \ltrpar\ql \li0\ri0\widctlpar\wrapdefault\aspalpha\aspnum\faauto\adjustright\rin0\lin0\itap0 \rtlch\fcs1 \af0\afs20\alang1025 \ltrch\fcs0 \fs24\lang2057\langfe2057\cgrid\langnp2057\langfenp2057 {\rtlch\fcs1 \af0 &#13;_x000a_\ltrch\fcs0 \insrsid12213393 \chftnsep &#13;_x000a_\par }}{\*\aftnsepc \ltrpar \pard\plain \ltrpar\ql \li0\ri0\widctlpar\wrapdefault\aspalpha\aspnum\faauto\adjustright\rin0\lin0\itap0 \rtlch\fcs1 \af0\afs20\alang1025 \ltrch\fcs0 \fs24\lang2057\langfe2057\cgrid\langnp2057\langfenp2057 {\rtlch\fcs1 \af0 &#13;_x000a_\ltrch\fcs0 \insrsid12213393 \chftnsepc &#13;_x000a_\par }}\ltrpar \sectd \ltrsect\psz9\linex0\headery1134\footery505\endnhere\titlepg\sectdefaultcl\sectrsid14424199\sftnbj\sftnrestart {\*\pnseclvl1\pnucrm\pnstart1\pnindent720\pnhang {\pntxta .}}{\*\pnseclvl2\pnucltr\pnstart1\pnindent720\pnhang {\pntxta .}}&#13;_x000a_{\*\pnseclvl3\pndec\pnstart1\pnindent720\pnhang {\pntxta .}}{\*\pnseclvl4\pnlcltr\pnstart1\pnindent720\pnhang {\pntxta )}}{\*\pnseclvl5\pndec\pnstart1\pnindent720\pnhang {\pntxtb (}{\pntxta )}}{\*\pnseclvl6\pnlcltr\pnstart1\pnindent720\pnhang {\pntxtb (}&#13;_x000a_{\pntxta )}}{\*\pnseclvl7\pnlcrm\pnstart1\pnindent720\pnhang {\pntxtb (}{\pntxta )}}{\*\pnseclvl8\pnlcltr\pnstart1\pnindent720\pnhang {\pntxtb (}{\pntxta )}}{\*\pnseclvl9\pnlcrm\pnstart1\pnindent720\pnhang {\pntxtb (}{\pntxta )}}\pard\plain \ltrpar&#13;_x000a_\s20\ql \li0\ri0\sb240\keepn\nowidctlpar\tx879\tx936\tx1021\tx1077\tx1134\tx1191\tx1247\tx1304\tx1361\tx1418\tx1474\tx1531\tx1588\tx1644\tx1701\tx1758\tx1814\tx1871\tx2070\tx2126\tx3374\tx3430\wrapdefault\aspalpha\aspnum\faauto\adjustright\rin0&#13;_x000a_\lin0\itap0\pararsid1140430 \rtlch\fcs1 \af0\afs20\alang1025 \ltrch\fcs0 \b\fs24\lang2057\langfe2057\cgrid\langnp2057\langfenp2057 {\rtlch\fcs1 \af0 \ltrch\fcs0 \cs15\b0\v\f1\fs20\cf9\lang1024\langfe1024\noproof\insrsid1140430\charrsid4417459 &#13;_x000a_{\*\bkmkstart restart}&lt;Amend&gt;}{\rtlch\fcs1 \af0 \ltrch\fcs0 \insrsid1140430\charrsid1799708 [ZAMENDMENT]}{\rtlch\fcs1 \af0 \ltrch\fcs0 \insrsid1140430 \tab \tab }{\rtlch\fcs1 \af0 \ltrch\fcs0 &#13;_x000a_\cs15\b0\v\f1\fs20\cf9\lang1024\langfe1024\noproof\insrsid1140430\charrsid4417459 &lt;NumAm&gt;}{\rtlch\fcs1 \af0 \ltrch\fcs0 \insrsid1140430\charrsid1799708 [ZNRAM]}{\rtlch\fcs1 \af0 \ltrch\fcs0 &#13;_x000a_\cs15\b0\v\f1\fs20\cf9\lang1024\langfe1024\noproof\insrsid1140430\charrsid4417459 &lt;/NumAm&gt;}{\rtlch\fcs1 \af0 \ltrch\fcs0 \insrsid1140430\charrsid4080556 &#13;_x000a_\par }\pard\plain \ltrpar\s18\ql \li0\ri0\nowidctlpar\wrapdefault\aspalpha\aspnum\faauto\adjustright\rin0\lin0\itap0\pararsid1140430 \rtlch\fcs1 \af0\afs20\alang1025 \ltrch\fcs0 \b\fs24\lang2057\langfe2057\cgrid\langnp2057\langfenp2057 {\rtlch\fcs1 \af0 &#13;_x000a_\ltrch\fcs0 \cs15\b0\v\f1\fs20\cf9\lang1024\langfe1024\noproof\insrsid1140430\charrsid14699840 &lt;RepeatBlock-By&gt;}{\rtlch\fcs1 \af0 \ltrch\fcs0 \lang1024\langfe1024\noproof\insrsid1140430\charrsid14699840 [RepeatMembers]}{\rtlch\fcs1 \af0 \ltrch\fcs0 &#13;_x000a_\cs15\b0\v\f1\fs20\cf9\lang1024\langfe1024\noproof\insrsid1140430\charrsid14699840 &lt;Members&gt;}{\rtlch\fcs1 \af0 \ltrch\fcs0 \insrsid1140430\charrsid14699840 [ZMEMBERS]}{\rtlch\fcs1 \af0 \ltrch\fcs0 &#13;_x000a_\cs15\b0\v\f1\fs20\cf9\lang1024\langfe1024\noproof\insrsid1140430\charrsid14699840 &lt;/Members&gt;}{\rtlch\fcs1 \af0 \ltrch\fcs0 \insrsid1140430\charrsid14699840 &#13;_x000a_\par }\pard\plain \ltrpar\ql \li0\ri0\widctlpar\wrapdefault\aspalpha\aspnum\faauto\adjustright\rin0\lin0\itap0\pararsid1140430 \rtlch\fcs1 \af0\afs20\alang1025 \ltrch\fcs0 \fs24\lang2057\langfe2057\cgrid\langnp2057\langfenp2057 {\rtlch\fcs1 \af0 \ltrch\fcs0 &#13;_x000a_\cs15\v\f1\fs20\cf9\lang1024\langfe1024\noproof\langnp1043\insrsid1140430\charrsid14424489 &lt;AuNomDe&gt;&lt;OptDel&gt;}{\rtlch\fcs1 \af0 \ltrch\fcs0 \lang1043\langfe2057\langnp1043\insrsid1140430\charrsid14424489 [ZONBEHALF]}{\rtlch\fcs1 \af0 \ltrch\fcs0 &#13;_x000a_\cs15\v\f1\fs20\cf9\lang1024\langfe1024\noproof\langnp1043\insrsid1140430\charrsid14424489 &lt;/OptDel&gt;&lt;/AuNomDe&gt;}{\rtlch\fcs1 \af0 \ltrch\fcs0 \lang1043\langfe2057\langnp1043\insrsid1140430\charrsid14424489 &#13;_x000a_\par }{\rtlch\fcs1 \af0 \ltrch\fcs0 \insrsid1140430\charrsid14699840 &lt;&lt;&lt;}{\rtlch\fcs1 \af0 \ltrch\fcs0 \cs15\v\f1\fs20\cf9\lang1024\langfe1024\noproof\insrsid1140430\charrsid14699840 &lt;/RepeatBlock-By&gt;}{\rtlch\fcs1 \af0 \ltrch\fcs0 &#13;_x000a_\insrsid1140430\charrsid14699840 &#13;_x000a_\par }\pard\plain \ltrpar\s18\ql \li0\ri0\nowidctlpar\wrapdefault\aspalpha\aspnum\faauto\adjustright\rin0\lin0\itap0\pararsid1140430 \rtlch\fcs1 \af0\afs20\alang1025 \ltrch\fcs0 \b\fs24\lang2057\langfe2057\cgrid\langnp2057\langfenp2057 {\rtlch\fcs1 \af0 &#13;_x000a_\ltrch\fcs0 \cs15\b0\v\f1\fs20\cf9\lang1024\langfe1024\noproof\insrsid1140430\charrsid4737239 &lt;DocAmend&gt;}{\rtlch\fcs1 \af0 \ltrch\fcs0 \insrsid1140430\charrsid1799708 [Z}{\rtlch\fcs1 \af0 \ltrch\fcs0 \insrsid1140430 AMDOC}{\rtlch\fcs1 \af0 \ltrch\fcs0 &#13;_x000a_\insrsid1140430\charrsid1799708 ]}{\rtlch\fcs1 \af0 \ltrch\fcs0 \cs15\b0\v\f1\fs20\cf9\lang1024\langfe1024\noproof\insrsid1140430\charrsid4737239 &lt;/DocAmend&gt;}{\rtlch\fcs1 \af0 \ltrch\fcs0 \insrsid1140430\charrsid1799708 &#13;_x000a_\par }{\rtlch\fcs1 \af0 \ltrch\fcs0 \cs15\b0\v\f1\fs20\cf9\lang1024\langfe1024\noproof\insrsid1140430\charrsid1799708 &lt;Article&gt;}{\rtlch\fcs1 \af0 \ltrch\fcs0 \insrsid1140430\charrsid1799708 [ZAMPART]}{\rtlch\fcs1 \af0 \ltrch\fcs0 &#13;_x000a_\cs15\b0\v\f1\fs20\cf9\lang1024\langfe1024\noproof\insrsid1140430\charrsid1799708 &lt;/Article&gt;}{\rtlch\fcs1 \af0 \ltrch\fcs0 \insrsid1140430\charrsid1799708 &#13;_x000a_\par \ltrrow}\trowd \irow0\irowband0\ltrrow\ts11\trqc\trgaph340\trleft-340\trftsWidth3\trwWidth9752\trftsWidthB3\trpaddl340\trpaddr340\trpaddfl3\trpaddft3\trpaddfb3\trpaddfr3\tblrsid7949889\tblind0\tblindtype3 \clvertalt\clbrdrt\brdrtbl \clbrdrl\brdrtbl &#13;_x000a_\clbrdrb\brdrtbl \clbrdrr\brdrtbl \cltxlrtb\clftsWidth3\clwWidth9752\clshdrawnil \cellx9412\pard\plain \ltrpar\ql \li0\ri0\keepn\widctlpar\intbl\wrapdefault\aspalpha\aspnum\faauto\adjustright\rin0\lin0\pararsid13053803 \rtlch\fcs1 \af0\afs20\alang1025 &#13;_x000a_\ltrch\fcs0 \fs24\lang2057\langfe2057\cgrid\langnp2057\langfenp2057 {\rtlch\fcs1 \af0 \ltrch\fcs0 \insrsid1140430\charrsid1799708 \cell }\pard\plain \ltrpar\ql \li0\ri0\widctlpar\intbl\wrapdefault\aspalpha\aspnum\faauto\adjustright\rin0\lin0 \rtlch\fcs1 &#13;_x000a_\af0\afs20\alang1025 \ltrch\fcs0 \fs24\lang2057\langfe2057\cgrid\langnp2057\langfenp2057 {\rtlch\fcs1 \af0 \ltrch\fcs0 \insrsid1140430\charrsid1799708 \trowd \irow0\irowband0\ltrrow&#13;_x000a_\ts11\trqc\trgaph340\trleft-340\trftsWidth3\trwWidth9752\trftsWidthB3\trpaddl340\trpaddr340\trpaddfl3\trpaddft3\trpaddfb3\trpaddfr3\tblrsid7949889\tblind0\tblindtype3 \clvertalt\clbrdrt\brdrtbl \clbrdrl\brdrtbl \clbrdrb\brdrtbl \clbrdrr\brdrtbl &#13;_x000a_\cltxlrtb\clftsWidth3\clwWidth9752\clshdrawnil \cellx9412\row \ltrrow}\trowd \irow1\irowband1\ltrrow&#13;_x000a_\ts11\trqc\trgaph340\trleft-340\trftsWidth3\trwWidth9752\trftsWidthB3\trpaddl340\trpaddr340\trpaddfl3\trpaddft3\trpaddfb3\trpaddfr3\tblrsid7949889\tblind0\tblindtype3 \clvertalt\clbrdrt\brdrtbl \clbrdrl\brdrtbl \clbrdrb\brdrtbl \clbrdrr\brdrtbl &#13;_x000a_\cltxlrtb\clftsWidth3\clwWidth4876\clshdrawnil \cellx4536\clvertalt\clbrdrt\brdrtbl \clbrdrl\brdrtbl \clbrdrb\brdrtbl \clbrdrr\brdrtbl \cltxlrtb\clftsWidth3\clwWidth4876\clshdrawnil \cellx9412\pard\plain \ltrpar&#13;_x000a_\s19\qc \li0\ri0\sa240\keepn\nowidctlpar\intbl\wrapdefault\aspalpha\aspnum\faauto\adjustright\rin0\lin0\pararsid13053803 \rtlch\fcs1 \af0\afs20\alang1025 \ltrch\fcs0 \i\fs24\lang2057\langfe2057\cgrid\langnp2057\langfenp2057 {\rtlch\fcs1 \af0 \ltrch\fcs0 &#13;_x000a_\insrsid1140430\charrsid1799708 [ZLEFT]\cell [ZRIGHT]\cell }\pard\plain \ltrpar\ql \li0\ri0\widctlpar\intbl\wrapdefault\aspalpha\aspnum\faauto\adjustright\rin0\lin0 \rtlch\fcs1 \af0\afs20\alang1025 \ltrch\fcs0 &#13;_x000a_\fs24\lang2057\langfe2057\cgrid\langnp2057\langfenp2057 {\rtlch\fcs1 \af0 \ltrch\fcs0 \insrsid1140430\charrsid1799708 \trowd \irow1\irowband1\ltrrow&#13;_x000a_\ts11\trqc\trgaph340\trleft-340\trftsWidth3\trwWidth9752\trftsWidthB3\trpaddl340\trpaddr340\trpaddfl3\trpaddft3\trpaddfb3\trpaddfr3\tblrsid7949889\tblind0\tblindtype3 \clvertalt\clbrdrt\brdrtbl \clbrdrl\brdrtbl \clbrdrb\brdrtbl \clbrdrr\brdrtbl &#13;_x000a_\cltxlrtb\clftsWidth3\clwWidth4876\clshdrawnil \cellx4536\clvertalt\clbrdrt\brdrtbl \clbrdrl\brdrtbl \clbrdrb\brdrtbl \clbrdrr\brdrtbl \cltxlrtb\clftsWidth3\clwWidth4876\clshdrawnil \cellx9412\row \ltrrow}\pard\plain \ltrpar&#13;_x000a_\s17\ql \li0\ri0\sa120\nowidctlpar\intbl\wrapdefault\aspalpha\aspnum\faauto\adjustright\rin0\lin0\pararsid7949889 \rtlch\fcs1 \af0\afs20\alang1025 \ltrch\fcs0 \fs24\lang2057\langfe2057\cgrid\langnp2057\langfenp2057 {\rtlch\fcs1 \af0 \ltrch\fcs0 &#13;_x000a_\insrsid1140430\charrsid1799708 [ZTEXTL]\cell [ZTEXTR]}{\rtlch\fcs1 \af0\afs24 \ltrch\fcs0 \insrsid1140430\charrsid1799708 \cell }\pard\plain \ltrpar\ql \li0\ri0\widctlpar\intbl\wrapdefault\aspalpha\aspnum\faauto\adjustright\rin0\lin0 \rtlch\fcs1 &#13;_x000a_\af0\afs20\alang1025 \ltrch\fcs0 \fs24\lang2057\langfe2057\cgrid\langnp2057\langfenp2057 {\rtlch\fcs1 \af0 \ltrch\fcs0 \insrsid1140430\charrsid1799708 \trowd \irow2\irowband2\lastrow \ltrrow&#13;_x000a_\ts11\trqc\trgaph340\trleft-340\trftsWidth3\trwWidth9752\trftsWidthB3\trpaddl340\trpaddr340\trpaddfl3\trpaddft3\trpaddfb3\trpaddfr3\tblrsid7949889\tblind0\tblindtype3 \clvertalt\clbrdrt\brdrtbl \clbrdrl\brdrtbl \clbrdrb\brdrtbl \clbrdrr\brdrtbl &#13;_x000a_\cltxlrtb\clftsWidth3\clwWidth4876\clshdrawnil \cellx4536\clvertalt\clbrdrt\brdrtbl \clbrdrl\brdrtbl \clbrdrb\brdrtbl \clbrdrr\brdrtbl \cltxlrtb\clftsWidth3\clwWidth4876\clshdrawnil \cellx9412\row }\pard\plain \ltrpar&#13;_x000a_\s16\qr \li0\ri0\sb240\sa240\nowidctlpar\wrapdefault\aspalpha\aspnum\faauto\adjustright\rin0\lin0\itap0\pararsid1140430 \rtlch\fcs1 \af0\afs20\alang1025 \ltrch\fcs0 \fs24\lang2057\langfe2057\cgrid\langnp2057\langfenp2057 {\rtlch\fcs1 \af0 \ltrch\fcs0 &#13;_x000a_\insrsid1140430\charrsid1799708 Or. }{\rtlch\fcs1 \af0 \ltrch\fcs0 \cs15\v\f1\fs20\cf9\lang1024\langfe1024\noproof\insrsid1140430\charrsid1799708 &lt;Original&gt;}{\rtlch\fcs1 \af0 \ltrch\fcs0 \insrsid1140430\charrsid1799708 [ZORLANG]}{\rtlch\fcs1 \af0 &#13;_x000a_\ltrch\fcs0 \cs15\v\f1\fs20\cf9\lang1024\langfe1024\noproof\insrsid1140430\charrsid1799708 &lt;/Original&gt;}{\rtlch\fcs1 \af0 \ltrch\fcs0 \insrsid1140430\charrsid1799708 &#13;_x000a_\par }\pard\plain \ltrpar\ql \li0\ri0\widctlpar\wrapdefault\aspalpha\aspnum\faauto\adjustright\rin0\lin0\itap0\pararsid1140430 \rtlch\fcs1 \af0\afs20\alang1025 \ltrch\fcs0 \fs24\lang2057\langfe2057\cgrid\langnp2057\langfenp2057 {\rtlch\fcs1 \af0 \ltrch\fcs0 &#13;_x000a_\cs15\v\f1\fs20\cf9\lang1024\langfe1024\noproof\insrsid1140430\charrsid1799708 &lt;/Amend&gt;}{\rtlch\fcs1 \af0 \ltrch\fcs0 \insrsid24658\charrsid16324206 {\*\bkmkend restart}&#13;_x000a_\par }{\*\themedata 504b030414000600080000002100e9de0fbfff0000001c020000130000005b436f6e74656e745f54797065735d2e786d6cac91cb4ec3301045f748fc83e52d4a&#13;_x000a_9cb2400825e982c78ec7a27cc0c8992416c9d8b2a755fbf74cd25442a820166c2cd933f79e3be372bd1f07b5c3989ca74aaff2422b24eb1b475da5df374fd9ad&#13;_x000a_5689811a183c61a50f98f4babebc2837878049899a52a57be670674cb23d8e90721f90a4d2fa3802cb35762680fd800ecd7551dc18eb899138e3c943d7e503b6&#13;_x000a_b01d583deee5f99824e290b4ba3f364eac4a430883b3c092d4eca8f946c916422ecab927f52ea42b89a1cd59c254f919b0e85e6535d135a8de20f20b8c12c3b0&#13;_x000a_0c895fcf6720192de6bf3b9e89ecdbd6596cbcdd8eb28e7c365ecc4ec1ff1460f53fe813d3cc7f5b7f020000ffff0300504b030414000600080000002100a5d6&#13;_x000a_a7e7c0000000360100000b0000005f72656c732f2e72656c73848fcf6ac3300c87ef85bd83d17d51d2c31825762fa590432fa37d00e1287f68221bdb1bebdb4f&#13;_x000a_c7060abb0884a4eff7a93dfeae8bf9e194e720169aaa06c3e2433fcb68e1763dbf7f82c985a4a725085b787086a37bdbb55fbc50d1a33ccd311ba548b6309512&#13;_x000a_0f88d94fbc52ae4264d1c910d24a45db3462247fa791715fd71f989e19e0364cd3f51652d73760ae8fa8c9ffb3c330cc9e4fc17faf2ce545046e37944c69e462&#13;_x000a_a1a82fe353bd90a865aad41ed0b5b8f9d6fd010000ffff0300504b0304140006000800000021006b799616830000008a0000001c0000007468656d652f746865&#13;_x000a_6d652f7468656d654d616e616765722e786d6c0ccc4d0ac3201040e17da17790d93763bb284562b2cbaebbf600439c1a41c7a0d29fdbd7e5e38337cedf14d59b&#13;_x000a_4b0d592c9c070d8a65cd2e88b7f07c2ca71ba8da481cc52c6ce1c715e6e97818c9b48d13df49c873517d23d59085adb5dd20d6b52bd521ef2cdd5eb9246a3d8b&#13;_x000a_4757e8d3f729e245eb2b260a0238fd010000ffff0300504b03041400060008000000210007b740aaca0600008f1a0000160000007468656d652f7468656d652f&#13;_x000a_7468656d65312e786d6cec595b8bdb46147e2ff43f08bd3bbe49be2cf1065bb69336bb49889d943cceda636bb2238dd18c776342a0244f7d2914d2d28706fad6&#13;_x000a_87521a68a0a12ffd310b1bdaf447f4cc489667ec71f6420aa1640d8b34face996fce39face48ba7aed51449d239c70c2e2965bbe52721d1c8fd898c4d3967b6f&#13;_x000a_d82f345c870b148f1165316eb90bccdd6bbb9f7e7215ed881047d801fb98efa0961b0a31db2916f9088611bfc26638866b13964448c069322d8e13740c7e235a&#13;_x000a_ac944ab5628448ec3a318ac0ededc9848cb033942edddda5f31e85d358703930a2c940bac68685c28e0fcb12c1173ca089738468cb8579c6ec78881f09d7a188&#13;_x000a_0bb8d0724beacf2dee5e2da29dcc888a2db69a5d5ffd657699c1f8b0a2e64ca607f9a49ee77bb576ee5f01a8d8c4f5eabd5aaf96fb5300341ac14a532eba4fbf&#13;_x000a_d3ec74fd0cab81d2438bef6ebd5b2d1b78cd7f758373db973f03af40a97f6f03dfef07104503af4029dedfc07b5ebd1278065e81527c6d035f2fb5bb5eddc02b&#13;_x000a_5048497cb8812ef9b56ab05c6d0e99307ac30a6ffa5ebf5ec99caf50500d7975c929262c16db6a2d420f59d2078004522448ec88c50c4fd008aa3840941c24c4&#13;_x000a_d923d3100a6f8662c661b85429f54b55f82f7f9e3a5211413b1869d6921730e11b43928fc34709998996fb39787535c8e9ebd7274f5f9d3cfdfde4d9b393a7bf&#13;_x000a_66732b5786dd0d144f75bbb73f7df3cf8b2f9dbf7ffbf1edf36fd3a9d7f15cc7bff9e5ab377ffcf92ef7b0e255284ebf7bf9e6d5cbd3efbffeebe7e716efed04&#13;_x000a_1de8f0218930776ee163e72e8b608116fef820b998c5304444b768c7538e622467b1f8ef89d040df5a208a2cb80e36e3783f01a9b101afcf1f1a8407613217c4&#13;_x000a_e2f1661819c07dc6688725d628dc947369611ecee3a97df264aee3ee2274649b3b40b191e5de7c061a4b6c2e83101b34ef50140b34c531168ebcc60e31b6acee&#13;_x000a_0121465cf7c928619c4d84f380381d44ac21199203a39a56463748047959d80842be8dd8ecdf773a8cda56ddc5472612ee0d442de487981a61bc8ee602453697&#13;_x000a_4314513de07b48843692834532d2713d2e20d3534c99d31b63ce6d36b71358af96f49b2033f6b4efd345642213410e6d3ef710633ab2cb0e831045331b7640e2&#13;_x000a_50c77ec60fa144917387091b7c9f9977883c873ca0786bbaef136ca4fb6c35b8070aab535a1588bc324f2cb9bc8e9951bf83059d20aca4061a80a1eb1189cf14&#13;_x000a_f93579f7ff3b7907113dfde1856545ef47d2ed8e8d7c5c50ccdb09b1de4d37d6247c1b6e5db803968cc987afdb5d348fef60b855369bd747d9fe28dbeeff5eb6&#13;_x000a_b7ddcfef5fac57fa0cd22db7ade9765d6ddea3ad7bf709a174201614ef71b57de7d095c67d189476eab915e7cf72b3100ee59d0c1318b86982948d9330f10511&#13;_x000a_e1204433d8e3975de964ca33d753eecc1887adbf1ab6fa96783a8ff6d9387d642d97e5e3692a1e1c89d578c9cfc7e17143a4e85a7df51896bb576ca7ea717949&#13;_x000a_40da5e8484369949a26a21515f0eca20a98773089a85845ad97b61d1b4b06848f7cb546db0006a795660dbe4c066abe5fa1e9880113c55218ac7324f69aa97d9&#13;_x000a_55c97c9f99de164ca302600fb1ac8055a69b92ebd6e5c9d5a5a5768e4c1b24b4723349a8c8a81ec64334c65975cad1f3d0b868ae9bab941af46428d47c505a2b&#13;_x000a_1af5c6bb585c36d760b7ae0d34d69582c6ce71cbad557d2899119ab5dc093cfac3613483dae172bb8be814de9f8d4492def097519659c24517f1300db8129d54&#13;_x000a_0d222270e25012b55cb9fc3c0d34561aa2b8952b20081f2cb926c8ca87460e926e26194f267824f4b46b2332d2e929287caa15d6abcafcf26069c9e690ee4138&#13;_x000a_3e760ee83cb98ba0c4fc7a5906704c38bc012aa7d11c1378a5990bd9aafed61a5326bbfa3b455543e938a2b310651d4517f314aea43ca7a3cef2186867d99a21&#13;_x000a_a05a48b2467830950d560faad14df3ae9172d8da75cf369291d34473d5330d55915dd3ae62c60ccb36b016cbcb35798dd532c4a0697a874fa57b5d729b4bad5b&#13;_x000a_db27e45d02029ec7cfd275cfd110346aabc90c6a92f1a60c4bcdce46cddeb15ce019d4ced32434d5af2dddaec52def11d6e960f0529d1fecd6ab168626cb7da5&#13;_x000a_8ab4faf6a17f9e60070f413cbaf022784e0557a9848f0f09820dd140ed4952d9805be491c86e0d3872e60969b98f4b7edb0b2a7e502835fc5ec1ab7aa542c36f&#13;_x000a_570b6ddfaf967b7eb9d4ed549e4063116154f6d3ef2e7d780d4517d9d71735bef105265abe69bb32625191a92f2c45455c7d812957b67f81710888cee35aa5df&#13;_x000a_ac363bb542b3daee17bc6ea7516806b54ea15b0beadd7e37f01bcdfe13d7395260af5d0dbc5aaf51a89583a0e0d54a927ea359a87b954adbabb71b3daffd24db&#13;_x000a_c6c0ca53f9c86201e155bc76ff050000ffff0300504b0304140006000800000021000dd1909fb60000001b010000270000007468656d652f7468656d652f5f72&#13;_x000a_656c732f7468656d654d616e616765722e786d6c2e72656c73848f4d0ac2301484f78277086f6fd3ba109126dd88d0add40384e4350d363f2451eced0dae2c08&#13;_x000a_2e8761be9969bb979dc9136332de3168aa1a083ae995719ac16db8ec8e4052164e89d93b64b060828e6f37ed1567914b284d262452282e3198720e274a939cd0&#13;_x000a_8a54f980ae38a38f56e422a3a641c8bbd048f7757da0f19b017cc524bd62107bd5001996509affb3fd381a89672f1f165dfe514173d9850528a2c6cce0239baa&#13;_x000a_4c04ca5bbabac4df000000ffff0300504b01022d0014000600080000002100e9de0fbfff0000001c0200001300000000000000000000000000000000005b436f&#13;_x000a_6e74656e745f54797065735d2e786d6c504b01022d0014000600080000002100a5d6a7e7c0000000360100000b00000000000000000000000000300100005f72&#13;_x000a_656c732f2e72656c73504b01022d00140006000800000021006b799616830000008a0000001c00000000000000000000000000190200007468656d652f746865&#13;_x000a_6d652f7468656d654d616e616765722e786d6c504b01022d001400060008000000210007b740aaca0600008f1a00001600000000000000000000000000d60200&#13;_x000a_007468656d652f7468656d652f7468656d65312e786d6c504b01022d00140006000800000021000dd1909fb60000001b01000027000000000000000000000000&#13;_x000a_00d40900007468656d652f7468656d652f5f72656c732f7468656d654d616e616765722e786d6c2e72656c73504b050600000000050005005d010000cf0a00000000}&#13;_x000a_{\*\colorschememapping 3c3f786d6c2076657273696f6e3d22312e302220656e636f64696e673d225554462d3822207374616e64616c6f6e653d22796573223f3e0d0a3c613a636c724d&#13;_x000a_617020786d6c6e733a613d22687474703a2f2f736368656d61732e6f70656e786d6c666f726d6174732e6f72672f64726177696e676d6c2f323030362f6d6169&#13;_x000a_6e22206267313d226c743122207478313d22646b3122206267323d226c743222207478323d22646b322220616363656e74313d22616363656e74312220616363&#13;_x000a_656e74323d22616363656e74322220616363656e74333d22616363656e74332220616363656e74343d22616363656e74342220616363656e74353d22616363656e74352220616363656e74363d22616363656e74362220686c696e6b3d22686c696e6b2220666f6c486c696e6b3d22666f6c486c696e6b222f3e}&#13;_x000a_{\*\latentstyles\lsdstimax371\lsdlockeddef0\lsdsemihiddendef0\lsdunhideuseddef0\lsdqformatdef0\lsdprioritydef0{\lsdlockedexcept \lsdqformat1 \lsdlocked0 Normal;\lsdqformat1 \lsdlocked0 heading 1;&#13;_x000a_\lsdsemihidden1 \lsdunhideused1 \lsdqformat1 \lsdlocked0 heading 2;\lsdsemihidden1 \lsdunhideused1 \lsdqformat1 \lsdlocked0 heading 3;\lsdsemihidden1 \lsdunhideused1 \lsdqformat1 \lsdlocked0 heading 4;&#13;_x000a_\lsdsemihidden1 \lsdunhideused1 \lsdqformat1 \lsdlocked0 heading 5;\lsdsemihidden1 \lsdunhideused1 \lsdqformat1 \lsdlocked0 heading 6;\lsdsemihidden1 \lsdunhideused1 \lsdqformat1 \lsdlocked0 heading 7;&#13;_x000a_\lsdsemihidden1 \lsdunhideused1 \lsdqformat1 \lsdlocked0 heading 8;\lsdsemihidden1 \lsdunhideused1 \lsdqformat1 \lsdlocked0 heading 9;\lsdsemihidden1 \lsdunhideused1 \lsdqformat1 \lsdlocked0 caption;\lsdqformat1 \lsdlocked0 Title;&#13;_x000a_\lsdqformat1 \lsdlocked0 Subtitle;\lsdqformat1 \lsdlocked0 Strong;\lsdqformat1 \lsdlocked0 Emphasis;\lsdsemihidden1 \lsdpriority99 \lsdlocked0 Placeholder Text;\lsdqformat1 \lsdpriority1 \lsdlocked0 No Spacing;\lsdpriority60 \lsdlocked0 Light Shading;&#13;_x000a_\lsdpriority61 \lsdlocked0 Light List;\lsdpriority62 \lsdlocked0 Light Grid;\lsdpriority63 \lsdlocked0 Medium Shading 1;\lsdpriority64 \lsdlocked0 Medium Shading 2;\lsdpriority65 \lsdlocked0 Medium List 1;\lsdpriority66 \lsdlocked0 Medium List 2;&#13;_x000a_\lsdpriority67 \lsdlocked0 Medium Grid 1;\lsdpriority68 \lsdlocked0 Medium Grid 2;\lsdpriority69 \lsdlocked0 Medium Grid 3;\lsdpriority70 \lsdlocked0 Dark List;\lsdpriority71 \lsdlocked0 Colorful Shading;\lsdpriority72 \lsdlocked0 Colorful List;&#13;_x000a_\lsdpriority73 \lsdlocked0 Colorful Grid;\lsdpriority60 \lsdlocked0 Light Shading Accent 1;\lsdpriority61 \lsdlocked0 Light List Accent 1;\lsdpriority62 \lsdlocked0 Light Grid Accent 1;\lsdpriority63 \lsdlocked0 Medium Shading 1 Accent 1;&#13;_x000a_\lsdpriority64 \lsdlocked0 Medium Shading 2 Accent 1;\lsdpriority65 \lsdlocked0 Medium List 1 Accent 1;\lsdsemihidden1 \lsdpriority99 \lsdlocked0 Revision;\lsdqformat1 \lsdpriority34 \lsdlocked0 List Paragraph;&#13;_x000a_\lsdqformat1 \lsdpriority29 \lsdlocked0 Quote;\lsdqformat1 \lsdpriority30 \lsdlocked0 Intense Quote;\lsdpriority66 \lsdlocked0 Medium List 2 Accent 1;\lsdpriority67 \lsdlocked0 Medium Grid 1 Accent 1;\lsdpriority68 \lsdlocked0 Medium Grid 2 Accent 1;&#13;_x000a_\lsdpriority69 \lsdlocked0 Medium Grid 3 Accent 1;\lsdpriority70 \lsdlocked0 Dark List Accent 1;\lsdpriority71 \lsdlocked0 Colorful Shading Accent 1;\lsdpriority72 \lsdlocked0 Colorful List Accent 1;\lsdpriority73 \lsdlocked0 Colorful Grid Accent 1;&#13;_x000a_\lsdpriority60 \lsdlocked0 Light Shading Accent 2;\lsdpriority61 \lsdlocked0 Light List Accent 2;\lsdpriority62 \lsdlocked0 Light Grid Accent 2;\lsdpriority63 \lsdlocked0 Medium Shading 1 Accent 2;\lsdpriority64 \lsdlocked0 Medium Shading 2 Accent 2;&#13;_x000a_\lsdpriority65 \lsdlocked0 Medium List 1 Accent 2;\lsdpriority66 \lsdlocked0 Medium List 2 Accent 2;\lsdpriority67 \lsdlocked0 Medium Grid 1 Accent 2;\lsdpriority68 \lsdlocked0 Medium Grid 2 Accent 2;\lsdpriority69 \lsdlocked0 Medium Grid 3 Accent 2;&#13;_x000a_\lsdpriority70 \lsdlocked0 Dark List Accent 2;\lsdpriority71 \lsdlocked0 Colorful Shading Accent 2;\lsdpriority72 \lsdlocked0 Colorful List Accent 2;\lsdpriority73 \lsdlocked0 Colorful Grid Accent 2;\lsdpriority60 \lsdlocked0 Light Shading Accent 3;&#13;_x000a_\lsdpriority61 \lsdlocked0 Light List Accent 3;\lsdpriority62 \lsdlocked0 Light Grid Accent 3;\lsdpriority63 \lsdlocked0 Medium Shading 1 Accent 3;\lsdpriority64 \lsdlocked0 Medium Shading 2 Accent 3;\lsdpriority65 \lsdlocked0 Medium List 1 Accent 3;&#13;_x000a_\lsdpriority66 \lsdlocked0 Medium List 2 Accent 3;\lsdpriority67 \lsdlocked0 Medium Grid 1 Accent 3;\lsdpriority68 \lsdlocked0 Medium Grid 2 Accent 3;\lsdpriority69 \lsdlocked0 Medium Grid 3 Accent 3;\lsdpriority70 \lsdlocked0 Dark List Accent 3;&#13;_x000a_\lsdpriority71 \lsdlocked0 Colorful Shading Accent 3;\lsdpriority72 \lsdlocked0 Colorful List Accent 3;\lsdpriority73 \lsdlocked0 Colorful Grid Accent 3;\lsdpriority60 \lsdlocked0 Light Shading Accent 4;\lsdpriority61 \lsdlocked0 Light List Accent 4;&#13;_x000a_\lsdpriority62 \lsdlocked0 Light Grid Accent 4;\lsdpriority63 \lsdlocked0 Medium Shading 1 Accent 4;\lsdpriority64 \lsdlocked0 Medium Shading 2 Accent 4;\lsdpriority65 \lsdlocked0 Medium List 1 Accent 4;\lsdpriority66 \lsdlocked0 Medium List 2 Accent 4;&#13;_x000a_\lsdpriority67 \lsdlocked0 Medium Grid 1 Accent 4;\lsdpriority68 \lsdlocked0 Medium Grid 2 Accent 4;\lsdpriority69 \lsdlocked0 Medium Grid 3 Accent 4;\lsdpriority70 \lsdlocked0 Dark List Accent 4;\lsdpriority71 \lsdlocked0 Colorful Shading Accent 4;&#13;_x000a_\lsdpriority72 \lsdlocked0 Colorful List Accent 4;\lsdpriority73 \lsdlocked0 Colorful Grid Accent 4;\lsdpriority60 \lsdlocked0 Light Shading Accent 5;\lsdpriority61 \lsdlocked0 Light List Accent 5;\lsdpriority62 \lsdlocked0 Light Grid Accent 5;&#13;_x000a_\lsdpriority63 \lsdlocked0 Medium Shading 1 Accent 5;\lsdpriority64 \lsdlocked0 Medium Shading 2 Accent 5;\lsdpriority65 \lsdlocked0 Medium List 1 Accent 5;\lsdpriority66 \lsdlocked0 Medium List 2 Accent 5;&#13;_x000a_\lsdpriority67 \lsdlocked0 Medium Grid 1 Accent 5;\lsdpriority68 \lsdlocked0 Medium Grid 2 Accent 5;\lsdpriority69 \lsdlocked0 Medium Grid 3 Accent 5;\lsdpriority70 \lsdlocked0 Dark List Accent 5;\lsdpriority71 \lsdlocked0 Colorful Shading Accent 5;&#13;_x000a_\lsdpriority72 \lsdlocked0 Colorful List Accent 5;\lsdpriority73 \lsdlocked0 Colorful Grid Accent 5;\lsdpriority60 \lsdlocked0 Light Shading Accent 6;\lsdpriority61 \lsdlocked0 Light List Accent 6;\lsdpriority62 \lsdlocked0 Light Grid Accent 6;&#13;_x000a_\lsdpriority63 \lsdlocked0 Medium Shading 1 Accent 6;\lsdpriority64 \lsdlocked0 Medium Shading 2 Accent 6;\lsdpriority65 \lsdlocked0 Medium List 1 Accent 6;\lsdpriority66 \lsdlocked0 Medium List 2 Accent 6;&#13;_x000a_\lsdpriority67 \lsdlocked0 Medium Grid 1 Accent 6;\lsdpriority68 \lsdlocked0 Medium Grid 2 Accent 6;\lsdpriority69 \lsdlocked0 Medium Grid 3 Accent 6;\lsdpriority70 \lsdlocked0 Dark List Accent 6;\lsdpriority71 \lsdlocked0 Colorful Shading Accent 6;&#13;_x000a_\lsdpriority72 \lsdlocked0 Colorful List Accent 6;\lsdpriority73 \lsdlocked0 Colorful Grid Accent 6;\lsdqformat1 \lsdpriority19 \lsdlocked0 Subtle Emphasis;\lsdqformat1 \lsdpriority21 \lsdlocked0 Intense Emphasis;&#13;_x000a_\lsdqformat1 \lsdpriority31 \lsdlocked0 Subtle Reference;\lsdqformat1 \lsdpriority32 \lsdlocked0 Intense Reference;\lsdqformat1 \lsdpriority33 \lsdlocked0 Book Title;\lsdsemihidden1 \lsdunhideused1 \lsdpriority37 \lsdlocked0 Bibliography;&#13;_x000a_\lsdsemihidden1 \lsdunhideused1 \lsdqformat1 \lsdpriority39 \lsdlocked0 TOC Heading;\lsdpriority41 \lsdlocked0 Plain Table 1;\lsdpriority42 \lsdlocked0 Plain Table 2;\lsdpriority43 \lsdlocked0 Plain Table 3;\lsdpriority44 \lsdlocked0 Plain Table 4;&#13;_x000a_\lsdpriority45 \lsdlocked0 Plain Table 5;\lsdpriority40 \lsdlocked0 Grid Table Light;\lsdpriority46 \lsdlocked0 Grid Table 1 Light;\lsdpriority47 \lsdlocked0 Grid Table 2;\lsdpriority48 \lsdlocked0 Grid Table 3;\lsdpriority49 \lsdlocked0 Grid Table 4;&#13;_x000a_\lsdpriority50 \lsdlocked0 Grid Table 5 Dark;\lsdpriority51 \lsdlocked0 Grid Table 6 Colorful;\lsdpriority52 \lsdlocked0 Grid Table 7 Colorful;\lsdpriority46 \lsdlocked0 Grid Table 1 Light Accent 1;\lsdpriority47 \lsdlocked0 Grid Table 2 Accent 1;&#13;_x000a_\lsdpriority48 \lsdlocked0 Grid Table 3 Accent 1;\lsdpriority49 \lsdlocked0 Grid Table 4 Accent 1;\lsdpriority50 \lsdlocked0 Grid Table 5 Dark Accent 1;\lsdpriority51 \lsdlocked0 Grid Table 6 Colorful Accent 1;&#13;_x000a_\lsdpriority52 \lsdlocked0 Grid Table 7 Colorful Accent 1;\lsdpriority46 \lsdlocked0 Grid Table 1 Light Accent 2;\lsdpriority47 \lsdlocked0 Grid Table 2 Accent 2;\lsdpriority48 \lsdlocked0 Grid Table 3 Accent 2;&#13;_x000a_\lsdpriority49 \lsdlocked0 Grid Table 4 Accent 2;\lsdpriority50 \lsdlocked0 Grid Table 5 Dark Accent 2;\lsdpriority51 \lsdlocked0 Grid Table 6 Colorful Accent 2;\lsdpriority52 \lsdlocked0 Grid Table 7 Colorful Accent 2;&#13;_x000a_\lsdpriority46 \lsdlocked0 Grid Table 1 Light Accent 3;\lsdpriority47 \lsdlocked0 Grid Table 2 Accent 3;\lsdpriority48 \lsdlocked0 Grid Table 3 Accent 3;\lsdpriority49 \lsdlocked0 Grid Table 4 Accent 3;&#13;_x000a_\lsdpriority50 \lsdlocked0 Grid Table 5 Dark Accent 3;\lsdpriority51 \lsdlocked0 Grid Table 6 Colorful Accent 3;\lsdpriority52 \lsdlocked0 Grid Table 7 Colorful Accent 3;\lsdpriority46 \lsdlocked0 Grid Table 1 Light Accent 4;&#13;_x000a_\lsdpriority47 \lsdlocked0 Grid Table 2 Accent 4;\lsdpriority48 \lsdlocked0 Grid Table 3 Accent 4;\lsdpriority49 \lsdlocked0 Grid Table 4 Accent 4;\lsdpriority50 \lsdlocked0 Grid Table 5 Dark Accent 4;&#13;_x000a_\lsdpriority51 \lsdlocked0 Grid Table 6 Colorful Accent 4;\lsdpriority52 \lsdlocked0 Grid Table 7 Colorful Accent 4;\lsdpriority46 \lsdlocked0 Grid Table 1 Light Accent 5;\lsdpriority47 \lsdlocked0 Grid Table 2 Accent 5;&#13;_x000a_\lsdpriority48 \lsdlocked0 Grid Table 3 Accent 5;\lsdpriority49 \lsdlocked0 Grid Table 4 Accent 5;\lsdpriority50 \lsdlocked0 Grid Table 5 Dark Accent 5;\lsdpriority51 \lsdlocked0 Grid Table 6 Colorful Accent 5;&#13;_x000a_\lsdpriority52 \lsdlocked0 Grid Table 7 Colorful Accent 5;\lsdpriority46 \lsdlocked0 Grid Table 1 Light Accent 6;\lsdpriority47 \lsdlocked0 Grid Table 2 Accent 6;\lsdpriority48 \lsdlocked0 Grid Table 3 Accent 6;&#13;_x000a_\lsdpriority49 \lsdlocked0 Grid Table 4 Accent 6;\lsdpriority50 \lsdlocked0 Grid Table 5 Dark Accent 6;\lsdpriority51 \lsdlocked0 Grid Table 6 Colorful Accent 6;\lsdpriority52 \lsdlocked0 Grid Table 7 Colorful Accent 6;&#13;_x000a_\lsdpriority46 \lsdlocked0 List Table 1 Light;\lsdpriority47 \lsdlocked0 List Table 2;\lsdpriority48 \lsdlocked0 List Table 3;\lsdpriority49 \lsdlocked0 List Table 4;\lsdpriority50 \lsdlocked0 List Table 5 Dark;&#13;_x000a_\lsdpriority51 \lsdlocked0 List Table 6 Colorful;\lsdpriority52 \lsdlocked0 List Table 7 Colorful;\lsdpriority46 \lsdlocked0 List Table 1 Light Accent 1;\lsdpriority47 \lsdlocked0 List Table 2 Accent 1;\lsdpriority48 \lsdlocked0 List Table 3 Accent 1;&#13;_x000a_\lsdpriority49 \lsdlocked0 List Table 4 Accent 1;\lsdpriority50 \lsdlocked0 List Table 5 Dark Accent 1;\lsdpriority51 \lsdlocked0 List Table 6 Colorful Accent 1;\lsdpriority52 \lsdlocked0 List Table 7 Colorful Accent 1;&#13;_x000a_\lsdpriority46 \lsdlocked0 List Table 1 Light Accent 2;\lsdpriority47 \lsdlocked0 List Table 2 Accent 2;\lsdpriority48 \lsdlocked0 List Table 3 Accent 2;\lsdpriority49 \lsdlocked0 List Table 4 Accent 2;&#13;_x000a_\lsdpriority50 \lsdlocked0 List Table 5 Dark Accent 2;\lsdpriority51 \lsdlocked0 List Table 6 Colorful Accent 2;\lsdpriority52 \lsdlocked0 List Table 7 Colorful Accent 2;\lsdpriority46 \lsdlocked0 List Table 1 Light Accent 3;&#13;_x000a_\lsdpriority47 \lsdlocked0 List Table 2 Accent 3;\lsdpriority48 \lsdlocked0 List Table 3 Accent 3;\lsdpriority49 \lsdlocked0 List Table 4 Accent 3;\lsdpriority50 \lsdlocked0 List Table 5 Dark Accent 3;&#13;_x000a_\lsdpriority51 \lsdlocked0 List Table 6 Colorful Accent 3;\lsdpriority52 \lsdlocked0 List Table 7 Colorful Accent 3;\lsdpriority46 \lsdlocked0 List Table 1 Light Accent 4;\lsdpriority47 \lsdlocked0 List Table 2 Accent 4;&#13;_x000a_\lsdpriority48 \lsdlocked0 List Table 3 Accent 4;\lsdpriority49 \lsdlocked0 List Table 4 Accent 4;\lsdpriority50 \lsdlocked0 List Table 5 Dark Accent 4;\lsdpriority51 \lsdlocked0 List Table 6 Colorful Accent 4;&#13;_x000a_\lsdpriority52 \lsdlocked0 List Table 7 Colorful Accent 4;\lsdpriority46 \lsdlocked0 List Table 1 Light Accent 5;\lsdpriority47 \lsdlocked0 List Table 2 Accent 5;\lsdpriority48 \lsdlocked0 List Table 3 Accent 5;&#13;_x000a_\lsdpriority49 \lsdlocked0 List Table 4 Accent 5;\lsdpriority50 \lsdlocked0 List Table 5 Dark Accent 5;\lsdpriority51 \lsdlocked0 List Table 6 Colorful Accent 5;\lsdpriority52 \lsdlocked0 List Table 7 Colorful Accent 5;&#13;_x000a_\lsdpriority46 \lsdlocked0 List Table 1 Light Accent 6;\lsdpriority47 \lsdlocked0 List Table 2 Accent 6;\lsdpriority48 \lsdlocked0 List Table 3 Accent 6;\lsdpriority49 \lsdlocked0 List Table 4 Accent 6;&#13;_x000a_\lsdpriority50 \lsdlocked0 List Table 5 Dark Accent 6;\lsdpriority51 \lsdlocked0 List Table 6 Colorful Accent 6;\lsdpriority52 \lsdlocked0 List Table 7 Colorful Accent 6;}}{\*\datastore 010500000200000018000000&#13;_x000a_4d73786d6c322e534158584d4c5265616465722e362e3000000000000000000000060000&#13;_x000a_d0cf11e0a1b11ae1000000000000000000000000000000003e000300feff090006000000000000000000000001000000010000000000000000100000feffffff00000000feffffff0000000000000000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dfffffffe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52006f006f007400200045006e00740072007900000000000000000000000000000000000000000000000000000000000000000000000000000000000000000016000500ffffffffffffffffffffffff0c6ad98892f1d411a65f0040963251e50000000000000000000000006054&#13;_x000a_9504b331d501feffffff00000000000000000000000000000000000000000000000000000000000000000000000000000000000000000000000000000000000000000000000000000000000000000000000000000000ffffffffffffffffffffffff00000000000000000000000000000000000000000000000000000000&#13;_x000a_00000000000000000000000000000000000000000000000000000000000000000000000000000000000000000000000000000000000000000000000000000000000000000000000000000000000000000000000000000000ffffffffffffffffffffffff0000000000000000000000000000000000000000000000000000&#13;_x000a_000000000000000000000000000000000000000000000000000000000000000000000000000000000000000000000000000000000000000000000000000000000000000000000000000000000000000000000000000000000000ffffffffffffffffffffffff000000000000000000000000000000000000000000000000&#13;_x000a_0000000000000000000000000000000000000000000000000105000000000000}}"/>
  </w:docVars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cs-CZ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pPr>
      <w:widowControl w:val="0"/>
    </w:pPr>
    <w:rPr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LineBottom">
    <w:name w:val="LineBottom"/>
    <w:basedOn w:val="Normal"/>
    <w:next w:val="Normal"/>
    <w:pPr>
      <w:widowControl/>
      <w:pBdr>
        <w:bottom w:val="single" w:sz="4" w:space="1" w:color="000000"/>
      </w:pBdr>
      <w:spacing w:after="240"/>
      <w:jc w:val="center"/>
    </w:pPr>
    <w:rPr>
      <w:rFonts w:ascii="Arial" w:eastAsia="Arial" w:hAnsi="Arial" w:cs="Arial"/>
      <w:sz w:val="16"/>
    </w:rPr>
  </w:style>
  <w:style w:type="paragraph" w:customStyle="1" w:styleId="EPTerm">
    <w:name w:val="EPTerm"/>
    <w:basedOn w:val="Normal"/>
    <w:next w:val="Normal"/>
    <w:pPr>
      <w:widowControl/>
      <w:spacing w:after="80"/>
    </w:pPr>
    <w:rPr>
      <w:rFonts w:ascii="Arial" w:eastAsia="Arial" w:hAnsi="Arial" w:cs="Arial"/>
      <w:sz w:val="20"/>
    </w:rPr>
  </w:style>
  <w:style w:type="paragraph" w:customStyle="1" w:styleId="EPLogo">
    <w:name w:val="EPLogo"/>
    <w:basedOn w:val="Normal"/>
    <w:pPr>
      <w:widowControl/>
      <w:jc w:val="right"/>
    </w:pPr>
  </w:style>
  <w:style w:type="paragraph" w:customStyle="1" w:styleId="EPName">
    <w:name w:val="EPName"/>
    <w:basedOn w:val="Normal"/>
    <w:pPr>
      <w:widowControl/>
      <w:spacing w:before="80" w:after="80"/>
    </w:pPr>
    <w:rPr>
      <w:rFonts w:ascii="Arial Narrow" w:eastAsia="Arial" w:hAnsi="Arial Narrow" w:cs="Arial"/>
      <w:b/>
      <w:sz w:val="32"/>
    </w:rPr>
  </w:style>
  <w:style w:type="paragraph" w:customStyle="1" w:styleId="CoverNormal24a">
    <w:name w:val="CoverNormal24a"/>
    <w:basedOn w:val="Normal"/>
    <w:pPr>
      <w:widowControl/>
      <w:spacing w:after="480"/>
      <w:ind w:left="1416"/>
    </w:pPr>
  </w:style>
  <w:style w:type="paragraph" w:customStyle="1" w:styleId="CoverNormal">
    <w:name w:val="CoverNormal"/>
    <w:basedOn w:val="Normal"/>
    <w:pPr>
      <w:widowControl/>
      <w:ind w:left="1418"/>
    </w:pPr>
  </w:style>
  <w:style w:type="paragraph" w:customStyle="1" w:styleId="CoverReference">
    <w:name w:val="CoverReference"/>
    <w:basedOn w:val="Normal"/>
    <w:pPr>
      <w:widowControl/>
      <w:spacing w:before="1080"/>
      <w:jc w:val="right"/>
    </w:pPr>
    <w:rPr>
      <w:rFonts w:ascii="Arial" w:eastAsia="Arial" w:hAnsi="Arial" w:cs="Arial"/>
      <w:b/>
    </w:rPr>
  </w:style>
  <w:style w:type="paragraph" w:customStyle="1" w:styleId="CoverDocType">
    <w:name w:val="CoverDocType"/>
    <w:basedOn w:val="Normal"/>
    <w:pPr>
      <w:widowControl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pPr>
      <w:widowControl/>
      <w:spacing w:before="240" w:after="1200"/>
    </w:pPr>
  </w:style>
  <w:style w:type="paragraph" w:customStyle="1" w:styleId="CoverDocType24a">
    <w:name w:val="CoverDocType24a"/>
    <w:basedOn w:val="Normal"/>
    <w:pPr>
      <w:widowControl/>
      <w:spacing w:after="480"/>
      <w:ind w:left="1416"/>
    </w:pPr>
    <w:rPr>
      <w:rFonts w:ascii="Arial" w:eastAsia="Arial" w:hAnsi="Arial" w:cs="Arial"/>
      <w:b/>
      <w:sz w:val="48"/>
    </w:rPr>
  </w:style>
  <w:style w:type="paragraph" w:customStyle="1" w:styleId="CoverBold">
    <w:name w:val="CoverBold"/>
    <w:basedOn w:val="Normal"/>
    <w:pPr>
      <w:widowControl/>
      <w:ind w:left="1416"/>
    </w:pPr>
    <w:rPr>
      <w:b/>
    </w:rPr>
  </w:style>
  <w:style w:type="paragraph" w:customStyle="1" w:styleId="EPBody">
    <w:name w:val="EPBody"/>
    <w:basedOn w:val="Normal"/>
    <w:pPr>
      <w:widowControl/>
      <w:jc w:val="center"/>
    </w:pPr>
    <w:rPr>
      <w:rFonts w:ascii="Arial" w:eastAsia="Arial" w:hAnsi="Arial" w:cs="Arial"/>
      <w:i/>
      <w:sz w:val="22"/>
    </w:rPr>
  </w:style>
  <w:style w:type="paragraph" w:customStyle="1" w:styleId="LineTop">
    <w:name w:val="LineTop"/>
    <w:basedOn w:val="Normal"/>
    <w:next w:val="Normal"/>
    <w:pPr>
      <w:widowControl/>
      <w:pBdr>
        <w:top w:val="single" w:sz="4" w:space="1" w:color="000000"/>
      </w:pBdr>
      <w:jc w:val="center"/>
    </w:pPr>
    <w:rPr>
      <w:rFonts w:ascii="Arial" w:eastAsia="Arial" w:hAnsi="Arial" w:cs="Arial"/>
      <w:sz w:val="16"/>
    </w:rPr>
  </w:style>
  <w:style w:type="character" w:customStyle="1" w:styleId="HideTWBExt">
    <w:name w:val="HideTWBExt"/>
    <w:rPr>
      <w:rFonts w:ascii="Arial" w:hAnsi="Arial"/>
      <w:vanish/>
      <w:color w:val="000080"/>
      <w:sz w:val="20"/>
    </w:rPr>
  </w:style>
  <w:style w:type="paragraph" w:customStyle="1" w:styleId="EPFooter2">
    <w:name w:val="EPFooter2"/>
    <w:basedOn w:val="Normal"/>
    <w:next w:val="Normal"/>
    <w:pPr>
      <w:widowControl/>
      <w:tabs>
        <w:tab w:val="center" w:pos="4534"/>
        <w:tab w:val="right" w:pos="9920"/>
      </w:tabs>
      <w:ind w:left="-840" w:right="-840"/>
    </w:pPr>
    <w:rPr>
      <w:rFonts w:ascii="Arial" w:eastAsia="Arial" w:hAnsi="Arial" w:cs="Arial"/>
      <w:b/>
      <w:sz w:val="48"/>
    </w:rPr>
  </w:style>
  <w:style w:type="character" w:customStyle="1" w:styleId="HideTWBInt">
    <w:name w:val="HideTWBInt"/>
    <w:rPr>
      <w:rFonts w:ascii="Arial" w:eastAsia="Arial" w:hAnsi="Arial" w:cs="Arial"/>
      <w:vanish/>
      <w:color w:val="808080"/>
      <w:sz w:val="20"/>
    </w:rPr>
  </w:style>
  <w:style w:type="paragraph" w:customStyle="1" w:styleId="NormalBold">
    <w:name w:val="NormalBold"/>
    <w:basedOn w:val="Normal"/>
    <w:pPr>
      <w:widowControl/>
    </w:pPr>
    <w:rPr>
      <w:b/>
    </w:rPr>
  </w:style>
  <w:style w:type="paragraph" w:customStyle="1" w:styleId="AmOrLang">
    <w:name w:val="AmOrLang"/>
    <w:basedOn w:val="Normal"/>
    <w:pPr>
      <w:widowControl/>
      <w:spacing w:before="240" w:after="240"/>
      <w:jc w:val="right"/>
    </w:pPr>
  </w:style>
  <w:style w:type="paragraph" w:customStyle="1" w:styleId="Normal6a">
    <w:name w:val="Normal6a"/>
    <w:basedOn w:val="Normal"/>
    <w:pPr>
      <w:widowControl/>
      <w:spacing w:after="120"/>
    </w:pPr>
  </w:style>
  <w:style w:type="paragraph" w:customStyle="1" w:styleId="AmColumnHeading">
    <w:name w:val="AmColumnHeading"/>
    <w:basedOn w:val="Normal"/>
    <w:pPr>
      <w:widowControl/>
      <w:spacing w:after="240"/>
      <w:jc w:val="center"/>
    </w:pPr>
    <w:rPr>
      <w:i/>
    </w:rPr>
  </w:style>
  <w:style w:type="paragraph" w:customStyle="1" w:styleId="AmNumberTabs">
    <w:name w:val="AmNumberTabs"/>
    <w:basedOn w:val="Normal"/>
    <w:pPr>
      <w:widowControl/>
      <w:tabs>
        <w:tab w:val="left" w:pos="878"/>
        <w:tab w:val="left" w:pos="936"/>
        <w:tab w:val="left" w:pos="1020"/>
        <w:tab w:val="left" w:pos="1076"/>
        <w:tab w:val="left" w:pos="1134"/>
        <w:tab w:val="left" w:pos="1190"/>
        <w:tab w:val="left" w:pos="1246"/>
        <w:tab w:val="left" w:pos="1304"/>
        <w:tab w:val="left" w:pos="1360"/>
        <w:tab w:val="left" w:pos="1418"/>
        <w:tab w:val="left" w:pos="1474"/>
        <w:tab w:val="left" w:pos="1530"/>
        <w:tab w:val="left" w:pos="1588"/>
        <w:tab w:val="left" w:pos="1644"/>
        <w:tab w:val="left" w:pos="1700"/>
        <w:tab w:val="left" w:pos="1758"/>
        <w:tab w:val="left" w:pos="1814"/>
        <w:tab w:val="left" w:pos="1870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EPFooter">
    <w:name w:val="EPFooter"/>
    <w:basedOn w:val="Normal"/>
    <w:pPr>
      <w:widowControl/>
      <w:tabs>
        <w:tab w:val="center" w:pos="4534"/>
        <w:tab w:val="right" w:pos="9070"/>
      </w:tabs>
      <w:spacing w:before="240" w:after="240"/>
    </w:pPr>
    <w:rPr>
      <w:sz w:val="22"/>
    </w:rPr>
  </w:style>
  <w:style w:type="paragraph" w:customStyle="1" w:styleId="AmCrossRef">
    <w:name w:val="AmCrossRef"/>
    <w:basedOn w:val="Normal"/>
    <w:pPr>
      <w:widowControl/>
      <w:spacing w:before="240" w:after="240"/>
      <w:jc w:val="center"/>
    </w:pPr>
    <w:rPr>
      <w:i/>
    </w:rPr>
  </w:style>
  <w:style w:type="character" w:customStyle="1" w:styleId="EPFooter2Motto">
    <w:name w:val="EPFooter2Motto"/>
    <w:rPr>
      <w:rFonts w:ascii="Arial" w:hAnsi="Arial"/>
      <w:b/>
      <w:i/>
      <w:color w:val="C0C0C0"/>
      <w:sz w:val="22"/>
    </w:rPr>
  </w:style>
  <w:style w:type="paragraph" w:customStyle="1" w:styleId="EPFooterLandscape">
    <w:name w:val="EPFooterLandscape"/>
    <w:pPr>
      <w:widowControl/>
      <w:tabs>
        <w:tab w:val="center" w:pos="6800"/>
        <w:tab w:val="right" w:pos="15020"/>
      </w:tabs>
    </w:pPr>
    <w:rPr>
      <w:sz w:val="22"/>
    </w:rPr>
  </w:style>
  <w:style w:type="paragraph" w:customStyle="1" w:styleId="Normal0">
    <w:name w:val="Normal0"/>
    <w:basedOn w:val="Normal"/>
    <w:pPr>
      <w:widowControl/>
    </w:pPr>
    <w:rPr>
      <w:sz w:val="0"/>
    </w:rPr>
  </w:style>
  <w:style w:type="paragraph" w:customStyle="1" w:styleId="EPFooter2Landscape">
    <w:name w:val="EPFooter2Landscape"/>
    <w:pPr>
      <w:widowControl/>
      <w:tabs>
        <w:tab w:val="center" w:pos="4520"/>
        <w:tab w:val="center" w:pos="9920"/>
        <w:tab w:val="right" w:pos="15020"/>
      </w:tabs>
    </w:pPr>
    <w:rPr>
      <w:rFonts w:ascii="Arial" w:eastAsia="Arial" w:hAnsi="Arial" w:cs="Arial"/>
      <w:b/>
      <w:sz w:val="48"/>
    </w:rPr>
  </w:style>
  <w:style w:type="character" w:customStyle="1" w:styleId="EPFooter2Middle">
    <w:name w:val="EPFooter2Middle"/>
    <w:rPr>
      <w:rFonts w:ascii="Arial" w:hAnsi="Arial"/>
      <w:b w:val="0"/>
      <w:i/>
      <w:color w:val="AEAAAA"/>
      <w:sz w:val="22"/>
      <w:shd w:val="pct50" w:color="auto" w:fill="auto" w:themeColor="bg2" w:themeFill="bg2"/>
    </w:rPr>
  </w:style>
  <w:style w:type="paragraph" w:customStyle="1" w:styleId="PMissingStyle">
    <w:name w:val="P_MissingStyle"/>
    <w:basedOn w:val="Normal"/>
    <w:pPr>
      <w:widowControl/>
    </w:pPr>
    <w:rPr>
      <w:color w:val="FFFFFF"/>
      <w:shd w:val="clear" w:color="000000" w:fill="000000"/>
    </w:rPr>
  </w:style>
  <w:style w:type="character" w:customStyle="1" w:styleId="CMissingStyle">
    <w:name w:val="C_MissingStyle"/>
    <w:rPr>
      <w:color w:val="FFFFFF"/>
      <w:sz w:val="22"/>
      <w:shd w:val="clear" w:color="000000" w:fill="000000"/>
    </w:rPr>
  </w:style>
  <w:style w:type="paragraph" w:customStyle="1" w:styleId="Normal12a">
    <w:name w:val="Normal12a"/>
    <w:basedOn w:val="Normal"/>
    <w:pPr>
      <w:widowControl/>
      <w:spacing w:after="240"/>
    </w:pPr>
  </w:style>
  <w:style w:type="paragraph" w:customStyle="1" w:styleId="NormalBold12b">
    <w:name w:val="NormalBold12b"/>
    <w:basedOn w:val="Normal"/>
    <w:pPr>
      <w:widowControl/>
      <w:spacing w:before="240"/>
    </w:pPr>
    <w:rPr>
      <w:b/>
    </w:rPr>
  </w:style>
  <w:style w:type="paragraph" w:customStyle="1" w:styleId="AmJustTitle">
    <w:name w:val="AmJustTitle"/>
    <w:basedOn w:val="Normal"/>
    <w:next w:val="AmJustText"/>
    <w:pPr>
      <w:keepNext/>
      <w:widowControl/>
      <w:spacing w:before="240" w:after="240"/>
      <w:jc w:val="center"/>
    </w:pPr>
    <w:rPr>
      <w:i/>
    </w:rPr>
  </w:style>
  <w:style w:type="paragraph" w:customStyle="1" w:styleId="AmJustText">
    <w:name w:val="AmJustText"/>
    <w:basedOn w:val="Normal"/>
    <w:pPr>
      <w:widowControl/>
      <w:spacing w:after="240"/>
    </w:pPr>
    <w:rPr>
      <w:i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footer" Target="footer1.xml" /><Relationship Id="rId6" Type="http://schemas.openxmlformats.org/officeDocument/2006/relationships/footer" Target="footer2.xml" /><Relationship Id="rId7" Type="http://schemas.openxmlformats.org/officeDocument/2006/relationships/footer" Target="footer3.xml" /><Relationship Id="rId8" Type="http://schemas.openxmlformats.org/officeDocument/2006/relationships/theme" Target="theme/theme1.xml" /><Relationship Id="rId9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</Template>
  <TotalTime>0</TotalTime>
  <Pages>67</Pages>
  <Words>15125</Words>
  <Characters>93718</Characters>
  <Application>Microsoft Office Word</Application>
  <DocSecurity>0</DocSecurity>
  <Lines>1</Lines>
  <Paragraphs>991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107974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AM_Com_NonLegReport</dc:title>
  <dc:creator>European Parliament</dc:creator>
  <cp:lastModifiedBy>European Parliament</cp:lastModifiedBy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CS</vt:lpwstr>
  </property>
  <property fmtid="{D5CDD505-2E9C-101B-9397-08002B2CF9AE}" pid="3" name="&lt;FdR&gt;">
    <vt:lpwstr>1331809</vt:lpwstr>
  </property>
  <property fmtid="{D5CDD505-2E9C-101B-9397-08002B2CF9AE}" pid="4" name="&lt;Model&gt;">
    <vt:lpwstr>AM_Com_NonLegReport</vt:lpwstr>
  </property>
  <property fmtid="{D5CDD505-2E9C-101B-9397-08002B2CF9AE}" pid="5" name="&lt;Type&gt;">
    <vt:lpwstr>AM</vt:lpwstr>
  </property>
  <property fmtid="{D5CDD505-2E9C-101B-9397-08002B2CF9AE}" pid="6" name="dmxml.render.id">
    <vt:lpwstr>297106</vt:lpwstr>
  </property>
  <property fmtid="{D5CDD505-2E9C-101B-9397-08002B2CF9AE}" pid="7" name="dmxml.render.traceId">
    <vt:lpwstr>69295d13e80a0140837646ebf5d794eb</vt:lpwstr>
  </property>
  <property fmtid="{D5CDD505-2E9C-101B-9397-08002B2CF9AE}" pid="8" name="FooterPath">
    <vt:lpwstr>AM\1331809CS.docx</vt:lpwstr>
  </property>
  <property fmtid="{D5CDD505-2E9C-101B-9397-08002B2CF9AE}" pid="9" name="PE Number">
    <vt:lpwstr>779.587</vt:lpwstr>
  </property>
  <property fmtid="{D5CDD505-2E9C-101B-9397-08002B2CF9AE}" pid="10" name="UID">
    <vt:lpwstr>eu.europa.europarl-DIN1-2025-0000220744_01.00-cs-01.00_text-xml</vt:lpwstr>
  </property>
</Properties>
</file>