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Odbor za proračunski nadzor</w:t>
      </w:r>
      <w:r>
        <w:rPr>
          <w:rStyle w:val="HideTWBExt"/>
        </w:rPr>
        <w:t>&lt;/Commission&gt;</w:t>
      </w:r>
    </w:p>
    <w:p>
      <w:pPr>
        <w:pStyle w:val="LineBottom"/>
      </w:pPr>
      <w:r>
        <w:t xml:space="preserve"> </w:t>
      </w:r>
    </w:p>
    <w:p>
      <w:pPr>
        <w:pStyle w:val="CoverReference"/>
      </w:pPr>
      <w:r>
        <w:rPr>
          <w:rStyle w:val="HideTWBExt"/>
        </w:rPr>
        <w:t>&lt;RefProc&gt;</w:t>
      </w:r>
      <w:r>
        <w:t>2025/2034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{14/11/2025}</w:t>
      </w:r>
      <w:r>
        <w:t>14.11.2025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111</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Olivier Chastel</w:t>
      </w:r>
      <w:r>
        <w:rPr>
          <w:rStyle w:val="HideTWBExt"/>
        </w:rPr>
        <w:t>&lt;/Rapporteur&gt;</w:t>
      </w:r>
    </w:p>
    <w:p>
      <w:pPr>
        <w:pStyle w:val="CoverNormal24a"/>
      </w:pPr>
      <w:r>
        <w:rPr>
          <w:rStyle w:val="HideTWBExt"/>
        </w:rPr>
        <w:t>&lt;DocRefPE&gt;</w:t>
      </w:r>
      <w:r>
        <w:t>(PE778.327v01-00)</w:t>
      </w:r>
      <w:r>
        <w:rPr>
          <w:rStyle w:val="HideTWBExt"/>
        </w:rPr>
        <w:t>&lt;/DocRefPE&gt;</w:t>
      </w:r>
    </w:p>
    <w:p>
      <w:pPr>
        <w:pStyle w:val="CoverNormal"/>
      </w:pPr>
      <w:r>
        <w:rPr>
          <w:rStyle w:val="HideTWBExt"/>
        </w:rPr>
        <w:t>&lt;Titre&gt;</w:t>
      </w:r>
      <w:r>
        <w:t>Odabir pokazatelja uspješnosti za reviziju i proračunski nadzor u kontekstu financijskih mjera za potporu provedbi buduće europske konkurentnosti</w:t>
      </w:r>
      <w:r>
        <w:rPr>
          <w:rStyle w:val="HideTWBExt"/>
        </w:rPr>
        <w:t>&lt;/Titre&gt;</w:t>
      </w:r>
    </w:p>
    <w:p>
      <w:pPr>
        <w:pStyle w:val="CoverNormal24a"/>
      </w:pPr>
      <w:r>
        <w:rPr>
          <w:rStyle w:val="HideTWBExt"/>
        </w:rPr>
        <w:t>&lt;DocRef&gt;</w:t>
      </w:r>
      <w:r>
        <w:t>(2025/2034(INI))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uzimajući u obzir Ugovor o funkcioniranju Europske unije,</w:t>
            </w:r>
          </w:p>
        </w:tc>
        <w:tc>
          <w:tcPr>
            <w:tcW w:w="4876" w:type="dxa"/>
            <w:tcBorders>
              <w:top w:val="nil"/>
              <w:left w:val="nil"/>
              <w:bottom w:val="nil"/>
              <w:right w:val="nil"/>
            </w:tcBorders>
          </w:tcPr>
          <w:p>
            <w:pPr>
              <w:pStyle w:val="Normal6a"/>
            </w:pPr>
            <w:r>
              <w:t>–</w:t>
            </w:r>
            <w:r>
              <w:tab/>
            </w:r>
            <w:r>
              <w:t xml:space="preserve">uzimajući u obzir Ugovor o funkcioniranju Europske unije, </w:t>
            </w:r>
            <w:r>
              <w:rPr>
                <w:b/>
                <w:i/>
              </w:rPr>
              <w:t>a posebno članak 318 i članak 322. stavak 1. točku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Međuinstitucijski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Pr>
                <w:b/>
                <w:i/>
                <w:vertAlign w:val="superscript"/>
              </w:rPr>
              <w:t>4</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SL L 433 I, 22.12.2020., str. 28., ELI:</w:t>
            </w:r>
            <w:r>
              <w:t xml:space="preserve"> </w:t>
            </w:r>
            <w:r>
              <w:rPr>
                <w:b/>
                <w:i/>
              </w:rPr>
              <w:t>http://data.europa.eu/eli/agree_interinstit/2020/1222/oj.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se člankom 318. UFEU-a od Komisije zahtijeva da Europskom parlamentu i Vijeću svake godine podnosi financijske izvještaje za prethodnu financijsku godinu koji se odnose na izvršenje proračuna i izvješće o ocjeni financija Unije na temelju postignutih rezultata;</w:t>
            </w:r>
            <w:r>
              <w:t xml:space="preserve"> </w:t>
            </w:r>
            <w:r>
              <w:rPr>
                <w:b/>
                <w:i/>
              </w:rPr>
              <w:t>nadalje, budući da bi se na temelju članka 322. UFEU-a financijska pravila trebala primjenjivati kako bi se utvrdilo izvršenje proračuna te kako bi se prikazali i revidirali financijski izvještaji;</w:t>
            </w:r>
            <w:r>
              <w:t xml:space="preserve"> </w:t>
            </w:r>
            <w:r>
              <w:rPr>
                <w:b/>
                <w:i/>
              </w:rPr>
              <w:t>budući da upotreba odgovarajućih, pouzdanih i transparentnih pokazatelja za postizanje rezultata i za potrebe revizije može poboljšati evaluaciju izvršenja proračuna i usporedbu na godišnjoj osnovi koju provode Europski parlament i Vijeće;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bi u skladu s Financijskom uredbom trebalo uspostaviti vezu između postavljenih ciljeva i pokazatelja uspješnosti, rezultata i načela ekonomičnosti, učinkovitosti i djelotvornosti; budući da bi napredak u postizanju ciljeva trebalo pratiti s pomoću pokazatelja uspješnosti koji </w:t>
            </w:r>
            <w:r>
              <w:rPr>
                <w:b/>
                <w:i/>
              </w:rPr>
              <w:t>su</w:t>
            </w:r>
            <w:r>
              <w:t xml:space="preserve"> relevantni, prihvaćeni, vjerodostojni, jednostavni, </w:t>
            </w:r>
            <w:r>
              <w:rPr>
                <w:b/>
                <w:i/>
              </w:rPr>
              <w:t>pouzdani i utemeljeni</w:t>
            </w:r>
            <w:r>
              <w:t xml:space="preserve"> na općepriznatim znanstvenim dokazima; budući da bi, prema potrebi, trebalo definirati učinkovitu, transparentnu i sveobuhvatnu metodologiju;</w:t>
            </w:r>
          </w:p>
        </w:tc>
        <w:tc>
          <w:tcPr>
            <w:tcW w:w="4876" w:type="dxa"/>
            <w:tcBorders>
              <w:top w:val="nil"/>
              <w:left w:val="nil"/>
              <w:bottom w:val="nil"/>
              <w:right w:val="nil"/>
            </w:tcBorders>
          </w:tcPr>
          <w:p>
            <w:pPr>
              <w:pStyle w:val="Normal6a"/>
            </w:pPr>
            <w:r>
              <w:t>B.</w:t>
            </w:r>
            <w:r>
              <w:tab/>
            </w:r>
            <w:r>
              <w:t xml:space="preserve">budući da bi u skladu s Financijskom uredbom trebalo uspostaviti vezu između postavljenih ciljeva i pokazatelja uspješnosti, rezultata i načela ekonomičnosti, učinkovitosti i djelotvornosti; budući da </w:t>
            </w:r>
            <w:r>
              <w:rPr>
                <w:b/>
                <w:i/>
              </w:rPr>
              <w:t>je preinačenom Financijskom uredbom iz 2024. ojačana pravna osnova okvira uspješnosti i da je potvrđeno da</w:t>
            </w:r>
            <w:r>
              <w:t xml:space="preserve"> bi napredak u postizanju ciljeva trebalo pratiti s pomoću pokazatelja uspješnosti koji </w:t>
            </w:r>
            <w:r>
              <w:rPr>
                <w:b/>
                <w:i/>
              </w:rPr>
              <w:t>ispunjavaju kriterije RACER (</w:t>
            </w:r>
            <w:r>
              <w:t xml:space="preserve">relevantni, prihvaćeni, vjerodostojni, jednostavni, </w:t>
            </w:r>
            <w:r>
              <w:rPr>
                <w:b/>
                <w:i/>
              </w:rPr>
              <w:t>čvrsti) i koji se temelje</w:t>
            </w:r>
            <w:r>
              <w:t xml:space="preserve"> na općepriznatim znanstvenim dokazima </w:t>
            </w:r>
            <w:r>
              <w:rPr>
                <w:b/>
                <w:i/>
              </w:rPr>
              <w:t>te, prema potrebi, raščlanjeni po spolu i agregirani</w:t>
            </w:r>
            <w:r>
              <w:t>; budući da bi, prema potrebi, trebalo definirati učinkovitu, transparentnu i sveobuhvatnu metodologiju;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bi u skladu s Financijskom uredbom trebalo uspostaviti vezu između postavljenih ciljeva i pokazatelja uspješnosti, rezultata i načela ekonomičnosti, učinkovitosti i djelotvornosti; budući da bi napredak u postizanju ciljeva trebalo pratiti s pomoću pokazatelja uspješnosti koji su relevantni, prihvaćeni, vjerodostojni, jednostavni, pouzdani i utemeljeni na općepriznatim znanstvenim dokazima; budući da bi, prema potrebi, trebalo definirati učinkovitu, transparentnu i sveobuhvatnu metodologiju;</w:t>
            </w:r>
          </w:p>
        </w:tc>
        <w:tc>
          <w:tcPr>
            <w:tcW w:w="4876" w:type="dxa"/>
            <w:tcBorders>
              <w:top w:val="nil"/>
              <w:left w:val="nil"/>
              <w:bottom w:val="nil"/>
              <w:right w:val="nil"/>
            </w:tcBorders>
          </w:tcPr>
          <w:p>
            <w:pPr>
              <w:pStyle w:val="Normal6a"/>
            </w:pPr>
            <w:r>
              <w:t>B.</w:t>
            </w:r>
            <w:r>
              <w:tab/>
            </w:r>
            <w:r>
              <w:t>budući da bi u skladu s Financijskom uredbom trebalo uspostaviti vezu između postavljenih ciljeva i pokazatelja uspješnosti, rezultata i načela ekonomičnosti, učinkovitosti i djelotvornosti; budući da bi napredak u postizanju ciljeva trebalo pratiti s pomoću pokazatelja uspješnosti koji su relevantni, prihvaćeni, vjerodostojni, jednostavni, pouzdani i utemeljeni na općepriznatim znanstvenim dokazima</w:t>
            </w:r>
            <w:r>
              <w:rPr>
                <w:b/>
                <w:i/>
              </w:rPr>
              <w:t>, s jasnim definicijama i koji su dostupni u otvorenom strojno čitljivom formatu</w:t>
            </w:r>
            <w:r>
              <w:t>; budući da bi, prema potrebi, trebalo definirati učinkovitu, transparentnu i sveobuhvatnu metodologiju;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se Komisijinim Prijedlogom uredbe Europskog parlamenta i Vijeća o uspostavi okvira za praćenje proračunskih rashoda i uspješnost te drugih horizontalnih pravila za programe i aktivnosti Unije uspostavlja jedinstveni okvir za izradu proračuna na temelju uspješnosti,</w:t>
            </w:r>
            <w:r>
              <w:t xml:space="preserve"> </w:t>
            </w:r>
            <w:r>
              <w:rPr>
                <w:b/>
                <w:i/>
              </w:rPr>
              <w:t>budući da se u prijedlogu „pokazatelj ostvarenja” definira kao kvantitativni pokazatelj uspješnosti kojim se prati ono što se izravno proizvodi ili podupire provedbom aktivnosti, a „pokazatelj rezultata” kao kvantitativni pokazatelj uspješnosti kojim se prate izravni učinci podupiranih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je osiguravanje održivog blagostanja i konkurentnosti EU-a dio političkih prioriteta Komisije za razdoblje 2024. – 2029.;</w:t>
            </w:r>
          </w:p>
        </w:tc>
        <w:tc>
          <w:tcPr>
            <w:tcW w:w="4876" w:type="dxa"/>
            <w:tcBorders>
              <w:top w:val="nil"/>
              <w:left w:val="nil"/>
              <w:bottom w:val="nil"/>
              <w:right w:val="nil"/>
            </w:tcBorders>
          </w:tcPr>
          <w:p>
            <w:pPr>
              <w:pStyle w:val="Normal6a"/>
            </w:pPr>
            <w:r>
              <w:t>C.</w:t>
            </w:r>
            <w:r>
              <w:tab/>
            </w:r>
            <w:r>
              <w:t xml:space="preserve">budući da je osiguravanje održivog blagostanja i konkurentnosti EU-a </w:t>
            </w:r>
            <w:r>
              <w:rPr>
                <w:b/>
                <w:i/>
              </w:rPr>
              <w:t>ključni</w:t>
            </w:r>
            <w:r>
              <w:t xml:space="preserve"> dio političkih prioriteta Komisije za razdoblje 2024. – 2029.; </w:t>
            </w:r>
            <w:r>
              <w:rPr>
                <w:b/>
                <w:i/>
              </w:rPr>
              <w:t>budući da će za učinkovito ostvarivanje tih ciljeva biti potrebno privući i mobilizirati privatna ulaganja, za što će biti ključno dovršenje bankovne unije i razvoj unije štednje i ulaganja;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je osiguravanje održivog blagostanja i konkurentnosti EU-a dio političkih prioriteta Komisije za razdoblje 2024. – 2029.;</w:t>
            </w:r>
          </w:p>
        </w:tc>
        <w:tc>
          <w:tcPr>
            <w:tcW w:w="4876" w:type="dxa"/>
            <w:tcBorders>
              <w:top w:val="nil"/>
              <w:left w:val="nil"/>
              <w:bottom w:val="nil"/>
              <w:right w:val="nil"/>
            </w:tcBorders>
          </w:tcPr>
          <w:p>
            <w:pPr>
              <w:pStyle w:val="Normal6a"/>
            </w:pPr>
            <w:r>
              <w:t>C.</w:t>
            </w:r>
            <w:r>
              <w:tab/>
            </w:r>
            <w:r>
              <w:t>budući da je osiguravanje održivog blagostanja i konkurentnosti EU-a</w:t>
            </w:r>
            <w:r>
              <w:rPr>
                <w:b/>
                <w:i/>
              </w:rPr>
              <w:t>, promicanje socijalne pravednosti i jačanje regionalne kohezije</w:t>
            </w:r>
            <w:r>
              <w:t xml:space="preserve"> dio političkih prioriteta Komisije za razdoblje 2024. – 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se u Draghijevu izvješću upozorava da smanjenje konkurentnosti EU-a, pogoršano sve nestabilnijim geopolitičkim okruženjem, zajedno s nizom kriza s kojima se suočava posljednjih godina, predstavlja egzistencijalnu prijetnju Uniji; budući da se u izvješću procjenjuje da EU treba mobilizirati dodatna javna i privatna ulaganja u iznosu od 4,4 – 4,7 % BDP-a EU-a, odnosno oko 750 – 800 milijardi EUR godišnje u razdoblju od 2025. do 2030., kako bi se premostio investicijski jaz;</w:t>
            </w:r>
          </w:p>
        </w:tc>
        <w:tc>
          <w:tcPr>
            <w:tcW w:w="4876" w:type="dxa"/>
            <w:tcBorders>
              <w:top w:val="nil"/>
              <w:left w:val="nil"/>
              <w:bottom w:val="nil"/>
              <w:right w:val="nil"/>
            </w:tcBorders>
          </w:tcPr>
          <w:p>
            <w:pPr>
              <w:pStyle w:val="Normal6a"/>
            </w:pPr>
            <w:r>
              <w:t>D.</w:t>
            </w:r>
            <w:r>
              <w:tab/>
            </w:r>
            <w:r>
              <w:t xml:space="preserve">budući da se u Draghijevu izvješću upozorava da smanjenje konkurentnosti EU-a, pogoršano sve nestabilnijim geopolitičkim okruženjem, zajedno s nizom kriza s kojima se suočava posljednjih godina, predstavlja egzistencijalnu prijetnju Uniji; budući da se u izvješću </w:t>
            </w:r>
            <w:r>
              <w:rPr>
                <w:b/>
                <w:i/>
              </w:rPr>
              <w:t>navodi da je jedini način za suočavanje s tim izazovom rast i povećanje produktivnosti, uz istodobno očuvanje naših vrijednosti pravednosti i socijalne uključenosti;</w:t>
            </w:r>
            <w:r>
              <w:t xml:space="preserve"> </w:t>
            </w:r>
            <w:r>
              <w:rPr>
                <w:b/>
                <w:i/>
              </w:rPr>
              <w:t>budući da se u izvješću</w:t>
            </w:r>
            <w:r>
              <w:t xml:space="preserve"> procjenjuje da EU treba mobilizirati dodatna javna i privatna ulaganja u iznosu od 4,4 – 4,7 % BDP-a EU-a, odnosno oko 750 – 800 milijardi EUR godišnje u razdoblju od 2025. do 2030., kako bi se premostio investicijski jaz; </w:t>
            </w:r>
            <w:r>
              <w:rPr>
                <w:b/>
                <w:i/>
              </w:rPr>
              <w:t>budući da bi ta golema ulaganja prvenstveno trebalo usmjeriti na usporednu zelenu i digitalnu tranziciju, čime bi se osigurala socijalna i okolišna održivost;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je u Draghijevu izvješću dokumentirano da visoke cijene energije u Europi, koje su trenutačno dva do tri puta više nego u SAD-u ili Kini, ugrožavaju konkurentnost Unije;</w:t>
            </w:r>
            <w:r>
              <w:t xml:space="preserve"> </w:t>
            </w:r>
            <w:r>
              <w:rPr>
                <w:b/>
                <w:i/>
              </w:rPr>
              <w:t>budući da je trenutačni sustav EU-a za trgovanje emisijama (ETS), unatoč svojoj ekološkoj svrsi, znatno pridonio nestabilnosti cijena i umjetnom povećanju troškova proizvodnje električne energije;</w:t>
            </w:r>
            <w:r>
              <w:t xml:space="preserve"> </w:t>
            </w:r>
            <w:r>
              <w:rPr>
                <w:b/>
                <w:i/>
              </w:rPr>
              <w:t>budući da model graničnih cijena na tržištu električne energije EU-a omogućuje da najskuplji izvor energije, obično proizvodnja na ugljen ili plin, odredi konačnu tržišnu cijenu, što dovodi do strukturnog precjenjivanja jeftinijih i obnovljivih izvora električne energije;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budući da je u Draghijevu izvješću istaknuto da su nedovoljna energetska povezanost i fragmentirana nacionalna infrastruktura i dalje velike prepreke postizanju integriranog i otpornog europskog energetskog tržišta, zbog čega unutarnje tržište ne može funkcionirati kao istinsko jedinstveno energetsko tržište, na štetu europskih potrošača i poduzeća;</w:t>
            </w:r>
            <w:r>
              <w:t xml:space="preserve"> </w:t>
            </w:r>
            <w:r>
              <w:rPr>
                <w:b/>
                <w:i/>
              </w:rPr>
              <w:t>budući da su veće prekogranične energetske interkonekcije, uključujući elektroenergetske mreže, plinske mreže i koridore za vodik, ključne za smanjenje troškova energije, poboljšanje sigurnosti opskrbe, omogućivanje potpune upotrebe energije iz obnovljivih izvora i osiguravanje da se prijelazom Europe na čistu energiju ojača, a ne oslabi, njezina industrijska konkurentnost;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budući da su dovršetak i modernizacija europskih prometnih koridora, uključujući unutarnje plovne putove, željezničke mreže i cestovnu infrastrukturu, ključni za jačanje konkurentnosti EU-a, olakšavanje učinkovite povezanosti zapad-istok i osiguravanje neometanog pristupa proizvoda iz EU-a novim tržištima, uključujući Aziju;</w:t>
            </w:r>
            <w:r>
              <w:t xml:space="preserve"> </w:t>
            </w:r>
            <w:r>
              <w:rPr>
                <w:b/>
                <w:i/>
              </w:rPr>
              <w:t>budući da će se potpuno funkcionalnim multimodalnim koridorima skratiti vrijeme tranzita i smanjiti ugljični otisak i logistički troškovi, poboljšati trgovinski tokovi i poduprijeti gospodarska kohezija u svim državama članicama;</w:t>
            </w:r>
            <w:r>
              <w:t xml:space="preserve"> </w:t>
            </w:r>
            <w:r>
              <w:rPr>
                <w:b/>
                <w:i/>
              </w:rPr>
              <w:t>budući da je ulaganje u te strateške koridore ključan element europske globalne trgovinske strategije i industrijske otpornosti;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budući da crnomorska regija ima stratešku ulogu u jačanju povezanosti Europske unije s Bliskim istokom i Azijom te služi kao ključna točka pristupa trgovinskim putovima, opskrbi energijom i pristupu kritičnim sirovinama, uključujući prirodni plin, rijetke metale i druge ključne resurse;</w:t>
            </w:r>
            <w:r>
              <w:t xml:space="preserve"> </w:t>
            </w:r>
            <w:r>
              <w:rPr>
                <w:b/>
                <w:i/>
              </w:rPr>
              <w:t>budući da je jačanje prometne, energetske i digitalne infrastrukture u crnomorskom bazenu ključno za diversifikaciju lanaca opskrbe, osiguravanje energetske sigurnosti i povećanje industrijske konkurentnosti i otpornosti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budući da je Srednji koridor, koji povezuje Europu sa srednjom Azijom i Bliskim istokom preko južnog Kavkaza i kaspijske regije, strateški trgovinski put kojim se povećava konkurentnost EU-a skraćivanjem vremena tranzita, smanjenjem logističkih troškova, diversifikacijom lanaca opskrbe i jačanjem industrijske otpornosti;</w:t>
            </w:r>
            <w:r>
              <w:t xml:space="preserve"> </w:t>
            </w:r>
            <w:r>
              <w:rPr>
                <w:b/>
                <w:i/>
              </w:rPr>
              <w:t>budući da su ciljana ulaganja u željezničku, cestovnu i lučku infrastrukturu, kao i energetski i podatkovni kabeli duž tog koridora, ključna za sigurne, učinkovite i održive trgovinske tokove;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budući da se u Kompasu za konkurentnost, koji se također nadovezuje na Draghijevo izvješće, utvrđuje strateški put Unije prema ponovnoj globalnoj konkurentnosti usmjeravanjem na tri središnja stupa – inovacije, dekarbonizaciju i gospodarsku sigurnost – dopunjena horizontalnim pospješujućim čimbenicima kao što su pojednostavnjenje, povećana koordinacija na razini EU-a i država članica te ojačano jedinstveno tržište, u skladu s izvješćem Lette;</w:t>
            </w:r>
          </w:p>
        </w:tc>
        <w:tc>
          <w:tcPr>
            <w:tcW w:w="4876" w:type="dxa"/>
            <w:tcBorders>
              <w:top w:val="nil"/>
              <w:left w:val="nil"/>
              <w:bottom w:val="nil"/>
              <w:right w:val="nil"/>
            </w:tcBorders>
          </w:tcPr>
          <w:p>
            <w:pPr>
              <w:pStyle w:val="Normal6a"/>
            </w:pPr>
            <w:r>
              <w:t>E.</w:t>
            </w:r>
            <w:r>
              <w:tab/>
            </w:r>
            <w:r>
              <w:t xml:space="preserve">budući da se u Kompasu za konkurentnost, koji se također nadovezuje na Draghijevo izvješće, utvrđuje strateški put Unije prema ponovnoj globalnoj konkurentnosti usmjeravanjem na tri središnja stupa – inovacije, dekarbonizaciju i gospodarsku sigurnost – dopunjena horizontalnim pospješujućim čimbenicima kao što su pojednostavnjenje, </w:t>
            </w:r>
            <w:r>
              <w:rPr>
                <w:b/>
                <w:i/>
              </w:rPr>
              <w:t>promicanje vještina i kvalitetnih radnih mjesta,</w:t>
            </w:r>
            <w:r>
              <w:t xml:space="preserve"> povećana koordinacija na razini EU-a i država članica te ojačano jedinstveno tržište, u skladu s izvješćem Lette; </w:t>
            </w:r>
            <w:r>
              <w:rPr>
                <w:b/>
                <w:i/>
              </w:rPr>
              <w:t>budući da se svaka strategija za konkurentnost mora temeljiti na europskom stupu socijalnih prava, ciljevima održivog razvoja UN-a i načelima pravednog oporezivanja, socijalne kohezije i smanjenja nejednakosti;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je Revizorski sud u više navrata utvrdio nedostatke u osmišljavanju, provedbi i odgovornosti sustava za mjerenje uspješnosti koji se upotrebljavaju za programe financiranja EU-a te je pozvao na povećanu upotrebu pokazatelja uspješnosti kojima se mjere i prate dugoročniji učinci potrošnje EU-a;</w:t>
            </w:r>
          </w:p>
        </w:tc>
        <w:tc>
          <w:tcPr>
            <w:tcW w:w="4876" w:type="dxa"/>
            <w:tcBorders>
              <w:top w:val="nil"/>
              <w:left w:val="nil"/>
              <w:bottom w:val="nil"/>
              <w:right w:val="nil"/>
            </w:tcBorders>
          </w:tcPr>
          <w:p>
            <w:pPr>
              <w:pStyle w:val="Normal6a"/>
            </w:pPr>
            <w:r>
              <w:t>F.</w:t>
            </w:r>
            <w:r>
              <w:tab/>
            </w:r>
            <w:r>
              <w:t xml:space="preserve">budući da je Revizorski sud u više navrata utvrdio nedostatke u osmišljavanju, provedbi i odgovornosti sustava za mjerenje uspješnosti koji se upotrebljavaju za programe financiranja EU-a te je pozvao na povećanu upotrebu pokazatelja uspješnosti kojima se mjere i prate dugoročniji učinci potrošnje EU-a; </w:t>
            </w:r>
            <w:r>
              <w:rPr>
                <w:b/>
                <w:i/>
              </w:rPr>
              <w:t>budući da je jamčenje pouzdanosti informacija o uspješnosti neophodno za zaštitu financijskih interesa Unije i jačanje povjerenja javnosti u proračun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je u privremenoj evaluaciji programa InvestEU utvrđeno da je provedba dobro napredovala i da poticanjem inovacija doprinosi zelenim, digitalnim i socijalnim ciljevima EU-a, uz istodobno isticanje trajnog administrativnog opterećenja;</w:t>
            </w:r>
            <w:r>
              <w:t xml:space="preserve"> </w:t>
            </w:r>
            <w:r>
              <w:rPr>
                <w:b/>
                <w:i/>
              </w:rPr>
              <w:t>budući da se u evaluaciji napominje da su, s obzirom na ranu fazu provedbe programa, sveobuhvatni podaci o ključnim pokazateljima uspješnosti i ključnim pokazateljima praćenja ograničeni;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su potrebne odlučne mjere za povećanje konkurentnosti Europe kako bi se poduprle više razine produktivnosti, zapošljavanja i blagostanja;</w:t>
            </w:r>
            <w:r>
              <w:t xml:space="preserve"> </w:t>
            </w:r>
            <w:r>
              <w:rPr>
                <w:b/>
                <w:i/>
              </w:rPr>
              <w:t>budući da je integrirano jedinstveno tržište i dalje okosnica gospodarske snage EU-a i temelj njegova dugoročnog blagostanja;</w:t>
            </w:r>
            <w:r>
              <w:t xml:space="preserve"> </w:t>
            </w:r>
            <w:r>
              <w:rPr>
                <w:b/>
                <w:i/>
              </w:rPr>
              <w:t>budući da su inovacije, razvoj vještina i slobodno kretanje robe, usluga, kapitala i radne snage ključni pokretači konkurentnosti i rasta;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potrošnja EU-a usmjerena na konkurentnost mora biti u skladu s načelom nenanošenja bitne štete i taksonomijom EU-a te bi trebala uključivati ciljeve u području klime, biološke raznolikosti, socijalnih pitanja i rodne ravnopravnosti, osiguravajući da pokazatelji uspješnosti prate te dimenzije zajedno s ekonomskim rezultatima i ishodima;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podsjeća da je potrebno osigurati da se proračunom EU-a ostvare politički prioriteti Unije, uključujući poticanje konkurentnosti</w:t>
            </w:r>
            <w:r>
              <w:rPr>
                <w:b/>
                <w:i/>
              </w:rPr>
              <w:t>, poticanje održivog blagostanja i osiguravanje suvereniteta i neovisnosti EU-a kao geopolitičkog aktera</w:t>
            </w:r>
            <w:r>
              <w:t>;</w:t>
            </w:r>
          </w:p>
        </w:tc>
        <w:tc>
          <w:tcPr>
            <w:tcW w:w="4876" w:type="dxa"/>
            <w:tcBorders>
              <w:top w:val="nil"/>
              <w:left w:val="nil"/>
              <w:bottom w:val="nil"/>
              <w:right w:val="nil"/>
            </w:tcBorders>
          </w:tcPr>
          <w:p>
            <w:pPr>
              <w:pStyle w:val="Normal6a"/>
            </w:pPr>
            <w:r>
              <w:t>1.</w:t>
            </w:r>
            <w:r>
              <w:tab/>
            </w:r>
            <w:r>
              <w:t xml:space="preserve">podsjeća da je potrebno osigurati da se proračunom EU-a ostvare politički prioriteti Unije, uključujući poticanje </w:t>
            </w:r>
            <w:r>
              <w:rPr>
                <w:b/>
                <w:i/>
              </w:rPr>
              <w:t>gospodarskog rasta i</w:t>
            </w:r>
            <w:r>
              <w:t xml:space="preserve"> konkurentnosti </w:t>
            </w:r>
            <w:r>
              <w:rPr>
                <w:b/>
                <w:i/>
              </w:rPr>
              <w:t>te stvaranje jasne dodane vrijednosti za građane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podsjeća da je potrebno osigurati da se proračunom EU-a ostvare </w:t>
            </w:r>
            <w:r>
              <w:rPr>
                <w:b/>
                <w:i/>
              </w:rPr>
              <w:t>politički prioriteti Unije, uključujući poticanje</w:t>
            </w:r>
            <w:r>
              <w:t xml:space="preserve"> konkurentnosti</w:t>
            </w:r>
            <w:r>
              <w:rPr>
                <w:b/>
                <w:i/>
              </w:rPr>
              <w:t>, poticanje</w:t>
            </w:r>
            <w:r>
              <w:t xml:space="preserve"> održivog blagostanja </w:t>
            </w:r>
            <w:r>
              <w:rPr>
                <w:b/>
                <w:i/>
              </w:rPr>
              <w:t>i osiguravanje</w:t>
            </w:r>
            <w:r>
              <w:t xml:space="preserve"> suvereniteta i neovisnosti EU-a kao geopolitičkog aktera;</w:t>
            </w:r>
          </w:p>
        </w:tc>
        <w:tc>
          <w:tcPr>
            <w:tcW w:w="4876" w:type="dxa"/>
            <w:tcBorders>
              <w:top w:val="nil"/>
              <w:left w:val="nil"/>
              <w:bottom w:val="nil"/>
              <w:right w:val="nil"/>
            </w:tcBorders>
          </w:tcPr>
          <w:p>
            <w:pPr>
              <w:pStyle w:val="Normal6a"/>
            </w:pPr>
            <w:r>
              <w:t>1.</w:t>
            </w:r>
            <w:r>
              <w:tab/>
            </w:r>
            <w:r>
              <w:t xml:space="preserve">podsjeća da je potrebno osigurati da se proračunom EU-a ostvare </w:t>
            </w:r>
            <w:r>
              <w:rPr>
                <w:b/>
                <w:i/>
              </w:rPr>
              <w:t>konkretni rezultati u skladu s načelima dobrog financijskog upravljanja, s naglaskom na mjerljivim pokazateljima usmjerenima na produktivnost, zapošljavanje i inovacije, u cilju poticanja</w:t>
            </w:r>
            <w:r>
              <w:t xml:space="preserve"> konkurentnosti </w:t>
            </w:r>
            <w:r>
              <w:rPr>
                <w:b/>
                <w:i/>
              </w:rPr>
              <w:t>i</w:t>
            </w:r>
            <w:r>
              <w:t xml:space="preserve"> održivog blagostanja</w:t>
            </w:r>
            <w:r>
              <w:rPr>
                <w:b/>
                <w:i/>
              </w:rPr>
              <w:t>, osiguravanja</w:t>
            </w:r>
            <w:r>
              <w:t xml:space="preserve"> suvereniteta i neovisnosti EU-a kao geopolitičkog aktera;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podsjeća da je potrebno osigurati da se proračunom EU-a </w:t>
            </w:r>
            <w:r>
              <w:rPr>
                <w:b/>
                <w:i/>
              </w:rPr>
              <w:t>ostvare</w:t>
            </w:r>
            <w:r>
              <w:t xml:space="preserve"> politički prioriteti Unije, uključujući poticanje konkurentnosti</w:t>
            </w:r>
            <w:r>
              <w:rPr>
                <w:b/>
                <w:i/>
              </w:rPr>
              <w:t>, poticanje</w:t>
            </w:r>
            <w:r>
              <w:t xml:space="preserve"> održivog blagostanja </w:t>
            </w:r>
            <w:r>
              <w:rPr>
                <w:b/>
                <w:i/>
              </w:rPr>
              <w:t>i</w:t>
            </w:r>
            <w:r>
              <w:t xml:space="preserve"> osiguravanje suvereniteta i neovisnosti EU-a kao geopolitičkog aktera;</w:t>
            </w:r>
          </w:p>
        </w:tc>
        <w:tc>
          <w:tcPr>
            <w:tcW w:w="4876" w:type="dxa"/>
            <w:tcBorders>
              <w:top w:val="nil"/>
              <w:left w:val="nil"/>
              <w:bottom w:val="nil"/>
              <w:right w:val="nil"/>
            </w:tcBorders>
          </w:tcPr>
          <w:p>
            <w:pPr>
              <w:pStyle w:val="Normal6a"/>
            </w:pPr>
            <w:r>
              <w:t>1.</w:t>
            </w:r>
            <w:r>
              <w:tab/>
            </w:r>
            <w:r>
              <w:t xml:space="preserve">podsjeća da je potrebno osigurati da se proračunom EU-a </w:t>
            </w:r>
            <w:r>
              <w:rPr>
                <w:b/>
                <w:i/>
              </w:rPr>
              <w:t>ostvaruju</w:t>
            </w:r>
            <w:r>
              <w:t xml:space="preserve"> politički prioriteti Unije </w:t>
            </w:r>
            <w:r>
              <w:rPr>
                <w:b/>
                <w:i/>
              </w:rPr>
              <w:t>i da je usmjeren na ulaganja u područjima u kojima zajedničko djelovanje Unije ima veći učinak i dodanu vrijednost u usporedbi s nacionalnim ili podnacionalnim političkim djelovanjem</w:t>
            </w:r>
            <w:r>
              <w:t xml:space="preserve">, uključujući poticanje konkurentnosti </w:t>
            </w:r>
            <w:r>
              <w:rPr>
                <w:b/>
                <w:i/>
              </w:rPr>
              <w:t>i</w:t>
            </w:r>
            <w:r>
              <w:t xml:space="preserve"> održivog blagostanja </w:t>
            </w:r>
            <w:r>
              <w:rPr>
                <w:b/>
                <w:i/>
              </w:rPr>
              <w:t>te</w:t>
            </w:r>
            <w:r>
              <w:t xml:space="preserve"> osiguravanje suvereniteta i neovisnosti EU-a kao geopolitičkog aktera;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podsjeća</w:t>
            </w:r>
            <w:r>
              <w:t xml:space="preserve"> da je potrebno osigurati da se proračunom EU-a ostvare </w:t>
            </w:r>
            <w:r>
              <w:rPr>
                <w:b/>
                <w:i/>
              </w:rPr>
              <w:t>politički prioriteti</w:t>
            </w:r>
            <w:r>
              <w:t xml:space="preserve"> Unije</w:t>
            </w:r>
            <w:r>
              <w:rPr>
                <w:b/>
                <w:i/>
              </w:rPr>
              <w:t>, uključujući poticanje</w:t>
            </w:r>
            <w:r>
              <w:t xml:space="preserve"> konkurentnosti, poticanje održivog blagostanja i osiguravanje suvereniteta i neovisnosti EU-a kao geopolitičkog aktera;</w:t>
            </w:r>
          </w:p>
        </w:tc>
        <w:tc>
          <w:tcPr>
            <w:tcW w:w="4876" w:type="dxa"/>
            <w:tcBorders>
              <w:top w:val="nil"/>
              <w:left w:val="nil"/>
              <w:bottom w:val="nil"/>
              <w:right w:val="nil"/>
            </w:tcBorders>
          </w:tcPr>
          <w:p>
            <w:pPr>
              <w:pStyle w:val="Normal6a"/>
            </w:pPr>
            <w:r>
              <w:t>1.</w:t>
            </w:r>
            <w:r>
              <w:tab/>
            </w:r>
            <w:r>
              <w:rPr>
                <w:b/>
                <w:i/>
              </w:rPr>
              <w:t>naglašava</w:t>
            </w:r>
            <w:r>
              <w:t xml:space="preserve"> da je potrebno osigurati da se proračunom EU-a ostvare </w:t>
            </w:r>
            <w:r>
              <w:rPr>
                <w:b/>
                <w:i/>
              </w:rPr>
              <w:t>tri glavna prioriteta politike</w:t>
            </w:r>
            <w:r>
              <w:t xml:space="preserve"> Unije</w:t>
            </w:r>
            <w:r>
              <w:rPr>
                <w:b/>
                <w:i/>
              </w:rPr>
              <w:t>:</w:t>
            </w:r>
            <w:r>
              <w:t xml:space="preserve"> </w:t>
            </w:r>
            <w:r>
              <w:rPr>
                <w:b/>
                <w:i/>
              </w:rPr>
              <w:t>jačanje</w:t>
            </w:r>
            <w:r>
              <w:t xml:space="preserve"> konkurentnosti, poticanje održivog blagostanja i osiguravanje suvereniteta i neovisnosti EU-a kao geopolitičkog aktera; </w:t>
            </w:r>
            <w:r>
              <w:rPr>
                <w:b/>
                <w:i/>
              </w:rPr>
              <w:t>nadalje naglašava da su regulatorne promjene jednako važne kao i mjere financiranja za postizanje tih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podsjeća da je potrebno osigurati da se proračunom EU-a ostvare politički prioriteti Unije, uključujući poticanje konkurentnosti, poticanje održivog blagostanja i osiguravanje suvereniteta i neovisnosti EU-a kao geopolitičkog aktera;</w:t>
            </w:r>
          </w:p>
        </w:tc>
        <w:tc>
          <w:tcPr>
            <w:tcW w:w="4876" w:type="dxa"/>
            <w:tcBorders>
              <w:top w:val="nil"/>
              <w:left w:val="nil"/>
              <w:bottom w:val="nil"/>
              <w:right w:val="nil"/>
            </w:tcBorders>
          </w:tcPr>
          <w:p>
            <w:pPr>
              <w:pStyle w:val="Normal6a"/>
            </w:pPr>
            <w:r>
              <w:t>1.</w:t>
            </w:r>
            <w:r>
              <w:tab/>
            </w:r>
            <w:r>
              <w:t xml:space="preserve">podsjeća da je potrebno osigurati da se proračunom EU-a ostvare politički prioriteti Unije, uključujući poticanje konkurentnosti, poticanje održivog </w:t>
            </w:r>
            <w:r>
              <w:rPr>
                <w:b/>
                <w:i/>
              </w:rPr>
              <w:t>i uključivog</w:t>
            </w:r>
            <w:r>
              <w:t xml:space="preserve"> blagostanja</w:t>
            </w:r>
            <w:r>
              <w:rPr>
                <w:b/>
                <w:i/>
              </w:rPr>
              <w:t>, promicanje socijalne pravednosti</w:t>
            </w:r>
            <w:r>
              <w:t xml:space="preserve"> i osiguravanje suvereniteta i neovisnosti EU-a kao geopolitičkog aktera;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naglašava da je konkurentnost bez socijalne kohezije neodrživa;</w:t>
            </w:r>
            <w:r>
              <w:t xml:space="preserve"> </w:t>
            </w:r>
            <w:r>
              <w:rPr>
                <w:b/>
                <w:i/>
              </w:rPr>
              <w:t>ustraje u tome da se svakim okvirom uspješnosti moraju mjeriti ne samo ekonomski rezultati, već i socijalna dobrobit, kvaliteta života, smanjenje nejednakosti, napredak u rodnoj ravnopravnosti i otvaranje pristojnih radnih mjesta otpornih na promjene u budućnosti;</w:t>
            </w:r>
            <w:r>
              <w:t xml:space="preserve"> </w:t>
            </w:r>
            <w:r>
              <w:rPr>
                <w:b/>
                <w:i/>
              </w:rPr>
              <w:t>stoga poziva na uključivanje pokazatelja socijalnog učinka u sve programe povezane s konkurentnošću;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naglašava da se europska konkurentnost mora ostvarivati učinkovitom raspodjelom resursa i politikama čiji je cilj smanjenje administrativnog opterećenja, poticanje privatnih ulaganja i jačanje jedinstvenog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poziva Komisiju da provede analizu iskustava drugih zemalja u provedbi sustava izrade proračuna na temelju uspješnosti i utvrdi naučene lekcije;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smatra da je nužno da proračun EU-a bude više usmjeren na rezultate; ponovno potvrđuje potrebu za utvrđivanjem i upotrebom konkretnih, mjerljivih, ostvarivih, relevantnih i vremenski ograničenih (SMART) pokazatelja uspješnosti kako bi se pratio i ocijenio napredak u postizanju ciljeva politike EU-a;</w:t>
            </w:r>
          </w:p>
        </w:tc>
        <w:tc>
          <w:tcPr>
            <w:tcW w:w="4876" w:type="dxa"/>
            <w:tcBorders>
              <w:top w:val="nil"/>
              <w:left w:val="nil"/>
              <w:bottom w:val="nil"/>
              <w:right w:val="nil"/>
            </w:tcBorders>
          </w:tcPr>
          <w:p>
            <w:pPr>
              <w:pStyle w:val="Normal6a"/>
            </w:pPr>
            <w:r>
              <w:t>2.</w:t>
            </w:r>
            <w:r>
              <w:tab/>
            </w:r>
            <w:r>
              <w:t xml:space="preserve">smatra da je nužno da proračun EU-a bude više usmjeren na rezultate </w:t>
            </w:r>
            <w:r>
              <w:rPr>
                <w:b/>
                <w:i/>
              </w:rPr>
              <w:t>i da svaki potrošeni euro donosi mjerljivu vrijednost za građane i poduzeća</w:t>
            </w:r>
            <w:r>
              <w:t xml:space="preserve">; ponovno potvrđuje potrebu za utvrđivanjem i upotrebom konkretnih, mjerljivih, ostvarivih, relevantnih i vremenski ograničenih (SMART) pokazatelja uspješnosti kako bi se pratio i ocijenio napredak u postizanju ciljeva politike EU-a </w:t>
            </w:r>
            <w:r>
              <w:rPr>
                <w:b/>
                <w:i/>
              </w:rPr>
              <w:t>i osiguralo učinkovito i djelotvorno trošenje sredstava Unije</w:t>
            </w:r>
            <w:r>
              <w:t xml:space="preserve">; </w:t>
            </w:r>
            <w:r>
              <w:rPr>
                <w:b/>
                <w:i/>
              </w:rPr>
              <w:t>smatra da su sve vrste pokazatelja ključne za procjenu uspješnosti programa te bi stoga trebalo težiti ravnoteži između pokazatelja uloženih sredstava, rezultata i učinka;</w:t>
            </w:r>
            <w:r>
              <w:t xml:space="preserve"> </w:t>
            </w:r>
            <w:r>
              <w:rPr>
                <w:b/>
                <w:i/>
              </w:rPr>
              <w:t>naglašava da bi drugi relevantni aspekti pri odabiru odgovarajućih pokazatelja trebali biti administrativno opterećenje, trošak prikupljanja podataka, usporedivost i agregiranje;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smatra da je nužno da proračun EU-a bude </w:t>
            </w:r>
            <w:r>
              <w:rPr>
                <w:b/>
                <w:i/>
              </w:rPr>
              <w:t>više</w:t>
            </w:r>
            <w:r>
              <w:t xml:space="preserve"> usmjeren na rezultate; ponovno potvrđuje potrebu za utvrđivanjem i upotrebom konkretnih, mjerljivih, ostvarivih, relevantnih i vremenski ograničenih (SMART) pokazatelja uspješnosti kako bi se pratio i ocijenio napredak u postizanju ciljeva politike EU-a;</w:t>
            </w:r>
          </w:p>
        </w:tc>
        <w:tc>
          <w:tcPr>
            <w:tcW w:w="4876" w:type="dxa"/>
            <w:tcBorders>
              <w:top w:val="nil"/>
              <w:left w:val="nil"/>
              <w:bottom w:val="nil"/>
              <w:right w:val="nil"/>
            </w:tcBorders>
          </w:tcPr>
          <w:p>
            <w:pPr>
              <w:pStyle w:val="Normal6a"/>
            </w:pPr>
            <w:r>
              <w:t>2.</w:t>
            </w:r>
            <w:r>
              <w:tab/>
            </w:r>
            <w:r>
              <w:t xml:space="preserve">smatra da je nužno da proračun EU-a bude </w:t>
            </w:r>
            <w:r>
              <w:rPr>
                <w:b/>
                <w:i/>
              </w:rPr>
              <w:t>ponajprije</w:t>
            </w:r>
            <w:r>
              <w:t xml:space="preserve"> usmjeren na rezultate; ponovno potvrđuje potrebu za utvrđivanjem i upotrebom konkretnih, mjerljivih, ostvarivih, relevantnih i vremenski ograničenih (SMART) pokazatelja uspješnosti kako bi se pratio i ocijenio napredak u postizanju ciljeva politike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 tom kontekstu naglašava da opći ciljevi pokazatelja uspješnosti EU-a moraju uključivati smanjenje nejednakosti, osiguravanje pristupa kvalitetnim javnim uslugama, jačanje obrazovnih sustava te promicanje socijalne i okolišne održivosti kao ključnih sastavnica europske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naglašava da pokazatelji uspješnosti moraju biti izričito izvedeni iz ciljeva svakog programa i obuhvaćati ostvarenja, rezultate i, prije svega, učinke;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 zabrinutošću napominje da je Revizorski sud u svojim revizijama u više navrata utvrdio da su većina pokazatelja uspješnosti koji se upotrebljavaju za programe financiranja EU-a pokazatelji uloženih sredstava i ostvarenja koji ne pružaju relevantne informacije o napretku u postizanju ciljeva mjera koje financira EU; </w:t>
            </w:r>
            <w:r>
              <w:rPr>
                <w:b/>
                <w:i/>
              </w:rPr>
              <w:t>nadalje,</w:t>
            </w:r>
            <w:r>
              <w:t xml:space="preserve"> žali zbog toga što je u mnogim slučajevima utvrđeno da nedostaju referentni podaci za pokazatelje te da temeljni podaci koji se upotrebljavaju za pokazatelje nisu bili ni sljedivi ni pouzdani</w:t>
            </w:r>
            <w:r>
              <w:rPr>
                <w:b/>
                <w:i/>
              </w:rPr>
              <w:t>;</w:t>
            </w:r>
            <w:r>
              <w:t xml:space="preserve"> poziva Komisiju da osigura da su pokazatelji koji se upotrebljavaju za projekte koje financira EU mjerljivi, provjerljivi i utemeljeni na pouzdanim izvorima podataka kojima se osigurava sljedivost temeljnih podataka, s jasnim referentnim vrijednostima i definicijama kako bi se spriječila različita tumačenja;</w:t>
            </w:r>
          </w:p>
        </w:tc>
        <w:tc>
          <w:tcPr>
            <w:tcW w:w="4876" w:type="dxa"/>
            <w:tcBorders>
              <w:top w:val="nil"/>
              <w:left w:val="nil"/>
              <w:bottom w:val="nil"/>
              <w:right w:val="nil"/>
            </w:tcBorders>
          </w:tcPr>
          <w:p>
            <w:pPr>
              <w:pStyle w:val="Normal6a"/>
            </w:pPr>
            <w:r>
              <w:t>3.</w:t>
            </w:r>
            <w:r>
              <w:tab/>
            </w:r>
            <w:r>
              <w:t xml:space="preserve">sa zabrinutošću napominje da je Revizorski sud u svojim revizijama u više navrata utvrdio da su većina pokazatelja uspješnosti koji se upotrebljavaju za programe financiranja EU-a pokazatelji uloženih sredstava i ostvarenja koji ne pružaju relevantne informacije o napretku u postizanju ciljeva mjera koje financira EU; žali zbog toga što je u mnogim slučajevima utvrđeno da nedostaju referentni podaci za pokazatelje te da temeljni podaci koji se upotrebljavaju za pokazatelje nisu bili ni sljedivi ni pouzdani </w:t>
            </w:r>
            <w:r>
              <w:rPr>
                <w:b/>
                <w:i/>
              </w:rPr>
              <w:t>te da se definicije pokazatelja uspješnosti razlikuju među programima financiranja; </w:t>
            </w:r>
            <w:r>
              <w:t xml:space="preserve"> poziva Komisiju da osigura da su pokazatelji koji se upotrebljavaju za projekte koje financira EU mjerljivi, provjerljivi i utemeljeni na pouzdanim izvorima podataka kojima se osigurava sljedivost temeljnih podataka, s jasnim referentnim vrijednostima i definicijama kako bi se spriječila različita tumačenja;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 zabrinutošću napominje da je Revizorski sud u svojim revizijama u više navrata utvrdio da su većina pokazatelja uspješnosti koji se upotrebljavaju za programe financiranja EU-a pokazatelji uloženih sredstava i ostvarenja koji ne pružaju relevantne informacije o napretku u postizanju ciljeva mjera koje financira EU; nadalje, žali zbog toga što je u mnogim slučajevima utvrđeno da nedostaju referentni podaci za pokazatelje te da temeljni podaci koji se upotrebljavaju za pokazatelje nisu bili ni sljedivi ni pouzdani; poziva Komisiju da osigura da su pokazatelji koji se upotrebljavaju za projekte koje financira EU mjerljivi, provjerljivi i utemeljeni na pouzdanim izvorima podataka </w:t>
            </w:r>
            <w:r>
              <w:rPr>
                <w:b/>
                <w:i/>
              </w:rPr>
              <w:t>kojima se osigurava sljedivost temeljnih podataka</w:t>
            </w:r>
            <w:r>
              <w:t>, s jasnim referentnim vrijednostima i definicijama kako bi se spriječila različita tumačenja;</w:t>
            </w:r>
          </w:p>
        </w:tc>
        <w:tc>
          <w:tcPr>
            <w:tcW w:w="4876" w:type="dxa"/>
            <w:tcBorders>
              <w:top w:val="nil"/>
              <w:left w:val="nil"/>
              <w:bottom w:val="nil"/>
              <w:right w:val="nil"/>
            </w:tcBorders>
          </w:tcPr>
          <w:p>
            <w:pPr>
              <w:pStyle w:val="Normal6a"/>
            </w:pPr>
            <w:r>
              <w:t>3.</w:t>
            </w:r>
            <w:r>
              <w:tab/>
            </w:r>
            <w:r>
              <w:t xml:space="preserve">sa zabrinutošću napominje da je Revizorski sud u svojim revizijama u više navrata utvrdio da su većina pokazatelja uspješnosti koji se upotrebljavaju za programe financiranja EU-a pokazatelji uloženih sredstava i ostvarenja koji ne pružaju relevantne informacije o napretku u postizanju ciljeva mjera koje financira EU; nadalje, žali zbog toga što je u mnogim slučajevima utvrđeno da nedostaju referentni podaci za pokazatelje te da temeljni podaci koji se upotrebljavaju za pokazatelje nisu bili ni sljedivi ni pouzdani; poziva Komisiju da osigura da su pokazatelji koji se upotrebljavaju za projekte koje financira EU mjerljivi, provjerljivi i utemeljeni na pouzdanim izvorima podataka </w:t>
            </w:r>
            <w:r>
              <w:rPr>
                <w:b/>
                <w:i/>
              </w:rPr>
              <w:t>koji su sljedivi do razine ugovora i korisnika</w:t>
            </w:r>
            <w:r>
              <w:t>, s jasnim referentnim vrijednostima i definicijama kako bi se spriječila različita tumačenja;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 zabrinutošću napominje da je Revizorski sud u svojim revizijama u više navrata utvrdio da su većina pokazatelja uspješnosti koji se upotrebljavaju za programe financiranja EU-a pokazatelji uloženih sredstava i ostvarenja koji ne pružaju relevantne informacije o napretku u postizanju ciljeva mjera koje financira EU; nadalje, žali zbog toga što je u mnogim slučajevima utvrđeno da nedostaju referentni podaci za pokazatelje te da temeljni podaci koji se upotrebljavaju za pokazatelje nisu bili ni sljedivi ni pouzdani; poziva Komisiju </w:t>
            </w:r>
            <w:r>
              <w:rPr>
                <w:b/>
                <w:i/>
              </w:rPr>
              <w:t>da osigura</w:t>
            </w:r>
            <w:r>
              <w:t xml:space="preserve"> da su pokazatelji koji se upotrebljavaju za projekte koje financira EU mjerljivi, provjerljivi i utemeljeni na pouzdanim izvorima podataka kojima se osigurava sljedivost temeljnih podataka, s jasnim referentnim vrijednostima i definicijama kako bi se spriječila različita tumačenja;</w:t>
            </w:r>
          </w:p>
        </w:tc>
        <w:tc>
          <w:tcPr>
            <w:tcW w:w="4876" w:type="dxa"/>
            <w:tcBorders>
              <w:top w:val="nil"/>
              <w:left w:val="nil"/>
              <w:bottom w:val="nil"/>
              <w:right w:val="nil"/>
            </w:tcBorders>
          </w:tcPr>
          <w:p>
            <w:pPr>
              <w:pStyle w:val="Normal6a"/>
            </w:pPr>
            <w:r>
              <w:t>3.</w:t>
            </w:r>
            <w:r>
              <w:tab/>
            </w:r>
            <w:r>
              <w:t xml:space="preserve">sa zabrinutošću napominje da je Revizorski sud u svojim revizijama u više navrata utvrdio da su većina pokazatelja uspješnosti koji se upotrebljavaju za programe financiranja EU-a pokazatelji uloženih sredstava i ostvarenja koji ne pružaju relevantne informacije o napretku u postizanju ciljeva mjera koje financira EU; nadalje, žali zbog toga što je u mnogim slučajevima utvrđeno da nedostaju referentni podaci za pokazatelje te da temeljni podaci koji se upotrebljavaju za pokazatelje nisu bili ni sljedivi ni pouzdani; poziva Komisiju </w:t>
            </w:r>
            <w:r>
              <w:rPr>
                <w:b/>
                <w:i/>
              </w:rPr>
              <w:t>i države članice da osiguraju</w:t>
            </w:r>
            <w:r>
              <w:t xml:space="preserve"> da su pokazatelji koji se upotrebljavaju za projekte koje financira EU mjerljivi, provjerljivi i utemeljeni na pouzdanim izvorima podataka kojima se osigurava sljedivost temeljnih podataka, s jasnim referentnim vrijednostima i definicijama kako bi se spriječila različita tumačenja;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sa zabrinutošću napominje da Komisijina ljestvica uspjeha u inoviranju dosljedno pokazuje da EU zaostaje za drugim globalnim akterima u ključnim pokazateljima inovacija;</w:t>
            </w:r>
            <w:r>
              <w:t xml:space="preserve"> </w:t>
            </w:r>
            <w:r>
              <w:rPr>
                <w:b/>
                <w:i/>
              </w:rPr>
              <w:t>naglašava da bi kriterije prihvatljivosti za financiranje trebalo proširiti tako da uključuju ne samo revolucionarne inovacije koje ispunjavaju standard „globalnog tehnološkog razvoja”, već i širi raspon inovacija s velikim učinkom i primijenjenih inovacija koje mogu stvoriti industrijske razmjere, zapošljavanje i širenje tehnologije 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žali zbog toga što je okvir uspješnosti za proračun EU-a za razdoblje 2021. – 2027. i dalje previše složen i rascjepkan; </w:t>
            </w:r>
            <w:r>
              <w:rPr>
                <w:b/>
                <w:i/>
              </w:rPr>
              <w:t>prima na znanje procjenu</w:t>
            </w:r>
            <w:r>
              <w:rPr>
                <w:vertAlign w:val="superscript"/>
              </w:rPr>
              <w:t>8</w:t>
            </w:r>
            <w:r>
              <w:t>Komisije da se u višegodišnjem financijskom okviru (VFO) za razdoblje 2021. – 2027. upotrebljava više od 5 000 heterogenih, neobjedinjenih pokazatelja uspješnosti te da je u okviru Mehanizma za oporavak i otpornost definirano oko 7 000 ključnih etapa i ciljnih vrijednosti kojima se ispunjavaju različite potrebe, kao što su procjena uspješnosti u kontekstu nacrta proračuna te praćenje i evaluacija programa, planova država članica i isplata sredstava;</w:t>
            </w:r>
          </w:p>
        </w:tc>
        <w:tc>
          <w:tcPr>
            <w:tcW w:w="4876" w:type="dxa"/>
            <w:tcBorders>
              <w:top w:val="nil"/>
              <w:left w:val="nil"/>
              <w:bottom w:val="nil"/>
              <w:right w:val="nil"/>
            </w:tcBorders>
          </w:tcPr>
          <w:p>
            <w:pPr>
              <w:pStyle w:val="Normal6a"/>
            </w:pPr>
            <w:r>
              <w:t>4.</w:t>
            </w:r>
            <w:r>
              <w:tab/>
            </w:r>
            <w:r>
              <w:t xml:space="preserve">žali zbog toga što je okvir uspješnosti za proračun EU-a za razdoblje 2021. – 2027. i dalje previše složen i rascjepkan; </w:t>
            </w:r>
            <w:r>
              <w:rPr>
                <w:b/>
                <w:i/>
              </w:rPr>
              <w:t>žali zbog procjene</w:t>
            </w:r>
            <w:r>
              <w:t xml:space="preserve"> Komisije</w:t>
            </w:r>
            <w:r>
              <w:rPr>
                <w:vertAlign w:val="superscript"/>
              </w:rPr>
              <w:t>8</w:t>
            </w:r>
            <w:r>
              <w:t xml:space="preserve"> da se u višegodišnjem financijskom okviru (VFO) za razdoblje 2021. – 2027. upotrebljava više od 5 000 heterogenih, neobjedinjenih pokazatelja uspješnosti</w:t>
            </w:r>
            <w:r>
              <w:rPr>
                <w:b/>
                <w:i/>
              </w:rPr>
              <w:t>, zbog čega nije moguća objektivnija procjena učinkovitosti financiranja u skladu s VFO-om,</w:t>
            </w:r>
            <w:r>
              <w:t xml:space="preserve"> te da je u okviru Mehanizma za oporavak i otpornost definirano oko 7 000 ključnih etapa i ciljnih vrijednosti kojima se ispunjavaju različite potrebe, kao što su procjena uspješnosti u kontekstu nacrta proračuna te praćenje i evaluacija programa, planova država članica i isplata sredstava; </w:t>
            </w:r>
            <w:r>
              <w:rPr>
                <w:b/>
                <w:i/>
              </w:rPr>
              <w:t>posebno naglašava da je struktura Mehanizma za oporavak i otpornost otežala osiguravanje dostatne sljedivosti i mogućnosti revizije upotrebe sredstava EU-a, kao i usporedivosti rezultata s drugim instrumentima potrošnje EU-a;</w:t>
            </w:r>
            <w:r>
              <w:t xml:space="preserve"> </w:t>
            </w:r>
            <w:r>
              <w:rPr>
                <w:b/>
                <w:i/>
              </w:rPr>
              <w:t>poziva Komisiju da uspostavi sveobuhvatniji, usklađeniji, transparentniji i provjerljiviji okvir pokazatelja uspješnosti za buduće instrumente kako bi se osiguralo da Parlament i Europski revizorski sud mogu u potpunosti izvršavati svoje nadzorne odgovornosti;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Izvješće o procjeni učinka (SWD(2025)0590) priloženo Komisijinu Prijedlogu uredbe o uspostavi okvira za praćenje proračunskih rashoda i uspješnost (COM(2025)0545).</w:t>
            </w:r>
          </w:p>
        </w:tc>
        <w:tc>
          <w:tcPr>
            <w:tcW w:w="4876" w:type="dxa"/>
            <w:tcBorders>
              <w:top w:val="nil"/>
              <w:left w:val="nil"/>
              <w:bottom w:val="nil"/>
              <w:right w:val="nil"/>
            </w:tcBorders>
          </w:tcPr>
          <w:p>
            <w:pPr>
              <w:pStyle w:val="Normal6a"/>
            </w:pPr>
            <w:r>
              <w:rPr>
                <w:vertAlign w:val="superscript"/>
              </w:rPr>
              <w:t>8</w:t>
            </w:r>
            <w:r>
              <w:t xml:space="preserve"> </w:t>
            </w:r>
            <w:r>
              <w:t>Izvješće o procjeni učinka (SWD(2025)0590) priloženo Komisijinu Prijedlogu uredbe o uspostavi okvira za praćenje proračunskih rashoda i uspješnost (COM(2025)0545).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žali zbog toga što je okvir uspješnosti za proračun EU-a za razdoblje 2021. – 2027. i dalje previše složen i rascjepkan; prima na znanje procjenu</w:t>
            </w:r>
            <w:r>
              <w:rPr>
                <w:vertAlign w:val="superscript"/>
              </w:rPr>
              <w:t>8</w:t>
            </w:r>
            <w:r>
              <w:t>Komisije da se u višegodišnjem financijskom okviru (VFO) za razdoblje 2021. – 2027. upotrebljava više od 5 000 heterogenih, neobjedinjenih pokazatelja uspješnosti te da je u okviru Mehanizma za oporavak i otpornost definirano oko 7 000 ključnih etapa i ciljnih vrijednosti kojima se ispunjavaju različite potrebe, kao što su procjena uspješnosti u kontekstu nacrta proračuna te praćenje i evaluacija programa, planova država članica i isplata sredstava;</w:t>
            </w:r>
          </w:p>
        </w:tc>
        <w:tc>
          <w:tcPr>
            <w:tcW w:w="4876" w:type="dxa"/>
            <w:tcBorders>
              <w:top w:val="nil"/>
              <w:left w:val="nil"/>
              <w:bottom w:val="nil"/>
              <w:right w:val="nil"/>
            </w:tcBorders>
          </w:tcPr>
          <w:p>
            <w:pPr>
              <w:pStyle w:val="Normal6a"/>
            </w:pPr>
            <w:r>
              <w:t>4.</w:t>
            </w:r>
            <w:r>
              <w:tab/>
            </w:r>
            <w:r>
              <w:t>žali zbog toga što je okvir uspješnosti za proračun EU-a za razdoblje 2021. – 2027. i dalje previše složen i rascjepkan; prima na znanje procjenu</w:t>
            </w:r>
            <w:r>
              <w:rPr>
                <w:vertAlign w:val="superscript"/>
              </w:rPr>
              <w:t>8</w:t>
            </w:r>
            <w:r>
              <w:t xml:space="preserve"> Komisije da se u višegodišnjem financijskom okviru (VFO) za razdoblje 2021. – 2027. upotrebljava više od 5 000 heterogenih, neobjedinjenih pokazatelja uspješnosti te da je u okviru Mehanizma za oporavak i otpornost definirano oko 7 000 ključnih etapa i ciljnih vrijednosti kojima se ispunjavaju različite potrebe, kao što su procjena uspješnosti u kontekstu nacrta proračuna te praćenje i evaluacija programa, planova država članica i isplata sredstava; </w:t>
            </w:r>
            <w:r>
              <w:rPr>
                <w:b/>
                <w:i/>
              </w:rPr>
              <w:t>žali zbog toga što se, kako je u više navrata opisao Europski revizorski sud, ti pokazatelji trenutačno ne temelje na pouzdanim, mjerljivim elementima koji se mogu brojčano izraziti i koji nisu podložni različitim tumačenjima;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Izvješće o procjeni učinka (SWD(2025)0590) priloženo Komisijinu Prijedlogu uredbe o uspostavi okvira za praćenje proračunskih rashoda i uspješnost (COM(2025)0545).</w:t>
            </w:r>
          </w:p>
        </w:tc>
        <w:tc>
          <w:tcPr>
            <w:tcW w:w="4876" w:type="dxa"/>
            <w:tcBorders>
              <w:top w:val="nil"/>
              <w:left w:val="nil"/>
              <w:bottom w:val="nil"/>
              <w:right w:val="nil"/>
            </w:tcBorders>
          </w:tcPr>
          <w:p>
            <w:pPr>
              <w:pStyle w:val="Normal6a"/>
            </w:pPr>
            <w:r>
              <w:rPr>
                <w:vertAlign w:val="superscript"/>
              </w:rPr>
              <w:t>8</w:t>
            </w:r>
            <w:r>
              <w:t xml:space="preserve"> </w:t>
            </w:r>
            <w:r>
              <w:t>Izvješće o procjeni učinka (SWD(2025)0590) priloženo Komisijinu Prijedlogu uredbe o uspostavi okvira za praćenje proračunskih rashoda i uspješnost (COM(2025)0545).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sa zabrinutošću napominje da prekomjerno regulatorno i administrativno opterećenje i dalje ugrožava konkurentnost europskih poduzeća u usporedbi s drugim globalnim ekonomskim blokovima;</w:t>
            </w:r>
            <w:r>
              <w:t xml:space="preserve"> </w:t>
            </w:r>
            <w:r>
              <w:rPr>
                <w:b/>
                <w:i/>
              </w:rPr>
              <w:t>naglašava da takva opterećenja povećavaju operativne troškove, smanjuju sektorsku produktivnost i stvaraju prepreke ulasku novih poduzeća na tržište, čime se obeshrabruju tržišno natjecanje i inovacije;</w:t>
            </w:r>
            <w:r>
              <w:t xml:space="preserve"> </w:t>
            </w:r>
            <w:r>
              <w:rPr>
                <w:b/>
                <w:i/>
              </w:rPr>
              <w:t>nadalje napominje da te neučinkovitosti mogu dovesti i do viših cijena za potrošače;</w:t>
            </w:r>
            <w:r>
              <w:t xml:space="preserve"> </w:t>
            </w:r>
            <w:r>
              <w:rPr>
                <w:b/>
                <w:i/>
              </w:rPr>
              <w:t>podsjeća da međunarodni pokazatelji, uključujući bazu podataka Svjetske banke Doing Business, upućuju na to da je poslovno okruženje u EU-u i dalje nepovoljnije nego u drugim zemljama;</w:t>
            </w:r>
            <w:r>
              <w:t xml:space="preserve"> </w:t>
            </w:r>
            <w:r>
              <w:rPr>
                <w:b/>
                <w:i/>
              </w:rPr>
              <w:t>ističe da je 61 % poduzeća koja su sudjelovala u anketi EIB-a o ulaganjima iz 2023. utvrdilo da je regulativa velika prepreka dugoročnim ulaganjima u EU-u, dok je 83 % poduzeća u 21 državi članici navelo regulatornu složenost i dugotrajne postupke izdavanja dozvola kao ključne mjere odvraćanja od ulaganja u Europi;</w:t>
            </w:r>
            <w:r>
              <w:t xml:space="preserve"> </w:t>
            </w:r>
            <w:r>
              <w:rPr>
                <w:b/>
                <w:i/>
              </w:rPr>
              <w:t>stoga poziva na sustavno smanjenje i pojednostavnjenje regulatornih i administrativnih zahtjeva, posebno za MSP-ove, kako bi se poboljšalo europsko poslovno okruženje i globalna konkurentnost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https://www.eib.org/en/publications/online/all/eib-investment-survey-2023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poziva Komisiju i države članice da utvrde i uklone regulatorne prepreke koje ugrožavaju funkcioniranje i konkurentnost jedinstvenog tržišta za obranu;</w:t>
            </w:r>
            <w:r>
              <w:t xml:space="preserve"> </w:t>
            </w:r>
            <w:r>
              <w:rPr>
                <w:b/>
                <w:i/>
              </w:rPr>
              <w:t>pozdravlja inicijative usmjerene na jačanje davanja prednosti europskim proizvodima u javnoj nabavi u području obrane, pod uvjetom da se takvim mjerama ne ugrožava trenutačno obnavljanje kritičnih zaliha;</w:t>
            </w:r>
            <w:r>
              <w:t xml:space="preserve"> </w:t>
            </w:r>
            <w:r>
              <w:rPr>
                <w:b/>
                <w:i/>
              </w:rPr>
              <w:t>naglašava važnost povećanja proizvodnih kapaciteta, promicanja inovacija i jasnog razlikovanja kratkoročnih hitnih zahtjeva i dugoročnog strateškog razvoja, istodobno osiguravajući da se sredstva Unije upotrebljavaju učinkovito, transparentno i potpuno u skladu s primjenjivim zahtjevima okvira za financijski nadzor i uspješnost;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smatra da bi okvir uspješnosti za proračun EU-a trebalo pojednostavniti kako bi se osigurao usklađen pristup mjerenju učinaka potrošnje EU-a u svim državama članicama, smanjilo ukupno administrativno opterećenje, racionalizirale obveze izvješćivanja i povećala transparentnost smanjenjem preopterećenosti informacijama, uz istodobno potpuno obuhvaćanje učinaka financiranja EU-a, uključujući dodanu vrijednost intervencija EU-a koje države članice ne bi mogle ostvariti same;</w:t>
            </w:r>
          </w:p>
        </w:tc>
        <w:tc>
          <w:tcPr>
            <w:tcW w:w="4876" w:type="dxa"/>
            <w:tcBorders>
              <w:top w:val="nil"/>
              <w:left w:val="nil"/>
              <w:bottom w:val="nil"/>
              <w:right w:val="nil"/>
            </w:tcBorders>
          </w:tcPr>
          <w:p>
            <w:pPr>
              <w:pStyle w:val="Normal6a"/>
            </w:pPr>
            <w:r>
              <w:t>6.</w:t>
            </w:r>
            <w:r>
              <w:tab/>
            </w:r>
            <w:r>
              <w:t xml:space="preserve">smatra da bi okvir uspješnosti za proračun EU-a trebalo pojednostavniti kako bi se osigurao usklađen pristup mjerenju učinaka potrošnje EU-a u svim državama članicama, smanjilo ukupno administrativno opterećenje, racionalizirale obveze izvješćivanja i povećala transparentnost smanjenjem preopterećenosti informacijama, uz istodobno potpuno obuhvaćanje učinaka financiranja EU-a, uključujući dodanu vrijednost intervencija EU-a koje države članice ne bi mogle ostvariti same; </w:t>
            </w:r>
            <w:r>
              <w:rPr>
                <w:b/>
                <w:i/>
              </w:rPr>
              <w:t>naglašava da, kako bi se zajamčila demokratska i nacionalna proračunska autonomija, ocjena uspješnosti programa koje financira EU mora ostati prvenstveno u nadležnosti država članica i njihovih nacionalnih revizijskih institucija;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smatra da bi okvir uspješnosti za proračun EU-a trebalo pojednostavniti kako bi se osigurao usklađen pristup mjerenju učinaka potrošnje EU-a u </w:t>
            </w:r>
            <w:r>
              <w:rPr>
                <w:b/>
                <w:i/>
              </w:rPr>
              <w:t>svim</w:t>
            </w:r>
            <w:r>
              <w:t xml:space="preserve"> državama članicama</w:t>
            </w:r>
            <w:r>
              <w:rPr>
                <w:b/>
                <w:i/>
              </w:rPr>
              <w:t>,</w:t>
            </w:r>
            <w:r>
              <w:t xml:space="preserve"> smanjilo ukupno administrativno opterećenje, </w:t>
            </w:r>
            <w:r>
              <w:rPr>
                <w:b/>
                <w:i/>
              </w:rPr>
              <w:t>racionalizirale</w:t>
            </w:r>
            <w:r>
              <w:t xml:space="preserve"> obveze izvješćivanja i </w:t>
            </w:r>
            <w:r>
              <w:rPr>
                <w:b/>
                <w:i/>
              </w:rPr>
              <w:t>povećala</w:t>
            </w:r>
            <w:r>
              <w:t xml:space="preserve"> transparentnost smanjenjem preopterećenosti informacijama, uz istodobno </w:t>
            </w:r>
            <w:r>
              <w:rPr>
                <w:b/>
                <w:i/>
              </w:rPr>
              <w:t>potpuno obuhvaćanje</w:t>
            </w:r>
            <w:r>
              <w:t xml:space="preserve"> učinaka financiranja EU-a, uključujući dodanu vrijednost intervencija EU-a koje države članice ne bi mogle ostvariti </w:t>
            </w:r>
            <w:r>
              <w:rPr>
                <w:b/>
                <w:i/>
              </w:rPr>
              <w:t>same</w:t>
            </w:r>
            <w:r>
              <w:t>;</w:t>
            </w:r>
          </w:p>
        </w:tc>
        <w:tc>
          <w:tcPr>
            <w:tcW w:w="4876" w:type="dxa"/>
            <w:tcBorders>
              <w:top w:val="nil"/>
              <w:left w:val="nil"/>
              <w:bottom w:val="nil"/>
              <w:right w:val="nil"/>
            </w:tcBorders>
          </w:tcPr>
          <w:p>
            <w:pPr>
              <w:pStyle w:val="Normal6a"/>
            </w:pPr>
            <w:r>
              <w:t>6.</w:t>
            </w:r>
            <w:r>
              <w:tab/>
            </w:r>
            <w:r>
              <w:t xml:space="preserve">smatra da bi okvir uspješnosti za proračun EU-a trebalo pojednostavniti kako bi se osigurao usklađen </w:t>
            </w:r>
            <w:r>
              <w:rPr>
                <w:b/>
                <w:i/>
              </w:rPr>
              <w:t>i razmjeran</w:t>
            </w:r>
            <w:r>
              <w:t xml:space="preserve"> pristup mjerenju učinaka potrošnje EU-a u državama članicama </w:t>
            </w:r>
            <w:r>
              <w:rPr>
                <w:b/>
                <w:i/>
              </w:rPr>
              <w:t>na točan i realističan način te kako bi se</w:t>
            </w:r>
            <w:r>
              <w:t xml:space="preserve"> smanjilo ukupno administrativno opterećenje, </w:t>
            </w:r>
            <w:r>
              <w:rPr>
                <w:b/>
                <w:i/>
              </w:rPr>
              <w:t>posebno za MSP-ove i lokalne vlasti;</w:t>
            </w:r>
            <w:r>
              <w:t xml:space="preserve"> </w:t>
            </w:r>
            <w:r>
              <w:rPr>
                <w:b/>
                <w:i/>
              </w:rPr>
              <w:t>racionalizirati</w:t>
            </w:r>
            <w:r>
              <w:t xml:space="preserve"> obveze izvješćivanja i </w:t>
            </w:r>
            <w:r>
              <w:rPr>
                <w:b/>
                <w:i/>
              </w:rPr>
              <w:t>povećati</w:t>
            </w:r>
            <w:r>
              <w:t xml:space="preserve"> transparentnost smanjenjem preopterećenosti informacijama, uz istodobno </w:t>
            </w:r>
            <w:r>
              <w:rPr>
                <w:b/>
                <w:i/>
              </w:rPr>
              <w:t>omogućivanje potpunog iskorištavanja</w:t>
            </w:r>
            <w:r>
              <w:t xml:space="preserve"> učinaka financiranja EU-a, uključujući dodanu vrijednost intervencija EU-a koje države članice ne bi mogle ostvariti </w:t>
            </w:r>
            <w:r>
              <w:rPr>
                <w:b/>
                <w:i/>
              </w:rPr>
              <w:t>samostalnim djelovanjem</w:t>
            </w:r>
            <w:r>
              <w:t xml:space="preserve">; </w:t>
            </w:r>
            <w:r>
              <w:rPr>
                <w:b/>
                <w:i/>
              </w:rPr>
              <w:t>naglašava da pojednostavnjenje ne bi trebalo biti nauštrb transparentnosti, već bi trebalo pomoći u racionalizaciji izvješćivanja i učiniti informacije o uspješnosti financiranja dostupnijima i korisnijima;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smatra da bi okvir uspješnosti za proračun EU-a trebalo pojednostavniti kako bi se osigurao usklađen pristup mjerenju učinaka potrošnje EU-a u svim državama članicama, smanjilo ukupno administrativno opterećenje, racionalizirale obveze izvješćivanja i povećala transparentnost smanjenjem preopterećenosti informacijama, uz istodobno potpuno obuhvaćanje učinaka financiranja EU-a, uključujući dodanu vrijednost intervencija EU-a koje države članice ne bi mogle ostvariti same;</w:t>
            </w:r>
          </w:p>
        </w:tc>
        <w:tc>
          <w:tcPr>
            <w:tcW w:w="4876" w:type="dxa"/>
            <w:tcBorders>
              <w:top w:val="nil"/>
              <w:left w:val="nil"/>
              <w:bottom w:val="nil"/>
              <w:right w:val="nil"/>
            </w:tcBorders>
          </w:tcPr>
          <w:p>
            <w:pPr>
              <w:pStyle w:val="Normal6a"/>
            </w:pPr>
            <w:r>
              <w:t>6.</w:t>
            </w:r>
            <w:r>
              <w:tab/>
            </w:r>
            <w:r>
              <w:t xml:space="preserve">smatra da bi okvir uspješnosti za proračun EU-a trebalo pojednostavniti kako bi se osigurao usklađen pristup mjerenju učinaka potrošnje EU-a u svim državama članicama, smanjilo ukupno administrativno opterećenje, racionalizirale obveze izvješćivanja i povećala transparentnost smanjenjem preopterećenosti informacijama, uz istodobno potpuno obuhvaćanje učinaka financiranja EU-a, uključujući dodanu vrijednost intervencija EU-a koje države članice ne bi mogle ostvariti same; </w:t>
            </w:r>
            <w:r>
              <w:rPr>
                <w:b/>
                <w:i/>
              </w:rPr>
              <w:t>naglašava da pojednostavnjenje ne smije umanjiti revizijski trag;</w:t>
            </w:r>
            <w:r>
              <w:t xml:space="preserve"> </w:t>
            </w:r>
            <w:r>
              <w:rPr>
                <w:b/>
                <w:i/>
              </w:rPr>
              <w:t>podsjeća da svi pokazatelji moraju biti povezani s temeljnim obvezama, plaćanjima i ugovorima, pri čemu identifikatori korisnika i podaci o javnoj nabavi moraju omogućiti analizu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smatra da bi okvir uspješnosti za proračun EU-a trebalo pojednostavniti kako bi se osigurao usklađen pristup mjerenju učinaka potrošnje EU-a u svim državama članicama, smanjilo ukupno administrativno opterećenje, racionalizirale obveze izvješćivanja i povećala transparentnost smanjenjem preopterećenosti informacijama, uz istodobno potpuno obuhvaćanje učinaka financiranja EU-a, uključujući dodanu vrijednost intervencija EU-a koje države članice ne bi mogle ostvariti same;</w:t>
            </w:r>
          </w:p>
        </w:tc>
        <w:tc>
          <w:tcPr>
            <w:tcW w:w="4876" w:type="dxa"/>
            <w:tcBorders>
              <w:top w:val="nil"/>
              <w:left w:val="nil"/>
              <w:bottom w:val="nil"/>
              <w:right w:val="nil"/>
            </w:tcBorders>
          </w:tcPr>
          <w:p>
            <w:pPr>
              <w:pStyle w:val="Normal6a"/>
            </w:pPr>
            <w:r>
              <w:t>6.</w:t>
            </w:r>
            <w:r>
              <w:tab/>
            </w:r>
            <w:r>
              <w:t xml:space="preserve">smatra da bi okvir uspješnosti za proračun EU-a trebalo pojednostavniti kako bi se osigurao usklađen pristup mjerenju učinaka potrošnje EU-a u svim državama članicama, smanjilo ukupno administrativno opterećenje, racionalizirale obveze izvješćivanja i povećala transparentnost smanjenjem preopterećenosti informacijama, uz istodobno potpuno obuhvaćanje učinaka financiranja EU-a, uključujući dodanu vrijednost intervencija EU-a koje države članice ne bi mogle ostvariti same; </w:t>
            </w:r>
            <w:r>
              <w:rPr>
                <w:b/>
                <w:i/>
              </w:rPr>
              <w:t>svi okviri uspješnosti trebali bi podlijegati analizi troškova i koristi, čime bi se osigurala transparentnost i ispunili ciljevi fiskalne održivosti;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smatra da bi </w:t>
            </w:r>
            <w:r>
              <w:rPr>
                <w:b/>
                <w:i/>
              </w:rPr>
              <w:t>okvir</w:t>
            </w:r>
            <w:r>
              <w:t xml:space="preserve"> uspješnosti za proračun EU-a </w:t>
            </w:r>
            <w:r>
              <w:rPr>
                <w:b/>
                <w:i/>
              </w:rPr>
              <w:t>trebalo pojednostavniti kako bi se osigurao</w:t>
            </w:r>
            <w:r>
              <w:t xml:space="preserve"> usklađen pristup mjerenju učinaka potrošnje EU-a u svim državama članicama, </w:t>
            </w:r>
            <w:r>
              <w:rPr>
                <w:b/>
                <w:i/>
              </w:rPr>
              <w:t>smanjilo</w:t>
            </w:r>
            <w:r>
              <w:t xml:space="preserve"> ukupno administrativno opterećenje</w:t>
            </w:r>
            <w:r>
              <w:rPr>
                <w:b/>
                <w:i/>
              </w:rPr>
              <w:t>, racionalizirale</w:t>
            </w:r>
            <w:r>
              <w:t xml:space="preserve"> obveze izvješćivanja i </w:t>
            </w:r>
            <w:r>
              <w:rPr>
                <w:b/>
                <w:i/>
              </w:rPr>
              <w:t>povećala</w:t>
            </w:r>
            <w:r>
              <w:t xml:space="preserve"> transparentnost </w:t>
            </w:r>
            <w:r>
              <w:rPr>
                <w:b/>
                <w:i/>
              </w:rPr>
              <w:t>smanjenjem</w:t>
            </w:r>
            <w:r>
              <w:t xml:space="preserve"> preopterećenosti informacijama, uz istodobno potpuno obuhvaćanje učinaka financiranja EU-a, uključujući dodanu vrijednost intervencija EU-a koje države članice ne bi mogle ostvariti same;</w:t>
            </w:r>
          </w:p>
        </w:tc>
        <w:tc>
          <w:tcPr>
            <w:tcW w:w="4876" w:type="dxa"/>
            <w:tcBorders>
              <w:top w:val="nil"/>
              <w:left w:val="nil"/>
              <w:bottom w:val="nil"/>
              <w:right w:val="nil"/>
            </w:tcBorders>
          </w:tcPr>
          <w:p>
            <w:pPr>
              <w:pStyle w:val="Normal6a"/>
            </w:pPr>
            <w:r>
              <w:t>6.</w:t>
            </w:r>
            <w:r>
              <w:tab/>
            </w:r>
            <w:r>
              <w:t xml:space="preserve">smatra da bi </w:t>
            </w:r>
            <w:r>
              <w:rPr>
                <w:b/>
                <w:i/>
              </w:rPr>
              <w:t>se okvirom</w:t>
            </w:r>
            <w:r>
              <w:t xml:space="preserve"> uspješnosti za proračun EU-a </w:t>
            </w:r>
            <w:r>
              <w:rPr>
                <w:b/>
                <w:i/>
              </w:rPr>
              <w:t>trebao osigurati</w:t>
            </w:r>
            <w:r>
              <w:t xml:space="preserve"> usklađen pristup mjerenju učinaka potrošnje EU-a u svim državama članicama, </w:t>
            </w:r>
            <w:r>
              <w:rPr>
                <w:b/>
                <w:i/>
              </w:rPr>
              <w:t>racionalizirati</w:t>
            </w:r>
            <w:r>
              <w:t xml:space="preserve"> ukupno administrativno opterećenje </w:t>
            </w:r>
            <w:r>
              <w:rPr>
                <w:b/>
                <w:i/>
              </w:rPr>
              <w:t>i</w:t>
            </w:r>
            <w:r>
              <w:t xml:space="preserve"> obveze izvješćivanja i </w:t>
            </w:r>
            <w:r>
              <w:rPr>
                <w:b/>
                <w:i/>
              </w:rPr>
              <w:t>povećati</w:t>
            </w:r>
            <w:r>
              <w:t xml:space="preserve"> transparentnost </w:t>
            </w:r>
            <w:r>
              <w:rPr>
                <w:b/>
                <w:i/>
              </w:rPr>
              <w:t>izbjegavanjem</w:t>
            </w:r>
            <w:r>
              <w:t xml:space="preserve"> preopterećenosti informacijama, uz istodobno potpuno obuhvaćanje učinaka financiranja EU-a, uključujući dodanu vrijednost intervencija EU-a koje države članice ne bi mogle ostvariti same;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naglašava da bi se u potrošnji usmjerenoj na konkurentnost prednost trebala dati učinkovitosti i dugoročnom povećanju produktivnosti, a ne kratkoročnoj preraspodjeli;</w:t>
            </w:r>
            <w:r>
              <w:t xml:space="preserve"> </w:t>
            </w:r>
            <w:r>
              <w:rPr>
                <w:b/>
                <w:i/>
              </w:rPr>
              <w:t>naglašava da bi europska sredstva trebala biti usmjerena na ispravljanje neučinkovitosti tržišta, poticanje privatnih ulaganja i podupiranje projekata s mjerljivim gospodarskim učinkom i jasnom dodanom vrijednošću;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naglašava da je sposobnost Unije da ostvari napredak u ključnim područjima politika često blokirana na razini Vijeća zbog zahtjeva jednoglasnosti;</w:t>
            </w:r>
            <w:r>
              <w:t xml:space="preserve"> </w:t>
            </w:r>
            <w:r>
              <w:rPr>
                <w:b/>
                <w:i/>
              </w:rPr>
              <w:t>smatra da bi dublja integracija stoga trebala uključivati postupan prelazak na glasovanje kvalificiranom većinom kako bi se omogućilo pravodobno i učinkovito djelovanje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naglašava da napori za pojednostavljenje ne smiju biti nauštrb odgovornosti;</w:t>
            </w:r>
            <w:r>
              <w:t xml:space="preserve"> </w:t>
            </w:r>
            <w:r>
              <w:rPr>
                <w:b/>
                <w:i/>
              </w:rPr>
              <w:t>ističe da bi smanjenje broja pokazatelja trebalo biti popraćeno jasnijim poveznicama između potrošnje i mjerljivih rezultata politika, uključujući omjere troškovne učinkovitosti;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podsjeća da se pristupi prikupljanju podataka razlikuju među državama članicama, ali i unutar država članica, što otežava objedinjavanje podataka o uspješnosti na razini EU-a; ponavlja svoj poziv Komisiji da razvije sigurnu i interoperabilnu informatičku infrastrukturu i istodobno iskoristi kapacitete umjetne inteligencije, strojnog učenja i rudarenja podataka kako bi se poboljšala provedba politika i olakšalo praćenje, izvješćivanje i nadzor; ustraje u tome da podaci o pokazateljima i metodologije budu javno dostupni u stvarnom vremenu putem interoperabilnog sustava praćenja, izvješćivanja i revizije, čime bi se povećala transparentnost i osigurala sljedivost do razine projekta i razine krajnjih korisnika;</w:t>
            </w:r>
          </w:p>
        </w:tc>
        <w:tc>
          <w:tcPr>
            <w:tcW w:w="4876" w:type="dxa"/>
            <w:tcBorders>
              <w:top w:val="nil"/>
              <w:left w:val="nil"/>
              <w:bottom w:val="nil"/>
              <w:right w:val="nil"/>
            </w:tcBorders>
          </w:tcPr>
          <w:p>
            <w:pPr>
              <w:pStyle w:val="Normal6a"/>
            </w:pPr>
            <w:r>
              <w:t>7.</w:t>
            </w:r>
            <w:r>
              <w:tab/>
            </w:r>
            <w:r>
              <w:t xml:space="preserve">podsjeća da se pristupi prikupljanju podataka razlikuju među državama članicama, ali i unutar država članica, što otežava objedinjavanje podataka o uspješnosti na razini EU-a; ponavlja svoj poziv Komisiji da razvije sigurnu i interoperabilnu informatičku infrastrukturu i istodobno iskoristi kapacitete umjetne inteligencije, strojnog učenja i rudarenja podataka kako bi se poboljšala provedba politika i olakšalo praćenje, izvješćivanje i nadzor; </w:t>
            </w:r>
            <w:r>
              <w:rPr>
                <w:b/>
                <w:i/>
              </w:rPr>
              <w:t>naglašava da se upotreba umjetne inteligencije mora provoditi jamčenjem strogih načela etičke upotrebe, transparentnosti, zaštite podataka, ljudskog nadzora i zaštite od algoritamske pristranosti ili zlouporabe;</w:t>
            </w:r>
            <w:r>
              <w:t xml:space="preserve"> ustraje u tome da podaci o pokazateljima i metodologije budu javno dostupni u stvarnom vremenu putem interoperabilnog sustava praćenja, izvješćivanja i revizije, čime bi se povećala transparentnost i osigurala sljedivost do razine projekta i razine krajnjih korisnika; </w:t>
            </w:r>
            <w:r>
              <w:rPr>
                <w:b/>
                <w:i/>
              </w:rPr>
              <w:t>nadalje ustraje u tome da ti podaci moraju uključivati sveobuhvatne informacije o socijalnom i ekološkom otisku financiranih projekata;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podsjeća da se pristupi prikupljanju podataka razlikuju među državama članicama, ali i unutar država članica, što otežava objedinjavanje podataka o uspješnosti na razini EU-a; ponavlja svoj poziv Komisiji da razvije sigurnu i interoperabilnu informatičku infrastrukturu i istodobno iskoristi kapacitete umjetne inteligencije, strojnog učenja i rudarenja podataka kako bi se poboljšala provedba politika i olakšalo praćenje, izvješćivanje i nadzor; ustraje u tome da podaci o pokazateljima i metodologije budu javno dostupni u stvarnom vremenu putem interoperabilnog sustava praćenja, izvješćivanja i revizije, čime bi se povećala transparentnost i osigurala sljedivost do razine projekta i razine krajnjih korisnika;</w:t>
            </w:r>
          </w:p>
        </w:tc>
        <w:tc>
          <w:tcPr>
            <w:tcW w:w="4876" w:type="dxa"/>
            <w:tcBorders>
              <w:top w:val="nil"/>
              <w:left w:val="nil"/>
              <w:bottom w:val="nil"/>
              <w:right w:val="nil"/>
            </w:tcBorders>
          </w:tcPr>
          <w:p>
            <w:pPr>
              <w:pStyle w:val="Normal6a"/>
            </w:pPr>
            <w:r>
              <w:t>7.</w:t>
            </w:r>
            <w:r>
              <w:tab/>
            </w:r>
            <w:r>
              <w:t xml:space="preserve">podsjeća da se pristupi prikupljanju podataka razlikuju među državama članicama, ali i unutar država članica, što otežava objedinjavanje podataka o uspješnosti na razini EU-a; ponavlja svoj poziv Komisiji da razvije sigurnu i interoperabilnu informatičku infrastrukturu i istodobno iskoristi kapacitete umjetne inteligencije, strojnog učenja i rudarenja podataka kako bi se poboljšala provedba politika i olakšalo praćenje, izvješćivanje i nadzor; ustraje u tome da podaci o pokazateljima i metodologije budu javno dostupni u stvarnom vremenu putem interoperabilnog sustava praćenja, izvješćivanja i revizije, čime bi se povećala transparentnost i osigurala sljedivost do razine projekta i razine krajnjih korisnika; </w:t>
            </w:r>
            <w:r>
              <w:rPr>
                <w:b/>
                <w:i/>
              </w:rPr>
              <w:t>naglašava da bi se svi korisnici sredstava Unije, uključujući one u okviru neizravnog upravljanja, trebali moći identificirati kako bi se omogućila učinkovita revizija i sprečavanje dvostrukog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podsjeća da se pristupi prikupljanju podataka razlikuju među državama članicama, ali i unutar država članica, što otežava objedinjavanje podataka o uspješnosti na razini EU-a; ponavlja svoj poziv Komisiji da razvije sigurnu i interoperabilnu informatičku infrastrukturu i istodobno iskoristi kapacitete umjetne inteligencije, strojnog učenja i rudarenja podataka kako bi se poboljšala provedba politika i olakšalo praćenje, izvješćivanje i nadzor; ustraje u tome da podaci o pokazateljima i metodologije budu javno dostupni u stvarnom vremenu putem interoperabilnog sustava praćenja, izvješćivanja i revizije, čime bi se povećala transparentnost i osigurala sljedivost do razine projekta i razine krajnjih korisnika;</w:t>
            </w:r>
          </w:p>
        </w:tc>
        <w:tc>
          <w:tcPr>
            <w:tcW w:w="4876" w:type="dxa"/>
            <w:tcBorders>
              <w:top w:val="nil"/>
              <w:left w:val="nil"/>
              <w:bottom w:val="nil"/>
              <w:right w:val="nil"/>
            </w:tcBorders>
          </w:tcPr>
          <w:p>
            <w:pPr>
              <w:pStyle w:val="Normal6a"/>
            </w:pPr>
            <w:r>
              <w:t>7.</w:t>
            </w:r>
            <w:r>
              <w:tab/>
            </w:r>
            <w:r>
              <w:t xml:space="preserve">podsjeća da se pristupi prikupljanju podataka razlikuju među državama članicama, ali i unutar država članica, što otežava objedinjavanje </w:t>
            </w:r>
            <w:r>
              <w:rPr>
                <w:b/>
                <w:i/>
              </w:rPr>
              <w:t>i usporedbu</w:t>
            </w:r>
            <w:r>
              <w:t xml:space="preserve"> podataka o uspješnosti na razini EU-a; ponavlja svoj poziv Komisiji da razvije sigurnu i interoperabilnu informatičku infrastrukturu i istodobno iskoristi kapacitete umjetne inteligencije, strojnog učenja i rudarenja podataka kako bi se poboljšala provedba politika i olakšalo praćenje, izvješćivanje i nadzor; ustraje u tome da podaci o pokazateljima i metodologije budu javno dostupni u stvarnom vremenu putem interoperabilnog sustava praćenja, izvješćivanja i revizije, </w:t>
            </w:r>
            <w:r>
              <w:rPr>
                <w:b/>
                <w:i/>
              </w:rPr>
              <w:t>uz istodobno jamčenje maksimalne sigurnosti podataka,</w:t>
            </w:r>
            <w:r>
              <w:t xml:space="preserve"> čime bi se povećala transparentnost i osigurala sljedivost do razine projekta i razine krajnjih korisnika;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poziva Komisiju da objavi jasne sažetke o uspješnosti i potrošnji prilagođene korisnicima (uključujući preglede od jedne stranice i interaktivne kontrolne ploče sa strojno čitljivim skupovima podataka), u skladu s preporukama OECD-a za jačanje izvješćivanja o uspješnosti integriranjem financijskih informacija i informacija o uspješnosti (dokumenti OECD-a o izradi proračuna, br. 2025/07);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naglašava da povećana upotreba umjetne inteligencije u praćenju i obradi podataka mora podlijegati strogim propisima kako bi se spriječila algoritamska diskriminacija, osigurala transparentnost i odgovornost te zajamčilo potpuno poštovanje temeljnih prava, uključujući snažan ljudski nadzor;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smatra da je ključno provjeriti i zajamčiti pouzdanost podataka koji se upotrebljavaju za utvrđivanje pokazatelja uspješnosti; sa zabrinutošću napominje da zbog uvođenja i sve veće upotrebe modela provedbe, kao što je Mehanizam za oporavak i otpornost, koji se temelje na financiranju koje nije povezano s troškovima, pri čemu se isplate izvršavaju u suprotnosti s postizanjem prethodno utvrđenih ključnih etapa i ciljnih vrijednosti, nedostaci u pouzdanosti podataka mogu negativno utjecati na financijske interese Unije;</w:t>
            </w:r>
          </w:p>
        </w:tc>
        <w:tc>
          <w:tcPr>
            <w:tcW w:w="4876" w:type="dxa"/>
            <w:tcBorders>
              <w:top w:val="nil"/>
              <w:left w:val="nil"/>
              <w:bottom w:val="nil"/>
              <w:right w:val="nil"/>
            </w:tcBorders>
          </w:tcPr>
          <w:p>
            <w:pPr>
              <w:pStyle w:val="Normal6a"/>
            </w:pPr>
            <w:r>
              <w:t>8.</w:t>
            </w:r>
            <w:r>
              <w:tab/>
            </w:r>
            <w:r>
              <w:t xml:space="preserve">smatra da je ključno provjeriti i zajamčiti pouzdanost podataka koji se upotrebljavaju za utvrđivanje pokazatelja uspješnosti; sa zabrinutošću napominje da zbog uvođenja i sve veće upotrebe modela provedbe, kao što je Mehanizam za oporavak i otpornost, koji se temelje na financiranju koje nije povezano s troškovima, pri čemu se isplate izvršavaju u suprotnosti s postizanjem prethodno utvrđenih ključnih etapa i ciljnih vrijednosti, nedostaci u pouzdanosti podataka mogu negativno utjecati na financijske interese Unije; </w:t>
            </w:r>
            <w:r>
              <w:rPr>
                <w:b/>
                <w:i/>
              </w:rPr>
              <w:t>stoga inzisitra na obveznim ex ante provjerama izvedivosti i ex post provjerama ključnih etapa i ciljnih vrijednosti, na sustavnom prosljeđivanju sumnji na prijevaru ili ozbiljne nepravilnosti OLAF-u i EPPO-u te na mogućnosti obustave plaćanja;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smatra da je ključno provjeriti i zajamčiti pouzdanost podataka koji se upotrebljavaju za utvrđivanje pokazatelja uspješnosti; sa zabrinutošću napominje da zbog uvođenja i sve veće upotrebe modela provedbe, kao što je Mehanizam za oporavak i otpornost, koji se temelje na financiranju koje nije povezano s troškovima, pri čemu se isplate izvršavaju u suprotnosti s postizanjem prethodno utvrđenih ključnih etapa i ciljnih vrijednosti, nedostaci u pouzdanosti podataka </w:t>
            </w:r>
            <w:r>
              <w:rPr>
                <w:b/>
                <w:i/>
              </w:rPr>
              <w:t>mogu negativno utjecati na financijske interese</w:t>
            </w:r>
            <w:r>
              <w:t xml:space="preserve"> Unije;</w:t>
            </w:r>
          </w:p>
        </w:tc>
        <w:tc>
          <w:tcPr>
            <w:tcW w:w="4876" w:type="dxa"/>
            <w:tcBorders>
              <w:top w:val="nil"/>
              <w:left w:val="nil"/>
              <w:bottom w:val="nil"/>
              <w:right w:val="nil"/>
            </w:tcBorders>
          </w:tcPr>
          <w:p>
            <w:pPr>
              <w:pStyle w:val="Normal6a"/>
            </w:pPr>
            <w:r>
              <w:t>8.</w:t>
            </w:r>
            <w:r>
              <w:tab/>
            </w:r>
            <w:r>
              <w:t xml:space="preserve">smatra da je ključno provjeriti i zajamčiti pouzdanost podataka koji se upotrebljavaju za utvrđivanje pokazatelja uspješnosti; sa zabrinutošću napominje da zbog uvođenja i sve veće upotrebe modela provedbe, kao što je Mehanizam za oporavak i otpornost, koji se temelje na financiranju koje nije povezano s troškovima, pri čemu se isplate izvršavaju u suprotnosti s postizanjem prethodno utvrđenih ključnih etapa i ciljnih vrijednosti, nedostaci u pouzdanosti podataka </w:t>
            </w:r>
            <w:r>
              <w:rPr>
                <w:b/>
                <w:i/>
              </w:rPr>
              <w:t>otežavaju zaštitu financijskih interesa</w:t>
            </w:r>
            <w:r>
              <w:t xml:space="preserv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Şerban Dimitrie Sturdza,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Komisiju da u svoje izvješće o uspješnosti uključi bitne informacije o osiguranju kvalitete koje se koristi za pokazatelje uspješnosti; zahtijeva da svi podaci o uspješnosti o kojima izvješćuju države članice podliježu neovisnoj provjeri, među ostalim od strane nacionalnih revizijskih tijela i Europskog revizorskog suda, te da se rezultati stave na raspolaganje Parlamentu;</w:t>
            </w:r>
          </w:p>
        </w:tc>
        <w:tc>
          <w:tcPr>
            <w:tcW w:w="4876" w:type="dxa"/>
            <w:tcBorders>
              <w:top w:val="nil"/>
              <w:left w:val="nil"/>
              <w:bottom w:val="nil"/>
              <w:right w:val="nil"/>
            </w:tcBorders>
          </w:tcPr>
          <w:p>
            <w:pPr>
              <w:pStyle w:val="Normal6a"/>
            </w:pPr>
            <w:r>
              <w:t>9.</w:t>
            </w:r>
            <w:r>
              <w:tab/>
            </w:r>
            <w:r>
              <w:t>poziva Komisiju da u svoje izvješće o uspješnosti uključi bitne informacije o osiguranju kvalitete koje se koristi za pokazatelje uspješnosti</w:t>
            </w:r>
            <w:r>
              <w:rPr>
                <w:b/>
                <w:i/>
              </w:rPr>
              <w:t>;</w:t>
            </w:r>
            <w:r>
              <w:t xml:space="preserve"> </w:t>
            </w:r>
            <w:r>
              <w:rPr>
                <w:b/>
                <w:i/>
              </w:rPr>
              <w:t>naglašava da bi pokazatelji uspješnosti trebali biti izolirani od političkog utjecaja i osmišljeni uz savjetovanje s neovisnim stručnjacima, nacionalnim revizijskim tijelima i Europskim revizorskim sudom;</w:t>
            </w:r>
            <w:r>
              <w:t xml:space="preserve"> </w:t>
            </w:r>
            <w:r>
              <w:rPr>
                <w:b/>
                <w:i/>
              </w:rPr>
              <w:t>ističe da je redovito i transparentno preispitivanje relevantnosti i pouzdanosti pokazatelja ključno za osiguravanje vjerodostojnosti i povjerenja javnosti u potrošnju EU-a</w:t>
            </w:r>
            <w:r>
              <w:t>; zahtijeva da svi podaci o uspješnosti o kojima izvješćuju države članice podliježu neovisnoj provjeri, među ostalim od strane nacionalnih revizijskih tijela i Europskog revizorskog suda, te da se rezultati stave na raspolaganje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Komisiju da u svoje izvješće o uspješnosti uključi bitne informacije o osiguranju kvalitete koje se koristi za pokazatelje uspješnosti; zahtijeva da svi podaci o uspješnosti o kojima izvješćuju države članice podliježu neovisnoj provjeri, među ostalim od strane nacionalnih revizijskih tijela i Europskog revizorskog suda, te da se rezultati stave na raspolaganje Parlamentu;</w:t>
            </w:r>
          </w:p>
        </w:tc>
        <w:tc>
          <w:tcPr>
            <w:tcW w:w="4876" w:type="dxa"/>
            <w:tcBorders>
              <w:top w:val="nil"/>
              <w:left w:val="nil"/>
              <w:bottom w:val="nil"/>
              <w:right w:val="nil"/>
            </w:tcBorders>
          </w:tcPr>
          <w:p>
            <w:pPr>
              <w:pStyle w:val="Normal6a"/>
            </w:pPr>
            <w:r>
              <w:t>9.</w:t>
            </w:r>
            <w:r>
              <w:tab/>
            </w:r>
            <w:r>
              <w:t xml:space="preserve">poziva Komisiju da u svoje izvješće o uspješnosti uključi bitne informacije o osiguranju kvalitete koje se koristi za pokazatelje uspješnosti; zahtijeva da svi podaci o uspješnosti o kojima izvješćuju države članice podliježu neovisnoj provjeri, među ostalim od strane nacionalnih revizijskih tijela i Europskog revizorskog suda, te da se rezultati stave na raspolaganje Parlamentu; </w:t>
            </w:r>
            <w:r>
              <w:rPr>
                <w:b/>
                <w:i/>
              </w:rPr>
              <w:t>zahtijeva da se izvješća o provjeri i skupovi podataka objavljuju, uz dužno poštovanje povjerljivosti, u otvorenom formatu koji omogućuje pristup akterima civilnog društva i istraživačima;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Komisiju da u svoje izvješće o uspješnosti uključi bitne informacije o osiguranju kvalitete koje se koristi za pokazatelje uspješnosti; zahtijeva da </w:t>
            </w:r>
            <w:r>
              <w:rPr>
                <w:b/>
                <w:i/>
              </w:rPr>
              <w:t>svi</w:t>
            </w:r>
            <w:r>
              <w:t xml:space="preserve"> podaci o uspješnosti o kojima izvješćuju države članice podliježu neovisnoj provjeri, među ostalim od strane nacionalnih revizijskih tijela i Europskog revizorskog suda, te da se rezultati stave na raspolaganje Parlamentu;</w:t>
            </w:r>
          </w:p>
        </w:tc>
        <w:tc>
          <w:tcPr>
            <w:tcW w:w="4876" w:type="dxa"/>
            <w:tcBorders>
              <w:top w:val="nil"/>
              <w:left w:val="nil"/>
              <w:bottom w:val="nil"/>
              <w:right w:val="nil"/>
            </w:tcBorders>
          </w:tcPr>
          <w:p>
            <w:pPr>
              <w:pStyle w:val="Normal6a"/>
            </w:pPr>
            <w:r>
              <w:t>9.</w:t>
            </w:r>
            <w:r>
              <w:tab/>
            </w:r>
            <w:r>
              <w:t>poziva Komisiju da u svoje izvješće o uspješnosti uključi bitne informacije o osiguranju kvalitete koje se koristi za pokazatelje uspješnosti; zahtijeva da podaci o uspješnosti o kojima izvješćuju države članice podliježu neovisnoj provjeri, među ostalim od strane nacionalnih revizijskih tijela i Europskog revizorskog suda, te da se rezultati stave na raspolaganje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smatra da je vladavina prava ključan preduvjet za jačanje konkurentnosti EU-a;</w:t>
            </w:r>
            <w:r>
              <w:t xml:space="preserve"> </w:t>
            </w:r>
            <w:r>
              <w:rPr>
                <w:b/>
                <w:i/>
              </w:rPr>
              <w:t>ističe da izazovi za vladavinu prava negativno utječu na povjerenje ulagača, povjerenje potrošača i integritet jedinstvenog tržišta, kako je navedeno u Izvješću Komisije o vladavini prava za 2025.;</w:t>
            </w:r>
            <w:r>
              <w:t xml:space="preserve"> </w:t>
            </w:r>
            <w:r>
              <w:rPr>
                <w:b/>
                <w:i/>
              </w:rPr>
              <w:t>stoga smatra da bi okvir uspješnosti proračuna EU-a trebao obuhvaćati i pokazatelje povezane s vladavinom prava, kao što su funkcioniranje pravosudnog sustava, borba protiv korupcije i učinkovit sustav provjere i ravnoteže, koji doprinose pravnoj sigurnosti i predvidljivom okruženju za poslovanje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potiče Komisiju da periodično preispituje nastavak programa za koje je Europski revizorski sud utvrdio nedovoljnu učinkovitost ili ozbiljne nedostatke u izvješćivanju o učinku;</w:t>
            </w:r>
            <w:r>
              <w:t xml:space="preserve"> </w:t>
            </w:r>
            <w:r>
              <w:rPr>
                <w:b/>
                <w:i/>
              </w:rPr>
              <w:t>poziva na to da se sredstva preraspodijele na učinkovitije mjere ili da se po potrebi vrate građanima nižim poreznim opterećenjem;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naglašava da učinkovito upravljanje uspješnošću podrazumijeva poštovanje vladavine prava i zaštitu financijskih interesa EU-a;</w:t>
            </w:r>
            <w:r>
              <w:t xml:space="preserve"> </w:t>
            </w:r>
            <w:r>
              <w:rPr>
                <w:b/>
                <w:i/>
              </w:rPr>
              <w:t>podsjeća da se, ako i dalje postoje ozbiljni nedostaci u sustavima kontrole, plaćanja moraju obustaviti i primijeniti financijski ispravci;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se u Draghijevom </w:t>
            </w:r>
            <w:r>
              <w:rPr>
                <w:b/>
                <w:i/>
              </w:rPr>
              <w:t>izvješće</w:t>
            </w:r>
            <w:r>
              <w:t xml:space="preserve"> EU potiče da nastavi s temeljitim reformama za poticanje konkurentnosti</w:t>
            </w:r>
            <w:r>
              <w:rPr>
                <w:b/>
                <w:i/>
              </w:rPr>
              <w:t>, s naglaskom na inovacijama, dekarbonizaciji i obrani, te poziva na golema ulaganja u strateške sektore kao što su zelena energija, digitalna infrastruktura i napredna proizvodnja, uz potporu regulatornog pojednostavnjenja i snažnije koordinacije na razini EU-a;</w:t>
            </w:r>
            <w:r>
              <w:t xml:space="preserve"> </w:t>
            </w:r>
            <w:r>
              <w:rPr>
                <w:b/>
                <w:i/>
              </w:rPr>
              <w:t>u tom pogledu smatra da je čvrst okvir uspješnosti ključan za praćenje napretka i mjerenje</w:t>
            </w:r>
            <w:r>
              <w:t xml:space="preserve"> učinka;</w:t>
            </w:r>
          </w:p>
        </w:tc>
        <w:tc>
          <w:tcPr>
            <w:tcW w:w="4876" w:type="dxa"/>
            <w:tcBorders>
              <w:top w:val="nil"/>
              <w:left w:val="nil"/>
              <w:bottom w:val="nil"/>
              <w:right w:val="nil"/>
            </w:tcBorders>
          </w:tcPr>
          <w:p>
            <w:pPr>
              <w:pStyle w:val="Normal6a"/>
            </w:pPr>
            <w:r>
              <w:t>10.</w:t>
            </w:r>
            <w:r>
              <w:tab/>
            </w:r>
            <w:r>
              <w:t xml:space="preserve">podsjeća da se u Draghijevom </w:t>
            </w:r>
            <w:r>
              <w:rPr>
                <w:b/>
                <w:i/>
              </w:rPr>
              <w:t>izvješću</w:t>
            </w:r>
            <w:r>
              <w:t xml:space="preserve"> EU potiče da nastavi s temeljitim reformama za poticanje konkurentnosti </w:t>
            </w:r>
            <w:r>
              <w:rPr>
                <w:b/>
                <w:i/>
              </w:rPr>
              <w:t>te da se pri provedbi prednost mora dati djelotvornosti rashoda i mjerenju rezultata;</w:t>
            </w:r>
            <w:r>
              <w:t xml:space="preserve"> </w:t>
            </w:r>
            <w:r>
              <w:rPr>
                <w:b/>
                <w:i/>
              </w:rPr>
              <w:t>podsjeća da se svaki potrošeni euro mora potrošiti na djelotvoran način;</w:t>
            </w:r>
            <w:r>
              <w:t xml:space="preserve"> </w:t>
            </w:r>
            <w:r>
              <w:rPr>
                <w:b/>
                <w:i/>
              </w:rPr>
              <w:t>naglašava da se projekti koje financira EU odabiru isključivo na temelju očekivanog povrata i mjerljivog</w:t>
            </w:r>
            <w:r>
              <w:t xml:space="preserve"> učinka</w:t>
            </w:r>
            <w:r>
              <w:rPr>
                <w:b/>
                <w:i/>
              </w:rPr>
              <w:t>, u skladu s načelima ekonomičnosti, učinkovitosti i djelotvornosti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podsjeća da se u Draghijevom izvješće EU potiče da nastavi s temeljitim reformama za poticanje konkurentnosti, s naglaskom na inovacijama, dekarbonizaciji i obrani, te poziva na golema ulaganja u strateške sektore kao što su zelena energija, digitalna infrastruktura i napredna proizvodnja, uz potporu regulatornog pojednostavnjenja i snažnije koordinacije na razini EU-a; u tom pogledu smatra da je čvrst okvir uspješnosti ključan za praćenje napretka i mjerenje učinka;</w:t>
            </w:r>
          </w:p>
        </w:tc>
        <w:tc>
          <w:tcPr>
            <w:tcW w:w="4876" w:type="dxa"/>
            <w:tcBorders>
              <w:top w:val="nil"/>
              <w:left w:val="nil"/>
              <w:bottom w:val="nil"/>
              <w:right w:val="nil"/>
            </w:tcBorders>
          </w:tcPr>
          <w:p>
            <w:pPr>
              <w:pStyle w:val="Normal6a"/>
            </w:pPr>
            <w:r>
              <w:t>10.</w:t>
            </w:r>
            <w:r>
              <w:tab/>
            </w:r>
            <w:r>
              <w:t xml:space="preserve">podsjeća da se u Draghijevom izvješće EU potiče da nastavi s temeljitim reformama za poticanje konkurentnosti, s naglaskom na inovacijama, dekarbonizaciji i obrani, te poziva na golema ulaganja u strateške sektore kao što su zelena energija, digitalna infrastruktura i napredna proizvodnja, uz potporu regulatornog pojednostavnjenja i snažnije koordinacije na razini EU-a; u tom pogledu smatra da je čvrst okvir uspješnosti ključan za praćenje napretka i mjerenje učinka; </w:t>
            </w:r>
            <w:r>
              <w:rPr>
                <w:b/>
                <w:i/>
              </w:rPr>
              <w:t>naglašava da pokazatelji uspješnosti moraju biti objektivni, mjerljivi te bez političke i ideološke pristranosti kako bi se ocjena programa EU-a temeljila na provjerljivim činjenicama i kako na nju ne bi utjecali pojedini politički programi;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se u Draghijevom </w:t>
            </w:r>
            <w:r>
              <w:rPr>
                <w:b/>
                <w:i/>
              </w:rPr>
              <w:t>izvješće</w:t>
            </w:r>
            <w:r>
              <w:t xml:space="preserve"> EU potiče da nastavi s temeljitim reformama za poticanje konkurentnosti, s naglaskom na inovacijama</w:t>
            </w:r>
            <w:r>
              <w:rPr>
                <w:b/>
                <w:i/>
              </w:rPr>
              <w:t>, dekarbonizaciji</w:t>
            </w:r>
            <w:r>
              <w:t xml:space="preserve"> i obrani, te poziva na golema ulaganja u strateške sektore kao što su </w:t>
            </w:r>
            <w:r>
              <w:rPr>
                <w:b/>
                <w:i/>
              </w:rPr>
              <w:t>zelena energija,</w:t>
            </w:r>
            <w:r>
              <w:t xml:space="preserve"> digitalna infrastruktura i napredna proizvodnja, uz potporu regulatornog pojednostavnjenja i snažnije koordinacije na razini EU-a; u tom pogledu smatra da je čvrst okvir uspješnosti ključan za praćenje napretka i mjerenje učinka;</w:t>
            </w:r>
          </w:p>
        </w:tc>
        <w:tc>
          <w:tcPr>
            <w:tcW w:w="4876" w:type="dxa"/>
            <w:tcBorders>
              <w:top w:val="nil"/>
              <w:left w:val="nil"/>
              <w:bottom w:val="nil"/>
              <w:right w:val="nil"/>
            </w:tcBorders>
          </w:tcPr>
          <w:p>
            <w:pPr>
              <w:pStyle w:val="Normal6a"/>
            </w:pPr>
            <w:r>
              <w:t>10.</w:t>
            </w:r>
            <w:r>
              <w:tab/>
            </w:r>
            <w:r>
              <w:t xml:space="preserve">podsjeća da se u Draghijevom </w:t>
            </w:r>
            <w:r>
              <w:rPr>
                <w:b/>
                <w:i/>
              </w:rPr>
              <w:t>izvješću</w:t>
            </w:r>
            <w:r>
              <w:t xml:space="preserve"> EU potiče da nastavi s temeljitim reformama za poticanje konkurentnosti, s naglaskom na inovacijama i obrani, te poziva na golema ulaganja u strateške sektore kao što su digitalna infrastruktura i napredna proizvodnja, uz potporu regulatornog pojednostavnjenja i snažnije koordinacije na razini EU-a; u tom pogledu smatra da je čvrst okvir uspješnosti ključan za praćenje napretka i mjerenje učinka;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se u Draghijevom </w:t>
            </w:r>
            <w:r>
              <w:rPr>
                <w:b/>
                <w:i/>
              </w:rPr>
              <w:t>izvješće</w:t>
            </w:r>
            <w:r>
              <w:t xml:space="preserve"> EU potiče da nastavi s temeljitim reformama za poticanje konkurentnosti, s naglaskom na inovacijama</w:t>
            </w:r>
            <w:r>
              <w:rPr>
                <w:b/>
                <w:i/>
              </w:rPr>
              <w:t>,</w:t>
            </w:r>
            <w:r>
              <w:t xml:space="preserve"> dekarbonizaciji </w:t>
            </w:r>
            <w:r>
              <w:rPr>
                <w:b/>
                <w:i/>
              </w:rPr>
              <w:t>i obrani</w:t>
            </w:r>
            <w:r>
              <w:t>, te poziva na golema ulaganja u strateške sektore kao što su zelena energija, digitalna infrastruktura i napredna proizvodnja, uz potporu regulatornog pojednostavnjenja i snažnije koordinacije na razini EU-a; u tom pogledu smatra da je čvrst okvir uspješnosti ključan za praćenje napretka i mjerenje učinka;</w:t>
            </w:r>
          </w:p>
        </w:tc>
        <w:tc>
          <w:tcPr>
            <w:tcW w:w="4876" w:type="dxa"/>
            <w:tcBorders>
              <w:top w:val="nil"/>
              <w:left w:val="nil"/>
              <w:bottom w:val="nil"/>
              <w:right w:val="nil"/>
            </w:tcBorders>
          </w:tcPr>
          <w:p>
            <w:pPr>
              <w:pStyle w:val="Normal6a"/>
            </w:pPr>
            <w:r>
              <w:t>10.</w:t>
            </w:r>
            <w:r>
              <w:tab/>
            </w:r>
            <w:r>
              <w:t xml:space="preserve">podsjeća da se u Draghijevom </w:t>
            </w:r>
            <w:r>
              <w:rPr>
                <w:b/>
                <w:i/>
              </w:rPr>
              <w:t>izvješću</w:t>
            </w:r>
            <w:r>
              <w:t xml:space="preserve"> EU potiče da nastavi s temeljitim reformama za poticanje konkurentnosti, s naglaskom na inovacijama </w:t>
            </w:r>
            <w:r>
              <w:rPr>
                <w:b/>
                <w:i/>
              </w:rPr>
              <w:t>i</w:t>
            </w:r>
            <w:r>
              <w:t xml:space="preserve"> dekarbonizaciji, te poziva na golema ulaganja u strateške sektore kao što su zelena energija, digitalna infrastruktura i napredna proizvodnja, uz potporu regulatornog pojednostavnjenja i snažnije koordinacije na razini EU-a; u tom pogledu smatra da je čvrst okvir uspješnosti ključan za praćenje napretka i mjerenje učinka;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se u Draghijevom </w:t>
            </w:r>
            <w:r>
              <w:rPr>
                <w:b/>
                <w:i/>
              </w:rPr>
              <w:t>izvješće</w:t>
            </w:r>
            <w:r>
              <w:t xml:space="preserve"> EU potiče da nastavi s temeljitim reformama za poticanje konkurentnosti, s naglaskom na inovacijama, dekarbonizaciji i obrani, te poziva na golema ulaganja u strateške sektore kao što su zelena energija, digitalna infrastruktura i napredna proizvodnja, uz potporu regulatornog pojednostavnjenja i snažnije koordinacije na razini EU-a; u tom pogledu smatra da </w:t>
            </w:r>
            <w:r>
              <w:rPr>
                <w:b/>
                <w:i/>
              </w:rPr>
              <w:t>je</w:t>
            </w:r>
            <w:r>
              <w:t xml:space="preserve"> čvrst okvir uspješnosti </w:t>
            </w:r>
            <w:r>
              <w:rPr>
                <w:b/>
                <w:i/>
              </w:rPr>
              <w:t>ključan</w:t>
            </w:r>
            <w:r>
              <w:t xml:space="preserve"> za praćenje napretka i mjerenje učinka;</w:t>
            </w:r>
          </w:p>
        </w:tc>
        <w:tc>
          <w:tcPr>
            <w:tcW w:w="4876" w:type="dxa"/>
            <w:tcBorders>
              <w:top w:val="nil"/>
              <w:left w:val="nil"/>
              <w:bottom w:val="nil"/>
              <w:right w:val="nil"/>
            </w:tcBorders>
          </w:tcPr>
          <w:p>
            <w:pPr>
              <w:pStyle w:val="Normal6a"/>
            </w:pPr>
            <w:r>
              <w:t>10.</w:t>
            </w:r>
            <w:r>
              <w:tab/>
            </w:r>
            <w:r>
              <w:t xml:space="preserve">podsjeća da se u Draghijevom </w:t>
            </w:r>
            <w:r>
              <w:rPr>
                <w:b/>
                <w:i/>
              </w:rPr>
              <w:t>izvješću</w:t>
            </w:r>
            <w:r>
              <w:t xml:space="preserve"> EU potiče da nastavi s temeljitim reformama za poticanje konkurentnosti, s naglaskom na inovacijama, dekarbonizaciji i obrani, te poziva na golema ulaganja u strateške sektore kao što su zelena energija, digitalna infrastruktura i napredna proizvodnja, uz potporu regulatornog pojednostavnjenja i snažnije koordinacije na razini EU-a; u tom pogledu smatra da </w:t>
            </w:r>
            <w:r>
              <w:rPr>
                <w:b/>
                <w:i/>
              </w:rPr>
              <w:t>su</w:t>
            </w:r>
            <w:r>
              <w:t xml:space="preserve"> čvrst okvir uspješnosti </w:t>
            </w:r>
            <w:r>
              <w:rPr>
                <w:b/>
                <w:i/>
              </w:rPr>
              <w:t>i sustav pokazatelja ključni</w:t>
            </w:r>
            <w:r>
              <w:t xml:space="preserve"> za praćenje napretka i mjerenje učinka</w:t>
            </w:r>
            <w:r>
              <w:rPr>
                <w:b/>
                <w:i/>
              </w:rPr>
              <w:t>, povezujući uspješnost izravno s gospodarskom snagom Europske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podsjeća da se u Draghijevu izvješću naglašava da je izvrsnost u istraživanju i inovacijama ključna za konkurentnost EU-a te da bi u okviru sustava EU-a za istraživanje i inovacije, uključujući program Obzor Europa, trebao postojati samo jedan kriterij odabira, a to je izvrsnost;</w:t>
            </w:r>
            <w:r>
              <w:t xml:space="preserve"> </w:t>
            </w:r>
            <w:r>
              <w:rPr>
                <w:b/>
                <w:i/>
              </w:rPr>
              <w:t>u tom pogledu ponavlja svoje stajalište da bi financiranje istraživanja i inovacija trebalo i dalje biti određeno načelom izvrsnosti i temeljiti se na zaslugama;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ishode i učinke (npr. povećanje produktivnosti, smanjenje emisija, otvaranje radnih mjesta, učinak poluge programa EU-a, posebno u pogledu mobilizacije privatnih ulaganja), kako bi se izmjerila učinkovitost i djelotvornost potrošnje EU-a;</w:t>
            </w:r>
          </w:p>
        </w:tc>
        <w:tc>
          <w:tcPr>
            <w:tcW w:w="4876" w:type="dxa"/>
            <w:tcBorders>
              <w:top w:val="nil"/>
              <w:left w:val="nil"/>
              <w:bottom w:val="nil"/>
              <w:right w:val="nil"/>
            </w:tcBorders>
          </w:tcPr>
          <w:p>
            <w:pPr>
              <w:pStyle w:val="Normal6a"/>
            </w:pPr>
            <w:r>
              <w:t>11.</w:t>
            </w:r>
            <w:r>
              <w:tab/>
            </w:r>
            <w:r>
              <w:t xml:space="preserve">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ishode i učinke (npr. povećanje produktivnosti, smanjenje emisija, otvaranje radnih mjesta, učinak poluge programa EU-a, posebno u pogledu mobilizacije privatnih ulaganja), kako bi se izmjerila učinkovitost i djelotvornost potrošnje EU-a; </w:t>
            </w:r>
            <w:r>
              <w:rPr>
                <w:b/>
                <w:i/>
              </w:rPr>
              <w:t>naglašava da bi pokazatelji koji se temelje na rezultatima trebali biti usmjereni na dugoročno povećanje konkurentnosti, uključujući rast produktivnosti, tehnološko vodstvo, diversifikaciju izvoza i otvaranje održivih radnih mjesta, a ne na parametre kratkoročnih isplata ili politički definirane ključne etape;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ishode i učinke (npr. povećanje produktivnosti, smanjenje emisija, otvaranje radnih mjesta, učinak poluge programa EU-a, posebno u pogledu mobilizacije privatnih ulaganja), kako bi se izmjerila učinkovitost i djelotvornost potrošnje EU-a;</w:t>
            </w:r>
          </w:p>
        </w:tc>
        <w:tc>
          <w:tcPr>
            <w:tcW w:w="4876" w:type="dxa"/>
            <w:tcBorders>
              <w:top w:val="nil"/>
              <w:left w:val="nil"/>
              <w:bottom w:val="nil"/>
              <w:right w:val="nil"/>
            </w:tcBorders>
          </w:tcPr>
          <w:p>
            <w:pPr>
              <w:pStyle w:val="Normal6a"/>
            </w:pPr>
            <w:r>
              <w:t>11.</w:t>
            </w:r>
            <w:r>
              <w:tab/>
            </w:r>
            <w:r>
              <w:t xml:space="preserve">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ishode i učinke (npr. povećanje produktivnosti, smanjenje emisija, otvaranje radnih mjesta, učinak poluge programa EU-a, posebno u pogledu mobilizacije privatnih ulaganja), kako bi se izmjerila učinkovitost i djelotvornost potrošnje EU-a; </w:t>
            </w:r>
            <w:r>
              <w:rPr>
                <w:b/>
                <w:i/>
              </w:rPr>
              <w:t>naglašava da se pri definiranju pokazatelja uspješnosti moraju izbjegavati politički ili subjektivni kriteriji te da se umjesto toga treba usredotočiti na mjerljive rezultate u pogledu konkurentnosti kao što su produktivnost, trgovinska bilanca i učinak poluge ulaganja;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ishode i učinke (npr. povećanje produktivnosti, smanjenje emisija, otvaranje radnih mjesta, učinak poluge programa EU-a, posebno u pogledu mobilizacije privatnih ulaganja), kako bi se izmjerila učinkovitost i djelotvornost potrošnje EU-a;</w:t>
            </w:r>
          </w:p>
        </w:tc>
        <w:tc>
          <w:tcPr>
            <w:tcW w:w="4876" w:type="dxa"/>
            <w:tcBorders>
              <w:top w:val="nil"/>
              <w:left w:val="nil"/>
              <w:bottom w:val="nil"/>
              <w:right w:val="nil"/>
            </w:tcBorders>
          </w:tcPr>
          <w:p>
            <w:pPr>
              <w:pStyle w:val="Normal6a"/>
            </w:pPr>
            <w:r>
              <w:t>11.</w:t>
            </w:r>
            <w:r>
              <w:tab/>
            </w:r>
            <w:r>
              <w:t xml:space="preserve">ističe da bi provedbu preporuka iz Draghijevog izvješća trebalo pratiti s pomoću relevantnih pokazatelja uspješnosti koji opisuju napredak EU-a u jačanju njegove konkurentnosti </w:t>
            </w:r>
            <w:r>
              <w:rPr>
                <w:b/>
                <w:i/>
              </w:rPr>
              <w:t>s pozitivnim učinkom na gospodarski rast u državama članicama</w:t>
            </w:r>
            <w:r>
              <w:t xml:space="preserve">; naglašava da pokazatelji moraju biti pažljivo osmišljeni i da bi njima trebalo obuhvatiti ne samo ostvarenja (npr. broj financiranih projekata), nego i ishode i učinke (npr. povećanje produktivnosti, smanjenje emisija, otvaranje radnih mjesta, učinak poluge programa EU-a, posebno u pogledu mobilizacije privatnih ulaganja), kako bi se izmjerila učinkovitost i djelotvornost potrošnje EU-a; </w:t>
            </w:r>
            <w:r>
              <w:rPr>
                <w:b/>
                <w:i/>
              </w:rPr>
              <w:t>podsjeća da su strukturne reforme ključne za postizanje ciljeva konkurentnosti i da se moraju odražavati u okvirima za mjerenje uspješnosti;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w:t>
            </w:r>
            <w:r>
              <w:rPr>
                <w:b/>
                <w:i/>
              </w:rPr>
              <w:t>ishode</w:t>
            </w:r>
            <w:r>
              <w:t xml:space="preserve"> i učinke (npr. povećanje produktivnosti, smanjenje emisija, otvaranje radnih mjesta, učinak poluge programa EU-a, posebno u pogledu mobilizacije privatnih ulaganja), kako bi se izmjerila učinkovitost i djelotvornost potrošnje EU-a;</w:t>
            </w:r>
          </w:p>
        </w:tc>
        <w:tc>
          <w:tcPr>
            <w:tcW w:w="4876" w:type="dxa"/>
            <w:tcBorders>
              <w:top w:val="nil"/>
              <w:left w:val="nil"/>
              <w:bottom w:val="nil"/>
              <w:right w:val="nil"/>
            </w:tcBorders>
          </w:tcPr>
          <w:p>
            <w:pPr>
              <w:pStyle w:val="Normal6a"/>
            </w:pPr>
            <w:r>
              <w:t>11.</w:t>
            </w:r>
            <w:r>
              <w:tab/>
            </w:r>
            <w:r>
              <w:t xml:space="preserve">Ističe da bi provedbu preporuka iz Draghijevog izvješća </w:t>
            </w:r>
            <w:r>
              <w:rPr>
                <w:b/>
                <w:i/>
              </w:rPr>
              <w:t>i Kompasa konkurentnosti</w:t>
            </w:r>
            <w:r>
              <w:t xml:space="preserve"> trebalo pratiti s pomoću relevantnih pokazatelja uspješnosti koji opisuju napredak EU-a u jačanju njegove konkurentnosti </w:t>
            </w:r>
            <w:r>
              <w:rPr>
                <w:b/>
                <w:i/>
              </w:rPr>
              <w:t>i gospodarskog rasta inovacijama, tehnološkim vodstvom i industrijskom otpornošću</w:t>
            </w:r>
            <w:r>
              <w:t xml:space="preserve">; naglašava da pokazatelji moraju biti pažljivo osmišljeni i da bi njima trebalo obuhvatiti ne samo ostvarenja (npr. broj financiranih projekata), nego i </w:t>
            </w:r>
            <w:r>
              <w:rPr>
                <w:b/>
                <w:i/>
              </w:rPr>
              <w:t>rezultate</w:t>
            </w:r>
            <w:r>
              <w:t xml:space="preserve"> i učinke (npr. povećanje produktivnosti, smanjenje emisija, otvaranje radnih mjesta, učinak poluge programa EU-a, posebno u pogledu mobilizacije privatnih ulaganja), kako bi se izmjerila učinkovitost i djelotvornost potrošnje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ishode i učinke (npr. povećanje produktivnosti, smanjenje emisija, otvaranje radnih mjesta, učinak poluge programa EU-a, posebno u pogledu mobilizacije privatnih ulaganja), kako bi se izmjerila učinkovitost i djelotvornost potrošnje EU-a;</w:t>
            </w:r>
          </w:p>
        </w:tc>
        <w:tc>
          <w:tcPr>
            <w:tcW w:w="4876" w:type="dxa"/>
            <w:tcBorders>
              <w:top w:val="nil"/>
              <w:left w:val="nil"/>
              <w:bottom w:val="nil"/>
              <w:right w:val="nil"/>
            </w:tcBorders>
          </w:tcPr>
          <w:p>
            <w:pPr>
              <w:pStyle w:val="Normal6a"/>
            </w:pPr>
            <w:r>
              <w:t>11.</w:t>
            </w:r>
            <w:r>
              <w:tab/>
            </w:r>
            <w:r>
              <w:t>ističe da bi provedbu preporuka iz Draghijevog izvješća trebalo pratiti s pomoću relevantnih pokazatelja uspješnosti koji opisuju napredak EU-a u jačanju njegove konkurentnosti</w:t>
            </w:r>
            <w:r>
              <w:rPr>
                <w:b/>
                <w:i/>
              </w:rPr>
              <w:t>, uz istodobno jamčenje socijalne pravednosti</w:t>
            </w:r>
            <w:r>
              <w:t xml:space="preserve">; naglašava da pokazatelji moraju biti pažljivo osmišljeni i da bi njima trebalo obuhvatiti ne samo ostvarenja (npr. broj financiranih projekata), nego i ishode i učinke (npr. povećanje produktivnosti, smanjenje emisija, otvaranje </w:t>
            </w:r>
            <w:r>
              <w:rPr>
                <w:b/>
                <w:i/>
              </w:rPr>
              <w:t>održivih i sigurnih</w:t>
            </w:r>
            <w:r>
              <w:t xml:space="preserve"> radnih mjesta</w:t>
            </w:r>
            <w:r>
              <w:rPr>
                <w:b/>
                <w:i/>
              </w:rPr>
              <w:t>, poboljšanje socijalne i teritorijalne kohezije, rodna ravnopravnost</w:t>
            </w:r>
            <w:r>
              <w:t>, učinak poluge programa EU-a, posebno u pogledu mobilizacije privatnih ulaganja), kako bi se izmjerila učinkovitost i djelotvornost potrošnje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ishode i učinke (npr. povećanje produktivnosti, </w:t>
            </w:r>
            <w:r>
              <w:rPr>
                <w:b/>
                <w:i/>
              </w:rPr>
              <w:t>smanjenje emisija,</w:t>
            </w:r>
            <w:r>
              <w:t xml:space="preserve"> otvaranje radnih mjesta, učinak poluge programa EU-a, posebno u pogledu mobilizacije privatnih ulaganja), kako bi se izmjerila učinkovitost i djelotvornost potrošnje EU-a;</w:t>
            </w:r>
          </w:p>
        </w:tc>
        <w:tc>
          <w:tcPr>
            <w:tcW w:w="4876" w:type="dxa"/>
            <w:tcBorders>
              <w:top w:val="nil"/>
              <w:left w:val="nil"/>
              <w:bottom w:val="nil"/>
              <w:right w:val="nil"/>
            </w:tcBorders>
          </w:tcPr>
          <w:p>
            <w:pPr>
              <w:pStyle w:val="Normal6a"/>
            </w:pPr>
            <w:r>
              <w:t>11.</w:t>
            </w:r>
            <w:r>
              <w:tab/>
            </w:r>
            <w:r>
              <w:t>ističe da bi provedbu preporuka iz Draghijevog izvješća trebalo pratiti s pomoću relevantnih pokazatelja uspješnosti koji opisuju napredak EU-a u jačanju njegove konkurentnosti; naglašava da pokazatelji moraju biti pažljivo osmišljeni i da bi njima trebalo obuhvatiti ne samo ostvarenja (npr. broj financiranih projekata), nego i ishode i učinke (npr. povećanje produktivnosti, otvaranje radnih mjesta, učinak poluge programa EU-a, posebno u pogledu mobilizacije privatnih ulaganja), kako bi se izmjerila učinkovitost i djelotvornost potrošnje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napominje da se upotrebom kratkoročnih parametara isplate, kojima se u prvom redu mjeri iskorištavanje sredstava ili stopa izvršenja proračuna, pružaju informacije o administrativnom napretku, a ne o stvarnom gospodarskom ili društvenom učinku potrošenih sredstava EU-a;</w:t>
            </w:r>
            <w:r>
              <w:t xml:space="preserve"> </w:t>
            </w:r>
            <w:r>
              <w:rPr>
                <w:b/>
                <w:i/>
              </w:rPr>
              <w:t>ističe da takvi pokazatelji mogu stvoriti obmanjujuću predodžbu o uspjehu kada se sredstva u potpunosti potroše, ali se njima ne uspijevaju ostvariti mjerljiva poboljšanja u inovacijama, ulaganjima ili zapošljavanju;</w:t>
            </w:r>
            <w:r>
              <w:t xml:space="preserve"> </w:t>
            </w:r>
            <w:r>
              <w:rPr>
                <w:b/>
                <w:i/>
              </w:rPr>
              <w:t>podsjeća da je Europski revizorski sud u više navrata kritizirao prekomjerno oslanjanje na stope potrošnje i ključne etape plaćanja u okviru uspješnosti EU-a te poziva na pomak prema pokazateljima ishoda i učinka koji bi odražavaju stvarno povećanje konkurentnosti i vrijednost za uloženi novac;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upozorava da horizontalni minimalni udjeli za odabrane prioritete ne poboljšavaju automatski rezultate;</w:t>
            </w:r>
            <w:r>
              <w:t xml:space="preserve"> </w:t>
            </w:r>
            <w:r>
              <w:rPr>
                <w:b/>
                <w:i/>
              </w:rPr>
              <w:t>napominje da Komisija u svojem prijedlogu od 16. srpnja 2025. za VFO za razdoblje 2028. - 2034. predlaže ciljnu vrijednost za potrošnju u području klime i okoliša od 35 % (više od 700 milijardi EUR), što mora ostati podređeno mjerljivoj djelotvornosti i transparentnom izvješćivanju o učinku;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w:t>
            </w:r>
            <w:r>
              <w:rPr>
                <w:b/>
                <w:i/>
              </w:rPr>
              <w:t>potrebu da se</w:t>
            </w:r>
            <w:r>
              <w:t xml:space="preserve"> podaci na razini </w:t>
            </w:r>
            <w:r>
              <w:rPr>
                <w:b/>
                <w:i/>
              </w:rPr>
              <w:t>projekata uključe u</w:t>
            </w:r>
            <w:r>
              <w:t xml:space="preserve"> poboljšano izvješćivanje o uspješnosti za financijske instrumente koji se provode u okviru neizravnog upravljanja, kao što je InvestEU; uviđa da, zbog tržišne prirode financijskih instrumenata i njihove usmjerenosti na potražnju, uspješnost takvih programa ovisi o njihovoj primjeni na tržištu, što ograničava sposobnost Komisije da utvrdi unaprijed definirane ključne etape i ciljne vrijednosti;</w:t>
            </w:r>
          </w:p>
        </w:tc>
        <w:tc>
          <w:tcPr>
            <w:tcW w:w="4876" w:type="dxa"/>
            <w:tcBorders>
              <w:top w:val="nil"/>
              <w:left w:val="nil"/>
              <w:bottom w:val="nil"/>
              <w:right w:val="nil"/>
            </w:tcBorders>
          </w:tcPr>
          <w:p>
            <w:pPr>
              <w:pStyle w:val="Normal6a"/>
            </w:pPr>
            <w:r>
              <w:t>12.</w:t>
            </w:r>
            <w:r>
              <w:tab/>
            </w:r>
            <w:r>
              <w:t xml:space="preserve">naglašava </w:t>
            </w:r>
            <w:r>
              <w:rPr>
                <w:b/>
                <w:i/>
              </w:rPr>
              <w:t>da bi</w:t>
            </w:r>
            <w:r>
              <w:t xml:space="preserve"> podaci na razini </w:t>
            </w:r>
            <w:r>
              <w:rPr>
                <w:b/>
                <w:i/>
              </w:rPr>
              <w:t>projekta trebali biti osnova za</w:t>
            </w:r>
            <w:r>
              <w:t xml:space="preserve"> poboljšano izvješćivanje o uspješnosti za financijske instrumente koji se provode u okviru neizravnog upravljanja, kao što je InvestEU</w:t>
            </w:r>
            <w:r>
              <w:rPr>
                <w:b/>
                <w:i/>
              </w:rPr>
              <w:t>, no trebali bi biti u standardiziranom formatu i ograničeni na ključne informacije potrebne za mjerenje uspješnosti programa, kao što je mobilizacija privatnih ulaganja koja se nije mogla provesti bez programa</w:t>
            </w:r>
            <w:r>
              <w:t>; uviđa da, zbog tržišne prirode financijskih instrumenata i njihove usmjerenosti na potražnju, uspješnost takvih programa ovisi o njihovoj primjeni na tržištu, što ograničava sposobnost Komisije da utvrdi unaprijed definirane ključne etape i ciljne vrijednosti;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naglašava potrebu da se podaci na razini projekata uključe u poboljšano izvješćivanje o uspješnosti za financijske instrumente koji se provode u okviru neizravnog upravljanja, kao što je InvestEU; uviđa da, zbog tržišne prirode financijskih instrumenata i njihove usmjerenosti na potražnju, uspješnost takvih programa ovisi o njihovoj primjeni na tržištu, što ograničava sposobnost Komisije da utvrdi unaprijed definirane ključne etape i ciljne vrijednosti;</w:t>
            </w:r>
          </w:p>
        </w:tc>
        <w:tc>
          <w:tcPr>
            <w:tcW w:w="4876" w:type="dxa"/>
            <w:tcBorders>
              <w:top w:val="nil"/>
              <w:left w:val="nil"/>
              <w:bottom w:val="nil"/>
              <w:right w:val="nil"/>
            </w:tcBorders>
          </w:tcPr>
          <w:p>
            <w:pPr>
              <w:pStyle w:val="Normal6a"/>
            </w:pPr>
            <w:r>
              <w:t>12.</w:t>
            </w:r>
            <w:r>
              <w:tab/>
            </w:r>
            <w:r>
              <w:t xml:space="preserve">naglašava potrebu da se podaci na razini projekata uključe u poboljšano izvješćivanje o uspješnosti za financijske instrumente koji se provode u okviru neizravnog upravljanja, kao što je InvestEU; uviđa da, zbog tržišne prirode financijskih instrumenata i njihove usmjerenosti na potražnju, uspješnost takvih programa ovisi o njihovoj primjeni na tržištu, što ograničava sposobnost Komisije da utvrdi unaprijed definirane ključne etape i ciljne vrijednosti; </w:t>
            </w:r>
            <w:r>
              <w:rPr>
                <w:b/>
                <w:i/>
              </w:rPr>
              <w:t>naglašava da bi za potporu MSP-ovima i scale-up poduzećima primarni pokazatelji uspjeha trebali biti produktivnost i rast bruto dodane vrijednosti, ishodi izvoza i inovacija te otvaranje kvalitetnih radnih mjesta, dok bi broj korisnika trebao biti sekundaran i upotrebljavati se za obrazloženje rezultata, a ne umjesto njih;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ističe da se u Draghijevu izvješću uspjeh europske strategije za konkurentnost povezuje s uspostavom čvrstog i transparentnog okvira uspješnosti kojim se može pratiti napredak ne samo u pogledu ostvarenja, već i ishoda i dugoročnih učinaka;</w:t>
            </w:r>
            <w:r>
              <w:t xml:space="preserve"> </w:t>
            </w:r>
            <w:r>
              <w:rPr>
                <w:b/>
                <w:i/>
              </w:rPr>
              <w:t>naglašava potrebu za pokazateljima uspješnosti kojima se sveobuhvatno obuhvaćaju rezultati mjera koje financira EU, uključujući ostvarenja (kao što je broj financiranih projekata), ishode (kao što su povećanje produktivnosti, otvaranje radnih mjesta i mobilizirana privatna ulaganja) i učinke (kao što je pojačana strateška autonomija);</w:t>
            </w:r>
            <w:r>
              <w:t xml:space="preserve"> </w:t>
            </w:r>
            <w:r>
              <w:rPr>
                <w:b/>
                <w:i/>
              </w:rPr>
              <w:t>poziva na to da ti pokazatelji budu javni i usklađeni u svim programima EU-a te da se o njima transparentno izvješćuje i provodi neovisna revizija, čime bi se osigurala odgovornost i usporedivost u upotrebi javnih sredstava;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smatra da je potrebno uspostaviti sveobuhvatan okvir za ex ante procjenu rizika, posebno za projekte s visokim profilom rizika i dobiti, kako bi se osigurala uravnotežena procjena njihove dodane vrijednosti, troškova i koristi;</w:t>
            </w:r>
            <w:r>
              <w:t xml:space="preserve"> </w:t>
            </w:r>
            <w:r>
              <w:rPr>
                <w:b/>
                <w:i/>
              </w:rPr>
              <w:t>ističe da je za postizanje ciljeva politike Unije u pogledu konkurentnosti potreban pouzdan sustav revizije i kontrole koji se temelji na dosljednoj metodologiji procjene rizika;</w:t>
            </w:r>
            <w:r>
              <w:t xml:space="preserve"> </w:t>
            </w:r>
            <w:r>
              <w:rPr>
                <w:b/>
                <w:i/>
              </w:rPr>
              <w:t>naglašava da bi takva metodologija trebala omogućiti razmjerne razine rizika ključne za poticanje inovacija, uz istodobno osiguravanje odgovarajućih zaštitnih mjera za zaštitu proračuna EU-a, posebno od prijevara i nefinancijskih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predlaže da se, kako bi se bolje ocijenio učinak financiranja EU-a na konkurentnost, primijeni temeljitije makroekonomsko modeliranje kojim bi se integrirao najnoviji napredak u ekonomskom istraživanju;</w:t>
            </w:r>
            <w:r>
              <w:t xml:space="preserve"> </w:t>
            </w:r>
            <w:r>
              <w:rPr>
                <w:b/>
                <w:i/>
              </w:rPr>
              <w:t>napominje da modeli koji obuhvaćaju heterogenost kućanstava i poduzeća te distribucijske učinke omogućuju sveobuhvatniju ex ante procjenu učinka financiranja EU-a na produktivnost, ulagačko ponašanje i regionalnu konkurentnost;</w:t>
            </w:r>
            <w:r>
              <w:t xml:space="preserve"> </w:t>
            </w:r>
            <w:r>
              <w:rPr>
                <w:b/>
                <w:i/>
              </w:rPr>
              <w:t>predlaže da se taj pristup dopuni upotrebom mikropodataka i regionalnih pokazatelja uspješnosti kako bi se poboljšala baza dokaza za oblikovanje politika i usmjeravanje sredstava;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poziva Komisiju i države članice da uspostave i dosljedno upotrebljavaju usklađeni skup ključnih pokazatelja čiji je cilj poticanje konkurentnosti u svim državama članicama kako bi se omogućila usporedivost, ocjenjivanje prema referentnim vrijednostima i objedinjavanje podataka na razini EU-a, istodobno omogućujući, prema potrebi, upotrebu pokazatelja prilagođenih nacionalnim ili regionalnim potrebama; naglašava da bi se pri utvrđivanju i preispitivanju pokazatelja trebalo savjetovati s poslovnim udruženjima, istraživačkim institucijama i civilnim društvom kako bi se osiguralo da oni odražavaju stvarne potrebe za konkurentnošću;</w:t>
            </w:r>
          </w:p>
        </w:tc>
        <w:tc>
          <w:tcPr>
            <w:tcW w:w="4876" w:type="dxa"/>
            <w:tcBorders>
              <w:top w:val="nil"/>
              <w:left w:val="nil"/>
              <w:bottom w:val="nil"/>
              <w:right w:val="nil"/>
            </w:tcBorders>
          </w:tcPr>
          <w:p>
            <w:pPr>
              <w:pStyle w:val="Normal6a"/>
            </w:pPr>
            <w:r>
              <w:t>13.</w:t>
            </w:r>
            <w:r>
              <w:tab/>
            </w:r>
            <w:r>
              <w:t xml:space="preserve">poziva Komisiju i države članice da uspostave i dosljedno upotrebljavaju usklađeni skup ključnih pokazatelja čiji je cilj poticanje konkurentnosti u svim državama članicama kako bi se omogućila usporedivost, ocjenjivanje prema referentnim vrijednostima i objedinjavanje podataka na razini EU-a, istodobno omogućujući, prema potrebi, upotrebu pokazatelja prilagođenih nacionalnim ili regionalnim potrebama; naglašava da bi se pri utvrđivanju i preispitivanju pokazatelja trebalo savjetovati s poslovnim udruženjima, istraživačkim institucijama i civilnim društvom kako bi se osiguralo da oni odražavaju stvarne potrebe za konkurentnošću; </w:t>
            </w:r>
            <w:r>
              <w:rPr>
                <w:b/>
                <w:i/>
              </w:rPr>
              <w:t>ističe da uvođenje dodatnih okvira uspješnosti ne smije dovesti do povećanog administrativnog opterećenja, dodatnih obveza izvješćivanja ili udvostručavanja postojećih kontrolnih mehanizama za države članice;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poziva Komisiju i države članice da uspostave i dosljedno upotrebljavaju usklađeni skup ključnih pokazatelja čiji je cilj poticanje konkurentnosti u svim državama članicama kako bi se omogućila usporedivost, ocjenjivanje prema referentnim vrijednostima i objedinjavanje podataka na razini EU-a, istodobno omogućujući, prema potrebi, upotrebu pokazatelja prilagođenih nacionalnim ili regionalnim potrebama; naglašava da bi se pri utvrđivanju i preispitivanju pokazatelja trebalo savjetovati s poslovnim udruženjima, istraživačkim institucijama i civilnim društvom kako bi se osiguralo da oni odražavaju stvarne potrebe za konkurentnošću;</w:t>
            </w:r>
          </w:p>
        </w:tc>
        <w:tc>
          <w:tcPr>
            <w:tcW w:w="4876" w:type="dxa"/>
            <w:tcBorders>
              <w:top w:val="nil"/>
              <w:left w:val="nil"/>
              <w:bottom w:val="nil"/>
              <w:right w:val="nil"/>
            </w:tcBorders>
          </w:tcPr>
          <w:p>
            <w:pPr>
              <w:pStyle w:val="Normal6a"/>
            </w:pPr>
            <w:r>
              <w:t>13.</w:t>
            </w:r>
            <w:r>
              <w:tab/>
            </w:r>
            <w:r>
              <w:t xml:space="preserve">poziva Komisiju i države članice da uspostave i dosljedno upotrebljavaju usklađeni skup ključnih pokazatelja čiji je cilj poticanje konkurentnosti u svim državama članicama kako bi se omogućila usporedivost, ocjenjivanje prema referentnim vrijednostima i objedinjavanje podataka na razini EU-a, istodobno omogućujući, prema potrebi, upotrebu pokazatelja prilagođenih nacionalnim ili regionalnim potrebama; naglašava da bi se pri utvrđivanju i preispitivanju pokazatelja trebalo savjetovati s poslovnim udruženjima, </w:t>
            </w:r>
            <w:r>
              <w:rPr>
                <w:b/>
                <w:i/>
              </w:rPr>
              <w:t>sindikatima, socijalnim partnerima,</w:t>
            </w:r>
            <w:r>
              <w:t xml:space="preserve"> istraživačkim institucijama i civilnim društvom kako bi se osiguralo da oni odražavaju stvarne potrebe za konkurentnošću </w:t>
            </w:r>
            <w:r>
              <w:rPr>
                <w:b/>
                <w:i/>
              </w:rPr>
              <w:t>i jamče poštovanje visokih radnih i socijalnih standarda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poziva Komisiju i države članice da uspostave i dosljedno upotrebljavaju usklađeni skup ključnih pokazatelja čiji je cilj poticanje konkurentnosti u svim državama članicama kako bi se omogućila usporedivost, ocjenjivanje prema referentnim vrijednostima i objedinjavanje podataka na razini EU-a, istodobno omogućujući, prema potrebi, upotrebu pokazatelja prilagođenih nacionalnim ili regionalnim potrebama; naglašava da bi se pri utvrđivanju i preispitivanju pokazatelja trebalo savjetovati s poslovnim udruženjima, istraživačkim institucijama i civilnim društvom kako bi se osiguralo da oni odražavaju stvarne potrebe za konkurentnošću;</w:t>
            </w:r>
          </w:p>
        </w:tc>
        <w:tc>
          <w:tcPr>
            <w:tcW w:w="4876" w:type="dxa"/>
            <w:tcBorders>
              <w:top w:val="nil"/>
              <w:left w:val="nil"/>
              <w:bottom w:val="nil"/>
              <w:right w:val="nil"/>
            </w:tcBorders>
          </w:tcPr>
          <w:p>
            <w:pPr>
              <w:pStyle w:val="Normal6a"/>
            </w:pPr>
            <w:r>
              <w:t>13.</w:t>
            </w:r>
            <w:r>
              <w:tab/>
            </w:r>
            <w:r>
              <w:t xml:space="preserve">poziva Komisiju i države članice da </w:t>
            </w:r>
            <w:r>
              <w:rPr>
                <w:b/>
                <w:i/>
              </w:rPr>
              <w:t>u cjelokupnom sljedećem VFO-u</w:t>
            </w:r>
            <w:r>
              <w:t xml:space="preserve"> uspostave i dosljedno upotrebljavaju usklađeni skup ključnih pokazatelja</w:t>
            </w:r>
            <w:r>
              <w:rPr>
                <w:b/>
                <w:i/>
              </w:rPr>
              <w:t>, kao što su oni koji se već upotrebljavaju u okviru Europske ljestvice uspjeha u inoviranju, i</w:t>
            </w:r>
            <w:r>
              <w:t xml:space="preserve"> čiji je cilj poticanje konkurentnosti u svim državama članicama kako bi se omogućila usporedivost, ocjenjivanje prema referentnim vrijednostima i objedinjavanje podataka na razini EU-a, istodobno omogućujući, prema potrebi, upotrebu pokazatelja prilagođenih nacionalnim ili regionalnim potrebama; naglašava da bi se pri utvrđivanju i preispitivanju pokazatelja trebalo savjetovati s poslovnim udruženjima, istraživačkim institucijama i civilnim društvom kako bi se osiguralo da oni odražavaju stvarne potrebe za konkurentnošću;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ističe da su obrazovanje, osposobljavanje i dostupnost kvalificirane radne snage ključne odrednice konkurentnosti EU-a;</w:t>
            </w:r>
            <w:r>
              <w:t xml:space="preserve"> </w:t>
            </w:r>
            <w:r>
              <w:rPr>
                <w:b/>
                <w:i/>
              </w:rPr>
              <w:t>stoga poziva na uključivanje pokazatelja povezanih s pristupom kvalitetnom obrazovanju, sudjelovanjem u strukovnom i cjeloživotnom učenju, razvojem vještina i uključivanjem na tržište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smatra da bi </w:t>
            </w:r>
            <w:r>
              <w:rPr>
                <w:b/>
                <w:i/>
              </w:rPr>
              <w:t>se</w:t>
            </w:r>
            <w:r>
              <w:t xml:space="preserve"> u slučaju projekata kojima se potiču inovacije i podupiru strateške tehnologije </w:t>
            </w:r>
            <w:r>
              <w:rPr>
                <w:b/>
                <w:i/>
              </w:rPr>
              <w:t>mogli koristiti sljedeći</w:t>
            </w:r>
            <w:r>
              <w:t xml:space="preserve"> pokazatelji ostvarenja</w:t>
            </w:r>
            <w:r>
              <w:rPr>
                <w:b/>
                <w:i/>
              </w:rPr>
              <w:t>:</w:t>
            </w:r>
            <w:r>
              <w:t xml:space="preserve"> </w:t>
            </w:r>
            <w:r>
              <w:rPr>
                <w:b/>
                <w:i/>
              </w:rPr>
              <w:t>iznos mobiliziranih sredstava, povrat ulaganja</w:t>
            </w:r>
            <w:r>
              <w:t xml:space="preserve">, broj financiranih projekata po sektoru </w:t>
            </w:r>
            <w:r>
              <w:rPr>
                <w:b/>
                <w:i/>
              </w:rPr>
              <w:t>(tj. umjetna inteligencija, kvantna tehnologija, biotehnologija)</w:t>
            </w:r>
            <w:r>
              <w:t xml:space="preserve"> i broj start-up i scale-up poduzeća osnovanih ili proširenih u EU-u</w:t>
            </w:r>
            <w:r>
              <w:rPr>
                <w:b/>
                <w:i/>
              </w:rPr>
              <w:t>;</w:t>
            </w:r>
            <w:r>
              <w:t xml:space="preserve"> </w:t>
            </w:r>
            <w:r>
              <w:rPr>
                <w:b/>
                <w:i/>
              </w:rPr>
              <w:t>smatra</w:t>
            </w:r>
            <w:r>
              <w:t xml:space="preserve"> da bi se </w:t>
            </w:r>
            <w:r>
              <w:rPr>
                <w:b/>
                <w:i/>
              </w:rPr>
              <w:t>mogli koristiti i pokazatelji</w:t>
            </w:r>
            <w:r>
              <w:t xml:space="preserve"> rezultata </w:t>
            </w:r>
            <w:r>
              <w:rPr>
                <w:b/>
                <w:i/>
              </w:rPr>
              <w:t>kao što su broj patenata prijavljenih u okviru projekata koje financira EU i stopa opstanka poduzeća koja financira EU nakon tri godine</w:t>
            </w:r>
            <w:r>
              <w:t>;</w:t>
            </w:r>
          </w:p>
        </w:tc>
        <w:tc>
          <w:tcPr>
            <w:tcW w:w="4876" w:type="dxa"/>
            <w:tcBorders>
              <w:top w:val="nil"/>
              <w:left w:val="nil"/>
              <w:bottom w:val="nil"/>
              <w:right w:val="nil"/>
            </w:tcBorders>
          </w:tcPr>
          <w:p>
            <w:pPr>
              <w:pStyle w:val="Normal6a"/>
            </w:pPr>
            <w:r>
              <w:t>14.</w:t>
            </w:r>
            <w:r>
              <w:tab/>
            </w:r>
            <w:r>
              <w:t>smatra da bi</w:t>
            </w:r>
            <w:r>
              <w:rPr>
                <w:b/>
                <w:i/>
              </w:rPr>
              <w:t>,</w:t>
            </w:r>
            <w:r>
              <w:t xml:space="preserve"> u slučaju projekata kojima se potiču inovacije i podupiru strateške tehnologije</w:t>
            </w:r>
            <w:r>
              <w:rPr>
                <w:b/>
                <w:i/>
              </w:rPr>
              <w:t>, mjerenje uspješnosti trebalo temeljiti na učinku:</w:t>
            </w:r>
            <w:r>
              <w:t xml:space="preserve"> </w:t>
            </w:r>
            <w:r>
              <w:rPr>
                <w:b/>
                <w:i/>
              </w:rPr>
              <w:t>povratu ulaganja, prihvaćanju na tržištu i rastu prihoda koji se mogu pripisati inovacijama koje financira EU;</w:t>
            </w:r>
            <w:r>
              <w:t xml:space="preserve"> </w:t>
            </w:r>
            <w:r>
              <w:rPr>
                <w:b/>
                <w:i/>
              </w:rPr>
              <w:t>smatra da bi</w:t>
            </w:r>
            <w:r>
              <w:t xml:space="preserve"> pokazatelji ostvarenja </w:t>
            </w:r>
            <w:r>
              <w:rPr>
                <w:b/>
                <w:i/>
              </w:rPr>
              <w:t>kao što su mobilizirana sredstva</w:t>
            </w:r>
            <w:r>
              <w:t xml:space="preserve">, broj financiranih projekata po sektoru i broj start-up i scale-up poduzeća osnovanih ili proširenih u EU-u </w:t>
            </w:r>
            <w:r>
              <w:rPr>
                <w:b/>
                <w:i/>
              </w:rPr>
              <w:t>trebali biti sekundarni i</w:t>
            </w:r>
            <w:r>
              <w:t xml:space="preserve"> da bi se </w:t>
            </w:r>
            <w:r>
              <w:rPr>
                <w:b/>
                <w:i/>
              </w:rPr>
              <w:t>trebali upotrebljavati za obrazloženje</w:t>
            </w:r>
            <w:r>
              <w:t xml:space="preserve"> rezultata</w:t>
            </w:r>
            <w:r>
              <w:rPr>
                <w:b/>
                <w:i/>
              </w:rPr>
              <w:t>, a ne umjesto njih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smatra da bi se u slučaju projekata kojima se potiču inovacije i podupiru strateške tehnologije mogli koristiti sljedeći pokazatelji ostvarenja: iznos mobiliziranih sredstava, povrat ulaganja, broj financiranih projekata po sektoru (tj. umjetna inteligencija, kvantna tehnologija, biotehnologija) i broj start-up i scale-up poduzeća osnovanih ili proširenih u EU-u; smatra da bi se mogli koristiti i pokazatelji rezultata kao što su broj patenata prijavljenih u okviru projekata koje financira EU i stopa opstanka poduzeća koja financira EU nakon tri godine;</w:t>
            </w:r>
          </w:p>
        </w:tc>
        <w:tc>
          <w:tcPr>
            <w:tcW w:w="4876" w:type="dxa"/>
            <w:tcBorders>
              <w:top w:val="nil"/>
              <w:left w:val="nil"/>
              <w:bottom w:val="nil"/>
              <w:right w:val="nil"/>
            </w:tcBorders>
          </w:tcPr>
          <w:p>
            <w:pPr>
              <w:pStyle w:val="Normal6a"/>
            </w:pPr>
            <w:r>
              <w:t>14.</w:t>
            </w:r>
            <w:r>
              <w:tab/>
            </w:r>
            <w:r>
              <w:t xml:space="preserve">smatra da bi se u slučaju projekata kojima se potiču inovacije i podupiru strateške tehnologije mogli koristiti sljedeći pokazatelji ostvarenja: iznos mobiliziranih sredstava </w:t>
            </w:r>
            <w:r>
              <w:rPr>
                <w:b/>
                <w:i/>
              </w:rPr>
              <w:t>EU-a i istinski privatnih sredstava</w:t>
            </w:r>
            <w:r>
              <w:t xml:space="preserve">, povrat ulaganja, broj financiranih projekata po sektoru (tj. umjetna inteligencija, kvantna tehnologija, biotehnologija) i broj </w:t>
            </w:r>
            <w:r>
              <w:rPr>
                <w:b/>
                <w:i/>
              </w:rPr>
              <w:t>„jednoroga”,</w:t>
            </w:r>
            <w:r>
              <w:t xml:space="preserve"> start-up i scale-up poduzeća osnovanih ili proširenih u EU-u </w:t>
            </w:r>
            <w:r>
              <w:rPr>
                <w:b/>
                <w:i/>
              </w:rPr>
              <w:t>koji su primili financijska sredstva EU-a</w:t>
            </w:r>
            <w:r>
              <w:t>; smatra da bi se mogli koristiti i pokazatelji rezultata kao što su broj patenata prijavljenih u okviru projekata koje financira EU</w:t>
            </w:r>
            <w:r>
              <w:rPr>
                <w:b/>
                <w:i/>
              </w:rPr>
              <w:t>, povrat ulaganja EU-a po sektoru</w:t>
            </w:r>
            <w:r>
              <w:t xml:space="preserve"> i stopa opstanka poduzeća koja financira EU nakon tri godine; </w:t>
            </w:r>
            <w:r>
              <w:rPr>
                <w:b/>
                <w:i/>
              </w:rPr>
              <w:t>smatra da bi se mogli upotrebljavati i pokazatelji učinka kao što su povećanje broja poduzeća koja postižu visok digitalni intenzitet, povećanje kapaciteta (proizvodnja godišnje) u proizvodnji dubokih i digitalnih tehnologija (npr. posebne vrste opreme), povećanje veličine poduzetničkog kapitala uloženog u Europi, povećanje tržišne gornje granice za europska poduzeća, povećanje broja europskih inicijalnih javnih ponuda i broja izvoznih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smatra da bi se u slučaju projekata kojima se potiču inovacije i podupiru strateške tehnologije mogli koristiti sljedeći pokazatelji ostvarenja: iznos mobiliziranih sredstava, povrat ulaganja, broj financiranih projekata po sektoru (tj. umjetna inteligencija, kvantna tehnologija, biotehnologija) i broj start-up i scale-up poduzeća osnovanih ili proširenih u EU-u; smatra da bi se mogli koristiti i pokazatelji rezultata kao što su broj patenata prijavljenih u okviru projekata koje financira EU i stopa opstanka poduzeća koja financira EU nakon tri godine;</w:t>
            </w:r>
          </w:p>
        </w:tc>
        <w:tc>
          <w:tcPr>
            <w:tcW w:w="4876" w:type="dxa"/>
            <w:tcBorders>
              <w:top w:val="nil"/>
              <w:left w:val="nil"/>
              <w:bottom w:val="nil"/>
              <w:right w:val="nil"/>
            </w:tcBorders>
          </w:tcPr>
          <w:p>
            <w:pPr>
              <w:pStyle w:val="Normal6a"/>
            </w:pPr>
            <w:r>
              <w:t>14.</w:t>
            </w:r>
            <w:r>
              <w:tab/>
            </w:r>
            <w:r>
              <w:t>smatra da bi se u slučaju projekata kojima se potiču inovacije i podupiru strateške tehnologije mogli koristiti sljedeći pokazatelji ostvarenja: iznos mobiliziranih sredstava, povrat ulaganja, broj financiranih projekata po sektoru (tj. umjetna inteligencija, kvantna tehnologija, biotehnologija) i broj start-up i scale-up poduzeća osnovanih ili proširenih u EU-u</w:t>
            </w:r>
            <w:r>
              <w:rPr>
                <w:b/>
                <w:i/>
              </w:rPr>
              <w:t>, postotak financiranih start-up poduzeća kojima upravljaju žene i učinak na zapošljavanje u smislu otvaranja ili ukidanja radnih mjesta</w:t>
            </w:r>
            <w:r>
              <w:t>; smatra da bi se mogli koristiti i pokazatelji rezultata kao što su broj patenata prijavljenih u okviru projekata koje financira EU i stopa opstanka poduzeća koja financira EU nakon tri godine;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smatra da bi trebalo poduprijeti premještanje industrije u EU kako bi se smanjile strateške ovisnosti EU-a</w:t>
            </w:r>
            <w:r>
              <w:rPr>
                <w:b/>
                <w:i/>
              </w:rPr>
              <w:t>;</w:t>
            </w:r>
            <w:r>
              <w:t xml:space="preserve"> </w:t>
            </w:r>
            <w:r>
              <w:rPr>
                <w:b/>
                <w:i/>
              </w:rPr>
              <w:t>predlaže da se napredak mjeri pokazateljima</w:t>
            </w:r>
            <w:r>
              <w:t xml:space="preserve"> ostvarenja kao što su broj projekata </w:t>
            </w:r>
            <w:r>
              <w:rPr>
                <w:b/>
                <w:i/>
              </w:rPr>
              <w:t>te broj malih i srednjih poduzeća koja su se preselila u EU, broj</w:t>
            </w:r>
            <w:r>
              <w:t xml:space="preserve"> start-up i scale-up poduzeća koja su osnovana ili proširena </w:t>
            </w:r>
            <w:r>
              <w:rPr>
                <w:b/>
                <w:i/>
              </w:rPr>
              <w:t>te otvaranje radnih</w:t>
            </w:r>
            <w:r>
              <w:t xml:space="preserve"> mjesta u industriji u ciljanim regijama</w:t>
            </w:r>
            <w:r>
              <w:rPr>
                <w:b/>
                <w:i/>
              </w:rPr>
              <w:t>;</w:t>
            </w:r>
            <w:r>
              <w:t xml:space="preserve"> </w:t>
            </w:r>
            <w:r>
              <w:rPr>
                <w:b/>
                <w:i/>
              </w:rPr>
              <w:t>smatra</w:t>
            </w:r>
            <w:r>
              <w:t xml:space="preserve"> da bi se </w:t>
            </w:r>
            <w:r>
              <w:rPr>
                <w:b/>
                <w:i/>
              </w:rPr>
              <w:t>mogli</w:t>
            </w:r>
            <w:r>
              <w:t xml:space="preserve"> upotrebljavati </w:t>
            </w:r>
            <w:r>
              <w:rPr>
                <w:b/>
                <w:i/>
              </w:rPr>
              <w:t>i pokazatelji</w:t>
            </w:r>
            <w:r>
              <w:t xml:space="preserve"> rezultata </w:t>
            </w:r>
            <w:r>
              <w:rPr>
                <w:b/>
                <w:i/>
              </w:rPr>
              <w:t>kao što je smanjenje uvoza koje proizlazi iz smanjene strateške ovisnosti o uvezenim kritičnim sirovinama</w:t>
            </w:r>
            <w:r>
              <w:t>;</w:t>
            </w:r>
          </w:p>
        </w:tc>
        <w:tc>
          <w:tcPr>
            <w:tcW w:w="4876" w:type="dxa"/>
            <w:tcBorders>
              <w:top w:val="nil"/>
              <w:left w:val="nil"/>
              <w:bottom w:val="nil"/>
              <w:right w:val="nil"/>
            </w:tcBorders>
          </w:tcPr>
          <w:p>
            <w:pPr>
              <w:pStyle w:val="Normal6a"/>
            </w:pPr>
            <w:r>
              <w:t>15.</w:t>
            </w:r>
            <w:r>
              <w:tab/>
            </w:r>
            <w:r>
              <w:t xml:space="preserve">smatra da bi trebalo poduprijeti premještanje industrije u EU kako bi se smanjile strateške ovisnosti EU-a </w:t>
            </w:r>
            <w:r>
              <w:rPr>
                <w:b/>
                <w:i/>
              </w:rPr>
              <w:t>nakon neovisne analize troškova i koristi te procjene supsidijarnosti i proporcionalnosti;</w:t>
            </w:r>
            <w:r>
              <w:t xml:space="preserve"> </w:t>
            </w:r>
            <w:r>
              <w:rPr>
                <w:b/>
                <w:i/>
              </w:rPr>
              <w:t>ističe da bi mjerenje uspješnosti trebalo biti prije svega usmjereno na učinak:</w:t>
            </w:r>
            <w:r>
              <w:t xml:space="preserve"> </w:t>
            </w:r>
            <w:r>
              <w:rPr>
                <w:b/>
                <w:i/>
              </w:rPr>
              <w:t>dokazivo smanjenje strateške ovisnosti za utvrđene ulazne elemente (npr. kritične sirovine / komponente) u odnosu na definiranu osnovnu / protučinjeničnu vrijednost, veću produktivnost i bruto dodanu vrijednost u ciljanim lancima vrijednosti, veću otpornost opskrbe i poboljšane trgovinske rezultate;</w:t>
            </w:r>
            <w:r>
              <w:t xml:space="preserve"> </w:t>
            </w:r>
            <w:r>
              <w:rPr>
                <w:b/>
                <w:i/>
              </w:rPr>
              <w:t>smatra da bi pokazatelji</w:t>
            </w:r>
            <w:r>
              <w:t xml:space="preserve"> ostvarenja kao što su broj projekata</w:t>
            </w:r>
            <w:r>
              <w:rPr>
                <w:b/>
                <w:i/>
              </w:rPr>
              <w:t>, premještanje MSP-ova,</w:t>
            </w:r>
            <w:r>
              <w:t xml:space="preserve"> start-up i scale-up poduzeća koja su osnovana ili proširena</w:t>
            </w:r>
            <w:r>
              <w:rPr>
                <w:b/>
                <w:i/>
              </w:rPr>
              <w:t>, uloženi kapital i radna</w:t>
            </w:r>
            <w:r>
              <w:t xml:space="preserve"> mjesta u industriji u ciljanim regijama </w:t>
            </w:r>
            <w:r>
              <w:rPr>
                <w:b/>
                <w:i/>
              </w:rPr>
              <w:t>trebali biti sekundarni i</w:t>
            </w:r>
            <w:r>
              <w:t xml:space="preserve"> da bi se </w:t>
            </w:r>
            <w:r>
              <w:rPr>
                <w:b/>
                <w:i/>
              </w:rPr>
              <w:t>trebali</w:t>
            </w:r>
            <w:r>
              <w:t xml:space="preserve"> upotrebljavati </w:t>
            </w:r>
            <w:r>
              <w:rPr>
                <w:b/>
                <w:i/>
              </w:rPr>
              <w:t>za obrazloženje</w:t>
            </w:r>
            <w:r>
              <w:t xml:space="preserve"> rezultata</w:t>
            </w:r>
            <w:r>
              <w:rPr>
                <w:b/>
                <w:i/>
              </w:rPr>
              <w:t>, a ne umjesto njih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smatra da bi trebalo poduprijeti premještanje industrije </w:t>
            </w:r>
            <w:r>
              <w:rPr>
                <w:b/>
                <w:i/>
              </w:rPr>
              <w:t>u EU</w:t>
            </w:r>
            <w:r>
              <w:t xml:space="preserve"> kako bi se smanjile strateške ovisnosti EU-a; predlaže da se napredak mjeri pokazateljima ostvarenja kao što su broj projekata te broj malih i srednjih poduzeća koja su se preselila u EU, broj start-up i scale-up poduzeća koja su osnovana ili proširena te otvaranje radnih mjesta u industriji u ciljanim regijama; smatra da bi se mogli upotrebljavati i pokazatelji rezultata kao što </w:t>
            </w:r>
            <w:r>
              <w:rPr>
                <w:b/>
                <w:i/>
              </w:rPr>
              <w:t>je smanjenje uvoza koje proizlazi iz smanjene strateške ovisnosti o uvezenim kritičnim sirovinama</w:t>
            </w:r>
            <w:r>
              <w:t>;</w:t>
            </w:r>
          </w:p>
        </w:tc>
        <w:tc>
          <w:tcPr>
            <w:tcW w:w="4876" w:type="dxa"/>
            <w:tcBorders>
              <w:top w:val="nil"/>
              <w:left w:val="nil"/>
              <w:bottom w:val="nil"/>
              <w:right w:val="nil"/>
            </w:tcBorders>
          </w:tcPr>
          <w:p>
            <w:pPr>
              <w:pStyle w:val="Normal6a"/>
            </w:pPr>
            <w:r>
              <w:t>15.</w:t>
            </w:r>
            <w:r>
              <w:tab/>
            </w:r>
            <w:r>
              <w:t xml:space="preserve">smatra da bi trebalo poduprijeti premještanje industrije </w:t>
            </w:r>
            <w:r>
              <w:rPr>
                <w:b/>
                <w:i/>
              </w:rPr>
              <w:t>i samodostatnost u pogledu kritičnih sirovina</w:t>
            </w:r>
            <w:r>
              <w:t xml:space="preserve"> kako bi se smanjile strateške ovisnosti EU-a; predlaže da se napredak mjeri pokazateljima ostvarenja kao što su broj projekata te broj malih i srednjih poduzeća koja su se preselila u EU </w:t>
            </w:r>
            <w:r>
              <w:rPr>
                <w:b/>
                <w:i/>
              </w:rPr>
              <w:t>zahvaljujući financiranju sredstvima EU-a</w:t>
            </w:r>
            <w:r>
              <w:t xml:space="preserve">, broj start-up i scale-up poduzeća koja su osnovana ili proširena te otvaranje radnih mjesta u industriji u ciljanim regijama; smatra da bi se mogli upotrebljavati i pokazatelji rezultata kao što </w:t>
            </w:r>
            <w:r>
              <w:rPr>
                <w:b/>
                <w:i/>
              </w:rPr>
              <w:t>su povećanje udjela kritičnih sirovina uvezenih od novih strateških partnera ili nabavljenih iz EU-a te povećanje količina (u tonama) recikliranih kritičnih sirovina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smatra da bi trebalo poduprijeti premještanje industrije u EU kako bi se smanjile strateške ovisnosti EU-a; predlaže da se napredak mjeri pokazateljima ostvarenja kao što su broj projekata te broj malih i srednjih poduzeća koja su se preselila u EU, broj start-up i scale-up poduzeća koja su osnovana ili proširena te otvaranje radnih mjesta u industriji u ciljanim regijama; smatra da bi se mogli upotrebljavati i pokazatelji rezultata kao što je smanjenje uvoza koje proizlazi iz smanjene strateške ovisnosti o uvezenim kritičnim sirovinama;</w:t>
            </w:r>
          </w:p>
        </w:tc>
        <w:tc>
          <w:tcPr>
            <w:tcW w:w="4876" w:type="dxa"/>
            <w:tcBorders>
              <w:top w:val="nil"/>
              <w:left w:val="nil"/>
              <w:bottom w:val="nil"/>
              <w:right w:val="nil"/>
            </w:tcBorders>
          </w:tcPr>
          <w:p>
            <w:pPr>
              <w:pStyle w:val="Normal6a"/>
            </w:pPr>
            <w:r>
              <w:t>15.</w:t>
            </w:r>
            <w:r>
              <w:tab/>
            </w:r>
            <w:r>
              <w:t>smatra da bi trebalo poduprijeti premještanje industrije u EU kako bi se smanjile strateške ovisnosti EU-a; predlaže da se napredak mjeri pokazateljima ostvarenja kao što su broj projekata te broj malih i srednjih poduzeća koja su se preselila u EU, broj start-up i scale-up poduzeća koja su osnovana ili proširena</w:t>
            </w:r>
            <w:r>
              <w:rPr>
                <w:b/>
                <w:i/>
              </w:rPr>
              <w:t>, postotak financiranih start-up poduzeća kojima upravljaju žene,</w:t>
            </w:r>
            <w:r>
              <w:t xml:space="preserve"> te otvaranje radnih mjesta u industriji u ciljanim regijama</w:t>
            </w:r>
            <w:r>
              <w:rPr>
                <w:b/>
                <w:i/>
              </w:rPr>
              <w:t>, uključujući pokrivenost kolektivnim pregovaranjem</w:t>
            </w:r>
            <w:r>
              <w:t xml:space="preserve">; smatra da bi se mogli upotrebljavati i pokazatelji rezultata kao što je </w:t>
            </w:r>
            <w:r>
              <w:rPr>
                <w:b/>
                <w:i/>
              </w:rPr>
              <w:t>smanjenje ugljičnog otiska i</w:t>
            </w:r>
            <w:r>
              <w:t xml:space="preserve"> smanjenje uvoza koje proizlazi iz smanjene strateške ovisnosti o uvezenim kritičnim sirovinama;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smatra da bi trebalo podržati zajedničku kupnju energije za potrebe industrije kako bi se smanjili troškovi energije i osigurala opskrba; predlaže da se napredak mjeri pokazateljima ostvarenja kao što su broj poduzeća koja sudjeluju i udio obnovljive energije u zajedničkim ugovorima; smatra da bi se također mogli koristiti pokazatelji rezultata kao što su promjene prosječnih cijena energije u ciljanim industrijama </w:t>
            </w:r>
            <w:r>
              <w:rPr>
                <w:b/>
                <w:i/>
              </w:rPr>
              <w:t>i</w:t>
            </w:r>
            <w:r>
              <w:t xml:space="preserve"> smanjenje prekida opskrbe;</w:t>
            </w:r>
          </w:p>
        </w:tc>
        <w:tc>
          <w:tcPr>
            <w:tcW w:w="4876" w:type="dxa"/>
            <w:tcBorders>
              <w:top w:val="nil"/>
              <w:left w:val="nil"/>
              <w:bottom w:val="nil"/>
              <w:right w:val="nil"/>
            </w:tcBorders>
          </w:tcPr>
          <w:p>
            <w:pPr>
              <w:pStyle w:val="Normal6a"/>
            </w:pPr>
            <w:r>
              <w:t>16.</w:t>
            </w:r>
            <w:r>
              <w:tab/>
            </w:r>
            <w:r>
              <w:t>smatra da bi trebalo podržati zajedničku kupnju energije za potrebe industrije kako bi se smanjili troškovi energije i osigurala opskrba; predlaže da se napredak mjeri pokazateljima ostvarenja kao što su broj poduzeća koja sudjeluju</w:t>
            </w:r>
            <w:r>
              <w:rPr>
                <w:b/>
                <w:i/>
              </w:rPr>
              <w:t>, količina kupljene energije</w:t>
            </w:r>
            <w:r>
              <w:t xml:space="preserve"> i udio obnovljive energije u zajedničkim ugovorima; smatra da bi se također mogli koristiti pokazatelji rezultata kao što su promjene prosječnih cijena energije u ciljanim industrijama</w:t>
            </w:r>
            <w:r>
              <w:rPr>
                <w:b/>
                <w:i/>
              </w:rPr>
              <w:t>,</w:t>
            </w:r>
            <w:r>
              <w:t xml:space="preserve"> smanjenje prekida opskrbe </w:t>
            </w:r>
            <w:r>
              <w:rPr>
                <w:b/>
                <w:i/>
              </w:rPr>
              <w:t>i povećanje upotrebe energije iz obnovljivih izvora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smatra da bi trebalo podržati zajedničku kupnju</w:t>
            </w:r>
            <w:r>
              <w:t xml:space="preserve"> energije za potrebe industrije </w:t>
            </w:r>
            <w:r>
              <w:rPr>
                <w:b/>
                <w:i/>
              </w:rPr>
              <w:t>kako bi se smanjili troškovi energije i osigurala opskrba;</w:t>
            </w:r>
            <w:r>
              <w:t xml:space="preserve"> </w:t>
            </w:r>
            <w:r>
              <w:rPr>
                <w:b/>
                <w:i/>
              </w:rPr>
              <w:t>predlaže da se</w:t>
            </w:r>
            <w:r>
              <w:t xml:space="preserve"> napredak </w:t>
            </w:r>
            <w:r>
              <w:rPr>
                <w:b/>
                <w:i/>
              </w:rPr>
              <w:t>mjeri pokazateljima ostvarenja kao što su broj poduzeća koja sudjeluju i udio obnovljive energije u zajedničkim ugovorima;</w:t>
            </w:r>
            <w:r>
              <w:t xml:space="preserve"> </w:t>
            </w:r>
            <w:r>
              <w:rPr>
                <w:b/>
                <w:i/>
              </w:rPr>
              <w:t>smatra da bi se također mogli koristiti pokazatelji</w:t>
            </w:r>
            <w:r>
              <w:t xml:space="preserve"> rezultata kao što su </w:t>
            </w:r>
            <w:r>
              <w:rPr>
                <w:b/>
                <w:i/>
              </w:rPr>
              <w:t>promjene prosječnih</w:t>
            </w:r>
            <w:r>
              <w:t xml:space="preserve"> cijena energije </w:t>
            </w:r>
            <w:r>
              <w:rPr>
                <w:b/>
                <w:i/>
              </w:rPr>
              <w:t>u ciljanim industrijama i smanjenje prekida</w:t>
            </w:r>
            <w:r>
              <w:t xml:space="preserve"> opskrbe;</w:t>
            </w:r>
          </w:p>
        </w:tc>
        <w:tc>
          <w:tcPr>
            <w:tcW w:w="4876" w:type="dxa"/>
            <w:tcBorders>
              <w:top w:val="nil"/>
              <w:left w:val="nil"/>
              <w:bottom w:val="nil"/>
              <w:right w:val="nil"/>
            </w:tcBorders>
          </w:tcPr>
          <w:p>
            <w:pPr>
              <w:pStyle w:val="Normal6a"/>
            </w:pPr>
            <w:r>
              <w:t>16.</w:t>
            </w:r>
            <w:r>
              <w:tab/>
            </w:r>
            <w:r>
              <w:rPr>
                <w:b/>
                <w:i/>
              </w:rPr>
              <w:t>naglašava da zajednička kupnja</w:t>
            </w:r>
            <w:r>
              <w:t xml:space="preserve"> energije za potrebe industrije </w:t>
            </w:r>
            <w:r>
              <w:rPr>
                <w:b/>
                <w:i/>
              </w:rPr>
              <w:t>ima potencijal za smanjenje troškova i poboljšanje energetske sigurnosti Europe, pod uvjetom da ostane usmjerena na tržište i dobrovoljna;</w:t>
            </w:r>
            <w:r>
              <w:t xml:space="preserve"> </w:t>
            </w:r>
            <w:r>
              <w:rPr>
                <w:b/>
                <w:i/>
              </w:rPr>
              <w:t>ističe da bi</w:t>
            </w:r>
            <w:r>
              <w:t xml:space="preserve"> napredak </w:t>
            </w:r>
            <w:r>
              <w:rPr>
                <w:b/>
                <w:i/>
              </w:rPr>
              <w:t>trebalo ocijeniti na temelju konkretnih</w:t>
            </w:r>
            <w:r>
              <w:t xml:space="preserve"> rezultata kao što su </w:t>
            </w:r>
            <w:r>
              <w:rPr>
                <w:b/>
                <w:i/>
              </w:rPr>
              <w:t>smanjenje</w:t>
            </w:r>
            <w:r>
              <w:t xml:space="preserve"> cijena energije </w:t>
            </w:r>
            <w:r>
              <w:rPr>
                <w:b/>
                <w:i/>
              </w:rPr>
              <w:t>i poboljšana pouzdanost</w:t>
            </w:r>
            <w:r>
              <w:t xml:space="preserve"> opskrbe;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smatra da bi </w:t>
            </w:r>
            <w:r>
              <w:rPr>
                <w:b/>
                <w:i/>
              </w:rPr>
              <w:t>trebalo podržati zajedničku kupnju energije za potrebe industrije</w:t>
            </w:r>
            <w:r>
              <w:t xml:space="preserve"> kako bi se smanjili troškovi energije i osigurala opskrba; predlaže da se napredak mjeri pokazateljima ostvarenja kao što su broj poduzeća koja sudjeluju i udio obnovljive energije u zajedničkim ugovorima; smatra da </w:t>
            </w:r>
            <w:r>
              <w:rPr>
                <w:b/>
                <w:i/>
              </w:rPr>
              <w:t>bi se također mogli koristiti</w:t>
            </w:r>
            <w:r>
              <w:t xml:space="preserve"> pokazatelji rezultata kao što su promjene prosječnih cijena energije u ciljanim industrijama </w:t>
            </w:r>
            <w:r>
              <w:rPr>
                <w:b/>
                <w:i/>
              </w:rPr>
              <w:t>i</w:t>
            </w:r>
            <w:r>
              <w:t xml:space="preserve"> smanjenje prekida opskrbe;</w:t>
            </w:r>
          </w:p>
        </w:tc>
        <w:tc>
          <w:tcPr>
            <w:tcW w:w="4876" w:type="dxa"/>
            <w:tcBorders>
              <w:top w:val="nil"/>
              <w:left w:val="nil"/>
              <w:bottom w:val="nil"/>
              <w:right w:val="nil"/>
            </w:tcBorders>
          </w:tcPr>
          <w:p>
            <w:pPr>
              <w:pStyle w:val="Normal6a"/>
            </w:pPr>
            <w:r>
              <w:t>16.</w:t>
            </w:r>
            <w:r>
              <w:tab/>
            </w:r>
            <w:r>
              <w:t>smatra da bi</w:t>
            </w:r>
            <w:r>
              <w:rPr>
                <w:b/>
                <w:i/>
              </w:rPr>
              <w:t>,</w:t>
            </w:r>
            <w:r>
              <w:t xml:space="preserve"> kako bi se smanjili troškovi energije i osigurala opskrba</w:t>
            </w:r>
            <w:r>
              <w:rPr>
                <w:b/>
                <w:i/>
              </w:rPr>
              <w:t>, trebalo poduzeti mjere usmjerene na zajedničku kupnju energije za potrebe industrije i dekarbonizaciju industrije, bez nepotrebnog utjecaja na energetsku sigurnost nijedne države članice</w:t>
            </w:r>
            <w:r>
              <w:t xml:space="preserve">; predlaže da se napredak mjeri pokazateljima ostvarenja kao što su broj poduzeća koja sudjeluju i udio obnovljive energije u zajedničkim ugovorima; smatra da </w:t>
            </w:r>
            <w:r>
              <w:rPr>
                <w:b/>
                <w:i/>
              </w:rPr>
              <w:t>su</w:t>
            </w:r>
            <w:r>
              <w:t xml:space="preserve"> pokazatelji rezultata </w:t>
            </w:r>
            <w:r>
              <w:rPr>
                <w:b/>
                <w:i/>
              </w:rPr>
              <w:t>primjerice dodatni energetski kapaciteti instalirani u proizvodnji električne energije (MW);</w:t>
            </w:r>
            <w:r>
              <w:t xml:space="preserve"> </w:t>
            </w:r>
            <w:r>
              <w:rPr>
                <w:b/>
                <w:i/>
              </w:rPr>
              <w:t>nadalje smatra da bi se mogli upotrebljavati i pokazatelji učinka</w:t>
            </w:r>
            <w:r>
              <w:t xml:space="preserve"> kao što su promjene prosječnih cijena energije u ciljanim industrijama</w:t>
            </w:r>
            <w:r>
              <w:rPr>
                <w:b/>
                <w:i/>
              </w:rPr>
              <w:t>,</w:t>
            </w:r>
            <w:r>
              <w:t xml:space="preserve"> smanjenje prekida opskrbe </w:t>
            </w:r>
            <w:r>
              <w:rPr>
                <w:b/>
                <w:i/>
              </w:rPr>
              <w:t>i smanjenje emisija stakleničkih plinova (tCO2e) postignuto odgovarajućim tehnologijama hvatanja ugljika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smatra da bi trebalo podržati zajedničku kupnju energije za potrebe industrije kako bi se smanjili troškovi energije i osigurala opskrba; predlaže da se napredak mjeri pokazateljima ostvarenja kao što su broj poduzeća koja sudjeluju i udio obnovljive energije u zajedničkim ugovorima; smatra da bi se također mogli koristiti pokazatelji rezultata kao što su promjene prosječnih cijena energije u ciljanim industrijama i smanjenje prekida opskrbe;</w:t>
            </w:r>
          </w:p>
        </w:tc>
        <w:tc>
          <w:tcPr>
            <w:tcW w:w="4876" w:type="dxa"/>
            <w:tcBorders>
              <w:top w:val="nil"/>
              <w:left w:val="nil"/>
              <w:bottom w:val="nil"/>
              <w:right w:val="nil"/>
            </w:tcBorders>
          </w:tcPr>
          <w:p>
            <w:pPr>
              <w:pStyle w:val="Normal6a"/>
            </w:pPr>
            <w:r>
              <w:t>16.</w:t>
            </w:r>
            <w:r>
              <w:tab/>
            </w:r>
            <w:r>
              <w:t xml:space="preserve">smatra da bi trebalo podržati zajedničku kupnju energije za potrebe industrije kako bi se smanjili troškovi energije i osigurala opskrba; predlaže da se napredak mjeri pokazateljima ostvarenja kao što su broj poduzeća koja sudjeluju i udio obnovljive </w:t>
            </w:r>
            <w:r>
              <w:rPr>
                <w:b/>
                <w:i/>
              </w:rPr>
              <w:t>i niskougljične</w:t>
            </w:r>
            <w:r>
              <w:t xml:space="preserve"> energije u zajedničkim ugovorima; smatra da bi se također mogli koristiti pokazatelji rezultata kao što su promjene prosječnih cijena energije u ciljanim industrijama i smanjenje prekida opskrbe;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Europsku komisiju da ubrza mjere usmjerene na smanjenje troškova energije i poboljšanje energetske sigurnosti diljem Unije, među ostalim promicanjem dovršetka prekograničnih elektroenergetskih i plinskih interkonekcija, podupiranjem integracije obnovljivih izvora energije, preispitivanjem mehanizma graničnih cijena na veleprodajnim tržištima električne energije i osiguravanjem učinkovitog funkcioniranja sustava EU-a za trgovanje emisijama;</w:t>
            </w:r>
            <w:r>
              <w:t xml:space="preserve"> </w:t>
            </w:r>
            <w:r>
              <w:rPr>
                <w:b/>
                <w:i/>
              </w:rPr>
              <w:t>naglašava potrebu za ulaganjem u pametne mreže, skladištenje energije i koridore za vodik kako bi se olakšao otporan i konkurentan energetski sustav;</w:t>
            </w:r>
            <w:r>
              <w:t xml:space="preserve"> </w:t>
            </w:r>
            <w:r>
              <w:rPr>
                <w:b/>
                <w:i/>
              </w:rPr>
              <w:t>naglašava da su te mjere ključne za smanjenje nestabilnosti cijena energije, jačanje industrijske konkurentnosti i osiguravanje prijelaza Europe na održivo i niskougljično gospodarstvo;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naglašava da konkurentnost ovisi o usklađenom skupu uvjeta koji omogućuju provedbu, uključujući kvalificiranu i zdravu radnu snagu, učinkovitu stratešku infrastrukturu, snažan financijski sektor koji može pružiti prilagođeno financiranje za inovacije te institucije i tržišta koji dobro funkcioniraju i kojima se nagrađuju uspješnost i poduzetništvo;</w:t>
            </w:r>
            <w:r>
              <w:t xml:space="preserve"> </w:t>
            </w:r>
            <w:r>
              <w:rPr>
                <w:b/>
                <w:i/>
              </w:rPr>
              <w:t>poziva Komisiju da razvije posebne pokazatelje uspješnosti koji odražavaju te strukturne čimbenike i njihov doprinos produktivnosti i rastu;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poziva Europsku komisiju da prednost da ulaganjima u ključne europske prometne koridore, uključujući unutarnje plovne putove kao što su Dunav, željezničke mreže i cestovna infrastruktura, kako bi se poboljšala povezanost zapada i istoka, smanjili logistički troškovi, skratilo vrijeme tranzita i olakšao pristup globalnim tržištima;</w:t>
            </w:r>
            <w:r>
              <w:t xml:space="preserve"> </w:t>
            </w:r>
            <w:r>
              <w:rPr>
                <w:b/>
                <w:i/>
              </w:rPr>
              <w:t>naglašava da su moderni i potpuno funkcionalni multimodalni koridori ključni za jačanje industrijske konkurentnosti, gospodarske kohezije i trgovinske otpornosti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smatra da bi EU trebao ulagati</w:t>
            </w:r>
            <w:r>
              <w:t xml:space="preserve"> u talente u ključnim sektorima </w:t>
            </w:r>
            <w:r>
              <w:rPr>
                <w:b/>
                <w:i/>
              </w:rPr>
              <w:t>kako bi se sposobnom radnom snagom povećala dugoročna konkurentnost EU-a;</w:t>
            </w:r>
            <w:r>
              <w:t xml:space="preserve"> </w:t>
            </w:r>
            <w:r>
              <w:rPr>
                <w:b/>
                <w:i/>
              </w:rPr>
              <w:t>predlaže da se napredak mjeri pokazateljima ostvarenja kao što su broj mladih koji se osposobljavaju svake godine (s posebnim naglaskom na rodnoj ravnoteži), stopa sudjelovanja u programima obrazovanja odraslih i programima cjeloživotnog učenja te stopa zadovoljstva partnerskih poduzeća;</w:t>
            </w:r>
            <w:r>
              <w:t xml:space="preserve"> </w:t>
            </w:r>
            <w:r>
              <w:rPr>
                <w:b/>
                <w:i/>
              </w:rPr>
              <w:t>smatra da bi se također mogli koristiti pokazatelji rezultata kao što su promjene stope zaposlenosti</w:t>
            </w:r>
            <w:r>
              <w:t xml:space="preserve"> u ciljanim sektorima;</w:t>
            </w:r>
          </w:p>
        </w:tc>
        <w:tc>
          <w:tcPr>
            <w:tcW w:w="4876" w:type="dxa"/>
            <w:tcBorders>
              <w:top w:val="nil"/>
              <w:left w:val="nil"/>
              <w:bottom w:val="nil"/>
              <w:right w:val="nil"/>
            </w:tcBorders>
          </w:tcPr>
          <w:p>
            <w:pPr>
              <w:pStyle w:val="Normal6a"/>
            </w:pPr>
            <w:r>
              <w:t>17.</w:t>
            </w:r>
            <w:r>
              <w:tab/>
            </w:r>
            <w:r>
              <w:rPr>
                <w:b/>
                <w:i/>
              </w:rPr>
              <w:t>naglašava da je ulaganje u ljudski kapital, vještine i talente u nadležnosti država članica te da se, ako EU ulaže</w:t>
            </w:r>
            <w:r>
              <w:t xml:space="preserve"> u talente u ključnim sektorima</w:t>
            </w:r>
            <w:r>
              <w:rPr>
                <w:b/>
                <w:i/>
              </w:rPr>
              <w:t>, prvo mora procijeniti učinak na smanjenje nezaposlenosti, kraće trajanje nezaposlenosti, rast plaća i održivost radnih mjesta</w:t>
            </w:r>
            <w:r>
              <w:t xml:space="preserve"> u ciljanim sektorima; </w:t>
            </w:r>
            <w:r>
              <w:rPr>
                <w:b/>
                <w:i/>
              </w:rPr>
              <w:t>smatra da broj korisnika može poslužiti kao sekundarni pokazatelj jer je cilj programa koje financiraju porezni obveznici ostvariti bolje rezultate na tržištu rada i socijalne rezultate, a ne što veći broj primatelja;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smatra da bi EU trebao ulagati u talente u ključnim sektorima kako bi se sposobnom radnom snagom povećala dugoročna konkurentnost EU-a; predlaže da se napredak mjeri pokazateljima ostvarenja kao što su broj mladih koji se osposobljavaju svake godine (s posebnim naglaskom na rodnoj ravnoteži), stopa sudjelovanja u programima obrazovanja odraslih i programima cjeloživotnog učenja te stopa zadovoljstva partnerskih poduzeća; smatra da bi se također mogli koristiti pokazatelji rezultata </w:t>
            </w:r>
            <w:r>
              <w:rPr>
                <w:b/>
                <w:i/>
              </w:rPr>
              <w:t>kao što su promjene stope zaposlenosti</w:t>
            </w:r>
            <w:r>
              <w:t xml:space="preserve"> u ciljanim sektorima;</w:t>
            </w:r>
          </w:p>
        </w:tc>
        <w:tc>
          <w:tcPr>
            <w:tcW w:w="4876" w:type="dxa"/>
            <w:tcBorders>
              <w:top w:val="nil"/>
              <w:left w:val="nil"/>
              <w:bottom w:val="nil"/>
              <w:right w:val="nil"/>
            </w:tcBorders>
          </w:tcPr>
          <w:p>
            <w:pPr>
              <w:pStyle w:val="Normal6a"/>
            </w:pPr>
            <w:r>
              <w:t>17.</w:t>
            </w:r>
            <w:r>
              <w:tab/>
            </w:r>
            <w:r>
              <w:t xml:space="preserve">smatra da bi EU trebao ulagati u talente u ključnim sektorima kako bi se sposobnom radnom snagom povećala dugoročna konkurentnost EU-a; predlaže da se napredak mjeri pokazateljima ostvarenja kao što su broj mladih koji se osposobljavaju svake godine (s posebnim naglaskom na rodnoj ravnoteži </w:t>
            </w:r>
            <w:r>
              <w:rPr>
                <w:b/>
                <w:i/>
              </w:rPr>
              <w:t>i nedovoljno zastupljenim skupinama</w:t>
            </w:r>
            <w:r>
              <w:t>), stopa sudjelovanja u programima obrazovanja odraslih i programima cjeloživotnog učenja te stopa zadovoljstva partnerskih poduzeća; smatra da bi se također mogli koristiti pokazatelji rezultata</w:t>
            </w:r>
            <w:r>
              <w:rPr>
                <w:b/>
                <w:i/>
              </w:rPr>
              <w:t>, uključujući stopu popunjenosti, rast plaća i zadržavanje</w:t>
            </w:r>
            <w:r>
              <w:t xml:space="preserve"> u ciljanim </w:t>
            </w:r>
            <w:r>
              <w:rPr>
                <w:b/>
                <w:i/>
              </w:rPr>
              <w:t>zelenim i digitalnim</w:t>
            </w:r>
            <w:r>
              <w:t xml:space="preserve"> sektorima;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smatra da bi EU trebao ulagati u talente u ključnim sektorima kako bi se sposobnom radnom snagom povećala dugoročna konkurentnost EU-a; predlaže da se napredak mjeri pokazateljima ostvarenja kao što su broj mladih koji se osposobljavaju svake godine (s posebnim naglaskom na rodnoj ravnoteži), stopa sudjelovanja u programima obrazovanja odraslih i programima cjeloživotnog učenja te stopa zadovoljstva partnerskih poduzeća; smatra da bi se također mogli koristiti pokazatelji rezultata kao što su promjene stope zaposlenosti u ciljanim sektorima;</w:t>
            </w:r>
          </w:p>
        </w:tc>
        <w:tc>
          <w:tcPr>
            <w:tcW w:w="4876" w:type="dxa"/>
            <w:tcBorders>
              <w:top w:val="nil"/>
              <w:left w:val="nil"/>
              <w:bottom w:val="nil"/>
              <w:right w:val="nil"/>
            </w:tcBorders>
          </w:tcPr>
          <w:p>
            <w:pPr>
              <w:pStyle w:val="Normal6a"/>
            </w:pPr>
            <w:r>
              <w:t>17.</w:t>
            </w:r>
            <w:r>
              <w:tab/>
            </w:r>
            <w:r>
              <w:t xml:space="preserve">smatra da bi EU trebao ulagati u talente u ključnim sektorima kako bi se sposobnom radnom snagom povećala dugoročna konkurentnost EU-a; predlaže da se napredak mjeri pokazateljima ostvarenja kao što su broj mladih koji se osposobljavaju svake godine (s posebnim naglaskom na rodnoj ravnoteži </w:t>
            </w:r>
            <w:r>
              <w:rPr>
                <w:b/>
                <w:i/>
              </w:rPr>
              <w:t>i socijalnoj uključenosti</w:t>
            </w:r>
            <w:r>
              <w:t xml:space="preserve">), stopa sudjelovanja u programima obrazovanja odraslih i programima cjeloživotnog učenja te stopa zadovoljstva partnerskih poduzeća </w:t>
            </w:r>
            <w:r>
              <w:rPr>
                <w:b/>
                <w:i/>
              </w:rPr>
              <w:t>i socijalnih partnera</w:t>
            </w:r>
            <w:r>
              <w:t xml:space="preserve">; smatra da bi se također mogli koristiti pokazatelji rezultata kao što su promjene stope zaposlenosti </w:t>
            </w:r>
            <w:r>
              <w:rPr>
                <w:b/>
                <w:i/>
              </w:rPr>
              <w:t>i stope prelaska s osposobljavanja ili privremenog zaposlenja na stalno zaposlenje</w:t>
            </w:r>
            <w:r>
              <w:t xml:space="preserve"> u ciljanim sektorima;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smatra da bi EU trebao ulagati u talente u ključnim sektorima kako bi se sposobnom radnom snagom povećala dugoročna konkurentnost EU-a; predlaže da se napredak mjeri pokazateljima ostvarenja kao što su broj </w:t>
            </w:r>
            <w:r>
              <w:rPr>
                <w:b/>
                <w:i/>
              </w:rPr>
              <w:t>mladih koji</w:t>
            </w:r>
            <w:r>
              <w:t xml:space="preserve"> se osposobljavaju svake godine (s posebnim naglaskom na rodnoj ravnoteži), stopa sudjelovanja u programima obrazovanja odraslih i programima cjeloživotnog učenja te stopa zadovoljstva partnerskih poduzeća; smatra da bi se također mogli koristiti pokazatelji rezultata kao što su promjene stope zaposlenosti u ciljanim sektorima;</w:t>
            </w:r>
          </w:p>
        </w:tc>
        <w:tc>
          <w:tcPr>
            <w:tcW w:w="4876" w:type="dxa"/>
            <w:tcBorders>
              <w:top w:val="nil"/>
              <w:left w:val="nil"/>
              <w:bottom w:val="nil"/>
              <w:right w:val="nil"/>
            </w:tcBorders>
          </w:tcPr>
          <w:p>
            <w:pPr>
              <w:pStyle w:val="Normal6a"/>
            </w:pPr>
            <w:r>
              <w:t>17.</w:t>
            </w:r>
            <w:r>
              <w:tab/>
            </w:r>
            <w:r>
              <w:t xml:space="preserve">smatra da bi EU trebao ulagati u talente u </w:t>
            </w:r>
            <w:r>
              <w:rPr>
                <w:b/>
                <w:i/>
              </w:rPr>
              <w:t>strateškim i</w:t>
            </w:r>
            <w:r>
              <w:t xml:space="preserve"> ključnim sektorima kako bi se sposobnom radnom snagom povećala dugoročna konkurentnost EU-a; predlaže da se napredak mjeri pokazateljima ostvarenja kao što su broj </w:t>
            </w:r>
            <w:r>
              <w:rPr>
                <w:b/>
                <w:i/>
              </w:rPr>
              <w:t>osoba koje</w:t>
            </w:r>
            <w:r>
              <w:t xml:space="preserve"> se osposobljavaju svake godine (s posebnim naglaskom na rodnoj ravnoteži)</w:t>
            </w:r>
            <w:r>
              <w:rPr>
                <w:b/>
                <w:i/>
              </w:rPr>
              <w:t>, broj osoba s diplomom u području znanost, tehnologije, inženjerstva ili matematike (STEM) na sveučilišnim studijama ili strukovnim tečajevima obrazovanja i osposobljavanja</w:t>
            </w:r>
            <w:r>
              <w:t>, stopa sudjelovanja u programima obrazovanja odraslih i programima cjeloživotnog učenja te stopa zadovoljstva partnerskih poduzeća; smatra da bi se također mogli koristiti pokazatelji rezultata kao što su promjene stope zaposlenosti u ciljanim sektorima;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smatra da bi EU trebao ulagati u talente u ključnim sektorima kako bi se sposobnom radnom snagom povećala dugoročna konkurentnost EU-a; predlaže da se napredak mjeri pokazateljima ostvarenja kao što su broj mladih koji se osposobljavaju svake godine </w:t>
            </w:r>
            <w:r>
              <w:rPr>
                <w:b/>
                <w:i/>
              </w:rPr>
              <w:t>(s posebnim naglaskom na rodnoj ravnoteži)</w:t>
            </w:r>
            <w:r>
              <w:t>, stopa sudjelovanja u programima obrazovanja odraslih i programima cjeloživotnog učenja te stopa zadovoljstva partnerskih poduzeća; smatra da bi se također mogli koristiti pokazatelji rezultata kao što su promjene stope zaposlenosti u ciljanim sektorima;</w:t>
            </w:r>
          </w:p>
        </w:tc>
        <w:tc>
          <w:tcPr>
            <w:tcW w:w="4876" w:type="dxa"/>
            <w:tcBorders>
              <w:top w:val="nil"/>
              <w:left w:val="nil"/>
              <w:bottom w:val="nil"/>
              <w:right w:val="nil"/>
            </w:tcBorders>
          </w:tcPr>
          <w:p>
            <w:pPr>
              <w:pStyle w:val="Normal6a"/>
            </w:pPr>
            <w:r>
              <w:t>17.</w:t>
            </w:r>
            <w:r>
              <w:tab/>
            </w:r>
            <w:r>
              <w:t xml:space="preserve">smatra da bi EU trebao ulagati u talente u ključnim sektorima kako bi se sposobnom radnom snagom povećala dugoročna konkurentnost EU-a; predlaže da se napredak mjeri pokazateljima ostvarenja kao što su broj mladih koji se osposobljavaju svake godine </w:t>
            </w:r>
            <w:r>
              <w:rPr>
                <w:b/>
                <w:i/>
              </w:rPr>
              <w:t>i koji nakon studija pronalaze posao u struci</w:t>
            </w:r>
            <w:r>
              <w:t>, stopa sudjelovanja u programima obrazovanja odraslih i programima cjeloživotnog učenja te stopa zadovoljstva partnerskih poduzeća; smatra da bi se također mogli koristiti pokazatelji rezultata kao što su promjene stope zaposlenosti u ciljanim sektorima;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smatra da bi EU trebao ulagati u talente u ključnim sektorima kako bi se sposobnom radnom snagom povećala dugoročna konkurentnost EU-a; predlaže da se napredak mjeri pokazateljima ostvarenja kao što su broj mladih koji se osposobljavaju svake godine </w:t>
            </w:r>
            <w:r>
              <w:rPr>
                <w:b/>
                <w:i/>
              </w:rPr>
              <w:t>(s posebnim naglaskom na rodnoj ravnoteži)</w:t>
            </w:r>
            <w:r>
              <w:t>, stopa sudjelovanja u programima obrazovanja odraslih i programima cjeloživotnog učenja te stopa zadovoljstva partnerskih poduzeća; smatra da bi se također mogli koristiti pokazatelji rezultata kao što su promjene stope zaposlenosti u ciljanim sektorima;</w:t>
            </w:r>
          </w:p>
        </w:tc>
        <w:tc>
          <w:tcPr>
            <w:tcW w:w="4876" w:type="dxa"/>
            <w:tcBorders>
              <w:top w:val="nil"/>
              <w:left w:val="nil"/>
              <w:bottom w:val="nil"/>
              <w:right w:val="nil"/>
            </w:tcBorders>
          </w:tcPr>
          <w:p>
            <w:pPr>
              <w:pStyle w:val="Normal6a"/>
            </w:pPr>
            <w:r>
              <w:t>17.</w:t>
            </w:r>
            <w:r>
              <w:tab/>
            </w:r>
            <w:r>
              <w:t>smatra da bi EU trebao ulagati u talente u ključnim sektorima kako bi se sposobnom radnom snagom povećala dugoročna konkurentnost EU-a; predlaže da se napredak mjeri pokazateljima ostvarenja kao što su broj mladih koji se osposobljavaju svake godine, stopa sudjelovanja u programima obrazovanja odraslih i programima cjeloživotnog učenja te stopa zadovoljstva partnerskih poduzeća; smatra da bi se također mogli koristiti pokazatelji rezultata kao što su promjene stope zaposlenosti u ciljanim sektorima;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ističe da uspjeh europskih projekata konkurentnosti ovisi o mobilizaciji privatnog kapitala;</w:t>
            </w:r>
            <w:r>
              <w:t xml:space="preserve"> </w:t>
            </w:r>
            <w:r>
              <w:rPr>
                <w:b/>
                <w:i/>
              </w:rPr>
              <w:t>poziva Komisiju da uvede posebne pokazatelje za mjerenje učinka poluge sredstava EU-a u mobilizaciji privatnih ulaganja, omjera javno-privatnog financiranja i ostvarenog povrata ulaganja;</w:t>
            </w:r>
            <w:r>
              <w:t xml:space="preserve"> </w:t>
            </w:r>
            <w:r>
              <w:rPr>
                <w:b/>
                <w:i/>
              </w:rPr>
              <w:t>ističe da bi uspjeh programa EU-a trebalo ocjenjivati s obzirom na njihovu sposobnost privlačenja i održavanja rasta privatnog sektora;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smatra da bi, kako bi se ubrzali </w:t>
            </w:r>
            <w:r>
              <w:rPr>
                <w:b/>
                <w:i/>
              </w:rPr>
              <w:t>zeleni i digitalni industrijski projekti</w:t>
            </w:r>
            <w:r>
              <w:t>, posebnu pozornost trebalo posvetiti inovativnim malim i srednjim poduzećima, uz istodobna nastojanja u smjeru pojednostavljenja; predlaže da bi se napredak mogao mjeriti pokazateljima kao što su broj projekata odobrenih na godišnjoj razini, stopa žalbi ili sporova povezanih s postupcima i vrijeme potrebno za pristup financijskim sredstvima EU-a, od zahtjeva do isplate;</w:t>
            </w:r>
          </w:p>
        </w:tc>
        <w:tc>
          <w:tcPr>
            <w:tcW w:w="4876" w:type="dxa"/>
            <w:tcBorders>
              <w:top w:val="nil"/>
              <w:left w:val="nil"/>
              <w:bottom w:val="nil"/>
              <w:right w:val="nil"/>
            </w:tcBorders>
          </w:tcPr>
          <w:p>
            <w:pPr>
              <w:pStyle w:val="Normal6a"/>
            </w:pPr>
            <w:r>
              <w:t>18.</w:t>
            </w:r>
            <w:r>
              <w:tab/>
            </w:r>
            <w:r>
              <w:t xml:space="preserve">smatra da bi, kako bi se ubrzali </w:t>
            </w:r>
            <w:r>
              <w:rPr>
                <w:b/>
                <w:i/>
              </w:rPr>
              <w:t>konkurentnost i gospodarski rast</w:t>
            </w:r>
            <w:r>
              <w:t xml:space="preserve">, posebnu pozornost trebalo posvetiti inovativnim malim i srednjim poduzećima, </w:t>
            </w:r>
            <w:r>
              <w:rPr>
                <w:b/>
                <w:i/>
              </w:rPr>
              <w:t>među ostalim smanjenjem birokracije koja otežava pristup financiranju,</w:t>
            </w:r>
            <w:r>
              <w:t xml:space="preserve"> uz istodobna nastojanja u smjeru pojednostavljenja</w:t>
            </w:r>
            <w:r>
              <w:rPr>
                <w:b/>
                <w:i/>
              </w:rPr>
              <w:t>;</w:t>
            </w:r>
            <w:r>
              <w:t xml:space="preserve"> </w:t>
            </w:r>
            <w:r>
              <w:rPr>
                <w:b/>
                <w:i/>
              </w:rPr>
              <w:t>poziva na temeljitu procjenu i racionalizaciju zahtjeva za izvješćivanje o uspješnosti kako bi se osiguralo samo odgovarajuće administrativno opterećenje</w:t>
            </w:r>
            <w:r>
              <w:t xml:space="preserve">; predlaže da bi se napredak mogao mjeriti pokazateljima kao što su broj projekata odobrenih na godišnjoj razini, stopa žalbi ili sporova povezanih s postupcima i vrijeme potrebno za pristup financijskim sredstvima EU-a, od zahtjeva do isplate; </w:t>
            </w:r>
            <w:r>
              <w:rPr>
                <w:b/>
                <w:i/>
              </w:rPr>
              <w:t>poziva na strukturirano preispitivanje u sredini programskog razdoblja i ex post preispitivanje kako bi se prekinule ili preoblikovale nezadovoljavajuće intervencije koje je prepoznao Europski revizorski sud, pri čemu bi se sredstva preraspodijelila na djelotvornije mjere ili, prema potrebi, vratila građanima;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smatra da bi, kako bi se ubrzali </w:t>
            </w:r>
            <w:r>
              <w:rPr>
                <w:b/>
                <w:i/>
              </w:rPr>
              <w:t>zeleni i digitalni</w:t>
            </w:r>
            <w:r>
              <w:t xml:space="preserve"> industrijski projekti, posebnu pozornost trebalo posvetiti inovativnim malim i srednjim poduzećima, uz </w:t>
            </w:r>
            <w:r>
              <w:rPr>
                <w:b/>
                <w:i/>
              </w:rPr>
              <w:t>istodobna nastojanja u smjeru pojednostavljenja</w:t>
            </w:r>
            <w:r>
              <w:t>; predlaže da bi se napredak mogao mjeriti pokazateljima kao što su broj projekata odobrenih na godišnjoj razini, stopa žalbi ili sporova povezanih s postupcima i vrijeme potrebno za pristup financijskim sredstvima EU-a, od zahtjeva do isplate;</w:t>
            </w:r>
          </w:p>
        </w:tc>
        <w:tc>
          <w:tcPr>
            <w:tcW w:w="4876" w:type="dxa"/>
            <w:tcBorders>
              <w:top w:val="nil"/>
              <w:left w:val="nil"/>
              <w:bottom w:val="nil"/>
              <w:right w:val="nil"/>
            </w:tcBorders>
          </w:tcPr>
          <w:p>
            <w:pPr>
              <w:pStyle w:val="Normal6a"/>
            </w:pPr>
            <w:r>
              <w:t>18.</w:t>
            </w:r>
            <w:r>
              <w:tab/>
            </w:r>
            <w:r>
              <w:t xml:space="preserve">smatra da bi, kako bi se ubrzali industrijski projekti </w:t>
            </w:r>
            <w:r>
              <w:rPr>
                <w:b/>
                <w:i/>
              </w:rPr>
              <w:t>kojima se jača konkurentnost i otpornost europske industrije</w:t>
            </w:r>
            <w:r>
              <w:t xml:space="preserve">, posebnu pozornost trebalo posvetiti inovativnim malim i srednjim poduzećima, uz </w:t>
            </w:r>
            <w:r>
              <w:rPr>
                <w:b/>
                <w:i/>
              </w:rPr>
              <w:t>istodobno osiguravanje pojednostavnjenja administrativnih postupaka</w:t>
            </w:r>
            <w:r>
              <w:t xml:space="preserve">; predlaže da bi se napredak </w:t>
            </w:r>
            <w:r>
              <w:rPr>
                <w:b/>
                <w:i/>
              </w:rPr>
              <w:t>u tom pogledu</w:t>
            </w:r>
            <w:r>
              <w:t xml:space="preserve"> mogao mjeriti pokazateljima kao što su broj projekata odobrenih na godišnjoj razini, stopa žalbi ili sporova povezanih s postupcima i vrijeme potrebno za pristup financijskim sredstvima EU-a, od zahtjeva do isplate;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smatra da bi, kako bi se ubrzali zeleni i digitalni industrijski projekti, posebnu pozornost trebalo posvetiti inovativnim malim i srednjim poduzećima, uz istodobna nastojanja u smjeru pojednostavljenja; predlaže da bi se napredak mogao mjeriti pokazateljima kao što su broj projekata odobrenih na godišnjoj razini, stopa žalbi ili sporova povezanih s postupcima i vrijeme potrebno za pristup financijskim sredstvima EU-a, od zahtjeva do isplate;</w:t>
            </w:r>
          </w:p>
        </w:tc>
        <w:tc>
          <w:tcPr>
            <w:tcW w:w="4876" w:type="dxa"/>
            <w:tcBorders>
              <w:top w:val="nil"/>
              <w:left w:val="nil"/>
              <w:bottom w:val="nil"/>
              <w:right w:val="nil"/>
            </w:tcBorders>
          </w:tcPr>
          <w:p>
            <w:pPr>
              <w:pStyle w:val="Normal6a"/>
            </w:pPr>
            <w:r>
              <w:t>18.</w:t>
            </w:r>
            <w:r>
              <w:tab/>
            </w:r>
            <w:r>
              <w:t xml:space="preserve">smatra da bi, kako bi se ubrzali zeleni i digitalni industrijski projekti, posebnu pozornost trebalo posvetiti inovativnim malim i srednjim poduzećima, uz istodobna nastojanja u smjeru pojednostavljenja </w:t>
            </w:r>
            <w:r>
              <w:rPr>
                <w:b/>
                <w:i/>
              </w:rPr>
              <w:t>u obliku jednostavnijih postupaka i izvješćivanja;</w:t>
            </w:r>
            <w:r>
              <w:t xml:space="preserve"> </w:t>
            </w:r>
            <w:r>
              <w:rPr>
                <w:b/>
                <w:i/>
              </w:rPr>
              <w:t>naglašava da pojednostavnjenje ne smije dovesti do deregulacije kojom se ugrožavaju okolišni, socijalni ili radni standardi te da se mora provoditi na način kojim se jamči regulatorna sigurnost, kao i odgovarajuće razmatranje, savjetovanje i procjena učinka</w:t>
            </w:r>
            <w:r>
              <w:t>; predlaže da bi se napredak mogao mjeriti pokazateljima kao što su broj projekata odobrenih na godišnjoj razini, stopa žalbi ili sporova povezanih s postupcima i vrijeme potrebno za pristup financijskim sredstvima EU-a, od zahtjeva do isplate;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smatra da bi, kako bi se </w:t>
            </w:r>
            <w:r>
              <w:rPr>
                <w:b/>
                <w:i/>
              </w:rPr>
              <w:t>ubrzali zeleni i digitalni industrijski projekti</w:t>
            </w:r>
            <w:r>
              <w:t xml:space="preserve">, posebnu pozornost trebalo posvetiti inovativnim malim i srednjim poduzećima, </w:t>
            </w:r>
            <w:r>
              <w:rPr>
                <w:b/>
                <w:i/>
              </w:rPr>
              <w:t>uz istodobna nastojanja u smjeru pojednostavljenja</w:t>
            </w:r>
            <w:r>
              <w:t xml:space="preserve">; predlaže da </w:t>
            </w:r>
            <w:r>
              <w:rPr>
                <w:b/>
                <w:i/>
              </w:rPr>
              <w:t>bi</w:t>
            </w:r>
            <w:r>
              <w:t xml:space="preserve"> se napredak </w:t>
            </w:r>
            <w:r>
              <w:rPr>
                <w:b/>
                <w:i/>
              </w:rPr>
              <w:t>mogao mjeriti</w:t>
            </w:r>
            <w:r>
              <w:t xml:space="preserve"> pokazateljima kao što su broj projekata odobrenih na godišnjoj razini</w:t>
            </w:r>
            <w:r>
              <w:rPr>
                <w:b/>
                <w:i/>
              </w:rPr>
              <w:t>, stopa</w:t>
            </w:r>
            <w:r>
              <w:t xml:space="preserve"> žalbi ili sporova povezanih s postupcima </w:t>
            </w:r>
            <w:r>
              <w:rPr>
                <w:b/>
                <w:i/>
              </w:rPr>
              <w:t>i vrijeme potrebno</w:t>
            </w:r>
            <w:r>
              <w:t xml:space="preserve"> za pristup financijskim sredstvima EU-a, od zahtjeva do isplate;</w:t>
            </w:r>
          </w:p>
        </w:tc>
        <w:tc>
          <w:tcPr>
            <w:tcW w:w="4876" w:type="dxa"/>
            <w:tcBorders>
              <w:top w:val="nil"/>
              <w:left w:val="nil"/>
              <w:bottom w:val="nil"/>
              <w:right w:val="nil"/>
            </w:tcBorders>
          </w:tcPr>
          <w:p>
            <w:pPr>
              <w:pStyle w:val="Normal6a"/>
            </w:pPr>
            <w:r>
              <w:t>18.</w:t>
            </w:r>
            <w:r>
              <w:tab/>
            </w:r>
            <w:r>
              <w:t xml:space="preserve">smatra da bi, kako bi se </w:t>
            </w:r>
            <w:r>
              <w:rPr>
                <w:b/>
                <w:i/>
              </w:rPr>
              <w:t>ubrzale zelena i digitalna tranzicija</w:t>
            </w:r>
            <w:r>
              <w:t xml:space="preserve">, posebnu pozornost trebalo posvetiti inovativnim malim i srednjim poduzećima, </w:t>
            </w:r>
            <w:r>
              <w:rPr>
                <w:b/>
                <w:i/>
              </w:rPr>
              <w:t>za koja je pojednostavnjenje neophodno</w:t>
            </w:r>
            <w:r>
              <w:t xml:space="preserve">; predlaže da se napredak </w:t>
            </w:r>
            <w:r>
              <w:rPr>
                <w:b/>
                <w:i/>
              </w:rPr>
              <w:t>u pogledu smanjenja administrativnog opterećenja mjeri</w:t>
            </w:r>
            <w:r>
              <w:t xml:space="preserve"> pokazateljima kao što su broj projekata odobrenih </w:t>
            </w:r>
            <w:r>
              <w:rPr>
                <w:b/>
                <w:i/>
              </w:rPr>
              <w:t>i zaključenih</w:t>
            </w:r>
            <w:r>
              <w:t xml:space="preserve"> na godišnjoj razini </w:t>
            </w:r>
            <w:r>
              <w:rPr>
                <w:b/>
                <w:i/>
              </w:rPr>
              <w:t>s MSP-ovima, smanjenje stope</w:t>
            </w:r>
            <w:r>
              <w:t xml:space="preserve"> žalbi ili sporova povezanih s postupcima </w:t>
            </w:r>
            <w:r>
              <w:rPr>
                <w:b/>
                <w:i/>
              </w:rPr>
              <w:t>podnošenja zahtjeva i smanjenje vremena potrebnog</w:t>
            </w:r>
            <w:r>
              <w:t xml:space="preserve"> za pristup financijskim sredstvima EU-a, od zahtjeva do isplate;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poziva Europsku komisiju da ojača gospodarsku diplomaciju EU-a i u potpunosti provede strategiju Global Gateway kako bi se osigurali strateški prometni koridori, uključujući Srednji koridor koji povezuje Europu sa srednjom Azijom i Bliskim istokom, poboljšala povezanost sa svjetskim tržištima i osigurao pouzdan pristup sirovinama i energetskim resursima;</w:t>
            </w:r>
            <w:r>
              <w:t xml:space="preserve"> </w:t>
            </w:r>
            <w:r>
              <w:rPr>
                <w:b/>
                <w:i/>
              </w:rPr>
              <w:t>naglašava da su ciljana ulaganja i diplomatski angažman ključni za otvaranje novih trgovinskih putova, smanjenje ovisnosti o pojedinačnim dobavljačima i povećanje industrijske konkurentnosti, otpornosti i globalnog utjecaja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naglašava da bi se prelaskom s izvješćivanja koje se temelji na ulaznim podacima i aktivnostima na izvješćivanje usmjereno na rezultate i učinak trebalo smanjiti administrativno opterećenje i za revizore i za korisnike usmjeravanjem na značajnost i proporcionalnost;</w:t>
            </w:r>
            <w:r>
              <w:t xml:space="preserve"> </w:t>
            </w:r>
            <w:r>
              <w:rPr>
                <w:b/>
                <w:i/>
              </w:rPr>
              <w:t>poziva Komisiju da racionalizira pokazatelje, pojednostavi predloške, izbjegava dvostruke zahtjeve za podatke i primijeni načelo „samo jednom” kako bi korisnici mogli potrošiti više vremena na ostvarivanje rezultata i manje vremena na formalno ispunjavanje uvjeta;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naglašava da je za obnovu konkurentnosti Europe potreban prelazak s kratkoročnog upravljanja krizama na dugoročnu strategiju koja se temelji na inovacijama, učinkovitosti i globalnoj otvorenosti;</w:t>
            </w:r>
            <w:r>
              <w:t xml:space="preserve"> </w:t>
            </w:r>
            <w:r>
              <w:rPr>
                <w:b/>
                <w:i/>
              </w:rPr>
              <w:t>poziva na obnovljenu predanost jačanju jedinstvenog tržišta, smanjenju regulatorne rascjepkanosti i osiguravanju da se programima EU-a podupire realno gospodarstvo, a ne širenje birokracije;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naglašava da bi Europski fond za konkurentnost i svi budući instrumenti trebali uključivati obvezne revizije uspješnosti u sredini razdoblja koje bi provodio Europski revizorski sud, osiguravajući da se korektivne mjere uvode bez odgode ako rezultati ne budu dovoljni za ispunjavanje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779.587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AM\1331809HR.docx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AM\1331809HR.docx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779.587</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AM\1331809HR.docx</w:t>
    </w:r>
    <w:r>
      <w:rPr>
        <w:rStyle w:val="HideTWBExt"/>
      </w:rPr>
      <w:t>&lt;/PathFdR&gt;</w:t>
    </w:r>
    <w:r>
      <w:tab/>
    </w:r>
    <w:r>
      <w:tab/>
    </w:r>
    <w:r>
      <w:t>PE</w:t>
    </w:r>
    <w:r>
      <w:rPr>
        <w:rStyle w:val="HideTWBExt"/>
      </w:rPr>
      <w:t>&lt;NoPE&gt;</w:t>
    </w:r>
    <w:r>
      <w:t>779.587</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15116</Words>
  <Characters>96526</Characters>
  <Application>Microsoft Office Word</Application>
  <DocSecurity>0</DocSecurity>
  <Lines>1</Lines>
  <Paragraphs>991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1331809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297073</vt:lpwstr>
  </property>
  <property fmtid="{D5CDD505-2E9C-101B-9397-08002B2CF9AE}" pid="7" name="dmxml.render.traceId">
    <vt:lpwstr>6929560c79fc208d846999c7c464e35f</vt:lpwstr>
  </property>
  <property fmtid="{D5CDD505-2E9C-101B-9397-08002B2CF9AE}" pid="8" name="FooterPath">
    <vt:lpwstr>AM\1331809HR.docx</vt:lpwstr>
  </property>
  <property fmtid="{D5CDD505-2E9C-101B-9397-08002B2CF9AE}" pid="9" name="PE Number">
    <vt:lpwstr>779.587</vt:lpwstr>
  </property>
  <property fmtid="{D5CDD505-2E9C-101B-9397-08002B2CF9AE}" pid="10" name="UID">
    <vt:lpwstr>eu.europa.europarl-DIN1-2025-0000220744_01.00-hr-01.00_text-xml</vt:lpwstr>
  </property>
</Properties>
</file>