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Java 24.2.0 -->
  <w:body>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0" w:type="dxa"/>
          <w:left w:w="108" w:type="dxa"/>
          <w:bottom w:w="0" w:type="dxa"/>
          <w:right w:w="108" w:type="dxa"/>
        </w:tblCellMar>
      </w:tblPr>
      <w:tblGrid>
        <w:gridCol w:w="6804"/>
        <w:gridCol w:w="2268"/>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0" w:type="dxa"/>
            <w:left w:w="108" w:type="dxa"/>
            <w:bottom w:w="0" w:type="dxa"/>
            <w:right w:w="108" w:type="dxa"/>
          </w:tblCellMar>
        </w:tblPrEx>
        <w:trPr>
          <w:trHeight w:hRule="exact" w:val="1417"/>
          <w:jc w:val="center"/>
        </w:trPr>
        <w:tc>
          <w:tcPr>
            <w:tcW w:w="6804" w:type="dxa"/>
            <w:tcBorders>
              <w:top w:val="nil"/>
              <w:left w:val="nil"/>
              <w:bottom w:val="nil"/>
              <w:right w:val="nil"/>
            </w:tcBorders>
            <w:vAlign w:val="center"/>
          </w:tcPr>
          <w:p>
            <w:pPr>
              <w:pStyle w:val="EPName"/>
            </w:pPr>
            <w:r>
              <w:t>Parlamento europeo</w:t>
            </w:r>
          </w:p>
          <w:p>
            <w:pPr>
              <w:pStyle w:val="EPTerm"/>
              <w:jc w:val="left"/>
            </w:pPr>
            <w:r>
              <w:t>2024-2029</w:t>
            </w:r>
          </w:p>
        </w:tc>
        <w:tc>
          <w:tcPr>
            <w:tcW w:w="2268" w:type="dxa"/>
            <w:tcBorders>
              <w:top w:val="nil"/>
              <w:left w:val="nil"/>
              <w:bottom w:val="nil"/>
              <w:right w:val="nil"/>
            </w:tcBorders>
            <w:vAlign w:val="top"/>
          </w:tcPr>
          <w:p>
            <w:pPr>
              <w:pStyle w:val="EPLogo"/>
              <w:jc w:val="right"/>
            </w:pPr>
            <w: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91.56pt;height:50.11pt">
                  <v:imagedata r:id="rId4" o:title=""/>
                </v:shape>
              </w:pict>
            </w:r>
          </w:p>
        </w:tc>
      </w:tr>
    </w:tbl>
    <w:p>
      <w:pPr>
        <w:pStyle w:val="LineTop"/>
      </w:pPr>
      <w:r>
        <w:t xml:space="preserve"> </w:t>
      </w:r>
    </w:p>
    <w:p>
      <w:pPr>
        <w:pStyle w:val="EPBody"/>
      </w:pPr>
      <w:r>
        <w:rPr>
          <w:rStyle w:val="HideTWBExt"/>
        </w:rPr>
        <w:t>&lt;Commission&gt;</w:t>
      </w:r>
      <w:r>
        <w:rPr>
          <w:rStyle w:val="HideTWBInt"/>
        </w:rPr>
        <w:t>{CONT}</w:t>
      </w:r>
      <w:r>
        <w:t>Commissione per il controllo dei bilanci</w:t>
      </w:r>
      <w:r>
        <w:rPr>
          <w:rStyle w:val="HideTWBExt"/>
        </w:rPr>
        <w:t>&lt;/Commission&gt;</w:t>
      </w:r>
    </w:p>
    <w:p>
      <w:pPr>
        <w:pStyle w:val="LineBottom"/>
      </w:pPr>
      <w:r>
        <w:t xml:space="preserve"> </w:t>
      </w:r>
    </w:p>
    <w:p>
      <w:pPr>
        <w:pStyle w:val="CoverReference"/>
      </w:pPr>
      <w:r>
        <w:rPr>
          <w:rStyle w:val="HideTWBExt"/>
        </w:rPr>
        <w:t>&lt;RefProc&gt;</w:t>
      </w:r>
      <w:r>
        <w:t>2025/2034</w:t>
      </w:r>
      <w:r>
        <w:rPr>
          <w:rStyle w:val="HideTWBExt"/>
        </w:rPr>
        <w:t>&lt;/RefProc&gt;</w:t>
      </w:r>
      <w:r>
        <w:rPr>
          <w:rStyle w:val="HideTWBExt"/>
        </w:rPr>
        <w:t>&lt;RefTypeProc&gt;</w:t>
      </w:r>
      <w:r>
        <w:t>(INI)</w:t>
      </w:r>
      <w:r>
        <w:rPr>
          <w:rStyle w:val="HideTWBExt"/>
        </w:rPr>
        <w:t>&lt;/RefTypeProc&gt;</w:t>
      </w:r>
    </w:p>
    <w:p>
      <w:pPr>
        <w:pStyle w:val="CoverDate"/>
      </w:pPr>
      <w:r>
        <w:rPr>
          <w:rStyle w:val="HideTWBExt"/>
        </w:rPr>
        <w:t>&lt;Date&gt;</w:t>
      </w:r>
      <w:r>
        <w:rPr>
          <w:rStyle w:val="HideTWBInt"/>
        </w:rPr>
        <w:t>{14/11/2025}</w:t>
      </w:r>
      <w:r>
        <w:t>14.11.2025</w:t>
      </w:r>
      <w:r>
        <w:rPr>
          <w:rStyle w:val="HideTWBExt"/>
        </w:rPr>
        <w:t>&lt;/Date&gt;</w:t>
      </w:r>
    </w:p>
    <w:p>
      <w:pPr>
        <w:pStyle w:val="CoverDocType"/>
      </w:pPr>
      <w:r>
        <w:rPr>
          <w:rStyle w:val="HideTWBExt"/>
        </w:rPr>
        <w:t>&lt;TypeAM&gt;</w:t>
      </w:r>
      <w:r>
        <w:t>EMENDAMENTI</w:t>
      </w:r>
      <w:r>
        <w:rPr>
          <w:rStyle w:val="HideTWBExt"/>
        </w:rPr>
        <w:t>&lt;/TypeAM&gt;</w:t>
      </w:r>
    </w:p>
    <w:p>
      <w:pPr>
        <w:pStyle w:val="CoverDocType24a"/>
      </w:pPr>
      <w:r>
        <w:rPr>
          <w:rStyle w:val="HideTWBExt"/>
        </w:rPr>
        <w:t>&lt;RangeAM&gt;</w:t>
      </w:r>
      <w:r>
        <w:t>1</w:t>
      </w:r>
      <w:r>
        <w:t xml:space="preserve"> - </w:t>
      </w:r>
      <w:r>
        <w:t>111</w:t>
      </w:r>
      <w:r>
        <w:rPr>
          <w:rStyle w:val="HideTWBExt"/>
        </w:rPr>
        <w:t>&lt;/RangeAM&gt;</w:t>
      </w:r>
    </w:p>
    <w:p>
      <w:pPr>
        <w:pStyle w:val="CoverBold"/>
      </w:pPr>
      <w:r>
        <w:rPr>
          <w:rStyle w:val="HideTWBExt"/>
        </w:rPr>
        <w:t>&lt;TitreType&gt;</w:t>
      </w:r>
      <w:r>
        <w:t>Progetto di relazione</w:t>
      </w:r>
      <w:r>
        <w:rPr>
          <w:rStyle w:val="HideTWBExt"/>
        </w:rPr>
        <w:t>&lt;/TitreType&gt;</w:t>
      </w:r>
    </w:p>
    <w:p>
      <w:pPr>
        <w:pStyle w:val="CoverBold"/>
      </w:pPr>
      <w:r>
        <w:rPr>
          <w:rStyle w:val="HideTWBExt"/>
        </w:rPr>
        <w:t>&lt;Rapporteur&gt;</w:t>
      </w:r>
      <w:r>
        <w:t>Olivier Chastel</w:t>
      </w:r>
      <w:r>
        <w:rPr>
          <w:rStyle w:val="HideTWBExt"/>
        </w:rPr>
        <w:t>&lt;/Rapporteur&gt;</w:t>
      </w:r>
    </w:p>
    <w:p>
      <w:pPr>
        <w:pStyle w:val="CoverNormal24a"/>
      </w:pPr>
      <w:r>
        <w:rPr>
          <w:rStyle w:val="HideTWBExt"/>
        </w:rPr>
        <w:t>&lt;DocRefPE&gt;</w:t>
      </w:r>
      <w:r>
        <w:t>(PE778.327v01-00)</w:t>
      </w:r>
      <w:r>
        <w:rPr>
          <w:rStyle w:val="HideTWBExt"/>
        </w:rPr>
        <w:t>&lt;/DocRefPE&gt;</w:t>
      </w:r>
    </w:p>
    <w:p>
      <w:pPr>
        <w:pStyle w:val="CoverNormal"/>
      </w:pPr>
      <w:r>
        <w:rPr>
          <w:rStyle w:val="HideTWBExt"/>
        </w:rPr>
        <w:t>&lt;Titre&gt;</w:t>
      </w:r>
      <w:r>
        <w:t>Scelta degli indicatori di performance per l'audit e il controllo di bilancio nel quadro delle misure di finanziamento volte a sostenere l'attuazione della futura competitività europea</w:t>
      </w:r>
      <w:r>
        <w:rPr>
          <w:rStyle w:val="HideTWBExt"/>
        </w:rPr>
        <w:t>&lt;/Titre&gt;</w:t>
      </w:r>
    </w:p>
    <w:p>
      <w:pPr>
        <w:pStyle w:val="CoverNormal24a"/>
      </w:pPr>
      <w:r>
        <w:rPr>
          <w:rStyle w:val="HideTWBExt"/>
        </w:rPr>
        <w:t>&lt;DocRef&gt;</w:t>
      </w:r>
      <w:r>
        <w:t>(2025/2034(INI))</w:t>
      </w:r>
      <w:r>
        <w:rPr>
          <w:rStyle w:val="HideTWBExt"/>
        </w:rPr>
        <w:t>&lt;/DocRef&gt;</w:t>
      </w:r>
    </w:p>
    <w:p>
      <w:r>
        <w:br w:type="page"/>
      </w:r>
      <w:r>
        <w:t>AM_Com_NonLegReport</w:t>
      </w:r>
    </w:p>
    <w:p>
      <w:pPr>
        <w:pStyle w:val="AmNumberTabs"/>
      </w:pPr>
      <w:r>
        <w:br w:type="page"/>
      </w:r>
      <w:r>
        <w:rPr>
          <w:rStyle w:val="HideTWBExt"/>
        </w:rPr>
        <w:t>&lt;RepeatBlock-Amend&gt;</w:t>
      </w:r>
      <w:r>
        <w:rPr>
          <w:rStyle w:val="HideTWBExt"/>
        </w:rPr>
        <w:t>&lt;Amend&gt;</w:t>
      </w:r>
      <w:r>
        <w:t>Emendamento</w:t>
      </w:r>
      <w:r>
        <w:tab/>
      </w:r>
      <w:r>
        <w:tab/>
      </w:r>
      <w:r>
        <w:rPr>
          <w:rStyle w:val="HideTWBExt"/>
        </w:rPr>
        <w:t>&lt;NumAm&gt;</w:t>
      </w:r>
      <w:r>
        <w:t>1</w:t>
      </w:r>
      <w:r>
        <w:rPr>
          <w:rStyle w:val="HideTWBExt"/>
        </w:rPr>
        <w:t>&lt;/NumAm&gt;</w:t>
      </w:r>
    </w:p>
    <w:p>
      <w:pPr>
        <w:pStyle w:val="NormalBold"/>
      </w:pPr>
      <w:r>
        <w:rPr>
          <w:rStyle w:val="HideTWBExt"/>
          <w:b w:val="0"/>
        </w:rPr>
        <w:t>&lt;RepeatBlock-By&gt;</w:t>
      </w:r>
      <w:r>
        <w:rPr>
          <w:rStyle w:val="HideTWBExt"/>
          <w:b w:val="0"/>
        </w:rPr>
        <w:t>&lt;Members&gt;</w:t>
      </w:r>
      <w:r>
        <w:t>Kinga Kollár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di risoluzione</w:t>
      </w:r>
      <w:r>
        <w:rPr>
          <w:rStyle w:val="HideTWBExt"/>
        </w:rPr>
        <w:t>&lt;/DocAmend&gt;</w:t>
      </w:r>
    </w:p>
    <w:p>
      <w:pPr>
        <w:pStyle w:val="NormalBold"/>
      </w:pPr>
      <w:r>
        <w:rPr>
          <w:rStyle w:val="HideTWBExt"/>
        </w:rPr>
        <w:t>&lt;Article&gt;</w:t>
      </w:r>
      <w:r>
        <w:t>Visto 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Proposta di risoluzione</w:t>
            </w:r>
          </w:p>
        </w:tc>
        <w:tc>
          <w:tcPr>
            <w:tcW w:w="4876" w:type="dxa"/>
            <w:tcBorders>
              <w:top w:val="nil"/>
              <w:left w:val="nil"/>
              <w:bottom w:val="nil"/>
              <w:right w:val="nil"/>
            </w:tcBorders>
          </w:tcPr>
          <w:p>
            <w:pPr>
              <w:pStyle w:val="AmColumnHeading"/>
            </w:pPr>
            <w:r>
              <w:t>Emendamento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w:t>
            </w:r>
            <w:r>
              <w:tab/>
            </w:r>
            <w:r>
              <w:t>visto il trattato sul funzionamento dell'Unione europea,</w:t>
            </w:r>
          </w:p>
        </w:tc>
        <w:tc>
          <w:tcPr>
            <w:tcW w:w="4876" w:type="dxa"/>
            <w:tcBorders>
              <w:top w:val="nil"/>
              <w:left w:val="nil"/>
              <w:bottom w:val="nil"/>
              <w:right w:val="nil"/>
            </w:tcBorders>
          </w:tcPr>
          <w:p>
            <w:pPr>
              <w:pStyle w:val="Normal6a"/>
            </w:pPr>
            <w:r>
              <w:t>–</w:t>
            </w:r>
            <w:r>
              <w:tab/>
            </w:r>
            <w:r>
              <w:t xml:space="preserve">visto il trattato sul funzionamento dell'Unione europea, </w:t>
            </w:r>
            <w:r>
              <w:rPr>
                <w:b/>
                <w:i/>
              </w:rPr>
              <w:t>in particolare l'articolo 318 e l'articolo 322, paragrafo 1, lettera 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Emendamento</w:t>
      </w:r>
      <w:r>
        <w:tab/>
      </w:r>
      <w:r>
        <w:tab/>
      </w:r>
      <w:r>
        <w:rPr>
          <w:rStyle w:val="HideTWBExt"/>
        </w:rPr>
        <w:t>&lt;NumAm&gt;</w:t>
      </w:r>
      <w:r>
        <w:t>2</w:t>
      </w:r>
      <w:r>
        <w:rPr>
          <w:rStyle w:val="HideTWBExt"/>
        </w:rPr>
        <w:t>&lt;/NumAm&gt;</w:t>
      </w:r>
    </w:p>
    <w:p>
      <w:pPr>
        <w:pStyle w:val="NormalBold"/>
      </w:pPr>
      <w:r>
        <w:rPr>
          <w:rStyle w:val="HideTWBExt"/>
          <w:b w:val="0"/>
        </w:rPr>
        <w:t>&lt;RepeatBlock-By&gt;</w:t>
      </w:r>
      <w:r>
        <w:rPr>
          <w:rStyle w:val="HideTWBExt"/>
          <w:b w:val="0"/>
        </w:rPr>
        <w:t>&lt;Members&gt;</w:t>
      </w:r>
      <w:r>
        <w:t>Julien Sanchez</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di risoluzione</w:t>
      </w:r>
      <w:r>
        <w:rPr>
          <w:rStyle w:val="HideTWBExt"/>
        </w:rPr>
        <w:t>&lt;/DocAmend&gt;</w:t>
      </w:r>
    </w:p>
    <w:p>
      <w:pPr>
        <w:pStyle w:val="NormalBold"/>
      </w:pPr>
      <w:r>
        <w:rPr>
          <w:rStyle w:val="HideTWBExt"/>
        </w:rPr>
        <w:t>&lt;Article&gt;</w:t>
      </w:r>
      <w:r>
        <w:t>Visto 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Proposta di risoluzione</w:t>
            </w:r>
          </w:p>
        </w:tc>
        <w:tc>
          <w:tcPr>
            <w:tcW w:w="4876" w:type="dxa"/>
            <w:tcBorders>
              <w:top w:val="nil"/>
              <w:left w:val="nil"/>
              <w:bottom w:val="nil"/>
              <w:right w:val="nil"/>
            </w:tcBorders>
          </w:tcPr>
          <w:p>
            <w:pPr>
              <w:pStyle w:val="AmColumnHeading"/>
            </w:pPr>
            <w:r>
              <w:t>Emendamento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w:t>
            </w:r>
            <w:r>
              <w:tab/>
            </w:r>
            <w:r>
              <w:rPr>
                <w:b/>
                <w:i/>
              </w:rPr>
              <w:t>visto l'accordo interistituzionale del 16 dicembre 2020 tra il Parlamento europeo, il Consiglio dell'Unione europea e la Commissione europea sulla disciplina di bilancio, sulla cooperazione in materia di bilancio e sulla sana gestione finanziaria, nonché su nuove risorse proprie, compresa una tabella di marcia per l'introduzione di nuove risorse proprie</w:t>
            </w:r>
            <w:r>
              <w:rPr>
                <w:b/>
                <w:i/>
                <w:vertAlign w:val="superscript"/>
              </w:rPr>
              <w:t>4</w:t>
            </w:r>
            <w:r>
              <w:rPr>
                <w:b/>
                <w:i/>
              </w:rPr>
              <w:t>,</w:t>
            </w:r>
          </w:p>
        </w:tc>
        <w:tc>
          <w:tcPr>
            <w:tcW w:w="4876" w:type="dxa"/>
            <w:tcBorders>
              <w:top w:val="nil"/>
              <w:left w:val="nil"/>
              <w:bottom w:val="nil"/>
              <w:right w:val="nil"/>
            </w:tcBorders>
          </w:tcPr>
          <w:p>
            <w:pPr>
              <w:pStyle w:val="Normal6a"/>
            </w:pPr>
            <w:r>
              <w:rPr>
                <w:b/>
                <w:i/>
              </w:rPr>
              <w:t>soppresso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_________________</w:t>
            </w:r>
          </w:p>
        </w:tc>
        <w:tc>
          <w:tcPr>
            <w:tcW w:w="4876" w:type="dxa"/>
            <w:tcBorders>
              <w:top w:val="nil"/>
              <w:left w:val="nil"/>
              <w:bottom w:val="nil"/>
              <w:right w:val="nil"/>
            </w:tcBorders>
          </w:tcP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vertAlign w:val="superscript"/>
              </w:rPr>
              <w:t>4</w:t>
            </w:r>
            <w:r>
              <w:t xml:space="preserve"> </w:t>
            </w:r>
            <w:r>
              <w:rPr>
                <w:b/>
                <w:i/>
              </w:rPr>
              <w:t>GU L 433 I del 22.12.2020, pag. 28, ELI:</w:t>
            </w:r>
            <w:r>
              <w:t xml:space="preserve"> </w:t>
            </w:r>
            <w:r>
              <w:rPr>
                <w:b/>
                <w:i/>
              </w:rPr>
              <w:t>http://data.europa.eu/eli/agree_interinstit/2020/1222/oj.</w:t>
            </w:r>
          </w:p>
        </w:tc>
        <w:tc>
          <w:tcPr>
            <w:tcW w:w="4876" w:type="dxa"/>
            <w:tcBorders>
              <w:top w:val="nil"/>
              <w:left w:val="nil"/>
              <w:bottom w:val="nil"/>
              <w:right w:val="nil"/>
            </w:tcBorders>
          </w:tcP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&lt;/Amend&gt;</w:t>
      </w:r>
    </w:p>
    <w:p>
      <w:pPr>
        <w:pStyle w:val="AmNumberTabs"/>
      </w:pPr>
      <w:r>
        <w:rPr>
          <w:rStyle w:val="HideTWBExt"/>
        </w:rPr>
        <w:t>&lt;Amend&gt;</w:t>
      </w:r>
      <w:r>
        <w:t>Emendamento</w:t>
      </w:r>
      <w:r>
        <w:tab/>
      </w:r>
      <w:r>
        <w:tab/>
      </w:r>
      <w:r>
        <w:rPr>
          <w:rStyle w:val="HideTWBExt"/>
        </w:rPr>
        <w:t>&lt;NumAm&gt;</w:t>
      </w:r>
      <w:r>
        <w:t>3</w:t>
      </w:r>
      <w:r>
        <w:rPr>
          <w:rStyle w:val="HideTWBExt"/>
        </w:rPr>
        <w:t>&lt;/NumAm&gt;</w:t>
      </w:r>
    </w:p>
    <w:p>
      <w:pPr>
        <w:pStyle w:val="NormalBold"/>
      </w:pPr>
      <w:r>
        <w:rPr>
          <w:rStyle w:val="HideTWBExt"/>
          <w:b w:val="0"/>
        </w:rPr>
        <w:t>&lt;RepeatBlock-By&gt;</w:t>
      </w:r>
      <w:r>
        <w:rPr>
          <w:rStyle w:val="HideTWBExt"/>
          <w:b w:val="0"/>
        </w:rPr>
        <w:t>&lt;Members&gt;</w:t>
      </w:r>
      <w:r>
        <w:t>Kinga Kollár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di risoluzione</w:t>
      </w:r>
      <w:r>
        <w:rPr>
          <w:rStyle w:val="HideTWBExt"/>
        </w:rPr>
        <w:t>&lt;/DocAmend&gt;</w:t>
      </w:r>
    </w:p>
    <w:p>
      <w:pPr>
        <w:pStyle w:val="NormalBold"/>
      </w:pPr>
      <w:r>
        <w:rPr>
          <w:rStyle w:val="HideTWBExt"/>
        </w:rPr>
        <w:t>&lt;Article&gt;</w:t>
      </w:r>
      <w:r>
        <w:t>Considerando A bis (nuovo)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Proposta di risoluzione</w:t>
            </w:r>
          </w:p>
        </w:tc>
        <w:tc>
          <w:tcPr>
            <w:tcW w:w="4876" w:type="dxa"/>
            <w:tcBorders>
              <w:top w:val="nil"/>
              <w:left w:val="nil"/>
              <w:bottom w:val="nil"/>
              <w:right w:val="nil"/>
            </w:tcBorders>
          </w:tcPr>
          <w:p>
            <w:pPr>
              <w:pStyle w:val="AmColumnHeading"/>
            </w:pPr>
            <w:r>
              <w:t>Emendamento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A bis.</w:t>
            </w:r>
            <w:r>
              <w:tab/>
            </w:r>
            <w:r>
              <w:rPr>
                <w:b/>
                <w:i/>
              </w:rPr>
              <w:t>considerando che l'articolo 318 TFUE prevede che la Commissione presenti ogni anno al Parlamento europeo e al Consiglio i conti dell'esercizio precedente relativi all'esecuzione del bilancio e una relazione di valutazione delle finanze dell'Unione basata sui risultati conseguiti;</w:t>
            </w:r>
            <w:r>
              <w:t xml:space="preserve"> </w:t>
            </w:r>
            <w:r>
              <w:rPr>
                <w:b/>
                <w:i/>
              </w:rPr>
              <w:t>che, ai sensi dell'articolo 322 del TFUE, è opportuno applicare le regole finanziarie per determinare l'esecuzione del bilancio e per la presentazione e la revisione dei conti;</w:t>
            </w:r>
            <w:r>
              <w:t xml:space="preserve"> </w:t>
            </w:r>
            <w:r>
              <w:rPr>
                <w:b/>
                <w:i/>
              </w:rPr>
              <w:t>che l'utilizzo di indicatori adeguati, affidabili e trasparenti per il conseguimento dei risultati e a fini di audit può migliorare la valutazione dell'esecuzione del bilancio e il confronto su base annuale effettuato dal Parlamento europeo e dal Consiglio;</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Emendamento</w:t>
      </w:r>
      <w:r>
        <w:tab/>
      </w:r>
      <w:r>
        <w:tab/>
      </w:r>
      <w:r>
        <w:rPr>
          <w:rStyle w:val="HideTWBExt"/>
        </w:rPr>
        <w:t>&lt;NumAm&gt;</w:t>
      </w:r>
      <w:r>
        <w:t>4</w:t>
      </w:r>
      <w:r>
        <w:rPr>
          <w:rStyle w:val="HideTWBExt"/>
        </w:rPr>
        <w:t>&lt;/NumAm&gt;</w:t>
      </w:r>
    </w:p>
    <w:p>
      <w:pPr>
        <w:pStyle w:val="NormalBold"/>
      </w:pPr>
      <w:r>
        <w:rPr>
          <w:rStyle w:val="HideTWBExt"/>
          <w:b w:val="0"/>
        </w:rPr>
        <w:t>&lt;RepeatBlock-By&gt;</w:t>
      </w:r>
      <w:r>
        <w:rPr>
          <w:rStyle w:val="HideTWBExt"/>
          <w:b w:val="0"/>
        </w:rPr>
        <w:t>&lt;Members&gt;</w:t>
      </w:r>
      <w:r>
        <w:t>Kinga Kollár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di risoluzione</w:t>
      </w:r>
      <w:r>
        <w:rPr>
          <w:rStyle w:val="HideTWBExt"/>
        </w:rPr>
        <w:t>&lt;/DocAmend&gt;</w:t>
      </w:r>
    </w:p>
    <w:p>
      <w:pPr>
        <w:pStyle w:val="NormalBold"/>
      </w:pPr>
      <w:r>
        <w:rPr>
          <w:rStyle w:val="HideTWBExt"/>
        </w:rPr>
        <w:t>&lt;Article&gt;</w:t>
      </w:r>
      <w:r>
        <w:t>Considerando B</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Proposta di risoluzione</w:t>
            </w:r>
          </w:p>
        </w:tc>
        <w:tc>
          <w:tcPr>
            <w:tcW w:w="4876" w:type="dxa"/>
            <w:tcBorders>
              <w:top w:val="nil"/>
              <w:left w:val="nil"/>
              <w:bottom w:val="nil"/>
              <w:right w:val="nil"/>
            </w:tcBorders>
          </w:tcPr>
          <w:p>
            <w:pPr>
              <w:pStyle w:val="AmColumnHeading"/>
            </w:pPr>
            <w:r>
              <w:t>Emendamento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B.</w:t>
            </w:r>
            <w:r>
              <w:tab/>
            </w:r>
            <w:r>
              <w:t>considerando che, in linea con il regolamento finanziario, è opportuno stabilire un collegamento tra gli obiettivi fissati e gli indicatori di performance, i risultati e i principi di economia, efficienza ed efficacia; che i progressi nel conseguimento degli obiettivi dovrebbero essere monitorati con indicatori di performance pertinenti, accettati, credibili, facili, solidi e basati su prove scientifiche ampiamente riconosciute; che è opportuno definire, se del caso, una metodologia efficace, trasparente e completa;</w:t>
            </w:r>
          </w:p>
        </w:tc>
        <w:tc>
          <w:tcPr>
            <w:tcW w:w="4876" w:type="dxa"/>
            <w:tcBorders>
              <w:top w:val="nil"/>
              <w:left w:val="nil"/>
              <w:bottom w:val="nil"/>
              <w:right w:val="nil"/>
            </w:tcBorders>
          </w:tcPr>
          <w:p>
            <w:pPr>
              <w:pStyle w:val="Normal6a"/>
            </w:pPr>
            <w:r>
              <w:t>B.</w:t>
            </w:r>
            <w:r>
              <w:tab/>
            </w:r>
            <w:r>
              <w:t xml:space="preserve">considerando che, in linea con il regolamento finanziario, è opportuno stabilire un collegamento tra gli obiettivi fissati e gli indicatori di performance, i risultati e i principi di economia, efficienza ed efficacia; che </w:t>
            </w:r>
            <w:r>
              <w:rPr>
                <w:b/>
                <w:i/>
              </w:rPr>
              <w:t>la rifusione del regolamento finanziario del 2024 ha consolidato la base giuridica del quadro della performance e ha confermato che</w:t>
            </w:r>
            <w:r>
              <w:t xml:space="preserve"> i progressi nel conseguimento degli obiettivi dovrebbero essere monitorati con indicatori di performance </w:t>
            </w:r>
            <w:r>
              <w:rPr>
                <w:b/>
                <w:i/>
              </w:rPr>
              <w:t>che soddisfino i criteri RACER (</w:t>
            </w:r>
            <w:r>
              <w:t>pertinenti, accettati, credibili, facili, solidi</w:t>
            </w:r>
            <w:r>
              <w:rPr>
                <w:b/>
                <w:i/>
              </w:rPr>
              <w:t>)</w:t>
            </w:r>
            <w:r>
              <w:t xml:space="preserve"> e basati su prove scientifiche ampiamente riconosciute </w:t>
            </w:r>
            <w:r>
              <w:rPr>
                <w:b/>
                <w:i/>
              </w:rPr>
              <w:t>e, se del caso, suddivisi per genere e aggregabili</w:t>
            </w:r>
            <w:r>
              <w:t>; che è opportuno definire, se del caso, una metodologia efficace, trasparente e completa;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Emendamento</w:t>
      </w:r>
      <w:r>
        <w:tab/>
      </w:r>
      <w:r>
        <w:tab/>
      </w:r>
      <w:r>
        <w:rPr>
          <w:rStyle w:val="HideTWBExt"/>
        </w:rPr>
        <w:t>&lt;NumAm&gt;</w:t>
      </w:r>
      <w:r>
        <w:t>5</w:t>
      </w:r>
      <w:r>
        <w:rPr>
          <w:rStyle w:val="HideTWBExt"/>
        </w:rPr>
        <w:t>&lt;/NumAm&gt;</w:t>
      </w:r>
    </w:p>
    <w:p>
      <w:pPr>
        <w:pStyle w:val="NormalBold"/>
      </w:pPr>
      <w:r>
        <w:rPr>
          <w:rStyle w:val="HideTWBExt"/>
          <w:b w:val="0"/>
        </w:rPr>
        <w:t>&lt;RepeatBlock-By&gt;</w:t>
      </w:r>
      <w:r>
        <w:rPr>
          <w:rStyle w:val="HideTWBExt"/>
          <w:b w:val="0"/>
        </w:rPr>
        <w:t>&lt;Members&gt;</w:t>
      </w:r>
      <w:r>
        <w:t>Terry Reintke</w:t>
      </w:r>
      <w:r>
        <w:rPr>
          <w:rStyle w:val="HideTWBExt"/>
          <w:b w:val="0"/>
        </w:rPr>
        <w:t>&lt;/Members&gt;</w:t>
      </w:r>
    </w:p>
    <w:p>
      <w:r>
        <w:rPr>
          <w:rStyle w:val="HideTWBExt"/>
          <w:b w:val="0"/>
        </w:rPr>
        <w:t>&lt;AuNomDe&gt;</w:t>
      </w:r>
      <w:r>
        <w:rPr>
          <w:rStyle w:val="HideTWBInt"/>
        </w:rPr>
        <w:t>{Verts/ALE}</w:t>
      </w:r>
      <w:r>
        <w:t>a nome del gruppo Verts/ALE</w:t>
      </w:r>
      <w:r>
        <w:rPr>
          <w:rStyle w:val="HideTWBExt"/>
          <w:b w:val="0"/>
        </w:rPr>
        <w:t>&lt;/AuNomDe&gt;</w:t>
      </w:r>
    </w:p>
    <w:p>
      <w:pPr>
        <w:pStyle w:val="NormalBold"/>
      </w:pPr>
      <w:r>
        <w:rPr>
          <w:rStyle w:val="HideTWBExt"/>
          <w:b w:val="0"/>
        </w:rPr>
        <w:t>&lt;/RepeatBlock-By&gt;</w:t>
      </w:r>
    </w:p>
    <w:p>
      <w:pPr>
        <w:pStyle w:val="NormalBold"/>
      </w:pPr>
      <w:r>
        <w:rPr>
          <w:rStyle w:val="HideTWBExt"/>
        </w:rPr>
        <w:t>&lt;DocAmend&gt;</w:t>
      </w:r>
      <w:r>
        <w:t>Proposta di risoluzione</w:t>
      </w:r>
      <w:r>
        <w:rPr>
          <w:rStyle w:val="HideTWBExt"/>
        </w:rPr>
        <w:t>&lt;/DocAmend&gt;</w:t>
      </w:r>
    </w:p>
    <w:p>
      <w:pPr>
        <w:pStyle w:val="NormalBold"/>
      </w:pPr>
      <w:r>
        <w:rPr>
          <w:rStyle w:val="HideTWBExt"/>
        </w:rPr>
        <w:t>&lt;Article&gt;</w:t>
      </w:r>
      <w:r>
        <w:t>Considerando B</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Proposta di risoluzione</w:t>
            </w:r>
          </w:p>
        </w:tc>
        <w:tc>
          <w:tcPr>
            <w:tcW w:w="4876" w:type="dxa"/>
            <w:tcBorders>
              <w:top w:val="nil"/>
              <w:left w:val="nil"/>
              <w:bottom w:val="nil"/>
              <w:right w:val="nil"/>
            </w:tcBorders>
          </w:tcPr>
          <w:p>
            <w:pPr>
              <w:pStyle w:val="AmColumnHeading"/>
            </w:pPr>
            <w:r>
              <w:t>Emendamento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B.</w:t>
            </w:r>
            <w:r>
              <w:tab/>
            </w:r>
            <w:r>
              <w:t>considerando che, in linea con il regolamento finanziario, è opportuno stabilire un collegamento tra gli obiettivi fissati e gli indicatori di performance, i risultati e i principi di economia, efficienza ed efficacia; che i progressi nel conseguimento degli obiettivi dovrebbero essere monitorati con indicatori di performance pertinenti, accettati, credibili, facili, solidi e basati su prove scientifiche ampiamente riconosciute; che è opportuno definire, se del caso, una metodologia efficace, trasparente e completa;</w:t>
            </w:r>
          </w:p>
        </w:tc>
        <w:tc>
          <w:tcPr>
            <w:tcW w:w="4876" w:type="dxa"/>
            <w:tcBorders>
              <w:top w:val="nil"/>
              <w:left w:val="nil"/>
              <w:bottom w:val="nil"/>
              <w:right w:val="nil"/>
            </w:tcBorders>
          </w:tcPr>
          <w:p>
            <w:pPr>
              <w:pStyle w:val="Normal6a"/>
            </w:pPr>
            <w:r>
              <w:t>B.</w:t>
            </w:r>
            <w:r>
              <w:tab/>
            </w:r>
            <w:r>
              <w:t>considerando che, in linea con il regolamento finanziario, è opportuno stabilire un collegamento tra gli obiettivi fissati e gli indicatori di performance, i risultati e i principi di economia, efficienza ed efficacia; che i progressi nel conseguimento degli obiettivi dovrebbero essere monitorati con indicatori di performance pertinenti, accettati, credibili, facili, solidi e basati su prove scientifiche ampiamente riconosciute</w:t>
            </w:r>
            <w:r>
              <w:rPr>
                <w:b/>
                <w:i/>
              </w:rPr>
              <w:t>, con definizioni chiare e resi disponibili in un formato aperto e leggibile mediante dispositivo automatico</w:t>
            </w:r>
            <w:r>
              <w:t>; che è opportuno definire, se del caso, una metodologia efficace, trasparente e completa;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Emendamento</w:t>
      </w:r>
      <w:r>
        <w:tab/>
      </w:r>
      <w:r>
        <w:tab/>
      </w:r>
      <w:r>
        <w:rPr>
          <w:rStyle w:val="HideTWBExt"/>
        </w:rPr>
        <w:t>&lt;NumAm&gt;</w:t>
      </w:r>
      <w:r>
        <w:t>6</w:t>
      </w:r>
      <w:r>
        <w:rPr>
          <w:rStyle w:val="HideTWBExt"/>
        </w:rPr>
        <w:t>&lt;/NumAm&gt;</w:t>
      </w:r>
    </w:p>
    <w:p>
      <w:pPr>
        <w:pStyle w:val="NormalBold"/>
      </w:pPr>
      <w:r>
        <w:rPr>
          <w:rStyle w:val="HideTWBExt"/>
          <w:b w:val="0"/>
        </w:rPr>
        <w:t>&lt;RepeatBlock-By&gt;</w:t>
      </w:r>
      <w:r>
        <w:rPr>
          <w:rStyle w:val="HideTWBExt"/>
          <w:b w:val="0"/>
        </w:rPr>
        <w:t>&lt;Members&gt;</w:t>
      </w:r>
      <w:r>
        <w:t>Kinga Kollár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di risoluzione</w:t>
      </w:r>
      <w:r>
        <w:rPr>
          <w:rStyle w:val="HideTWBExt"/>
        </w:rPr>
        <w:t>&lt;/DocAmend&gt;</w:t>
      </w:r>
    </w:p>
    <w:p>
      <w:pPr>
        <w:pStyle w:val="NormalBold"/>
      </w:pPr>
      <w:r>
        <w:rPr>
          <w:rStyle w:val="HideTWBExt"/>
        </w:rPr>
        <w:t>&lt;Article&gt;</w:t>
      </w:r>
      <w:r>
        <w:t>Considerando B bis (nuovo)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Proposta di risoluzione</w:t>
            </w:r>
          </w:p>
        </w:tc>
        <w:tc>
          <w:tcPr>
            <w:tcW w:w="4876" w:type="dxa"/>
            <w:tcBorders>
              <w:top w:val="nil"/>
              <w:left w:val="nil"/>
              <w:bottom w:val="nil"/>
              <w:right w:val="nil"/>
            </w:tcBorders>
          </w:tcPr>
          <w:p>
            <w:pPr>
              <w:pStyle w:val="AmColumnHeading"/>
            </w:pPr>
            <w:r>
              <w:t>Emendamento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B bis.</w:t>
            </w:r>
            <w:r>
              <w:tab/>
            </w:r>
            <w:r>
              <w:rPr>
                <w:b/>
                <w:i/>
              </w:rPr>
              <w:t>considerando che la proposta di regolamento del Parlamento europeo e del Consiglio che istituisce un quadro di tracciamento della spesa di bilancio e della performance del bilancio e altre norme orizzontali per i programmi e le attività dell'Unione, presentata dalla Commissione, istituisce un quadro unico per la programmazione di bilancio basata sulla performance;</w:t>
            </w:r>
            <w:r>
              <w:t xml:space="preserve"> </w:t>
            </w:r>
            <w:r>
              <w:rPr>
                <w:b/>
                <w:i/>
              </w:rPr>
              <w:t>che la proposta definisce l'"indicatore di realizzazione"" come un indicatore quantitativo di performance che monitora ciò che è prodotto o sostenuto direttamente dall'attuazione di un'attività e l'"indicatore di risultato" come un indicatore quantitativo di performance che monitora gli effetti diretti delle attività sostenute;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Emendamento</w:t>
      </w:r>
      <w:r>
        <w:tab/>
      </w:r>
      <w:r>
        <w:tab/>
      </w:r>
      <w:r>
        <w:rPr>
          <w:rStyle w:val="HideTWBExt"/>
        </w:rPr>
        <w:t>&lt;NumAm&gt;</w:t>
      </w:r>
      <w:r>
        <w:t>7</w:t>
      </w:r>
      <w:r>
        <w:rPr>
          <w:rStyle w:val="HideTWBExt"/>
        </w:rPr>
        <w:t>&lt;/NumAm&gt;</w:t>
      </w:r>
    </w:p>
    <w:p>
      <w:pPr>
        <w:pStyle w:val="NormalBold"/>
      </w:pPr>
      <w:r>
        <w:rPr>
          <w:rStyle w:val="HideTWBExt"/>
          <w:b w:val="0"/>
        </w:rPr>
        <w:t>&lt;RepeatBlock-By&gt;</w:t>
      </w:r>
      <w:r>
        <w:rPr>
          <w:rStyle w:val="HideTWBExt"/>
          <w:b w:val="0"/>
        </w:rPr>
        <w:t>&lt;Members&gt;</w:t>
      </w:r>
      <w:r>
        <w:t>Kinga Kollár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di risoluzione</w:t>
      </w:r>
      <w:r>
        <w:rPr>
          <w:rStyle w:val="HideTWBExt"/>
        </w:rPr>
        <w:t>&lt;/DocAmend&gt;</w:t>
      </w:r>
    </w:p>
    <w:p>
      <w:pPr>
        <w:pStyle w:val="NormalBold"/>
      </w:pPr>
      <w:r>
        <w:rPr>
          <w:rStyle w:val="HideTWBExt"/>
        </w:rPr>
        <w:t>&lt;Article&gt;</w:t>
      </w:r>
      <w:r>
        <w:t>Considerando C</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Proposta di risoluzione</w:t>
            </w:r>
          </w:p>
        </w:tc>
        <w:tc>
          <w:tcPr>
            <w:tcW w:w="4876" w:type="dxa"/>
            <w:tcBorders>
              <w:top w:val="nil"/>
              <w:left w:val="nil"/>
              <w:bottom w:val="nil"/>
              <w:right w:val="nil"/>
            </w:tcBorders>
          </w:tcPr>
          <w:p>
            <w:pPr>
              <w:pStyle w:val="AmColumnHeading"/>
            </w:pPr>
            <w:r>
              <w:t>Emendamento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C.</w:t>
            </w:r>
            <w:r>
              <w:tab/>
            </w:r>
            <w:r>
              <w:t xml:space="preserve">considerando che garantire la prosperità e la competitività sostenibili dell'UE </w:t>
            </w:r>
            <w:r>
              <w:rPr>
                <w:b/>
                <w:i/>
              </w:rPr>
              <w:t>rientra tra le</w:t>
            </w:r>
            <w:r>
              <w:t xml:space="preserve"> priorità </w:t>
            </w:r>
            <w:r>
              <w:rPr>
                <w:b/>
                <w:i/>
              </w:rPr>
              <w:t>politiche</w:t>
            </w:r>
            <w:r>
              <w:t xml:space="preserve"> della Commissione per il periodo 2024-2029;</w:t>
            </w:r>
          </w:p>
        </w:tc>
        <w:tc>
          <w:tcPr>
            <w:tcW w:w="4876" w:type="dxa"/>
            <w:tcBorders>
              <w:top w:val="nil"/>
              <w:left w:val="nil"/>
              <w:bottom w:val="nil"/>
              <w:right w:val="nil"/>
            </w:tcBorders>
          </w:tcPr>
          <w:p>
            <w:pPr>
              <w:pStyle w:val="Normal6a"/>
            </w:pPr>
            <w:r>
              <w:t>C.</w:t>
            </w:r>
            <w:r>
              <w:tab/>
            </w:r>
            <w:r>
              <w:t xml:space="preserve">considerando che garantire la prosperità e la competitività sostenibili dell'UE </w:t>
            </w:r>
            <w:r>
              <w:rPr>
                <w:b/>
                <w:i/>
              </w:rPr>
              <w:t>è una</w:t>
            </w:r>
            <w:r>
              <w:t xml:space="preserve"> priorità </w:t>
            </w:r>
            <w:r>
              <w:rPr>
                <w:b/>
                <w:i/>
              </w:rPr>
              <w:t>politica chiave</w:t>
            </w:r>
            <w:r>
              <w:t xml:space="preserve"> della Commissione per il periodo 2024-2029; </w:t>
            </w:r>
            <w:r>
              <w:rPr>
                <w:b/>
                <w:i/>
              </w:rPr>
              <w:t>che sarà necessario attrarre e mobilitare investimenti privati per conseguire efficacemente tali obiettivi, per i quali sarà essenziale il completamento dell'Unione bancaria e lo sviluppo dell'Unione del risparmio e degli investimenti;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Emendamento</w:t>
      </w:r>
      <w:r>
        <w:tab/>
      </w:r>
      <w:r>
        <w:tab/>
      </w:r>
      <w:r>
        <w:rPr>
          <w:rStyle w:val="HideTWBExt"/>
        </w:rPr>
        <w:t>&lt;NumAm&gt;</w:t>
      </w:r>
      <w:r>
        <w:t>8</w:t>
      </w:r>
      <w:r>
        <w:rPr>
          <w:rStyle w:val="HideTWBExt"/>
        </w:rPr>
        <w:t>&lt;/NumAm&gt;</w:t>
      </w:r>
    </w:p>
    <w:p>
      <w:pPr>
        <w:pStyle w:val="NormalBold"/>
      </w:pPr>
      <w:r>
        <w:rPr>
          <w:rStyle w:val="HideTWBExt"/>
          <w:b w:val="0"/>
        </w:rPr>
        <w:t>&lt;RepeatBlock-By&gt;</w:t>
      </w:r>
      <w:r>
        <w:rPr>
          <w:rStyle w:val="HideTWBExt"/>
          <w:b w:val="0"/>
        </w:rPr>
        <w:t>&lt;Members&gt;</w:t>
      </w:r>
      <w:r>
        <w:t>Carla Tavares, José Cepeda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di risoluzione</w:t>
      </w:r>
      <w:r>
        <w:rPr>
          <w:rStyle w:val="HideTWBExt"/>
        </w:rPr>
        <w:t>&lt;/DocAmend&gt;</w:t>
      </w:r>
    </w:p>
    <w:p>
      <w:pPr>
        <w:pStyle w:val="NormalBold"/>
      </w:pPr>
      <w:r>
        <w:rPr>
          <w:rStyle w:val="HideTWBExt"/>
        </w:rPr>
        <w:t>&lt;Article&gt;</w:t>
      </w:r>
      <w:r>
        <w:t>Considerando C</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Proposta di risoluzione</w:t>
            </w:r>
          </w:p>
        </w:tc>
        <w:tc>
          <w:tcPr>
            <w:tcW w:w="4876" w:type="dxa"/>
            <w:tcBorders>
              <w:top w:val="nil"/>
              <w:left w:val="nil"/>
              <w:bottom w:val="nil"/>
              <w:right w:val="nil"/>
            </w:tcBorders>
          </w:tcPr>
          <w:p>
            <w:pPr>
              <w:pStyle w:val="AmColumnHeading"/>
            </w:pPr>
            <w:r>
              <w:t>Emendamento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C.</w:t>
            </w:r>
            <w:r>
              <w:tab/>
            </w:r>
            <w:r>
              <w:t xml:space="preserve">considerando che garantire la prosperità e la competitività sostenibili dell'UE </w:t>
            </w:r>
            <w:r>
              <w:rPr>
                <w:b/>
                <w:i/>
              </w:rPr>
              <w:t>rientra tra le</w:t>
            </w:r>
            <w:r>
              <w:t xml:space="preserve"> priorità politiche della Commissione per il periodo 2024-2029;</w:t>
            </w:r>
          </w:p>
        </w:tc>
        <w:tc>
          <w:tcPr>
            <w:tcW w:w="4876" w:type="dxa"/>
            <w:tcBorders>
              <w:top w:val="nil"/>
              <w:left w:val="nil"/>
              <w:bottom w:val="nil"/>
              <w:right w:val="nil"/>
            </w:tcBorders>
          </w:tcPr>
          <w:p>
            <w:pPr>
              <w:pStyle w:val="Normal6a"/>
            </w:pPr>
            <w:r>
              <w:t>C.</w:t>
            </w:r>
            <w:r>
              <w:tab/>
            </w:r>
            <w:r>
              <w:t>considerando che garantire la prosperità e la competitività sostenibili dell'UE</w:t>
            </w:r>
            <w:r>
              <w:rPr>
                <w:b/>
                <w:i/>
              </w:rPr>
              <w:t>, promuovere l'equità sociale e rafforzare la coesione sociale sono parte delle</w:t>
            </w:r>
            <w:r>
              <w:t xml:space="preserve"> priorità politiche della Commissione per il periodo 2024-2029;</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Emendamento</w:t>
      </w:r>
      <w:r>
        <w:tab/>
      </w:r>
      <w:r>
        <w:tab/>
      </w:r>
      <w:r>
        <w:rPr>
          <w:rStyle w:val="HideTWBExt"/>
        </w:rPr>
        <w:t>&lt;NumAm&gt;</w:t>
      </w:r>
      <w:r>
        <w:t>9</w:t>
      </w:r>
      <w:r>
        <w:rPr>
          <w:rStyle w:val="HideTWBExt"/>
        </w:rPr>
        <w:t>&lt;/NumAm&gt;</w:t>
      </w:r>
    </w:p>
    <w:p>
      <w:pPr>
        <w:pStyle w:val="NormalBold"/>
      </w:pPr>
      <w:r>
        <w:rPr>
          <w:rStyle w:val="HideTWBExt"/>
          <w:b w:val="0"/>
        </w:rPr>
        <w:t>&lt;RepeatBlock-By&gt;</w:t>
      </w:r>
      <w:r>
        <w:rPr>
          <w:rStyle w:val="HideTWBExt"/>
          <w:b w:val="0"/>
        </w:rPr>
        <w:t>&lt;Members&gt;</w:t>
      </w:r>
      <w:r>
        <w:t>Carla Tavares, José Cepeda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di risoluzione</w:t>
      </w:r>
      <w:r>
        <w:rPr>
          <w:rStyle w:val="HideTWBExt"/>
        </w:rPr>
        <w:t>&lt;/DocAmend&gt;</w:t>
      </w:r>
    </w:p>
    <w:p>
      <w:pPr>
        <w:pStyle w:val="NormalBold"/>
      </w:pPr>
      <w:r>
        <w:rPr>
          <w:rStyle w:val="HideTWBExt"/>
        </w:rPr>
        <w:t>&lt;Article&gt;</w:t>
      </w:r>
      <w:r>
        <w:t>Considerando D</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Proposta di risoluzione</w:t>
            </w:r>
          </w:p>
        </w:tc>
        <w:tc>
          <w:tcPr>
            <w:tcW w:w="4876" w:type="dxa"/>
            <w:tcBorders>
              <w:top w:val="nil"/>
              <w:left w:val="nil"/>
              <w:bottom w:val="nil"/>
              <w:right w:val="nil"/>
            </w:tcBorders>
          </w:tcPr>
          <w:p>
            <w:pPr>
              <w:pStyle w:val="AmColumnHeading"/>
            </w:pPr>
            <w:r>
              <w:t>Emendamento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D.</w:t>
            </w:r>
            <w:r>
              <w:tab/>
            </w:r>
            <w:r>
              <w:t>considerando che la relazione Draghi ha avvertito che il calo di competitività dell'UE, aggravato dal contesto geopolitico sempre più instabile, unitamente alla successione di crisi che l'UE ha dovuto affrontare negli ultimi anni, rappresenta una minaccia esistenziale per l'Unione; che la relazione stima che l'UE debba mobilitare ulteriori investimenti pubblici e privati pari al 4,4-4,7 % del PIL dell'UE – circa 750-800 miliardi di EUR all'anno tra il 2025 e il 2030 – per colmare la carenza di investimenti;</w:t>
            </w:r>
          </w:p>
        </w:tc>
        <w:tc>
          <w:tcPr>
            <w:tcW w:w="4876" w:type="dxa"/>
            <w:tcBorders>
              <w:top w:val="nil"/>
              <w:left w:val="nil"/>
              <w:bottom w:val="nil"/>
              <w:right w:val="nil"/>
            </w:tcBorders>
          </w:tcPr>
          <w:p>
            <w:pPr>
              <w:pStyle w:val="Normal6a"/>
            </w:pPr>
            <w:r>
              <w:t>D.</w:t>
            </w:r>
            <w:r>
              <w:tab/>
            </w:r>
            <w:r>
              <w:t xml:space="preserve">considerando che la relazione Draghi ha avvertito che il calo di competitività dell'UE, aggravato dal contesto geopolitico sempre più instabile, unitamente alla successione di crisi che l'UE ha dovuto affrontare negli ultimi anni, rappresenta una minaccia esistenziale per l'Unione; che la relazione </w:t>
            </w:r>
            <w:r>
              <w:rPr>
                <w:b/>
                <w:i/>
              </w:rPr>
              <w:t>stabilisce che l'unico modo per affrontare tale sfida è crescere e diventare più produttivi, preservando nel contempo i nostri valori di equità e inclusione sociale;</w:t>
            </w:r>
            <w:r>
              <w:t xml:space="preserve"> </w:t>
            </w:r>
            <w:r>
              <w:rPr>
                <w:b/>
                <w:i/>
              </w:rPr>
              <w:t>che la relazione</w:t>
            </w:r>
            <w:r>
              <w:t xml:space="preserve"> stima che l'UE debba mobilitare ulteriori investimenti pubblici e privati pari al 4,4-4,7 % del PIL dell'UE – circa 750-800 miliardi di EUR all'anno tra il 2025 e il 2030 – per colmare la carenza di investimenti; </w:t>
            </w:r>
            <w:r>
              <w:rPr>
                <w:b/>
                <w:i/>
              </w:rPr>
              <w:t>che tali ingenti investimenti dovrebbero essere destinati principalmente alla duplice transizione verde e digitale, garantendo la sostenibilità sociale e ambientale;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Emendamento</w:t>
      </w:r>
      <w:r>
        <w:tab/>
      </w:r>
      <w:r>
        <w:tab/>
      </w:r>
      <w:r>
        <w:rPr>
          <w:rStyle w:val="HideTWBExt"/>
        </w:rPr>
        <w:t>&lt;NumAm&gt;</w:t>
      </w:r>
      <w:r>
        <w:t>10</w:t>
      </w:r>
      <w:r>
        <w:rPr>
          <w:rStyle w:val="HideTWBExt"/>
        </w:rPr>
        <w:t>&lt;/NumAm&gt;</w:t>
      </w:r>
    </w:p>
    <w:p>
      <w:pPr>
        <w:pStyle w:val="NormalBold"/>
      </w:pPr>
      <w:r>
        <w:rPr>
          <w:rStyle w:val="HideTWBExt"/>
          <w:b w:val="0"/>
        </w:rPr>
        <w:t>&lt;RepeatBlock-By&gt;</w:t>
      </w:r>
      <w:r>
        <w:rPr>
          <w:rStyle w:val="HideTWBExt"/>
          <w:b w:val="0"/>
        </w:rPr>
        <w:t>&lt;Members&gt;</w:t>
      </w:r>
      <w:r>
        <w:t>Cristian Terheş</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di risoluzione</w:t>
      </w:r>
      <w:r>
        <w:rPr>
          <w:rStyle w:val="HideTWBExt"/>
        </w:rPr>
        <w:t>&lt;/DocAmend&gt;</w:t>
      </w:r>
    </w:p>
    <w:p>
      <w:pPr>
        <w:pStyle w:val="NormalBold"/>
      </w:pPr>
      <w:r>
        <w:rPr>
          <w:rStyle w:val="HideTWBExt"/>
        </w:rPr>
        <w:t>&lt;Article&gt;</w:t>
      </w:r>
      <w:r>
        <w:t>Considerando D bis (nuovo)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Proposta di risoluzione</w:t>
            </w:r>
          </w:p>
        </w:tc>
        <w:tc>
          <w:tcPr>
            <w:tcW w:w="4876" w:type="dxa"/>
            <w:tcBorders>
              <w:top w:val="nil"/>
              <w:left w:val="nil"/>
              <w:bottom w:val="nil"/>
              <w:right w:val="nil"/>
            </w:tcBorders>
          </w:tcPr>
          <w:p>
            <w:pPr>
              <w:pStyle w:val="AmColumnHeading"/>
            </w:pPr>
            <w:r>
              <w:t>Emendamento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D bis.</w:t>
            </w:r>
            <w:r>
              <w:tab/>
            </w:r>
            <w:r>
              <w:rPr>
                <w:b/>
                <w:i/>
              </w:rPr>
              <w:t>considerando che la relazione Draghi ha documentato che i prezzi elevati dell'energia in Europa, attualmente 2-3 volte superiori a quelli degli Stati Uniti o della Cina, compromettono la competitività dell'Unione;</w:t>
            </w:r>
            <w:r>
              <w:t xml:space="preserve"> </w:t>
            </w:r>
            <w:r>
              <w:rPr>
                <w:b/>
                <w:i/>
              </w:rPr>
              <w:t>che l'attuale sistema di scambio di quote di emissione dell'UE (ETS), nonostante la sua finalità ambientale, ha contribuito in modo significativo alla volatilità dei prezzi e a un aumento artificiale dei costi di produzione dell'energia elettrica;</w:t>
            </w:r>
            <w:r>
              <w:t xml:space="preserve"> </w:t>
            </w:r>
            <w:r>
              <w:rPr>
                <w:b/>
                <w:i/>
              </w:rPr>
              <w:t>che il modello dei prezzi marginali del mercato dell'energia elettrica dell'UE fa sì che il prezzo finale di mercato sia determinato dalla fonte di energia più costosa, in genere la produzione a carbone o a gas, portando a una tariffazione eccessiva delle fonti di energia elettrica più economiche e rinnovabili;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Emendamento</w:t>
      </w:r>
      <w:r>
        <w:tab/>
      </w:r>
      <w:r>
        <w:tab/>
      </w:r>
      <w:r>
        <w:rPr>
          <w:rStyle w:val="HideTWBExt"/>
        </w:rPr>
        <w:t>&lt;NumAm&gt;</w:t>
      </w:r>
      <w:r>
        <w:t>11</w:t>
      </w:r>
      <w:r>
        <w:rPr>
          <w:rStyle w:val="HideTWBExt"/>
        </w:rPr>
        <w:t>&lt;/NumAm&gt;</w:t>
      </w:r>
    </w:p>
    <w:p>
      <w:pPr>
        <w:pStyle w:val="NormalBold"/>
      </w:pPr>
      <w:r>
        <w:rPr>
          <w:rStyle w:val="HideTWBExt"/>
          <w:b w:val="0"/>
        </w:rPr>
        <w:t>&lt;RepeatBlock-By&gt;</w:t>
      </w:r>
      <w:r>
        <w:rPr>
          <w:rStyle w:val="HideTWBExt"/>
          <w:b w:val="0"/>
        </w:rPr>
        <w:t>&lt;Members&gt;</w:t>
      </w:r>
      <w:r>
        <w:t>Cristian Terheş</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di risoluzione</w:t>
      </w:r>
      <w:r>
        <w:rPr>
          <w:rStyle w:val="HideTWBExt"/>
        </w:rPr>
        <w:t>&lt;/DocAmend&gt;</w:t>
      </w:r>
    </w:p>
    <w:p>
      <w:pPr>
        <w:pStyle w:val="NormalBold"/>
      </w:pPr>
      <w:r>
        <w:rPr>
          <w:rStyle w:val="HideTWBExt"/>
        </w:rPr>
        <w:t>&lt;Article&gt;</w:t>
      </w:r>
      <w:r>
        <w:t>Considerando D ter (nuovo)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Proposta di risoluzione</w:t>
            </w:r>
          </w:p>
        </w:tc>
        <w:tc>
          <w:tcPr>
            <w:tcW w:w="4876" w:type="dxa"/>
            <w:tcBorders>
              <w:top w:val="nil"/>
              <w:left w:val="nil"/>
              <w:bottom w:val="nil"/>
              <w:right w:val="nil"/>
            </w:tcBorders>
          </w:tcPr>
          <w:p>
            <w:pPr>
              <w:pStyle w:val="AmColumnHeading"/>
            </w:pPr>
            <w:r>
              <w:t>Emendamento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D ter.</w:t>
            </w:r>
            <w:r>
              <w:tab/>
            </w:r>
            <w:r>
              <w:rPr>
                <w:b/>
                <w:i/>
              </w:rPr>
              <w:t>considerando che la relazione Draghi ha sottolineato che l'insufficiente interconnettività energetica e la frammentazione delle infrastrutture nazionali rimangono ostacoli importanti alla realizzazione di un mercato europeo dell'energia integrato e resiliente, impedendo pertanto al mercato interno di funzionare come un vero mercato unico dell'energia, a scapito dei consumatori e delle imprese europei;</w:t>
            </w:r>
            <w:r>
              <w:t xml:space="preserve"> </w:t>
            </w:r>
            <w:r>
              <w:rPr>
                <w:b/>
                <w:i/>
              </w:rPr>
              <w:t>che maggiori interconnessioni energetiche transfrontaliere, comprese reti elettriche, reti del gas e corridoi dell'idrogeno, sono essenziali per ridurre i costi dell'energia, migliorare la sicurezza dell'approvvigionamento, consentire il pieno utilizzo delle energie rinnovabili e garantire che la transizione dell'Europa verso l'energia pulita rafforzi, anziché indebolire, la sua competitività industriale;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Emendamento</w:t>
      </w:r>
      <w:r>
        <w:tab/>
      </w:r>
      <w:r>
        <w:tab/>
      </w:r>
      <w:r>
        <w:rPr>
          <w:rStyle w:val="HideTWBExt"/>
        </w:rPr>
        <w:t>&lt;NumAm&gt;</w:t>
      </w:r>
      <w:r>
        <w:t>12</w:t>
      </w:r>
      <w:r>
        <w:rPr>
          <w:rStyle w:val="HideTWBExt"/>
        </w:rPr>
        <w:t>&lt;/NumAm&gt;</w:t>
      </w:r>
    </w:p>
    <w:p>
      <w:pPr>
        <w:pStyle w:val="NormalBold"/>
      </w:pPr>
      <w:r>
        <w:rPr>
          <w:rStyle w:val="HideTWBExt"/>
          <w:b w:val="0"/>
        </w:rPr>
        <w:t>&lt;RepeatBlock-By&gt;</w:t>
      </w:r>
      <w:r>
        <w:rPr>
          <w:rStyle w:val="HideTWBExt"/>
          <w:b w:val="0"/>
        </w:rPr>
        <w:t>&lt;Members&gt;</w:t>
      </w:r>
      <w:r>
        <w:t>Cristian Terheş</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di risoluzione</w:t>
      </w:r>
      <w:r>
        <w:rPr>
          <w:rStyle w:val="HideTWBExt"/>
        </w:rPr>
        <w:t>&lt;/DocAmend&gt;</w:t>
      </w:r>
    </w:p>
    <w:p>
      <w:pPr>
        <w:pStyle w:val="NormalBold"/>
      </w:pPr>
      <w:r>
        <w:rPr>
          <w:rStyle w:val="HideTWBExt"/>
        </w:rPr>
        <w:t>&lt;Article&gt;</w:t>
      </w:r>
      <w:r>
        <w:t>Considerando D quater (nuovo)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Proposta di risoluzione</w:t>
            </w:r>
          </w:p>
        </w:tc>
        <w:tc>
          <w:tcPr>
            <w:tcW w:w="4876" w:type="dxa"/>
            <w:tcBorders>
              <w:top w:val="nil"/>
              <w:left w:val="nil"/>
              <w:bottom w:val="nil"/>
              <w:right w:val="nil"/>
            </w:tcBorders>
          </w:tcPr>
          <w:p>
            <w:pPr>
              <w:pStyle w:val="AmColumnHeading"/>
            </w:pPr>
            <w:r>
              <w:t>Emendamento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D quater.</w:t>
            </w:r>
            <w:r>
              <w:tab/>
            </w:r>
            <w:r>
              <w:rPr>
                <w:b/>
                <w:i/>
              </w:rPr>
              <w:t>considerando che il completamento e la modernizzazione dei corridoi di trasporto europei, comprese le vie navigabili interne, le reti ferroviarie e le infrastrutture stradali, sono essenziali per rafforzare la competitività dell'UE, agevolare una connettività efficiente ovest-est e garantire un accesso continuo dei prodotti dell'UE a nuovi mercati, compresa l'Asia;</w:t>
            </w:r>
            <w:r>
              <w:t xml:space="preserve"> </w:t>
            </w:r>
            <w:r>
              <w:rPr>
                <w:b/>
                <w:i/>
              </w:rPr>
              <w:t>che corridoi multimodali pienamente funzionali ridurranno i tempi di transito, l'impronta di carbonio e i costi logistici, rafforzeranno i flussi commerciali e sosterranno la coesione economica tra gli Stati membri;</w:t>
            </w:r>
            <w:r>
              <w:t xml:space="preserve"> </w:t>
            </w:r>
            <w:r>
              <w:rPr>
                <w:b/>
                <w:i/>
              </w:rPr>
              <w:t>che investire in tali corridoi strategici è un elemento chiave della strategia commerciale globale e della resilienza industriale dell'Europa;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Emendamento</w:t>
      </w:r>
      <w:r>
        <w:tab/>
      </w:r>
      <w:r>
        <w:tab/>
      </w:r>
      <w:r>
        <w:rPr>
          <w:rStyle w:val="HideTWBExt"/>
        </w:rPr>
        <w:t>&lt;NumAm&gt;</w:t>
      </w:r>
      <w:r>
        <w:t>13</w:t>
      </w:r>
      <w:r>
        <w:rPr>
          <w:rStyle w:val="HideTWBExt"/>
        </w:rPr>
        <w:t>&lt;/NumAm&gt;</w:t>
      </w:r>
    </w:p>
    <w:p>
      <w:pPr>
        <w:pStyle w:val="NormalBold"/>
      </w:pPr>
      <w:r>
        <w:rPr>
          <w:rStyle w:val="HideTWBExt"/>
          <w:b w:val="0"/>
        </w:rPr>
        <w:t>&lt;RepeatBlock-By&gt;</w:t>
      </w:r>
      <w:r>
        <w:rPr>
          <w:rStyle w:val="HideTWBExt"/>
          <w:b w:val="0"/>
        </w:rPr>
        <w:t>&lt;Members&gt;</w:t>
      </w:r>
      <w:r>
        <w:t>Cristian Terheş</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di risoluzione</w:t>
      </w:r>
      <w:r>
        <w:rPr>
          <w:rStyle w:val="HideTWBExt"/>
        </w:rPr>
        <w:t>&lt;/DocAmend&gt;</w:t>
      </w:r>
    </w:p>
    <w:p>
      <w:pPr>
        <w:pStyle w:val="NormalBold"/>
      </w:pPr>
      <w:r>
        <w:rPr>
          <w:rStyle w:val="HideTWBExt"/>
        </w:rPr>
        <w:t>&lt;Article&gt;</w:t>
      </w:r>
      <w:r>
        <w:t>Considerando D quinquies (nuovo)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Proposta di risoluzione</w:t>
            </w:r>
          </w:p>
        </w:tc>
        <w:tc>
          <w:tcPr>
            <w:tcW w:w="4876" w:type="dxa"/>
            <w:tcBorders>
              <w:top w:val="nil"/>
              <w:left w:val="nil"/>
              <w:bottom w:val="nil"/>
              <w:right w:val="nil"/>
            </w:tcBorders>
          </w:tcPr>
          <w:p>
            <w:pPr>
              <w:pStyle w:val="AmColumnHeading"/>
            </w:pPr>
            <w:r>
              <w:t>Emendamento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D quinquies.</w:t>
            </w:r>
            <w:r>
              <w:tab/>
            </w:r>
            <w:r>
              <w:rPr>
                <w:b/>
                <w:i/>
              </w:rPr>
              <w:t>considerando che la regione del Mar Nero svolge un ruolo strategico nel migliorare la connettività dell'Unione europea con il Medio Oriente e l'Asia, fungendo da punto di accesso fondamentale per le rotte commerciali, l'approvvigionamento energetico e l'accesso alle materie prime critiche, tra cui il gas naturale, i metalli rari e altre risorse essenziali;</w:t>
            </w:r>
            <w:r>
              <w:t xml:space="preserve"> </w:t>
            </w:r>
            <w:r>
              <w:rPr>
                <w:b/>
                <w:i/>
              </w:rPr>
              <w:t>che il rafforzamento delle infrastrutture dei trasporti, dell'energia e digitali nel bacino del Mar Nero è essenziale per diversificare le catene di approvvigionamento, garantire la sicurezza energetica e migliorare la competitività industriale e la resilienza dell'UE;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Emendamento</w:t>
      </w:r>
      <w:r>
        <w:tab/>
      </w:r>
      <w:r>
        <w:tab/>
      </w:r>
      <w:r>
        <w:rPr>
          <w:rStyle w:val="HideTWBExt"/>
        </w:rPr>
        <w:t>&lt;NumAm&gt;</w:t>
      </w:r>
      <w:r>
        <w:t>14</w:t>
      </w:r>
      <w:r>
        <w:rPr>
          <w:rStyle w:val="HideTWBExt"/>
        </w:rPr>
        <w:t>&lt;/NumAm&gt;</w:t>
      </w:r>
    </w:p>
    <w:p>
      <w:pPr>
        <w:pStyle w:val="NormalBold"/>
      </w:pPr>
      <w:r>
        <w:rPr>
          <w:rStyle w:val="HideTWBExt"/>
          <w:b w:val="0"/>
        </w:rPr>
        <w:t>&lt;RepeatBlock-By&gt;</w:t>
      </w:r>
      <w:r>
        <w:rPr>
          <w:rStyle w:val="HideTWBExt"/>
          <w:b w:val="0"/>
        </w:rPr>
        <w:t>&lt;Members&gt;</w:t>
      </w:r>
      <w:r>
        <w:t>Cristian Terheş</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di risoluzione</w:t>
      </w:r>
      <w:r>
        <w:rPr>
          <w:rStyle w:val="HideTWBExt"/>
        </w:rPr>
        <w:t>&lt;/DocAmend&gt;</w:t>
      </w:r>
    </w:p>
    <w:p>
      <w:pPr>
        <w:pStyle w:val="NormalBold"/>
      </w:pPr>
      <w:r>
        <w:rPr>
          <w:rStyle w:val="HideTWBExt"/>
        </w:rPr>
        <w:t>&lt;Article&gt;</w:t>
      </w:r>
      <w:r>
        <w:t>Considerando D sexies (nuovo)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Proposta di risoluzione</w:t>
            </w:r>
          </w:p>
        </w:tc>
        <w:tc>
          <w:tcPr>
            <w:tcW w:w="4876" w:type="dxa"/>
            <w:tcBorders>
              <w:top w:val="nil"/>
              <w:left w:val="nil"/>
              <w:bottom w:val="nil"/>
              <w:right w:val="nil"/>
            </w:tcBorders>
          </w:tcPr>
          <w:p>
            <w:pPr>
              <w:pStyle w:val="AmColumnHeading"/>
            </w:pPr>
            <w:r>
              <w:t>Emendamento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D sexies.</w:t>
            </w:r>
            <w:r>
              <w:tab/>
            </w:r>
            <w:r>
              <w:rPr>
                <w:b/>
                <w:i/>
              </w:rPr>
              <w:t>considerando che il corridoio centrale, che collega l'Europa all'Asia centrale e al Medio Oriente attraverso la regione del Caucaso meridionale e del Caspio, è una rotta commerciale strategica che rafforza la competitività dell'UE riducendo i tempi di transito e i costi logistici, diversificando le catene di approvvigionamento e rafforzando la resilienza industriale;</w:t>
            </w:r>
            <w:r>
              <w:t xml:space="preserve"> </w:t>
            </w:r>
            <w:r>
              <w:rPr>
                <w:b/>
                <w:i/>
              </w:rPr>
              <w:t>che investimenti mirati nelle infrastrutture ferroviarie, stradali e portuali, nonché nell'energia e nei cavi di dati lungo tale corridoio sono essenziali per flussi commerciali sicuri, efficienti e sostenibili;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Emendamento</w:t>
      </w:r>
      <w:r>
        <w:tab/>
      </w:r>
      <w:r>
        <w:tab/>
      </w:r>
      <w:r>
        <w:rPr>
          <w:rStyle w:val="HideTWBExt"/>
        </w:rPr>
        <w:t>&lt;NumAm&gt;</w:t>
      </w:r>
      <w:r>
        <w:t>15</w:t>
      </w:r>
      <w:r>
        <w:rPr>
          <w:rStyle w:val="HideTWBExt"/>
        </w:rPr>
        <w:t>&lt;/NumAm&gt;</w:t>
      </w:r>
    </w:p>
    <w:p>
      <w:pPr>
        <w:pStyle w:val="NormalBold"/>
      </w:pPr>
      <w:r>
        <w:rPr>
          <w:rStyle w:val="HideTWBExt"/>
          <w:b w:val="0"/>
        </w:rPr>
        <w:t>&lt;RepeatBlock-By&gt;</w:t>
      </w:r>
      <w:r>
        <w:rPr>
          <w:rStyle w:val="HideTWBExt"/>
          <w:b w:val="0"/>
        </w:rPr>
        <w:t>&lt;Members&gt;</w:t>
      </w:r>
      <w:r>
        <w:t>Carla Tavares, José Cepeda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di risoluzione</w:t>
      </w:r>
      <w:r>
        <w:rPr>
          <w:rStyle w:val="HideTWBExt"/>
        </w:rPr>
        <w:t>&lt;/DocAmend&gt;</w:t>
      </w:r>
    </w:p>
    <w:p>
      <w:pPr>
        <w:pStyle w:val="NormalBold"/>
      </w:pPr>
      <w:r>
        <w:rPr>
          <w:rStyle w:val="HideTWBExt"/>
        </w:rPr>
        <w:t>&lt;Article&gt;</w:t>
      </w:r>
      <w:r>
        <w:t>Considerando E</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Proposta di risoluzione</w:t>
            </w:r>
          </w:p>
        </w:tc>
        <w:tc>
          <w:tcPr>
            <w:tcW w:w="4876" w:type="dxa"/>
            <w:tcBorders>
              <w:top w:val="nil"/>
              <w:left w:val="nil"/>
              <w:bottom w:val="nil"/>
              <w:right w:val="nil"/>
            </w:tcBorders>
          </w:tcPr>
          <w:p>
            <w:pPr>
              <w:pStyle w:val="AmColumnHeading"/>
            </w:pPr>
            <w:r>
              <w:t>Emendamento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E.</w:t>
            </w:r>
            <w:r>
              <w:tab/>
            </w:r>
            <w:r>
              <w:t>considerando che la bussola per la competitività, anche sulla base della relazione Draghi, definisce il percorso strategico dell'Unione per ripristinare la sua competitività a livello globale concentrandosi su tre pilastri centrali – innovazione, decarbonizzazione e sicurezza economica – integrati da facilitatori orizzontali quali la semplificazione, un maggiore coordinamento a livello dell'UE e degli Stati membri e un mercato unico rafforzato, in linea con la relazione Letta;</w:t>
            </w:r>
          </w:p>
        </w:tc>
        <w:tc>
          <w:tcPr>
            <w:tcW w:w="4876" w:type="dxa"/>
            <w:tcBorders>
              <w:top w:val="nil"/>
              <w:left w:val="nil"/>
              <w:bottom w:val="nil"/>
              <w:right w:val="nil"/>
            </w:tcBorders>
          </w:tcPr>
          <w:p>
            <w:pPr>
              <w:pStyle w:val="Normal6a"/>
            </w:pPr>
            <w:r>
              <w:t>E.</w:t>
            </w:r>
            <w:r>
              <w:tab/>
            </w:r>
            <w:r>
              <w:t xml:space="preserve">considerando che la bussola per la competitività, anche sulla base della relazione Draghi, definisce il percorso strategico dell'Unione per ripristinare la sua competitività a livello globale concentrandosi su tre pilastri centrali – innovazione, decarbonizzazione e sicurezza economica – integrati da facilitatori orizzontali quali la semplificazione, </w:t>
            </w:r>
            <w:r>
              <w:rPr>
                <w:b/>
                <w:i/>
              </w:rPr>
              <w:t>la promozione delle competenze e di posti di lavoro di qualità,</w:t>
            </w:r>
            <w:r>
              <w:t xml:space="preserve"> un maggiore coordinamento a livello dell'UE e degli Stati membri e un mercato unico rafforzato, in linea con la relazione Letta; </w:t>
            </w:r>
            <w:r>
              <w:rPr>
                <w:b/>
                <w:i/>
              </w:rPr>
              <w:t>che qualsiasi strategia in materia di competitività deve basarsi sul pilastro europeo dei diritti sociali, sugli obiettivi di sviluppo sostenibile delle Nazioni Unite e sui principi di equità fiscale, coesione sociale e riduzione delle disuguaglianze;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Emendamento</w:t>
      </w:r>
      <w:r>
        <w:tab/>
      </w:r>
      <w:r>
        <w:tab/>
      </w:r>
      <w:r>
        <w:rPr>
          <w:rStyle w:val="HideTWBExt"/>
        </w:rPr>
        <w:t>&lt;NumAm&gt;</w:t>
      </w:r>
      <w:r>
        <w:t>16</w:t>
      </w:r>
      <w:r>
        <w:rPr>
          <w:rStyle w:val="HideTWBExt"/>
        </w:rPr>
        <w:t>&lt;/NumAm&gt;</w:t>
      </w:r>
    </w:p>
    <w:p>
      <w:pPr>
        <w:pStyle w:val="NormalBold"/>
      </w:pPr>
      <w:r>
        <w:rPr>
          <w:rStyle w:val="HideTWBExt"/>
          <w:b w:val="0"/>
        </w:rPr>
        <w:t>&lt;RepeatBlock-By&gt;</w:t>
      </w:r>
      <w:r>
        <w:rPr>
          <w:rStyle w:val="HideTWBExt"/>
          <w:b w:val="0"/>
        </w:rPr>
        <w:t>&lt;Members&gt;</w:t>
      </w:r>
      <w:r>
        <w:t>Tomáš Zdechovský</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di risoluzione</w:t>
      </w:r>
      <w:r>
        <w:rPr>
          <w:rStyle w:val="HideTWBExt"/>
        </w:rPr>
        <w:t>&lt;/DocAmend&gt;</w:t>
      </w:r>
    </w:p>
    <w:p>
      <w:pPr>
        <w:pStyle w:val="NormalBold"/>
      </w:pPr>
      <w:r>
        <w:rPr>
          <w:rStyle w:val="HideTWBExt"/>
        </w:rPr>
        <w:t>&lt;Article&gt;</w:t>
      </w:r>
      <w:r>
        <w:t>Considerando F</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Proposta di risoluzione</w:t>
            </w:r>
          </w:p>
        </w:tc>
        <w:tc>
          <w:tcPr>
            <w:tcW w:w="4876" w:type="dxa"/>
            <w:tcBorders>
              <w:top w:val="nil"/>
              <w:left w:val="nil"/>
              <w:bottom w:val="nil"/>
              <w:right w:val="nil"/>
            </w:tcBorders>
          </w:tcPr>
          <w:p>
            <w:pPr>
              <w:pStyle w:val="AmColumnHeading"/>
            </w:pPr>
            <w:r>
              <w:t>Emendamento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F.</w:t>
            </w:r>
            <w:r>
              <w:tab/>
            </w:r>
            <w:r>
              <w:t>considerando che la Corte dei conti ha ripetutamente riscontrato debolezze nella progettazione, nell'attuazione e nella responsabilità dei sistemi di misurazione della performance utilizzati per i programmi di finanziamento dell'UE e ha chiesto un maggiore utilizzo di indicatori di performance che misurino e monitorino gli effetti a lungo termine della spesa dell'UE;</w:t>
            </w:r>
          </w:p>
        </w:tc>
        <w:tc>
          <w:tcPr>
            <w:tcW w:w="4876" w:type="dxa"/>
            <w:tcBorders>
              <w:top w:val="nil"/>
              <w:left w:val="nil"/>
              <w:bottom w:val="nil"/>
              <w:right w:val="nil"/>
            </w:tcBorders>
          </w:tcPr>
          <w:p>
            <w:pPr>
              <w:pStyle w:val="Normal6a"/>
            </w:pPr>
            <w:r>
              <w:t>F.</w:t>
            </w:r>
            <w:r>
              <w:tab/>
            </w:r>
            <w:r>
              <w:t xml:space="preserve">considerando che la Corte dei conti ha ripetutamente riscontrato debolezze nella progettazione, nell'attuazione e nella responsabilità dei sistemi di misurazione della performance utilizzati per i programmi di finanziamento dell'UE e ha chiesto un maggiore utilizzo di indicatori di performance che misurino e monitorino gli effetti a lungo termine della spesa dell'UE; </w:t>
            </w:r>
            <w:r>
              <w:rPr>
                <w:b/>
                <w:i/>
              </w:rPr>
              <w:t>che garantire l'affidabilità delle informazioni sulla performance è indispensabile per tutelare gli interessi finanziari dell'Unione e rafforzare la fiducia dei cittadini nel bilancio dell'UE;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Emendamento</w:t>
      </w:r>
      <w:r>
        <w:tab/>
      </w:r>
      <w:r>
        <w:tab/>
      </w:r>
      <w:r>
        <w:rPr>
          <w:rStyle w:val="HideTWBExt"/>
        </w:rPr>
        <w:t>&lt;NumAm&gt;</w:t>
      </w:r>
      <w:r>
        <w:t>17</w:t>
      </w:r>
      <w:r>
        <w:rPr>
          <w:rStyle w:val="HideTWBExt"/>
        </w:rPr>
        <w:t>&lt;/NumAm&gt;</w:t>
      </w:r>
    </w:p>
    <w:p>
      <w:pPr>
        <w:pStyle w:val="NormalBold"/>
      </w:pPr>
      <w:r>
        <w:rPr>
          <w:rStyle w:val="HideTWBExt"/>
          <w:b w:val="0"/>
        </w:rPr>
        <w:t>&lt;RepeatBlock-By&gt;</w:t>
      </w:r>
      <w:r>
        <w:rPr>
          <w:rStyle w:val="HideTWBExt"/>
          <w:b w:val="0"/>
        </w:rPr>
        <w:t>&lt;Members&gt;</w:t>
      </w:r>
      <w:r>
        <w:t>Kinga Kollár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di risoluzione</w:t>
      </w:r>
      <w:r>
        <w:rPr>
          <w:rStyle w:val="HideTWBExt"/>
        </w:rPr>
        <w:t>&lt;/DocAmend&gt;</w:t>
      </w:r>
    </w:p>
    <w:p>
      <w:pPr>
        <w:pStyle w:val="NormalBold"/>
      </w:pPr>
      <w:r>
        <w:rPr>
          <w:rStyle w:val="HideTWBExt"/>
        </w:rPr>
        <w:t>&lt;Article&gt;</w:t>
      </w:r>
      <w:r>
        <w:t>Considerando F bis (nuovo)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Proposta di risoluzione</w:t>
            </w:r>
          </w:p>
        </w:tc>
        <w:tc>
          <w:tcPr>
            <w:tcW w:w="4876" w:type="dxa"/>
            <w:tcBorders>
              <w:top w:val="nil"/>
              <w:left w:val="nil"/>
              <w:bottom w:val="nil"/>
              <w:right w:val="nil"/>
            </w:tcBorders>
          </w:tcPr>
          <w:p>
            <w:pPr>
              <w:pStyle w:val="AmColumnHeading"/>
            </w:pPr>
            <w:r>
              <w:t>Emendamento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F bis.</w:t>
            </w:r>
            <w:r>
              <w:tab/>
            </w:r>
            <w:r>
              <w:rPr>
                <w:b/>
                <w:i/>
              </w:rPr>
              <w:t>considerando che la valutazione intermedia del programma InvestEU rileva che l'attuazione è a buon punto e contribuisce agli obiettivi verdi, digitali e sociali dell'UE promuovendo l'innovazione, evidenziando nel contempo i persistenti oneri amministrativi;</w:t>
            </w:r>
            <w:r>
              <w:t xml:space="preserve"> </w:t>
            </w:r>
            <w:r>
              <w:rPr>
                <w:b/>
                <w:i/>
              </w:rPr>
              <w:t>che la valutazione rileva che, data la fase iniziale dell'attuazione del programma, i dati completi sugli indicatori chiave di prestazione e sugli indicatori chiave di monitoraggio sono limitati;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Emendamento</w:t>
      </w:r>
      <w:r>
        <w:tab/>
      </w:r>
      <w:r>
        <w:tab/>
      </w:r>
      <w:r>
        <w:rPr>
          <w:rStyle w:val="HideTWBExt"/>
        </w:rPr>
        <w:t>&lt;NumAm&gt;</w:t>
      </w:r>
      <w:r>
        <w:t>18</w:t>
      </w:r>
      <w:r>
        <w:rPr>
          <w:rStyle w:val="HideTWBExt"/>
        </w:rPr>
        <w:t>&lt;/NumAm&gt;</w:t>
      </w:r>
    </w:p>
    <w:p>
      <w:pPr>
        <w:pStyle w:val="NormalBold"/>
      </w:pPr>
      <w:r>
        <w:rPr>
          <w:rStyle w:val="HideTWBExt"/>
          <w:b w:val="0"/>
        </w:rPr>
        <w:t>&lt;RepeatBlock-By&gt;</w:t>
      </w:r>
      <w:r>
        <w:rPr>
          <w:rStyle w:val="HideTWBExt"/>
          <w:b w:val="0"/>
        </w:rPr>
        <w:t>&lt;Members&gt;</w:t>
      </w:r>
      <w:r>
        <w:t>Şerban Dimitrie Sturdza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di risoluzione</w:t>
      </w:r>
      <w:r>
        <w:rPr>
          <w:rStyle w:val="HideTWBExt"/>
        </w:rPr>
        <w:t>&lt;/DocAmend&gt;</w:t>
      </w:r>
    </w:p>
    <w:p>
      <w:pPr>
        <w:pStyle w:val="NormalBold"/>
      </w:pPr>
      <w:r>
        <w:rPr>
          <w:rStyle w:val="HideTWBExt"/>
        </w:rPr>
        <w:t>&lt;Article&gt;</w:t>
      </w:r>
      <w:r>
        <w:t>Considerando F bis (nuovo)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Proposta di risoluzione</w:t>
            </w:r>
          </w:p>
        </w:tc>
        <w:tc>
          <w:tcPr>
            <w:tcW w:w="4876" w:type="dxa"/>
            <w:tcBorders>
              <w:top w:val="nil"/>
              <w:left w:val="nil"/>
              <w:bottom w:val="nil"/>
              <w:right w:val="nil"/>
            </w:tcBorders>
          </w:tcPr>
          <w:p>
            <w:pPr>
              <w:pStyle w:val="AmColumnHeading"/>
            </w:pPr>
            <w:r>
              <w:t>Emendamento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F bis.</w:t>
            </w:r>
            <w:r>
              <w:tab/>
            </w:r>
            <w:r>
              <w:rPr>
                <w:b/>
                <w:i/>
              </w:rPr>
              <w:t>considerando che sono necessarie misure decisive per aumentare la competitività dell'Europa al fine di sostenere livelli più elevati di produttività, occupazione e prosperità;</w:t>
            </w:r>
            <w:r>
              <w:t xml:space="preserve"> </w:t>
            </w:r>
            <w:r>
              <w:rPr>
                <w:b/>
                <w:i/>
              </w:rPr>
              <w:t>che il mercato unico integrato rimane la spina dorsale della forza economica dell'UE e il fondamento della sua prosperità a lungo termine;</w:t>
            </w:r>
            <w:r>
              <w:t xml:space="preserve"> </w:t>
            </w:r>
            <w:r>
              <w:rPr>
                <w:b/>
                <w:i/>
              </w:rPr>
              <w:t>che l'innovazione, lo sviluppo delle competenze e la libera circolazione delle merci, dei servizi, dei capitali e della manodopera sono fattori chiave per la competitività e la crescita;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Emendamento</w:t>
      </w:r>
      <w:r>
        <w:tab/>
      </w:r>
      <w:r>
        <w:tab/>
      </w:r>
      <w:r>
        <w:rPr>
          <w:rStyle w:val="HideTWBExt"/>
        </w:rPr>
        <w:t>&lt;NumAm&gt;</w:t>
      </w:r>
      <w:r>
        <w:t>19</w:t>
      </w:r>
      <w:r>
        <w:rPr>
          <w:rStyle w:val="HideTWBExt"/>
        </w:rPr>
        <w:t>&lt;/NumAm&gt;</w:t>
      </w:r>
    </w:p>
    <w:p>
      <w:pPr>
        <w:pStyle w:val="NormalBold"/>
      </w:pPr>
      <w:r>
        <w:rPr>
          <w:rStyle w:val="HideTWBExt"/>
          <w:b w:val="0"/>
        </w:rPr>
        <w:t>&lt;RepeatBlock-By&gt;</w:t>
      </w:r>
      <w:r>
        <w:rPr>
          <w:rStyle w:val="HideTWBExt"/>
          <w:b w:val="0"/>
        </w:rPr>
        <w:t>&lt;Members&gt;</w:t>
      </w:r>
      <w:r>
        <w:t>Terry Reintke</w:t>
      </w:r>
      <w:r>
        <w:rPr>
          <w:rStyle w:val="HideTWBExt"/>
          <w:b w:val="0"/>
        </w:rPr>
        <w:t>&lt;/Members&gt;</w:t>
      </w:r>
    </w:p>
    <w:p>
      <w:r>
        <w:rPr>
          <w:rStyle w:val="HideTWBExt"/>
          <w:b w:val="0"/>
        </w:rPr>
        <w:t>&lt;AuNomDe&gt;</w:t>
      </w:r>
      <w:r>
        <w:rPr>
          <w:rStyle w:val="HideTWBInt"/>
        </w:rPr>
        <w:t>{Verts/ALE}</w:t>
      </w:r>
      <w:r>
        <w:t>a nome del gruppo Verts/ALE</w:t>
      </w:r>
      <w:r>
        <w:rPr>
          <w:rStyle w:val="HideTWBExt"/>
          <w:b w:val="0"/>
        </w:rPr>
        <w:t>&lt;/AuNomDe&gt;</w:t>
      </w:r>
    </w:p>
    <w:p>
      <w:pPr>
        <w:pStyle w:val="NormalBold"/>
      </w:pPr>
      <w:r>
        <w:rPr>
          <w:rStyle w:val="HideTWBExt"/>
          <w:b w:val="0"/>
        </w:rPr>
        <w:t>&lt;/RepeatBlock-By&gt;</w:t>
      </w:r>
    </w:p>
    <w:p>
      <w:pPr>
        <w:pStyle w:val="NormalBold"/>
      </w:pPr>
      <w:r>
        <w:rPr>
          <w:rStyle w:val="HideTWBExt"/>
        </w:rPr>
        <w:t>&lt;DocAmend&gt;</w:t>
      </w:r>
      <w:r>
        <w:t>Proposta di risoluzione</w:t>
      </w:r>
      <w:r>
        <w:rPr>
          <w:rStyle w:val="HideTWBExt"/>
        </w:rPr>
        <w:t>&lt;/DocAmend&gt;</w:t>
      </w:r>
    </w:p>
    <w:p>
      <w:pPr>
        <w:pStyle w:val="NormalBold"/>
      </w:pPr>
      <w:r>
        <w:rPr>
          <w:rStyle w:val="HideTWBExt"/>
        </w:rPr>
        <w:t>&lt;Article&gt;</w:t>
      </w:r>
      <w:r>
        <w:t>Considerando F bis (nuovo)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Proposta di risoluzione</w:t>
            </w:r>
          </w:p>
        </w:tc>
        <w:tc>
          <w:tcPr>
            <w:tcW w:w="4876" w:type="dxa"/>
            <w:tcBorders>
              <w:top w:val="nil"/>
              <w:left w:val="nil"/>
              <w:bottom w:val="nil"/>
              <w:right w:val="nil"/>
            </w:tcBorders>
          </w:tcPr>
          <w:p>
            <w:pPr>
              <w:pStyle w:val="AmColumnHeading"/>
            </w:pPr>
            <w:r>
              <w:t>Emendamento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F bis.</w:t>
            </w:r>
            <w:r>
              <w:tab/>
            </w:r>
            <w:r>
              <w:rPr>
                <w:b/>
                <w:i/>
              </w:rPr>
              <w:t>considerando che la spesa dell'UE destinata alla competitività deve essere coerente con il principio "non arrecare un danno significativo" e con la tassonomia dell'UE e dovrebbe integrare gli obiettivi in materia di clima, biodiversità e parità sociale e di genere, garantendo che gli indicatori di performance tengano traccia di tali dimensioni insieme alle realizzazioni e ai risultati economici;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Emendamento</w:t>
      </w:r>
      <w:r>
        <w:tab/>
      </w:r>
      <w:r>
        <w:tab/>
      </w:r>
      <w:r>
        <w:rPr>
          <w:rStyle w:val="HideTWBExt"/>
        </w:rPr>
        <w:t>&lt;NumAm&gt;</w:t>
      </w:r>
      <w:r>
        <w:t>20</w:t>
      </w:r>
      <w:r>
        <w:rPr>
          <w:rStyle w:val="HideTWBExt"/>
        </w:rPr>
        <w:t>&lt;/NumAm&gt;</w:t>
      </w:r>
    </w:p>
    <w:p>
      <w:pPr>
        <w:pStyle w:val="NormalBold"/>
      </w:pPr>
      <w:r>
        <w:rPr>
          <w:rStyle w:val="HideTWBExt"/>
          <w:b w:val="0"/>
        </w:rPr>
        <w:t>&lt;RepeatBlock-By&gt;</w:t>
      </w:r>
      <w:r>
        <w:rPr>
          <w:rStyle w:val="HideTWBExt"/>
          <w:b w:val="0"/>
        </w:rPr>
        <w:t>&lt;Members&gt;</w:t>
      </w:r>
      <w:r>
        <w:t>Dick Erixon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di risoluzione</w:t>
      </w:r>
      <w:r>
        <w:rPr>
          <w:rStyle w:val="HideTWBExt"/>
        </w:rPr>
        <w:t>&lt;/DocAmend&gt;</w:t>
      </w:r>
    </w:p>
    <w:p>
      <w:pPr>
        <w:pStyle w:val="NormalBold"/>
      </w:pPr>
      <w:r>
        <w:rPr>
          <w:rStyle w:val="HideTWBExt"/>
        </w:rPr>
        <w:t>&lt;Article&gt;</w:t>
      </w:r>
      <w:r>
        <w:t>Paragrafo 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Proposta di risoluzione</w:t>
            </w:r>
          </w:p>
        </w:tc>
        <w:tc>
          <w:tcPr>
            <w:tcW w:w="4876" w:type="dxa"/>
            <w:tcBorders>
              <w:top w:val="nil"/>
              <w:left w:val="nil"/>
              <w:bottom w:val="nil"/>
              <w:right w:val="nil"/>
            </w:tcBorders>
          </w:tcPr>
          <w:p>
            <w:pPr>
              <w:pStyle w:val="AmColumnHeading"/>
            </w:pPr>
            <w:r>
              <w:t>Emendamento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w:t>
            </w:r>
            <w:r>
              <w:tab/>
            </w:r>
            <w:r>
              <w:t>ricorda la necessità di garantire che il bilancio dell'UE realizzi le priorità politiche dell'Unione, tra cui il rafforzamento della competitività</w:t>
            </w:r>
            <w:r>
              <w:rPr>
                <w:b/>
                <w:i/>
              </w:rPr>
              <w:t>, la promozione della prosperità sostenibile e la garanzia della sovranità e dell'indipendenza dell'UE in quanto attore geopolitico</w:t>
            </w:r>
            <w:r>
              <w:t>;</w:t>
            </w:r>
          </w:p>
        </w:tc>
        <w:tc>
          <w:tcPr>
            <w:tcW w:w="4876" w:type="dxa"/>
            <w:tcBorders>
              <w:top w:val="nil"/>
              <w:left w:val="nil"/>
              <w:bottom w:val="nil"/>
              <w:right w:val="nil"/>
            </w:tcBorders>
          </w:tcPr>
          <w:p>
            <w:pPr>
              <w:pStyle w:val="Normal6a"/>
            </w:pPr>
            <w:r>
              <w:t>1.</w:t>
            </w:r>
            <w:r>
              <w:tab/>
            </w:r>
            <w:r>
              <w:t xml:space="preserve">ricorda la necessità di garantire che il bilancio dell'UE realizzi le priorità politiche dell'Unione, tra cui il rafforzamento della </w:t>
            </w:r>
            <w:r>
              <w:rPr>
                <w:b/>
                <w:i/>
              </w:rPr>
              <w:t>crescita economica e della</w:t>
            </w:r>
            <w:r>
              <w:t xml:space="preserve"> competitività </w:t>
            </w:r>
            <w:r>
              <w:rPr>
                <w:b/>
                <w:i/>
              </w:rPr>
              <w:t>e generando un chiaro valore aggiunto per i cittadini dell'UE</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Emendamento</w:t>
      </w:r>
      <w:r>
        <w:tab/>
      </w:r>
      <w:r>
        <w:tab/>
      </w:r>
      <w:r>
        <w:rPr>
          <w:rStyle w:val="HideTWBExt"/>
        </w:rPr>
        <w:t>&lt;NumAm&gt;</w:t>
      </w:r>
      <w:r>
        <w:t>21</w:t>
      </w:r>
      <w:r>
        <w:rPr>
          <w:rStyle w:val="HideTWBExt"/>
        </w:rPr>
        <w:t>&lt;/NumAm&gt;</w:t>
      </w:r>
    </w:p>
    <w:p>
      <w:pPr>
        <w:pStyle w:val="NormalBold"/>
      </w:pPr>
      <w:r>
        <w:rPr>
          <w:rStyle w:val="HideTWBExt"/>
          <w:b w:val="0"/>
        </w:rPr>
        <w:t>&lt;RepeatBlock-By&gt;</w:t>
      </w:r>
      <w:r>
        <w:rPr>
          <w:rStyle w:val="HideTWBExt"/>
          <w:b w:val="0"/>
        </w:rPr>
        <w:t>&lt;Members&gt;</w:t>
      </w:r>
      <w:r>
        <w:t>Şerban Dimitrie Sturdza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di risoluzione</w:t>
      </w:r>
      <w:r>
        <w:rPr>
          <w:rStyle w:val="HideTWBExt"/>
        </w:rPr>
        <w:t>&lt;/DocAmend&gt;</w:t>
      </w:r>
    </w:p>
    <w:p>
      <w:pPr>
        <w:pStyle w:val="NormalBold"/>
      </w:pPr>
      <w:r>
        <w:rPr>
          <w:rStyle w:val="HideTWBExt"/>
        </w:rPr>
        <w:t>&lt;Article&gt;</w:t>
      </w:r>
      <w:r>
        <w:t>Paragrafo 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Proposta di risoluzione</w:t>
            </w:r>
          </w:p>
        </w:tc>
        <w:tc>
          <w:tcPr>
            <w:tcW w:w="4876" w:type="dxa"/>
            <w:tcBorders>
              <w:top w:val="nil"/>
              <w:left w:val="nil"/>
              <w:bottom w:val="nil"/>
              <w:right w:val="nil"/>
            </w:tcBorders>
          </w:tcPr>
          <w:p>
            <w:pPr>
              <w:pStyle w:val="AmColumnHeading"/>
            </w:pPr>
            <w:r>
              <w:t>Emendamento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w:t>
            </w:r>
            <w:r>
              <w:tab/>
            </w:r>
            <w:r>
              <w:t xml:space="preserve">ricorda la necessità di garantire che il bilancio dell'UE realizzi </w:t>
            </w:r>
            <w:r>
              <w:rPr>
                <w:b/>
                <w:i/>
              </w:rPr>
              <w:t>le priorità politiche dell'Unione, tra cui il rafforzamento della</w:t>
            </w:r>
            <w:r>
              <w:t xml:space="preserve"> competitività, la promozione della prosperità sostenibile e la garanzia della sovranità e dell'indipendenza dell'UE in quanto attore geopolitico;</w:t>
            </w:r>
          </w:p>
        </w:tc>
        <w:tc>
          <w:tcPr>
            <w:tcW w:w="4876" w:type="dxa"/>
            <w:tcBorders>
              <w:top w:val="nil"/>
              <w:left w:val="nil"/>
              <w:bottom w:val="nil"/>
              <w:right w:val="nil"/>
            </w:tcBorders>
          </w:tcPr>
          <w:p>
            <w:pPr>
              <w:pStyle w:val="Normal6a"/>
            </w:pPr>
            <w:r>
              <w:t>1.</w:t>
            </w:r>
            <w:r>
              <w:tab/>
            </w:r>
            <w:r>
              <w:t xml:space="preserve">ricorda la necessità di garantire che il bilancio dell'UE realizzi </w:t>
            </w:r>
            <w:r>
              <w:rPr>
                <w:b/>
                <w:i/>
              </w:rPr>
              <w:t>risultati tangibili in linea con i principi di sana gestione finanziaria, con particolare attenzione agli indicatori misurabili riguardanti la produttività, l'occupazione e l'innovazione, con l'obiettivo di stimolare la</w:t>
            </w:r>
            <w:r>
              <w:t xml:space="preserve"> competitività, la promozione della prosperità sostenibile e la garanzia della sovranità e dell'indipendenza dell'UE in quanto attore geopolitico;</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Emendamento</w:t>
      </w:r>
      <w:r>
        <w:tab/>
      </w:r>
      <w:r>
        <w:tab/>
      </w:r>
      <w:r>
        <w:rPr>
          <w:rStyle w:val="HideTWBExt"/>
        </w:rPr>
        <w:t>&lt;NumAm&gt;</w:t>
      </w:r>
      <w:r>
        <w:t>22</w:t>
      </w:r>
      <w:r>
        <w:rPr>
          <w:rStyle w:val="HideTWBExt"/>
        </w:rPr>
        <w:t>&lt;/NumAm&gt;</w:t>
      </w:r>
    </w:p>
    <w:p>
      <w:pPr>
        <w:pStyle w:val="NormalBold"/>
      </w:pPr>
      <w:r>
        <w:rPr>
          <w:rStyle w:val="HideTWBExt"/>
          <w:b w:val="0"/>
        </w:rPr>
        <w:t>&lt;RepeatBlock-By&gt;</w:t>
      </w:r>
      <w:r>
        <w:rPr>
          <w:rStyle w:val="HideTWBExt"/>
          <w:b w:val="0"/>
        </w:rPr>
        <w:t>&lt;Members&gt;</w:t>
      </w:r>
      <w:r>
        <w:t>Eero Heinäluoma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di risoluzione</w:t>
      </w:r>
      <w:r>
        <w:rPr>
          <w:rStyle w:val="HideTWBExt"/>
        </w:rPr>
        <w:t>&lt;/DocAmend&gt;</w:t>
      </w:r>
    </w:p>
    <w:p>
      <w:pPr>
        <w:pStyle w:val="NormalBold"/>
      </w:pPr>
      <w:r>
        <w:rPr>
          <w:rStyle w:val="HideTWBExt"/>
        </w:rPr>
        <w:t>&lt;Article&gt;</w:t>
      </w:r>
      <w:r>
        <w:t>Paragrafo 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Proposta di risoluzione</w:t>
            </w:r>
          </w:p>
        </w:tc>
        <w:tc>
          <w:tcPr>
            <w:tcW w:w="4876" w:type="dxa"/>
            <w:tcBorders>
              <w:top w:val="nil"/>
              <w:left w:val="nil"/>
              <w:bottom w:val="nil"/>
              <w:right w:val="nil"/>
            </w:tcBorders>
          </w:tcPr>
          <w:p>
            <w:pPr>
              <w:pStyle w:val="AmColumnHeading"/>
            </w:pPr>
            <w:r>
              <w:t>Emendamento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w:t>
            </w:r>
            <w:r>
              <w:tab/>
            </w:r>
            <w:r>
              <w:t>ricorda la necessità di garantire che il bilancio dell'UE realizzi le priorità politiche dell'Unione, tra cui il rafforzamento della competitività, la promozione della prosperità sostenibile e la garanzia della sovranità e dell'indipendenza dell'UE in quanto attore geopolitico;</w:t>
            </w:r>
          </w:p>
        </w:tc>
        <w:tc>
          <w:tcPr>
            <w:tcW w:w="4876" w:type="dxa"/>
            <w:tcBorders>
              <w:top w:val="nil"/>
              <w:left w:val="nil"/>
              <w:bottom w:val="nil"/>
              <w:right w:val="nil"/>
            </w:tcBorders>
          </w:tcPr>
          <w:p>
            <w:pPr>
              <w:pStyle w:val="Normal6a"/>
            </w:pPr>
            <w:r>
              <w:t>1.</w:t>
            </w:r>
            <w:r>
              <w:tab/>
            </w:r>
            <w:r>
              <w:t xml:space="preserve">ricorda la necessità di garantire che il bilancio dell'UE realizzi le priorità politiche dell'Unione </w:t>
            </w:r>
            <w:r>
              <w:rPr>
                <w:b/>
                <w:i/>
              </w:rPr>
              <w:t>e si concentri sugli investimenti in settori in cui l'azione congiunta dell'Unione ha un impatto e un valore aggiunto maggiori rispetto all'azione politica nazionale o subnazionale</w:t>
            </w:r>
            <w:r>
              <w:t>, tra cui il rafforzamento della competitività, la promozione della prosperità sostenibile e la garanzia della sovranità e dell'indipendenza dell'UE in quanto attore geopolitico;</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Emendamento</w:t>
      </w:r>
      <w:r>
        <w:tab/>
      </w:r>
      <w:r>
        <w:tab/>
      </w:r>
      <w:r>
        <w:rPr>
          <w:rStyle w:val="HideTWBExt"/>
        </w:rPr>
        <w:t>&lt;NumAm&gt;</w:t>
      </w:r>
      <w:r>
        <w:t>23</w:t>
      </w:r>
      <w:r>
        <w:rPr>
          <w:rStyle w:val="HideTWBExt"/>
        </w:rPr>
        <w:t>&lt;/NumAm&gt;</w:t>
      </w:r>
    </w:p>
    <w:p>
      <w:pPr>
        <w:pStyle w:val="NormalBold"/>
      </w:pPr>
      <w:r>
        <w:rPr>
          <w:rStyle w:val="HideTWBExt"/>
          <w:b w:val="0"/>
        </w:rPr>
        <w:t>&lt;RepeatBlock-By&gt;</w:t>
      </w:r>
      <w:r>
        <w:rPr>
          <w:rStyle w:val="HideTWBExt"/>
          <w:b w:val="0"/>
        </w:rPr>
        <w:t>&lt;Members&gt;</w:t>
      </w:r>
      <w:r>
        <w:t>Kinga Kollár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di risoluzione</w:t>
      </w:r>
      <w:r>
        <w:rPr>
          <w:rStyle w:val="HideTWBExt"/>
        </w:rPr>
        <w:t>&lt;/DocAmend&gt;</w:t>
      </w:r>
    </w:p>
    <w:p>
      <w:pPr>
        <w:pStyle w:val="NormalBold"/>
      </w:pPr>
      <w:r>
        <w:rPr>
          <w:rStyle w:val="HideTWBExt"/>
        </w:rPr>
        <w:t>&lt;Article&gt;</w:t>
      </w:r>
      <w:r>
        <w:t>Paragrafo 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Proposta di risoluzione</w:t>
            </w:r>
          </w:p>
        </w:tc>
        <w:tc>
          <w:tcPr>
            <w:tcW w:w="4876" w:type="dxa"/>
            <w:tcBorders>
              <w:top w:val="nil"/>
              <w:left w:val="nil"/>
              <w:bottom w:val="nil"/>
              <w:right w:val="nil"/>
            </w:tcBorders>
          </w:tcPr>
          <w:p>
            <w:pPr>
              <w:pStyle w:val="AmColumnHeading"/>
            </w:pPr>
            <w:r>
              <w:t>Emendamento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w:t>
            </w:r>
            <w:r>
              <w:tab/>
            </w:r>
            <w:r>
              <w:rPr>
                <w:b/>
                <w:i/>
              </w:rPr>
              <w:t>ricorda</w:t>
            </w:r>
            <w:r>
              <w:t xml:space="preserve"> la necessità di garantire che il bilancio dell'UE realizzi le priorità politiche dell'Unione</w:t>
            </w:r>
            <w:r>
              <w:rPr>
                <w:b/>
                <w:i/>
              </w:rPr>
              <w:t>, tra cui</w:t>
            </w:r>
            <w:r>
              <w:t xml:space="preserve"> il rafforzamento della competitività, la promozione della prosperità sostenibile e la garanzia della sovranità e dell'indipendenza dell'UE in quanto attore geopolitico;</w:t>
            </w:r>
          </w:p>
        </w:tc>
        <w:tc>
          <w:tcPr>
            <w:tcW w:w="4876" w:type="dxa"/>
            <w:tcBorders>
              <w:top w:val="nil"/>
              <w:left w:val="nil"/>
              <w:bottom w:val="nil"/>
              <w:right w:val="nil"/>
            </w:tcBorders>
          </w:tcPr>
          <w:p>
            <w:pPr>
              <w:pStyle w:val="Normal6a"/>
            </w:pPr>
            <w:r>
              <w:t>1.</w:t>
            </w:r>
            <w:r>
              <w:tab/>
            </w:r>
            <w:r>
              <w:rPr>
                <w:b/>
                <w:i/>
              </w:rPr>
              <w:t>sottolinea</w:t>
            </w:r>
            <w:r>
              <w:t xml:space="preserve"> la necessità di garantire che il bilancio dell'UE realizzi le </w:t>
            </w:r>
            <w:r>
              <w:rPr>
                <w:b/>
                <w:i/>
              </w:rPr>
              <w:t>tre</w:t>
            </w:r>
            <w:r>
              <w:t xml:space="preserve"> priorità politiche </w:t>
            </w:r>
            <w:r>
              <w:rPr>
                <w:b/>
                <w:i/>
              </w:rPr>
              <w:t>fondamentali</w:t>
            </w:r>
            <w:r>
              <w:t xml:space="preserve"> dell'Unione</w:t>
            </w:r>
            <w:r>
              <w:rPr>
                <w:b/>
                <w:i/>
              </w:rPr>
              <w:t>:</w:t>
            </w:r>
            <w:r>
              <w:t xml:space="preserve"> il rafforzamento della competitività, la promozione della prosperità sostenibile e la garanzia della sovranità e dell'indipendenza dell'UE in quanto attore geopolitico; </w:t>
            </w:r>
            <w:r>
              <w:rPr>
                <w:b/>
                <w:i/>
              </w:rPr>
              <w:t>sottolinea inoltre che le modifiche normative sono importanti quanto le misure di finanziamento per conseguire tali obiettivi;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Emendamento</w:t>
      </w:r>
      <w:r>
        <w:tab/>
      </w:r>
      <w:r>
        <w:tab/>
      </w:r>
      <w:r>
        <w:rPr>
          <w:rStyle w:val="HideTWBExt"/>
        </w:rPr>
        <w:t>&lt;NumAm&gt;</w:t>
      </w:r>
      <w:r>
        <w:t>24</w:t>
      </w:r>
      <w:r>
        <w:rPr>
          <w:rStyle w:val="HideTWBExt"/>
        </w:rPr>
        <w:t>&lt;/NumAm&gt;</w:t>
      </w:r>
    </w:p>
    <w:p>
      <w:pPr>
        <w:pStyle w:val="NormalBold"/>
      </w:pPr>
      <w:r>
        <w:rPr>
          <w:rStyle w:val="HideTWBExt"/>
          <w:b w:val="0"/>
        </w:rPr>
        <w:t>&lt;RepeatBlock-By&gt;</w:t>
      </w:r>
      <w:r>
        <w:rPr>
          <w:rStyle w:val="HideTWBExt"/>
          <w:b w:val="0"/>
        </w:rPr>
        <w:t>&lt;Members&gt;</w:t>
      </w:r>
      <w:r>
        <w:t>Carla Tavares, José Cepeda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di risoluzione</w:t>
      </w:r>
      <w:r>
        <w:rPr>
          <w:rStyle w:val="HideTWBExt"/>
        </w:rPr>
        <w:t>&lt;/DocAmend&gt;</w:t>
      </w:r>
    </w:p>
    <w:p>
      <w:pPr>
        <w:pStyle w:val="NormalBold"/>
      </w:pPr>
      <w:r>
        <w:rPr>
          <w:rStyle w:val="HideTWBExt"/>
        </w:rPr>
        <w:t>&lt;Article&gt;</w:t>
      </w:r>
      <w:r>
        <w:t>Paragrafo 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Proposta di risoluzione</w:t>
            </w:r>
          </w:p>
        </w:tc>
        <w:tc>
          <w:tcPr>
            <w:tcW w:w="4876" w:type="dxa"/>
            <w:tcBorders>
              <w:top w:val="nil"/>
              <w:left w:val="nil"/>
              <w:bottom w:val="nil"/>
              <w:right w:val="nil"/>
            </w:tcBorders>
          </w:tcPr>
          <w:p>
            <w:pPr>
              <w:pStyle w:val="AmColumnHeading"/>
            </w:pPr>
            <w:r>
              <w:t>Emendamento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w:t>
            </w:r>
            <w:r>
              <w:tab/>
            </w:r>
            <w:r>
              <w:t>ricorda la necessità di garantire che il bilancio dell'UE realizzi le priorità politiche dell'Unione, tra cui il rafforzamento della competitività, la promozione della prosperità sostenibile e la garanzia della sovranità e dell'indipendenza dell'UE in quanto attore geopolitico;</w:t>
            </w:r>
          </w:p>
        </w:tc>
        <w:tc>
          <w:tcPr>
            <w:tcW w:w="4876" w:type="dxa"/>
            <w:tcBorders>
              <w:top w:val="nil"/>
              <w:left w:val="nil"/>
              <w:bottom w:val="nil"/>
              <w:right w:val="nil"/>
            </w:tcBorders>
          </w:tcPr>
          <w:p>
            <w:pPr>
              <w:pStyle w:val="Normal6a"/>
            </w:pPr>
            <w:r>
              <w:t>1.</w:t>
            </w:r>
            <w:r>
              <w:tab/>
            </w:r>
            <w:r>
              <w:t xml:space="preserve">ricorda la necessità di garantire che il bilancio dell'UE realizzi le priorità politiche dell'Unione, tra cui il rafforzamento della competitività, la promozione della prosperità sostenibile e </w:t>
            </w:r>
            <w:r>
              <w:rPr>
                <w:b/>
                <w:i/>
              </w:rPr>
              <w:t>inclusiva, la promozione dell'equità sociale e</w:t>
            </w:r>
            <w:r>
              <w:t xml:space="preserve"> la garanzia della sovranità e dell'indipendenza dell'UE in quanto attore geopolitico;</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Emendamento</w:t>
      </w:r>
      <w:r>
        <w:tab/>
      </w:r>
      <w:r>
        <w:tab/>
      </w:r>
      <w:r>
        <w:rPr>
          <w:rStyle w:val="HideTWBExt"/>
        </w:rPr>
        <w:t>&lt;NumAm&gt;</w:t>
      </w:r>
      <w:r>
        <w:t>25</w:t>
      </w:r>
      <w:r>
        <w:rPr>
          <w:rStyle w:val="HideTWBExt"/>
        </w:rPr>
        <w:t>&lt;/NumAm&gt;</w:t>
      </w:r>
    </w:p>
    <w:p>
      <w:pPr>
        <w:pStyle w:val="NormalBold"/>
      </w:pPr>
      <w:r>
        <w:rPr>
          <w:rStyle w:val="HideTWBExt"/>
          <w:b w:val="0"/>
        </w:rPr>
        <w:t>&lt;RepeatBlock-By&gt;</w:t>
      </w:r>
      <w:r>
        <w:rPr>
          <w:rStyle w:val="HideTWBExt"/>
          <w:b w:val="0"/>
        </w:rPr>
        <w:t>&lt;Members&gt;</w:t>
      </w:r>
      <w:r>
        <w:t>Carla Tavares, José Cepeda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di risoluzione</w:t>
      </w:r>
      <w:r>
        <w:rPr>
          <w:rStyle w:val="HideTWBExt"/>
        </w:rPr>
        <w:t>&lt;/DocAmend&gt;</w:t>
      </w:r>
    </w:p>
    <w:p>
      <w:pPr>
        <w:pStyle w:val="NormalBold"/>
      </w:pPr>
      <w:r>
        <w:rPr>
          <w:rStyle w:val="HideTWBExt"/>
        </w:rPr>
        <w:t>&lt;Article&gt;</w:t>
      </w:r>
      <w:r>
        <w:t>Paragrafo 1 bis (nuovo)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Proposta di risoluzione</w:t>
            </w:r>
          </w:p>
        </w:tc>
        <w:tc>
          <w:tcPr>
            <w:tcW w:w="4876" w:type="dxa"/>
            <w:tcBorders>
              <w:top w:val="nil"/>
              <w:left w:val="nil"/>
              <w:bottom w:val="nil"/>
              <w:right w:val="nil"/>
            </w:tcBorders>
          </w:tcPr>
          <w:p>
            <w:pPr>
              <w:pStyle w:val="AmColumnHeading"/>
            </w:pPr>
            <w:r>
              <w:t>Emendamento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 bis.</w:t>
            </w:r>
            <w:r>
              <w:tab/>
            </w:r>
            <w:r>
              <w:rPr>
                <w:b/>
                <w:i/>
              </w:rPr>
              <w:t>sottolinea che la competitività senza coesione sociale non è sostenibile;</w:t>
            </w:r>
            <w:r>
              <w:t xml:space="preserve"> </w:t>
            </w:r>
            <w:r>
              <w:rPr>
                <w:b/>
                <w:i/>
              </w:rPr>
              <w:t>insiste sul fatto che qualsiasi quadro della performance deve misurare non solo la produzione economica, ma anche il benessere sociale, la qualità della vita, la riduzione delle disuguaglianze, i progressi in materia di parità di genere e la creazione di posti di lavoro dignitosi e adeguati alle esigenze future;</w:t>
            </w:r>
            <w:r>
              <w:t xml:space="preserve"> </w:t>
            </w:r>
            <w:r>
              <w:rPr>
                <w:b/>
                <w:i/>
              </w:rPr>
              <w:t>chiede pertanto l'inclusione di indicatori di impatto sociale in tutti i programmi connessi alla competitività;</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Emendamento</w:t>
      </w:r>
      <w:r>
        <w:tab/>
      </w:r>
      <w:r>
        <w:tab/>
      </w:r>
      <w:r>
        <w:rPr>
          <w:rStyle w:val="HideTWBExt"/>
        </w:rPr>
        <w:t>&lt;NumAm&gt;</w:t>
      </w:r>
      <w:r>
        <w:t>26</w:t>
      </w:r>
      <w:r>
        <w:rPr>
          <w:rStyle w:val="HideTWBExt"/>
        </w:rPr>
        <w:t>&lt;/NumAm&gt;</w:t>
      </w:r>
    </w:p>
    <w:p>
      <w:pPr>
        <w:pStyle w:val="NormalBold"/>
      </w:pPr>
      <w:r>
        <w:rPr>
          <w:rStyle w:val="HideTWBExt"/>
          <w:b w:val="0"/>
        </w:rPr>
        <w:t>&lt;RepeatBlock-By&gt;</w:t>
      </w:r>
      <w:r>
        <w:rPr>
          <w:rStyle w:val="HideTWBExt"/>
          <w:b w:val="0"/>
        </w:rPr>
        <w:t>&lt;Members&gt;</w:t>
      </w:r>
      <w:r>
        <w:t>Şerban Dimitrie Sturdza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di risoluzione</w:t>
      </w:r>
      <w:r>
        <w:rPr>
          <w:rStyle w:val="HideTWBExt"/>
        </w:rPr>
        <w:t>&lt;/DocAmend&gt;</w:t>
      </w:r>
    </w:p>
    <w:p>
      <w:pPr>
        <w:pStyle w:val="NormalBold"/>
      </w:pPr>
      <w:r>
        <w:rPr>
          <w:rStyle w:val="HideTWBExt"/>
        </w:rPr>
        <w:t>&lt;Article&gt;</w:t>
      </w:r>
      <w:r>
        <w:t>Paragrafo 1 bis (nuovo)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Proposta di risoluzione</w:t>
            </w:r>
          </w:p>
        </w:tc>
        <w:tc>
          <w:tcPr>
            <w:tcW w:w="4876" w:type="dxa"/>
            <w:tcBorders>
              <w:top w:val="nil"/>
              <w:left w:val="nil"/>
              <w:bottom w:val="nil"/>
              <w:right w:val="nil"/>
            </w:tcBorders>
          </w:tcPr>
          <w:p>
            <w:pPr>
              <w:pStyle w:val="AmColumnHeading"/>
            </w:pPr>
            <w:r>
              <w:t>Emendamento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 bis.</w:t>
            </w:r>
            <w:r>
              <w:tab/>
            </w:r>
            <w:r>
              <w:rPr>
                <w:b/>
                <w:i/>
              </w:rPr>
              <w:t>sottolinea che la competitività europea deve essere perseguita attraverso un'assegnazione efficiente delle risorse e politiche volte a ridurre gli oneri amministrativi, incoraggiare gli investimenti privati e rafforzare il mercato unico;</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Emendamento</w:t>
      </w:r>
      <w:r>
        <w:tab/>
      </w:r>
      <w:r>
        <w:tab/>
      </w:r>
      <w:r>
        <w:rPr>
          <w:rStyle w:val="HideTWBExt"/>
        </w:rPr>
        <w:t>&lt;NumAm&gt;</w:t>
      </w:r>
      <w:r>
        <w:t>27</w:t>
      </w:r>
      <w:r>
        <w:rPr>
          <w:rStyle w:val="HideTWBExt"/>
        </w:rPr>
        <w:t>&lt;/NumAm&gt;</w:t>
      </w:r>
    </w:p>
    <w:p>
      <w:pPr>
        <w:pStyle w:val="NormalBold"/>
      </w:pPr>
      <w:r>
        <w:rPr>
          <w:rStyle w:val="HideTWBExt"/>
          <w:b w:val="0"/>
        </w:rPr>
        <w:t>&lt;RepeatBlock-By&gt;</w:t>
      </w:r>
      <w:r>
        <w:rPr>
          <w:rStyle w:val="HideTWBExt"/>
          <w:b w:val="0"/>
        </w:rPr>
        <w:t>&lt;Members&gt;</w:t>
      </w:r>
      <w:r>
        <w:t>Cristian Terheş</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di risoluzione</w:t>
      </w:r>
      <w:r>
        <w:rPr>
          <w:rStyle w:val="HideTWBExt"/>
        </w:rPr>
        <w:t>&lt;/DocAmend&gt;</w:t>
      </w:r>
    </w:p>
    <w:p>
      <w:pPr>
        <w:pStyle w:val="NormalBold"/>
      </w:pPr>
      <w:r>
        <w:rPr>
          <w:rStyle w:val="HideTWBExt"/>
        </w:rPr>
        <w:t>&lt;Article&gt;</w:t>
      </w:r>
      <w:r>
        <w:t>Paragrafo 1 bis (nuovo)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Proposta di risoluzione</w:t>
            </w:r>
          </w:p>
        </w:tc>
        <w:tc>
          <w:tcPr>
            <w:tcW w:w="4876" w:type="dxa"/>
            <w:tcBorders>
              <w:top w:val="nil"/>
              <w:left w:val="nil"/>
              <w:bottom w:val="nil"/>
              <w:right w:val="nil"/>
            </w:tcBorders>
          </w:tcPr>
          <w:p>
            <w:pPr>
              <w:pStyle w:val="AmColumnHeading"/>
            </w:pPr>
            <w:r>
              <w:t>Emendamento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 bis.</w:t>
            </w:r>
            <w:r>
              <w:tab/>
            </w:r>
            <w:r>
              <w:rPr>
                <w:b/>
                <w:i/>
              </w:rPr>
              <w:t>invita la Commissione a effettuare un'analisi delle esperienze di altri paesi nell'attuazione di sistemi di bilancio basati sulla performance, individuando gli insegnamenti tratti;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Emendamento</w:t>
      </w:r>
      <w:r>
        <w:tab/>
      </w:r>
      <w:r>
        <w:tab/>
      </w:r>
      <w:r>
        <w:rPr>
          <w:rStyle w:val="HideTWBExt"/>
        </w:rPr>
        <w:t>&lt;NumAm&gt;</w:t>
      </w:r>
      <w:r>
        <w:t>28</w:t>
      </w:r>
      <w:r>
        <w:rPr>
          <w:rStyle w:val="HideTWBExt"/>
        </w:rPr>
        <w:t>&lt;/NumAm&gt;</w:t>
      </w:r>
    </w:p>
    <w:p>
      <w:pPr>
        <w:pStyle w:val="NormalBold"/>
      </w:pPr>
      <w:r>
        <w:rPr>
          <w:rStyle w:val="HideTWBExt"/>
          <w:b w:val="0"/>
        </w:rPr>
        <w:t>&lt;RepeatBlock-By&gt;</w:t>
      </w:r>
      <w:r>
        <w:rPr>
          <w:rStyle w:val="HideTWBExt"/>
          <w:b w:val="0"/>
        </w:rPr>
        <w:t>&lt;Members&gt;</w:t>
      </w:r>
      <w:r>
        <w:t>Kinga Kollár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di risoluzione</w:t>
      </w:r>
      <w:r>
        <w:rPr>
          <w:rStyle w:val="HideTWBExt"/>
        </w:rPr>
        <w:t>&lt;/DocAmend&gt;</w:t>
      </w:r>
    </w:p>
    <w:p>
      <w:pPr>
        <w:pStyle w:val="NormalBold"/>
      </w:pPr>
      <w:r>
        <w:rPr>
          <w:rStyle w:val="HideTWBExt"/>
        </w:rPr>
        <w:t>&lt;Article&gt;</w:t>
      </w:r>
      <w:r>
        <w:t>Paragrafo 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Proposta di risoluzione</w:t>
            </w:r>
          </w:p>
        </w:tc>
        <w:tc>
          <w:tcPr>
            <w:tcW w:w="4876" w:type="dxa"/>
            <w:tcBorders>
              <w:top w:val="nil"/>
              <w:left w:val="nil"/>
              <w:bottom w:val="nil"/>
              <w:right w:val="nil"/>
            </w:tcBorders>
          </w:tcPr>
          <w:p>
            <w:pPr>
              <w:pStyle w:val="AmColumnHeading"/>
            </w:pPr>
            <w:r>
              <w:t>Emendamento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w:t>
            </w:r>
            <w:r>
              <w:tab/>
            </w:r>
            <w:r>
              <w:t>ritiene che il bilancio dell'UE debba essere maggiormente orientato ai risultati; ribadisce la necessità di definire e utilizzare indicatori di performance specifici, misurabili, realizzabili, pertinenti e temporalmente definiti (SMART) al fine di monitorare e valutare i progressi verso il conseguimento degli obiettivi strategici dell'UE;</w:t>
            </w:r>
          </w:p>
        </w:tc>
        <w:tc>
          <w:tcPr>
            <w:tcW w:w="4876" w:type="dxa"/>
            <w:tcBorders>
              <w:top w:val="nil"/>
              <w:left w:val="nil"/>
              <w:bottom w:val="nil"/>
              <w:right w:val="nil"/>
            </w:tcBorders>
          </w:tcPr>
          <w:p>
            <w:pPr>
              <w:pStyle w:val="Normal6a"/>
            </w:pPr>
            <w:r>
              <w:t>2.</w:t>
            </w:r>
            <w:r>
              <w:tab/>
            </w:r>
            <w:r>
              <w:t xml:space="preserve">ritiene che il bilancio dell'UE debba essere maggiormente orientato ai risultati </w:t>
            </w:r>
            <w:r>
              <w:rPr>
                <w:b/>
                <w:i/>
              </w:rPr>
              <w:t>e che ogni euro speso debba fornire un valore misurabile per i cittadini e le imprese</w:t>
            </w:r>
            <w:r>
              <w:t xml:space="preserve">; ribadisce la necessità di definire e utilizzare indicatori di performance specifici, misurabili, realizzabili, pertinenti e temporalmente definiti (SMART) </w:t>
            </w:r>
            <w:r>
              <w:rPr>
                <w:b/>
                <w:i/>
              </w:rPr>
              <w:t>che garantiscano che le risorse dell'Unione siano spese in modo efficiente ed efficace,</w:t>
            </w:r>
            <w:r>
              <w:t xml:space="preserve"> al fine di monitorare e valutare i progressi verso il conseguimento degli obiettivi strategici dell'UE; </w:t>
            </w:r>
            <w:r>
              <w:rPr>
                <w:b/>
                <w:i/>
              </w:rPr>
              <w:t>ritiene che tutti i tipi di indicatori siano essenziali per valutare la performance dei programmi e che occorra pertanto ricercare un equilibrio tra indicatori di input, di risultato e di impatto;</w:t>
            </w:r>
            <w:r>
              <w:t xml:space="preserve"> </w:t>
            </w:r>
            <w:r>
              <w:rPr>
                <w:b/>
                <w:i/>
              </w:rPr>
              <w:t>sottolinea che altri aspetti pertinenti nella scelta degli indicatori appropriati dovrebbero essere gli oneri amministrativi, il costo della raccolta dei dati, la comparabilità e l'aggregabilità;</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Emendamento</w:t>
      </w:r>
      <w:r>
        <w:tab/>
      </w:r>
      <w:r>
        <w:tab/>
      </w:r>
      <w:r>
        <w:rPr>
          <w:rStyle w:val="HideTWBExt"/>
        </w:rPr>
        <w:t>&lt;NumAm&gt;</w:t>
      </w:r>
      <w:r>
        <w:t>29</w:t>
      </w:r>
      <w:r>
        <w:rPr>
          <w:rStyle w:val="HideTWBExt"/>
        </w:rPr>
        <w:t>&lt;/NumAm&gt;</w:t>
      </w:r>
    </w:p>
    <w:p>
      <w:pPr>
        <w:pStyle w:val="NormalBold"/>
      </w:pPr>
      <w:r>
        <w:rPr>
          <w:rStyle w:val="HideTWBExt"/>
          <w:b w:val="0"/>
        </w:rPr>
        <w:t>&lt;RepeatBlock-By&gt;</w:t>
      </w:r>
      <w:r>
        <w:rPr>
          <w:rStyle w:val="HideTWBExt"/>
          <w:b w:val="0"/>
        </w:rPr>
        <w:t>&lt;Members&gt;</w:t>
      </w:r>
      <w:r>
        <w:t>Dick Erixon, Şerban Dimitrie Sturdza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di risoluzione</w:t>
      </w:r>
      <w:r>
        <w:rPr>
          <w:rStyle w:val="HideTWBExt"/>
        </w:rPr>
        <w:t>&lt;/DocAmend&gt;</w:t>
      </w:r>
    </w:p>
    <w:p>
      <w:pPr>
        <w:pStyle w:val="NormalBold"/>
      </w:pPr>
      <w:r>
        <w:rPr>
          <w:rStyle w:val="HideTWBExt"/>
        </w:rPr>
        <w:t>&lt;Article&gt;</w:t>
      </w:r>
      <w:r>
        <w:t>Paragrafo 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Proposta di risoluzione</w:t>
            </w:r>
          </w:p>
        </w:tc>
        <w:tc>
          <w:tcPr>
            <w:tcW w:w="4876" w:type="dxa"/>
            <w:tcBorders>
              <w:top w:val="nil"/>
              <w:left w:val="nil"/>
              <w:bottom w:val="nil"/>
              <w:right w:val="nil"/>
            </w:tcBorders>
          </w:tcPr>
          <w:p>
            <w:pPr>
              <w:pStyle w:val="AmColumnHeading"/>
            </w:pPr>
            <w:r>
              <w:t>Emendamento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w:t>
            </w:r>
            <w:r>
              <w:tab/>
            </w:r>
            <w:r>
              <w:t xml:space="preserve">ritiene che il bilancio dell'UE debba essere </w:t>
            </w:r>
            <w:r>
              <w:rPr>
                <w:b/>
                <w:i/>
              </w:rPr>
              <w:t>maggiormente</w:t>
            </w:r>
            <w:r>
              <w:t xml:space="preserve"> orientato ai risultati; ribadisce la necessità di definire e utilizzare indicatori di performance specifici, misurabili, realizzabili, pertinenti e temporalmente definiti (SMART) al fine di monitorare e valutare i progressi verso il conseguimento degli obiettivi strategici dell'UE;</w:t>
            </w:r>
          </w:p>
        </w:tc>
        <w:tc>
          <w:tcPr>
            <w:tcW w:w="4876" w:type="dxa"/>
            <w:tcBorders>
              <w:top w:val="nil"/>
              <w:left w:val="nil"/>
              <w:bottom w:val="nil"/>
              <w:right w:val="nil"/>
            </w:tcBorders>
          </w:tcPr>
          <w:p>
            <w:pPr>
              <w:pStyle w:val="Normal6a"/>
            </w:pPr>
            <w:r>
              <w:t>2.</w:t>
            </w:r>
            <w:r>
              <w:tab/>
            </w:r>
            <w:r>
              <w:t xml:space="preserve">ritiene che il bilancio dell'UE debba essere </w:t>
            </w:r>
            <w:r>
              <w:rPr>
                <w:b/>
                <w:i/>
              </w:rPr>
              <w:t>principalmente</w:t>
            </w:r>
            <w:r>
              <w:t xml:space="preserve"> orientato ai risultati; ribadisce la necessità di definire e utilizzare indicatori di performance specifici, misurabili, realizzabili, pertinenti e temporalmente definiti (SMART) al fine di monitorare e valutare i progressi verso il conseguimento degli obiettivi strategici dell'UE;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Emendamento</w:t>
      </w:r>
      <w:r>
        <w:tab/>
      </w:r>
      <w:r>
        <w:tab/>
      </w:r>
      <w:r>
        <w:rPr>
          <w:rStyle w:val="HideTWBExt"/>
        </w:rPr>
        <w:t>&lt;NumAm&gt;</w:t>
      </w:r>
      <w:r>
        <w:t>30</w:t>
      </w:r>
      <w:r>
        <w:rPr>
          <w:rStyle w:val="HideTWBExt"/>
        </w:rPr>
        <w:t>&lt;/NumAm&gt;</w:t>
      </w:r>
    </w:p>
    <w:p>
      <w:pPr>
        <w:pStyle w:val="NormalBold"/>
      </w:pPr>
      <w:r>
        <w:rPr>
          <w:rStyle w:val="HideTWBExt"/>
          <w:b w:val="0"/>
        </w:rPr>
        <w:t>&lt;RepeatBlock-By&gt;</w:t>
      </w:r>
      <w:r>
        <w:rPr>
          <w:rStyle w:val="HideTWBExt"/>
          <w:b w:val="0"/>
        </w:rPr>
        <w:t>&lt;Members&gt;</w:t>
      </w:r>
      <w:r>
        <w:t>Pasquale Tridico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di risoluzione</w:t>
      </w:r>
      <w:r>
        <w:rPr>
          <w:rStyle w:val="HideTWBExt"/>
        </w:rPr>
        <w:t>&lt;/DocAmend&gt;</w:t>
      </w:r>
    </w:p>
    <w:p>
      <w:pPr>
        <w:pStyle w:val="NormalBold"/>
      </w:pPr>
      <w:r>
        <w:rPr>
          <w:rStyle w:val="HideTWBExt"/>
        </w:rPr>
        <w:t>&lt;Article&gt;</w:t>
      </w:r>
      <w:r>
        <w:t>Paragrafo 2 bis (nuovo)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Proposta di risoluzione</w:t>
            </w:r>
          </w:p>
        </w:tc>
        <w:tc>
          <w:tcPr>
            <w:tcW w:w="4876" w:type="dxa"/>
            <w:tcBorders>
              <w:top w:val="nil"/>
              <w:left w:val="nil"/>
              <w:bottom w:val="nil"/>
              <w:right w:val="nil"/>
            </w:tcBorders>
          </w:tcPr>
          <w:p>
            <w:pPr>
              <w:pStyle w:val="AmColumnHeading"/>
            </w:pPr>
            <w:r>
              <w:t>Emendamento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 bis.</w:t>
            </w:r>
            <w:r>
              <w:tab/>
            </w:r>
            <w:r>
              <w:rPr>
                <w:b/>
                <w:i/>
              </w:rPr>
              <w:t>sottolinea, in tale contesto, che gli obiettivi generali degli indicatori di performance dell'UE devono includere la riduzione delle disuguaglianze, la garanzia dell'accesso a servizi pubblici di qualità, il rafforzamento dei sistemi di istruzione e la promozione della sostenibilità sociale e ambientale quali componenti fondamentali della competitività europea;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Emendamento</w:t>
      </w:r>
      <w:r>
        <w:tab/>
      </w:r>
      <w:r>
        <w:tab/>
      </w:r>
      <w:r>
        <w:rPr>
          <w:rStyle w:val="HideTWBExt"/>
        </w:rPr>
        <w:t>&lt;NumAm&gt;</w:t>
      </w:r>
      <w:r>
        <w:t>31</w:t>
      </w:r>
      <w:r>
        <w:rPr>
          <w:rStyle w:val="HideTWBExt"/>
        </w:rPr>
        <w:t>&lt;/NumAm&gt;</w:t>
      </w:r>
    </w:p>
    <w:p>
      <w:pPr>
        <w:pStyle w:val="NormalBold"/>
      </w:pPr>
      <w:r>
        <w:rPr>
          <w:rStyle w:val="HideTWBExt"/>
          <w:b w:val="0"/>
        </w:rPr>
        <w:t>&lt;RepeatBlock-By&gt;</w:t>
      </w:r>
      <w:r>
        <w:rPr>
          <w:rStyle w:val="HideTWBExt"/>
          <w:b w:val="0"/>
        </w:rPr>
        <w:t>&lt;Members&gt;</w:t>
      </w:r>
      <w:r>
        <w:t>Dick Erixon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di risoluzione</w:t>
      </w:r>
      <w:r>
        <w:rPr>
          <w:rStyle w:val="HideTWBExt"/>
        </w:rPr>
        <w:t>&lt;/DocAmend&gt;</w:t>
      </w:r>
    </w:p>
    <w:p>
      <w:pPr>
        <w:pStyle w:val="NormalBold"/>
      </w:pPr>
      <w:r>
        <w:rPr>
          <w:rStyle w:val="HideTWBExt"/>
        </w:rPr>
        <w:t>&lt;Article&gt;</w:t>
      </w:r>
      <w:r>
        <w:t>Paragrafo 2 bis (nuovo)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Proposta di risoluzione</w:t>
            </w:r>
          </w:p>
        </w:tc>
        <w:tc>
          <w:tcPr>
            <w:tcW w:w="4876" w:type="dxa"/>
            <w:tcBorders>
              <w:top w:val="nil"/>
              <w:left w:val="nil"/>
              <w:bottom w:val="nil"/>
              <w:right w:val="nil"/>
            </w:tcBorders>
          </w:tcPr>
          <w:p>
            <w:pPr>
              <w:pStyle w:val="AmColumnHeading"/>
            </w:pPr>
            <w:r>
              <w:t>Emendamento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 bis.</w:t>
            </w:r>
            <w:r>
              <w:tab/>
            </w:r>
            <w:r>
              <w:rPr>
                <w:b/>
                <w:i/>
              </w:rPr>
              <w:t>sottolinea che gli indicatori di performance devono essere esplicitamente derivati dagli obiettivi di ciascun programma e cogliere le realizzazioni, i risultati e, soprattutto, gli impatti;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Emendamento</w:t>
      </w:r>
      <w:r>
        <w:tab/>
      </w:r>
      <w:r>
        <w:tab/>
      </w:r>
      <w:r>
        <w:rPr>
          <w:rStyle w:val="HideTWBExt"/>
        </w:rPr>
        <w:t>&lt;NumAm&gt;</w:t>
      </w:r>
      <w:r>
        <w:t>32</w:t>
      </w:r>
      <w:r>
        <w:rPr>
          <w:rStyle w:val="HideTWBExt"/>
        </w:rPr>
        <w:t>&lt;/NumAm&gt;</w:t>
      </w:r>
    </w:p>
    <w:p>
      <w:pPr>
        <w:pStyle w:val="NormalBold"/>
      </w:pPr>
      <w:r>
        <w:rPr>
          <w:rStyle w:val="HideTWBExt"/>
          <w:b w:val="0"/>
        </w:rPr>
        <w:t>&lt;RepeatBlock-By&gt;</w:t>
      </w:r>
      <w:r>
        <w:rPr>
          <w:rStyle w:val="HideTWBExt"/>
          <w:b w:val="0"/>
        </w:rPr>
        <w:t>&lt;Members&gt;</w:t>
      </w:r>
      <w:r>
        <w:t>Kinga Kollár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di risoluzione</w:t>
      </w:r>
      <w:r>
        <w:rPr>
          <w:rStyle w:val="HideTWBExt"/>
        </w:rPr>
        <w:t>&lt;/DocAmend&gt;</w:t>
      </w:r>
    </w:p>
    <w:p>
      <w:pPr>
        <w:pStyle w:val="NormalBold"/>
      </w:pPr>
      <w:r>
        <w:rPr>
          <w:rStyle w:val="HideTWBExt"/>
        </w:rPr>
        <w:t>&lt;Article&gt;</w:t>
      </w:r>
      <w:r>
        <w:t>Paragrafo 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Proposta di risoluzione</w:t>
            </w:r>
          </w:p>
        </w:tc>
        <w:tc>
          <w:tcPr>
            <w:tcW w:w="4876" w:type="dxa"/>
            <w:tcBorders>
              <w:top w:val="nil"/>
              <w:left w:val="nil"/>
              <w:bottom w:val="nil"/>
              <w:right w:val="nil"/>
            </w:tcBorders>
          </w:tcPr>
          <w:p>
            <w:pPr>
              <w:pStyle w:val="AmColumnHeading"/>
            </w:pPr>
            <w:r>
              <w:t>Emendamento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w:t>
            </w:r>
            <w:r>
              <w:tab/>
            </w:r>
            <w:r>
              <w:t>osserva con preoccupazione che la Corte dei conti, nei suoi audit, ha ripetutamente rilevato che la maggior parte degli indicatori di performance utilizzati per i programmi di finanziamento dell'UE sono indicatori di risorse e di realizzazione, che non forniscono informazioni pertinenti sui progressi compiuti nel conseguimento degli obiettivi delle azioni finanziate dall'UE; si rammarica inoltre del fatto che in molti casi sia stata riscontrata la mancanza di dati di base per gli indicatori e che i dati sottostanti utilizzati per gli indicatori non fossero né tracciabili né affidabili; invita la Commissione a garantire che gli indicatori utilizzati per i progetti finanziati dall'UE siano misurabili, verificabili e basati su fonti di dati affidabili che garantiscano la tracciabilità dei dati sottostanti, con basi di riferimento e definizioni chiare per evitare interpretazioni divergenti;</w:t>
            </w:r>
          </w:p>
        </w:tc>
        <w:tc>
          <w:tcPr>
            <w:tcW w:w="4876" w:type="dxa"/>
            <w:tcBorders>
              <w:top w:val="nil"/>
              <w:left w:val="nil"/>
              <w:bottom w:val="nil"/>
              <w:right w:val="nil"/>
            </w:tcBorders>
          </w:tcPr>
          <w:p>
            <w:pPr>
              <w:pStyle w:val="Normal6a"/>
            </w:pPr>
            <w:r>
              <w:t>3.</w:t>
            </w:r>
            <w:r>
              <w:tab/>
            </w:r>
            <w:r>
              <w:t xml:space="preserve">osserva con preoccupazione che la Corte dei conti, nei suoi audit, ha ripetutamente rilevato che la maggior parte degli indicatori di performance utilizzati per i programmi di finanziamento dell'UE sono indicatori di risorse e di realizzazione, che non forniscono informazioni pertinenti sui progressi compiuti nel conseguimento degli obiettivi delle azioni finanziate dall'UE; si rammarica inoltre del fatto che in molti casi sia stata riscontrata la mancanza di dati di base per gli indicatori e che i dati sottostanti utilizzati per gli indicatori non fossero né tracciabili né affidabili </w:t>
            </w:r>
            <w:r>
              <w:rPr>
                <w:b/>
                <w:i/>
              </w:rPr>
              <w:t>e che le definizioni degli indicatori di performance divergessero tra i programmi di finanziamento</w:t>
            </w:r>
            <w:r>
              <w:t>; invita la Commissione a garantire che gli indicatori utilizzati per i progetti finanziati dall'UE siano misurabili, verificabili e basati su fonti di dati affidabili che garantiscano la tracciabilità dei dati sottostanti, con basi di riferimento e definizioni chiare per evitare interpretazioni divergenti;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Emendamento</w:t>
      </w:r>
      <w:r>
        <w:tab/>
      </w:r>
      <w:r>
        <w:tab/>
      </w:r>
      <w:r>
        <w:rPr>
          <w:rStyle w:val="HideTWBExt"/>
        </w:rPr>
        <w:t>&lt;NumAm&gt;</w:t>
      </w:r>
      <w:r>
        <w:t>33</w:t>
      </w:r>
      <w:r>
        <w:rPr>
          <w:rStyle w:val="HideTWBExt"/>
        </w:rPr>
        <w:t>&lt;/NumAm&gt;</w:t>
      </w:r>
    </w:p>
    <w:p>
      <w:pPr>
        <w:pStyle w:val="NormalBold"/>
      </w:pPr>
      <w:r>
        <w:rPr>
          <w:rStyle w:val="HideTWBExt"/>
          <w:b w:val="0"/>
        </w:rPr>
        <w:t>&lt;RepeatBlock-By&gt;</w:t>
      </w:r>
      <w:r>
        <w:rPr>
          <w:rStyle w:val="HideTWBExt"/>
          <w:b w:val="0"/>
        </w:rPr>
        <w:t>&lt;Members&gt;</w:t>
      </w:r>
      <w:r>
        <w:t>Terry Reintke</w:t>
      </w:r>
      <w:r>
        <w:rPr>
          <w:rStyle w:val="HideTWBExt"/>
          <w:b w:val="0"/>
        </w:rPr>
        <w:t>&lt;/Members&gt;</w:t>
      </w:r>
    </w:p>
    <w:p>
      <w:r>
        <w:rPr>
          <w:rStyle w:val="HideTWBExt"/>
          <w:b w:val="0"/>
        </w:rPr>
        <w:t>&lt;AuNomDe&gt;</w:t>
      </w:r>
      <w:r>
        <w:rPr>
          <w:rStyle w:val="HideTWBInt"/>
        </w:rPr>
        <w:t>{Verts/ALE}</w:t>
      </w:r>
      <w:r>
        <w:t>a nome del gruppo Verts/ALE</w:t>
      </w:r>
      <w:r>
        <w:rPr>
          <w:rStyle w:val="HideTWBExt"/>
          <w:b w:val="0"/>
        </w:rPr>
        <w:t>&lt;/AuNomDe&gt;</w:t>
      </w:r>
    </w:p>
    <w:p>
      <w:pPr>
        <w:pStyle w:val="NormalBold"/>
      </w:pPr>
      <w:r>
        <w:rPr>
          <w:rStyle w:val="HideTWBExt"/>
          <w:b w:val="0"/>
        </w:rPr>
        <w:t>&lt;/RepeatBlock-By&gt;</w:t>
      </w:r>
    </w:p>
    <w:p>
      <w:pPr>
        <w:pStyle w:val="NormalBold"/>
      </w:pPr>
      <w:r>
        <w:rPr>
          <w:rStyle w:val="HideTWBExt"/>
        </w:rPr>
        <w:t>&lt;DocAmend&gt;</w:t>
      </w:r>
      <w:r>
        <w:t>Proposta di risoluzione</w:t>
      </w:r>
      <w:r>
        <w:rPr>
          <w:rStyle w:val="HideTWBExt"/>
        </w:rPr>
        <w:t>&lt;/DocAmend&gt;</w:t>
      </w:r>
    </w:p>
    <w:p>
      <w:pPr>
        <w:pStyle w:val="NormalBold"/>
      </w:pPr>
      <w:r>
        <w:rPr>
          <w:rStyle w:val="HideTWBExt"/>
        </w:rPr>
        <w:t>&lt;Article&gt;</w:t>
      </w:r>
      <w:r>
        <w:t>Paragrafo 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Proposta di risoluzione</w:t>
            </w:r>
          </w:p>
        </w:tc>
        <w:tc>
          <w:tcPr>
            <w:tcW w:w="4876" w:type="dxa"/>
            <w:tcBorders>
              <w:top w:val="nil"/>
              <w:left w:val="nil"/>
              <w:bottom w:val="nil"/>
              <w:right w:val="nil"/>
            </w:tcBorders>
          </w:tcPr>
          <w:p>
            <w:pPr>
              <w:pStyle w:val="AmColumnHeading"/>
            </w:pPr>
            <w:r>
              <w:t>Emendamento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w:t>
            </w:r>
            <w:r>
              <w:tab/>
            </w:r>
            <w:r>
              <w:t xml:space="preserve">osserva con preoccupazione che la Corte dei conti, nei suoi audit, ha ripetutamente rilevato che la maggior parte degli indicatori di performance utilizzati per i programmi di finanziamento dell'UE sono indicatori di risorse e di realizzazione, che non forniscono informazioni pertinenti sui progressi compiuti nel conseguimento degli obiettivi delle azioni finanziate dall'UE; si rammarica inoltre del fatto che in molti casi sia stata riscontrata la mancanza di dati di base per gli indicatori e che i dati sottostanti utilizzati per gli indicatori non fossero né tracciabili né affidabili; invita la Commissione a garantire che gli indicatori utilizzati per i progetti finanziati dall'UE siano misurabili, verificabili e basati su fonti di dati affidabili che </w:t>
            </w:r>
            <w:r>
              <w:rPr>
                <w:b/>
                <w:i/>
              </w:rPr>
              <w:t>garantiscano la tracciabilità dei dati sottostanti</w:t>
            </w:r>
            <w:r>
              <w:t>, con basi di riferimento e definizioni chiare per evitare interpretazioni divergenti;</w:t>
            </w:r>
          </w:p>
        </w:tc>
        <w:tc>
          <w:tcPr>
            <w:tcW w:w="4876" w:type="dxa"/>
            <w:tcBorders>
              <w:top w:val="nil"/>
              <w:left w:val="nil"/>
              <w:bottom w:val="nil"/>
              <w:right w:val="nil"/>
            </w:tcBorders>
          </w:tcPr>
          <w:p>
            <w:pPr>
              <w:pStyle w:val="Normal6a"/>
            </w:pPr>
            <w:r>
              <w:t>3.</w:t>
            </w:r>
            <w:r>
              <w:tab/>
            </w:r>
            <w:r>
              <w:t xml:space="preserve">osserva con preoccupazione che la Corte dei conti, nei suoi audit, ha ripetutamente rilevato che la maggior parte degli indicatori di performance utilizzati per i programmi di finanziamento dell'UE sono indicatori di risorse e di realizzazione, che non forniscono informazioni pertinenti sui progressi compiuti nel conseguimento degli obiettivi delle azioni finanziate dall'UE; si rammarica inoltre del fatto che in molti casi sia stata riscontrata la mancanza di dati di base per gli indicatori e che i dati sottostanti utilizzati per gli indicatori non fossero né tracciabili né affidabili; invita la Commissione a garantire che gli indicatori utilizzati per i progetti finanziati dall'UE siano misurabili, verificabili e basati su fonti di dati affidabili che </w:t>
            </w:r>
            <w:r>
              <w:rPr>
                <w:b/>
                <w:i/>
              </w:rPr>
              <w:t>possano essere tracciati fino al livello di contratto e beneficiario</w:t>
            </w:r>
            <w:r>
              <w:t>, con basi di riferimento e definizioni chiare per evitare interpretazioni divergenti;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Emendamento</w:t>
      </w:r>
      <w:r>
        <w:tab/>
      </w:r>
      <w:r>
        <w:tab/>
      </w:r>
      <w:r>
        <w:rPr>
          <w:rStyle w:val="HideTWBExt"/>
        </w:rPr>
        <w:t>&lt;NumAm&gt;</w:t>
      </w:r>
      <w:r>
        <w:t>34</w:t>
      </w:r>
      <w:r>
        <w:rPr>
          <w:rStyle w:val="HideTWBExt"/>
        </w:rPr>
        <w:t>&lt;/NumAm&gt;</w:t>
      </w:r>
    </w:p>
    <w:p>
      <w:pPr>
        <w:pStyle w:val="NormalBold"/>
      </w:pPr>
      <w:r>
        <w:rPr>
          <w:rStyle w:val="HideTWBExt"/>
          <w:b w:val="0"/>
        </w:rPr>
        <w:t>&lt;RepeatBlock-By&gt;</w:t>
      </w:r>
      <w:r>
        <w:rPr>
          <w:rStyle w:val="HideTWBExt"/>
          <w:b w:val="0"/>
        </w:rPr>
        <w:t>&lt;Members&gt;</w:t>
      </w:r>
      <w:r>
        <w:t>Carla Tavares, José Cepeda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di risoluzione</w:t>
      </w:r>
      <w:r>
        <w:rPr>
          <w:rStyle w:val="HideTWBExt"/>
        </w:rPr>
        <w:t>&lt;/DocAmend&gt;</w:t>
      </w:r>
    </w:p>
    <w:p>
      <w:pPr>
        <w:pStyle w:val="NormalBold"/>
      </w:pPr>
      <w:r>
        <w:rPr>
          <w:rStyle w:val="HideTWBExt"/>
        </w:rPr>
        <w:t>&lt;Article&gt;</w:t>
      </w:r>
      <w:r>
        <w:t>Paragrafo 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Proposta di risoluzione</w:t>
            </w:r>
          </w:p>
        </w:tc>
        <w:tc>
          <w:tcPr>
            <w:tcW w:w="4876" w:type="dxa"/>
            <w:tcBorders>
              <w:top w:val="nil"/>
              <w:left w:val="nil"/>
              <w:bottom w:val="nil"/>
              <w:right w:val="nil"/>
            </w:tcBorders>
          </w:tcPr>
          <w:p>
            <w:pPr>
              <w:pStyle w:val="AmColumnHeading"/>
            </w:pPr>
            <w:r>
              <w:t>Emendamento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w:t>
            </w:r>
            <w:r>
              <w:tab/>
            </w:r>
            <w:r>
              <w:t>osserva con preoccupazione che la Corte dei conti, nei suoi audit, ha ripetutamente rilevato che la maggior parte degli indicatori di performance utilizzati per i programmi di finanziamento dell'UE sono indicatori di risorse e di realizzazione, che non forniscono informazioni pertinenti sui progressi compiuti nel conseguimento degli obiettivi delle azioni finanziate dall'UE; si rammarica inoltre del fatto che in molti casi sia stata riscontrata la mancanza di dati di base per gli indicatori e che i dati sottostanti utilizzati per gli indicatori non fossero né tracciabili né affidabili; invita la Commissione a garantire che gli indicatori utilizzati per i progetti finanziati dall'UE siano misurabili, verificabili e basati su fonti di dati affidabili che garantiscano la tracciabilità dei dati sottostanti, con basi di riferimento e definizioni chiare per evitare interpretazioni divergenti;</w:t>
            </w:r>
          </w:p>
        </w:tc>
        <w:tc>
          <w:tcPr>
            <w:tcW w:w="4876" w:type="dxa"/>
            <w:tcBorders>
              <w:top w:val="nil"/>
              <w:left w:val="nil"/>
              <w:bottom w:val="nil"/>
              <w:right w:val="nil"/>
            </w:tcBorders>
          </w:tcPr>
          <w:p>
            <w:pPr>
              <w:pStyle w:val="Normal6a"/>
            </w:pPr>
            <w:r>
              <w:t>3.</w:t>
            </w:r>
            <w:r>
              <w:tab/>
            </w:r>
            <w:r>
              <w:t xml:space="preserve">osserva con preoccupazione che la Corte dei conti, nei suoi audit, ha ripetutamente rilevato che la maggior parte degli indicatori di performance utilizzati per i programmi di finanziamento dell'UE sono indicatori di risorse e di realizzazione, che non forniscono informazioni pertinenti sui progressi compiuti nel conseguimento degli obiettivi delle azioni finanziate dall'UE; si rammarica inoltre del fatto che in molti casi sia stata riscontrata la mancanza di dati di base per gli indicatori e che i dati sottostanti utilizzati per gli indicatori non fossero né tracciabili né affidabili; invita la Commissione </w:t>
            </w:r>
            <w:r>
              <w:rPr>
                <w:b/>
                <w:i/>
              </w:rPr>
              <w:t>e gli Stati membri</w:t>
            </w:r>
            <w:r>
              <w:t xml:space="preserve"> a garantire che gli indicatori utilizzati per i progetti finanziati dall'UE siano misurabili, verificabili e basati su fonti di dati affidabili che garantiscano la tracciabilità dei dati sottostanti, con basi di riferimento e definizioni chiare per evitare interpretazioni divergenti;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Emendamento</w:t>
      </w:r>
      <w:r>
        <w:tab/>
      </w:r>
      <w:r>
        <w:tab/>
      </w:r>
      <w:r>
        <w:rPr>
          <w:rStyle w:val="HideTWBExt"/>
        </w:rPr>
        <w:t>&lt;NumAm&gt;</w:t>
      </w:r>
      <w:r>
        <w:t>35</w:t>
      </w:r>
      <w:r>
        <w:rPr>
          <w:rStyle w:val="HideTWBExt"/>
        </w:rPr>
        <w:t>&lt;/NumAm&gt;</w:t>
      </w:r>
    </w:p>
    <w:p>
      <w:pPr>
        <w:pStyle w:val="NormalBold"/>
      </w:pPr>
      <w:r>
        <w:rPr>
          <w:rStyle w:val="HideTWBExt"/>
          <w:b w:val="0"/>
        </w:rPr>
        <w:t>&lt;RepeatBlock-By&gt;</w:t>
      </w:r>
      <w:r>
        <w:rPr>
          <w:rStyle w:val="HideTWBExt"/>
          <w:b w:val="0"/>
        </w:rPr>
        <w:t>&lt;Members&gt;</w:t>
      </w:r>
      <w:r>
        <w:t>Cristian Terheş</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di risoluzione</w:t>
      </w:r>
      <w:r>
        <w:rPr>
          <w:rStyle w:val="HideTWBExt"/>
        </w:rPr>
        <w:t>&lt;/DocAmend&gt;</w:t>
      </w:r>
    </w:p>
    <w:p>
      <w:pPr>
        <w:pStyle w:val="NormalBold"/>
      </w:pPr>
      <w:r>
        <w:rPr>
          <w:rStyle w:val="HideTWBExt"/>
        </w:rPr>
        <w:t>&lt;Article&gt;</w:t>
      </w:r>
      <w:r>
        <w:t>Paragrafo 3 bis (nuovo)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Proposta di risoluzione</w:t>
            </w:r>
          </w:p>
        </w:tc>
        <w:tc>
          <w:tcPr>
            <w:tcW w:w="4876" w:type="dxa"/>
            <w:tcBorders>
              <w:top w:val="nil"/>
              <w:left w:val="nil"/>
              <w:bottom w:val="nil"/>
              <w:right w:val="nil"/>
            </w:tcBorders>
          </w:tcPr>
          <w:p>
            <w:pPr>
              <w:pStyle w:val="AmColumnHeading"/>
            </w:pPr>
            <w:r>
              <w:t>Emendamento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3 bis.</w:t>
            </w:r>
            <w:r>
              <w:tab/>
            </w:r>
            <w:r>
              <w:rPr>
                <w:b/>
                <w:i/>
              </w:rPr>
              <w:t>osserva con preoccupazione che i quadri di valutazione dell'innovazione della Commissione mostrano costantemente che l'UE è in ritardo rispetto ad altri attori globali per quanto riguarda gli indicatori chiave dell'innovazione;</w:t>
            </w:r>
            <w:r>
              <w:t xml:space="preserve"> </w:t>
            </w:r>
            <w:r>
              <w:rPr>
                <w:b/>
                <w:i/>
              </w:rPr>
              <w:t>sottolinea che i criteri di ammissibilità al finanziamento dovrebbero essere ampliati per includere non solo le innovazioni pionieristiche che soddisfano lo standard dello "stato dell'arte globale", ma anche una gamma più ampia di innovazioni ad alto impatto e applicate, in grado di generare scala industriale, occupazione e diffusione tecnologica in tutti gli Stati membri;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Emendamento</w:t>
      </w:r>
      <w:r>
        <w:tab/>
      </w:r>
      <w:r>
        <w:tab/>
      </w:r>
      <w:r>
        <w:rPr>
          <w:rStyle w:val="HideTWBExt"/>
        </w:rPr>
        <w:t>&lt;NumAm&gt;</w:t>
      </w:r>
      <w:r>
        <w:t>36</w:t>
      </w:r>
      <w:r>
        <w:rPr>
          <w:rStyle w:val="HideTWBExt"/>
        </w:rPr>
        <w:t>&lt;/NumAm&gt;</w:t>
      </w:r>
    </w:p>
    <w:p>
      <w:pPr>
        <w:pStyle w:val="NormalBold"/>
      </w:pPr>
      <w:r>
        <w:rPr>
          <w:rStyle w:val="HideTWBExt"/>
          <w:b w:val="0"/>
        </w:rPr>
        <w:t>&lt;RepeatBlock-By&gt;</w:t>
      </w:r>
      <w:r>
        <w:rPr>
          <w:rStyle w:val="HideTWBExt"/>
          <w:b w:val="0"/>
        </w:rPr>
        <w:t>&lt;Members&gt;</w:t>
      </w:r>
      <w:r>
        <w:t>Kinga Kollár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di risoluzione</w:t>
      </w:r>
      <w:r>
        <w:rPr>
          <w:rStyle w:val="HideTWBExt"/>
        </w:rPr>
        <w:t>&lt;/DocAmend&gt;</w:t>
      </w:r>
    </w:p>
    <w:p>
      <w:pPr>
        <w:pStyle w:val="NormalBold"/>
      </w:pPr>
      <w:r>
        <w:rPr>
          <w:rStyle w:val="HideTWBExt"/>
        </w:rPr>
        <w:t>&lt;Article&gt;</w:t>
      </w:r>
      <w:r>
        <w:t>Paragrafo 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Proposta di risoluzione</w:t>
            </w:r>
          </w:p>
        </w:tc>
        <w:tc>
          <w:tcPr>
            <w:tcW w:w="4876" w:type="dxa"/>
            <w:tcBorders>
              <w:top w:val="nil"/>
              <w:left w:val="nil"/>
              <w:bottom w:val="nil"/>
              <w:right w:val="nil"/>
            </w:tcBorders>
          </w:tcPr>
          <w:p>
            <w:pPr>
              <w:pStyle w:val="AmColumnHeading"/>
            </w:pPr>
            <w:r>
              <w:t>Emendamento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4.</w:t>
            </w:r>
            <w:r>
              <w:tab/>
            </w:r>
            <w:r>
              <w:t>deplora che il quadro di riferimento della performance per il bilancio dell'UE per il periodo 2021-2027 rimanga eccessivamente complesso e frammentato; prende atto della valutazione della Commissione</w:t>
            </w:r>
            <w:r>
              <w:rPr>
                <w:vertAlign w:val="superscript"/>
              </w:rPr>
              <w:t>8</w:t>
            </w:r>
            <w:r>
              <w:t>secondo cui nell'ambito del quadro finanziario pluriennale (QFP) per il periodo 2021-2027 sono utilizzati oltre 5 000 indicatori di performance eterogenei e non aggregabili e sono stati definiti circa 7 000 traguardi e obiettivi nell'ambito del dispositivo per la ripresa e la resilienza (RRF) che rispondono a diverse esigenze, quali la valutazione della performance nel contesto del progetto di bilancio e il monitoraggio e la valutazione dei programmi, dei piani degli Stati membri e degli esborsi di pagamento;</w:t>
            </w:r>
          </w:p>
        </w:tc>
        <w:tc>
          <w:tcPr>
            <w:tcW w:w="4876" w:type="dxa"/>
            <w:tcBorders>
              <w:top w:val="nil"/>
              <w:left w:val="nil"/>
              <w:bottom w:val="nil"/>
              <w:right w:val="nil"/>
            </w:tcBorders>
          </w:tcPr>
          <w:p>
            <w:pPr>
              <w:pStyle w:val="Normal6a"/>
            </w:pPr>
            <w:r>
              <w:t>4.</w:t>
            </w:r>
            <w:r>
              <w:tab/>
            </w:r>
            <w:r>
              <w:t xml:space="preserve">deplora che il quadro di riferimento della performance per il bilancio dell'UE per il periodo 2021-2027 rimanga eccessivamente complesso e frammentato; prende atto </w:t>
            </w:r>
            <w:r>
              <w:rPr>
                <w:b/>
                <w:i/>
              </w:rPr>
              <w:t>con rammarico</w:t>
            </w:r>
            <w:r>
              <w:t xml:space="preserve"> della valutazione della Commissione</w:t>
            </w:r>
            <w:r>
              <w:rPr>
                <w:vertAlign w:val="superscript"/>
              </w:rPr>
              <w:t>8</w:t>
            </w:r>
            <w:r>
              <w:t xml:space="preserve"> secondo cui nell'ambito del quadro finanziario pluriennale (QFP) per il periodo 2021-2027 sono utilizzati oltre 5 000 indicatori di performance eterogenei e non aggregabili</w:t>
            </w:r>
            <w:r>
              <w:rPr>
                <w:b/>
                <w:i/>
              </w:rPr>
              <w:t>, che quindi non consentono una valutazione più obiettiva dell'efficacia dei finanziamenti nell'ambito del QFP,</w:t>
            </w:r>
            <w:r>
              <w:t xml:space="preserve"> e sono stati definiti circa 7 000 traguardi e obiettivi nell'ambito del dispositivo per la ripresa e la resilienza (RRF) che rispondono a diverse esigenze, quali la valutazione della performance nel contesto del progetto di bilancio e il monitoraggio e la valutazione dei programmi, dei piani degli Stati membri e degli esborsi di pagamento; </w:t>
            </w:r>
            <w:r>
              <w:rPr>
                <w:b/>
                <w:i/>
              </w:rPr>
              <w:t>sottolinea, in particolare, che la concezione del dispositivo per la ripresa e la resilienza ha reso difficile garantire una tracciabilità e una verificabilità sufficienti dell'uso dei fondi dell'UE, nonché la comparabilità dei risultati con altri strumenti di spesa dell'UE;</w:t>
            </w:r>
            <w:r>
              <w:t xml:space="preserve"> </w:t>
            </w:r>
            <w:r>
              <w:rPr>
                <w:b/>
                <w:i/>
              </w:rPr>
              <w:t>invita la Commissione a istituire un quadro di indicatori di performance più completo, armonizzato, trasparente e verificabile per i futuri strumenti, garantendo che il Parlamento e la Corte dei conti europea possano esercitare pienamente le loro responsabilità di controllo;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_________________</w:t>
            </w: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vertAlign w:val="superscript"/>
              </w:rPr>
              <w:t>8</w:t>
            </w:r>
            <w:r>
              <w:t xml:space="preserve"> </w:t>
            </w:r>
            <w:r>
              <w:t>Relazione sulla valutazione d'impatto (SWD (2025)0590) che accompagna la proposta della Commissione di regolamento che stabilisce un quadro di tracciamento della spesa di bilancio e della performance del bilancio (COM(2025) 0545).</w:t>
            </w:r>
          </w:p>
        </w:tc>
        <w:tc>
          <w:tcPr>
            <w:tcW w:w="4876" w:type="dxa"/>
            <w:tcBorders>
              <w:top w:val="nil"/>
              <w:left w:val="nil"/>
              <w:bottom w:val="nil"/>
              <w:right w:val="nil"/>
            </w:tcBorders>
          </w:tcPr>
          <w:p>
            <w:pPr>
              <w:pStyle w:val="Normal6a"/>
            </w:pPr>
            <w:r>
              <w:rPr>
                <w:vertAlign w:val="superscript"/>
              </w:rPr>
              <w:t>8</w:t>
            </w:r>
            <w:r>
              <w:t xml:space="preserve"> </w:t>
            </w:r>
            <w:r>
              <w:t>Relazione sulla valutazione d'impatto (SWD (2025)0590) che accompagna la proposta della Commissione di regolamento che stabilisce un quadro di tracciamento della spesa di bilancio e della performance del bilancio (COM(2025) 0545).</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Emendamento</w:t>
      </w:r>
      <w:r>
        <w:tab/>
      </w:r>
      <w:r>
        <w:tab/>
      </w:r>
      <w:r>
        <w:rPr>
          <w:rStyle w:val="HideTWBExt"/>
        </w:rPr>
        <w:t>&lt;NumAm&gt;</w:t>
      </w:r>
      <w:r>
        <w:t>37</w:t>
      </w:r>
      <w:r>
        <w:rPr>
          <w:rStyle w:val="HideTWBExt"/>
        </w:rPr>
        <w:t>&lt;/NumAm&gt;</w:t>
      </w:r>
    </w:p>
    <w:p>
      <w:pPr>
        <w:pStyle w:val="NormalBold"/>
      </w:pPr>
      <w:r>
        <w:rPr>
          <w:rStyle w:val="HideTWBExt"/>
          <w:b w:val="0"/>
        </w:rPr>
        <w:t>&lt;RepeatBlock-By&gt;</w:t>
      </w:r>
      <w:r>
        <w:rPr>
          <w:rStyle w:val="HideTWBExt"/>
          <w:b w:val="0"/>
        </w:rPr>
        <w:t>&lt;Members&gt;</w:t>
      </w:r>
      <w:r>
        <w:t>Julien Sanchez</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di risoluzione</w:t>
      </w:r>
      <w:r>
        <w:rPr>
          <w:rStyle w:val="HideTWBExt"/>
        </w:rPr>
        <w:t>&lt;/DocAmend&gt;</w:t>
      </w:r>
    </w:p>
    <w:p>
      <w:pPr>
        <w:pStyle w:val="NormalBold"/>
      </w:pPr>
      <w:r>
        <w:rPr>
          <w:rStyle w:val="HideTWBExt"/>
        </w:rPr>
        <w:t>&lt;Article&gt;</w:t>
      </w:r>
      <w:r>
        <w:t>Paragrafo 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Proposta di risoluzione</w:t>
            </w:r>
          </w:p>
        </w:tc>
        <w:tc>
          <w:tcPr>
            <w:tcW w:w="4876" w:type="dxa"/>
            <w:tcBorders>
              <w:top w:val="nil"/>
              <w:left w:val="nil"/>
              <w:bottom w:val="nil"/>
              <w:right w:val="nil"/>
            </w:tcBorders>
          </w:tcPr>
          <w:p>
            <w:pPr>
              <w:pStyle w:val="AmColumnHeading"/>
            </w:pPr>
            <w:r>
              <w:t>Emendamento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4.</w:t>
            </w:r>
            <w:r>
              <w:tab/>
            </w:r>
            <w:r>
              <w:t>deplora che il quadro di riferimento della performance per il bilancio dell'UE per il periodo 2021-2027 rimanga eccessivamente complesso e frammentato; prende atto della valutazione della Commissione</w:t>
            </w:r>
            <w:r>
              <w:rPr>
                <w:vertAlign w:val="superscript"/>
              </w:rPr>
              <w:t>8</w:t>
            </w:r>
            <w:r>
              <w:t>secondo cui nell'ambito del quadro finanziario pluriennale (QFP) per il periodo 2021-2027 sono utilizzati oltre 5 000 indicatori di performance eterogenei e non aggregabili e sono stati definiti circa 7 000 traguardi e obiettivi nell'ambito del dispositivo per la ripresa e la resilienza (RRF) che rispondono a diverse esigenze, quali la valutazione della performance nel contesto del progetto di bilancio e il monitoraggio e la valutazione dei programmi, dei piani degli Stati membri e degli esborsi di pagamento;</w:t>
            </w:r>
          </w:p>
        </w:tc>
        <w:tc>
          <w:tcPr>
            <w:tcW w:w="4876" w:type="dxa"/>
            <w:tcBorders>
              <w:top w:val="nil"/>
              <w:left w:val="nil"/>
              <w:bottom w:val="nil"/>
              <w:right w:val="nil"/>
            </w:tcBorders>
          </w:tcPr>
          <w:p>
            <w:pPr>
              <w:pStyle w:val="Normal6a"/>
            </w:pPr>
            <w:r>
              <w:t>4.</w:t>
            </w:r>
            <w:r>
              <w:tab/>
            </w:r>
            <w:r>
              <w:t>deplora che il quadro di riferimento della performance per il bilancio dell'UE per il periodo 2021-2027 rimanga eccessivamente complesso e frammentato; prende atto della valutazione della Commissione</w:t>
            </w:r>
            <w:r>
              <w:rPr>
                <w:vertAlign w:val="superscript"/>
              </w:rPr>
              <w:t>8</w:t>
            </w:r>
            <w:r>
              <w:t xml:space="preserve"> secondo cui nell'ambito del quadro finanziario pluriennale (QFP) per il periodo 2021-2027 sono utilizzati oltre 5 000 indicatori di performance eterogenei e non aggregabili e sono stati definiti circa 7 000 traguardi e obiettivi nell'ambito del dispositivo per la ripresa e la resilienza (RRF) che rispondono a diverse esigenze, quali la valutazione della performance nel contesto del progetto di bilancio e il monitoraggio e la valutazione dei programmi, dei piani degli Stati membri e degli esborsi di pagamento; </w:t>
            </w:r>
            <w:r>
              <w:rPr>
                <w:b/>
                <w:i/>
              </w:rPr>
              <w:t>si rammarica del fatto che, come ribadito dalla Corte dei conti europea, attualmente tali indicatori non si basino su elementi affidabili, quantificabili, misurabili e non soggetti a interpretazione;</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_________________</w:t>
            </w: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vertAlign w:val="superscript"/>
              </w:rPr>
              <w:t>8</w:t>
            </w:r>
            <w:r>
              <w:t xml:space="preserve"> </w:t>
            </w:r>
            <w:r>
              <w:t>Relazione sulla valutazione d'impatto (SWD (2025)0590) che accompagna la proposta della Commissione di regolamento che stabilisce un quadro di tracciamento della spesa di bilancio e della performance del bilancio (COM(2025) 0545).</w:t>
            </w:r>
          </w:p>
        </w:tc>
        <w:tc>
          <w:tcPr>
            <w:tcW w:w="4876" w:type="dxa"/>
            <w:tcBorders>
              <w:top w:val="nil"/>
              <w:left w:val="nil"/>
              <w:bottom w:val="nil"/>
              <w:right w:val="nil"/>
            </w:tcBorders>
          </w:tcPr>
          <w:p>
            <w:pPr>
              <w:pStyle w:val="Normal6a"/>
            </w:pPr>
            <w:r>
              <w:rPr>
                <w:vertAlign w:val="superscript"/>
              </w:rPr>
              <w:t>8</w:t>
            </w:r>
            <w:r>
              <w:t xml:space="preserve"> </w:t>
            </w:r>
            <w:r>
              <w:t>Relazione sulla valutazione d'impatto (SWD (2025)0590) che accompagna la proposta della Commissione di regolamento che stabilisce un quadro di tracciamento della spesa di bilancio e della performance del bilancio (COM(2025) 0545).</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&lt;/Amend&gt;</w:t>
      </w:r>
    </w:p>
    <w:p>
      <w:pPr>
        <w:pStyle w:val="AmNumberTabs"/>
      </w:pPr>
      <w:r>
        <w:rPr>
          <w:rStyle w:val="HideTWBExt"/>
        </w:rPr>
        <w:t>&lt;Amend&gt;</w:t>
      </w:r>
      <w:r>
        <w:t>Emendamento</w:t>
      </w:r>
      <w:r>
        <w:tab/>
      </w:r>
      <w:r>
        <w:tab/>
      </w:r>
      <w:r>
        <w:rPr>
          <w:rStyle w:val="HideTWBExt"/>
        </w:rPr>
        <w:t>&lt;NumAm&gt;</w:t>
      </w:r>
      <w:r>
        <w:t>38</w:t>
      </w:r>
      <w:r>
        <w:rPr>
          <w:rStyle w:val="HideTWBExt"/>
        </w:rPr>
        <w:t>&lt;/NumAm&gt;</w:t>
      </w:r>
    </w:p>
    <w:p>
      <w:pPr>
        <w:pStyle w:val="NormalBold"/>
      </w:pPr>
      <w:r>
        <w:rPr>
          <w:rStyle w:val="HideTWBExt"/>
          <w:b w:val="0"/>
        </w:rPr>
        <w:t>&lt;RepeatBlock-By&gt;</w:t>
      </w:r>
      <w:r>
        <w:rPr>
          <w:rStyle w:val="HideTWBExt"/>
          <w:b w:val="0"/>
        </w:rPr>
        <w:t>&lt;Members&gt;</w:t>
      </w:r>
      <w:r>
        <w:t>Cristian Terheş</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di risoluzione</w:t>
      </w:r>
      <w:r>
        <w:rPr>
          <w:rStyle w:val="HideTWBExt"/>
        </w:rPr>
        <w:t>&lt;/DocAmend&gt;</w:t>
      </w:r>
    </w:p>
    <w:p>
      <w:pPr>
        <w:pStyle w:val="NormalBold"/>
      </w:pPr>
      <w:r>
        <w:rPr>
          <w:rStyle w:val="HideTWBExt"/>
        </w:rPr>
        <w:t>&lt;Article&gt;</w:t>
      </w:r>
      <w:r>
        <w:t>Paragrafo 4 bis (nuovo)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Proposta di risoluzione</w:t>
            </w:r>
          </w:p>
        </w:tc>
        <w:tc>
          <w:tcPr>
            <w:tcW w:w="4876" w:type="dxa"/>
            <w:tcBorders>
              <w:top w:val="nil"/>
              <w:left w:val="nil"/>
              <w:bottom w:val="nil"/>
              <w:right w:val="nil"/>
            </w:tcBorders>
          </w:tcPr>
          <w:p>
            <w:pPr>
              <w:pStyle w:val="AmColumnHeading"/>
            </w:pPr>
            <w:r>
              <w:t>Emendamento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4 bis.</w:t>
            </w:r>
            <w:r>
              <w:tab/>
            </w:r>
            <w:r>
              <w:rPr>
                <w:b/>
                <w:i/>
              </w:rPr>
              <w:t>osserva con preoccupazione che oneri normativi e amministrativi eccessivi continuano a compromettere la competitività delle imprese europee rispetto ad altri blocchi economici globali;</w:t>
            </w:r>
            <w:r>
              <w:t xml:space="preserve"> </w:t>
            </w:r>
            <w:r>
              <w:rPr>
                <w:b/>
                <w:i/>
              </w:rPr>
              <w:t>sottolinea che tali oneri aumentano i costi operativi, riducono la produttività settoriale e creano ostacoli all'ingresso nel mercato di nuove imprese, scoraggiando in tal modo la concorrenza e l'innovazione;</w:t>
            </w:r>
            <w:r>
              <w:t xml:space="preserve"> </w:t>
            </w:r>
            <w:r>
              <w:rPr>
                <w:b/>
                <w:i/>
              </w:rPr>
              <w:t>osserva inoltre che tali inefficienze possono anche tradursi in prezzi più elevati per i consumatori;</w:t>
            </w:r>
            <w:r>
              <w:t xml:space="preserve"> </w:t>
            </w:r>
            <w:r>
              <w:rPr>
                <w:b/>
                <w:i/>
              </w:rPr>
              <w:t>ricorda che gli indicatori internazionali, compresa la banca dati Doing Business della Banca mondiale, suggeriscono che il contesto imprenditoriale nell'UE rimane meno favorevole rispetto ad altri paesi;</w:t>
            </w:r>
            <w:r>
              <w:t xml:space="preserve"> </w:t>
            </w:r>
            <w:r>
              <w:rPr>
                <w:b/>
                <w:i/>
              </w:rPr>
              <w:t>sottolinea che il 61 % delle imprese che hanno partecipato all'indagine della BEI sugli investimenti del 2023 ha individuato nella regolamentazione un grave ostacolo agli investimenti a lungo termine nell'UE, mentre l'83 % delle imprese intervistate da BusinessEurope in 21 Stati membri ha indicato la complessità normativa e la lunghezza delle procedure di autorizzazione come deterrenti fondamentali agli investimenti in Europa;</w:t>
            </w:r>
            <w:r>
              <w:t xml:space="preserve"> </w:t>
            </w:r>
            <w:r>
              <w:rPr>
                <w:b/>
                <w:i/>
              </w:rPr>
              <w:t>chiede pertanto una riduzione e una semplificazione sistematiche dei requisiti normativi e amministrativi, in particolare per le PMI, al fine di migliorare il contesto imprenditoriale europeo e la competitività globale</w:t>
            </w:r>
            <w:r>
              <w:rPr>
                <w:b/>
                <w:i/>
                <w:vertAlign w:val="superscript"/>
              </w:rPr>
              <w:t>1 bis</w:t>
            </w:r>
            <w:r>
              <w:rPr>
                <w:b/>
                <w:i/>
              </w:rPr>
              <w: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vertAlign w:val="superscript"/>
              </w:rPr>
              <w:t>1 bis</w:t>
            </w:r>
            <w:r>
              <w:t xml:space="preserve"> </w:t>
            </w:r>
            <w:r>
              <w:rPr>
                <w:b/>
                <w:i/>
              </w:rPr>
              <w:t>https://www.eib.org/en/publications/online/all/eib-investment-survey-2023</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Emendamento</w:t>
      </w:r>
      <w:r>
        <w:tab/>
      </w:r>
      <w:r>
        <w:tab/>
      </w:r>
      <w:r>
        <w:rPr>
          <w:rStyle w:val="HideTWBExt"/>
        </w:rPr>
        <w:t>&lt;NumAm&gt;</w:t>
      </w:r>
      <w:r>
        <w:t>39</w:t>
      </w:r>
      <w:r>
        <w:rPr>
          <w:rStyle w:val="HideTWBExt"/>
        </w:rPr>
        <w:t>&lt;/NumAm&gt;</w:t>
      </w:r>
    </w:p>
    <w:p>
      <w:pPr>
        <w:pStyle w:val="NormalBold"/>
      </w:pPr>
      <w:r>
        <w:rPr>
          <w:rStyle w:val="HideTWBExt"/>
          <w:b w:val="0"/>
        </w:rPr>
        <w:t>&lt;RepeatBlock-By&gt;</w:t>
      </w:r>
      <w:r>
        <w:rPr>
          <w:rStyle w:val="HideTWBExt"/>
          <w:b w:val="0"/>
        </w:rPr>
        <w:t>&lt;Members&gt;</w:t>
      </w:r>
      <w:r>
        <w:t>Cristian Terheş</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di risoluzione</w:t>
      </w:r>
      <w:r>
        <w:rPr>
          <w:rStyle w:val="HideTWBExt"/>
        </w:rPr>
        <w:t>&lt;/DocAmend&gt;</w:t>
      </w:r>
    </w:p>
    <w:p>
      <w:pPr>
        <w:pStyle w:val="NormalBold"/>
      </w:pPr>
      <w:r>
        <w:rPr>
          <w:rStyle w:val="HideTWBExt"/>
        </w:rPr>
        <w:t>&lt;Article&gt;</w:t>
      </w:r>
      <w:r>
        <w:t>Paragrafo 5 bis (nuovo)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Proposta di risoluzione</w:t>
            </w:r>
          </w:p>
        </w:tc>
        <w:tc>
          <w:tcPr>
            <w:tcW w:w="4876" w:type="dxa"/>
            <w:tcBorders>
              <w:top w:val="nil"/>
              <w:left w:val="nil"/>
              <w:bottom w:val="nil"/>
              <w:right w:val="nil"/>
            </w:tcBorders>
          </w:tcPr>
          <w:p>
            <w:pPr>
              <w:pStyle w:val="AmColumnHeading"/>
            </w:pPr>
            <w:r>
              <w:t>Emendamento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5 bis.</w:t>
            </w:r>
            <w:r>
              <w:tab/>
            </w:r>
            <w:r>
              <w:rPr>
                <w:b/>
                <w:i/>
              </w:rPr>
              <w:t>invita la Commissione e gli Stati membri a individuare ed eliminare gli ostacoli normativi che compromettono il funzionamento e la competitività del mercato unico della difesa;</w:t>
            </w:r>
            <w:r>
              <w:t xml:space="preserve"> </w:t>
            </w:r>
            <w:r>
              <w:rPr>
                <w:b/>
                <w:i/>
              </w:rPr>
              <w:t>accoglie con favore le iniziative volte a rafforzare una preferenza europea negli appalti nel settore della difesa, a condizione che tali misure non compromettano la ricostituzione immediata delle scorte critiche;</w:t>
            </w:r>
            <w:r>
              <w:t xml:space="preserve"> </w:t>
            </w:r>
            <w:r>
              <w:rPr>
                <w:b/>
                <w:i/>
              </w:rPr>
              <w:t>sottolinea l'importanza di aumentare la capacità produttiva, promuovere l'innovazione e distinguere chiaramente tra esigenze urgenti a breve termine e sviluppo strategico a più lungo termine, garantendo nel contempo che i fondi dell'Unione siano utilizzati in modo efficiente, trasparente e nel pieno rispetto dei requisiti applicabili in materia di controllo finanziario e quadro di riferimento dei risultati;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Emendamento</w:t>
      </w:r>
      <w:r>
        <w:tab/>
      </w:r>
      <w:r>
        <w:tab/>
      </w:r>
      <w:r>
        <w:rPr>
          <w:rStyle w:val="HideTWBExt"/>
        </w:rPr>
        <w:t>&lt;NumAm&gt;</w:t>
      </w:r>
      <w:r>
        <w:t>40</w:t>
      </w:r>
      <w:r>
        <w:rPr>
          <w:rStyle w:val="HideTWBExt"/>
        </w:rPr>
        <w:t>&lt;/NumAm&gt;</w:t>
      </w:r>
    </w:p>
    <w:p>
      <w:pPr>
        <w:pStyle w:val="NormalBold"/>
      </w:pPr>
      <w:r>
        <w:rPr>
          <w:rStyle w:val="HideTWBExt"/>
          <w:b w:val="0"/>
        </w:rPr>
        <w:t>&lt;RepeatBlock-By&gt;</w:t>
      </w:r>
      <w:r>
        <w:rPr>
          <w:rStyle w:val="HideTWBExt"/>
          <w:b w:val="0"/>
        </w:rPr>
        <w:t>&lt;Members&gt;</w:t>
      </w:r>
      <w:r>
        <w:t>Arno Bausemer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di risoluzione</w:t>
      </w:r>
      <w:r>
        <w:rPr>
          <w:rStyle w:val="HideTWBExt"/>
        </w:rPr>
        <w:t>&lt;/DocAmend&gt;</w:t>
      </w:r>
    </w:p>
    <w:p>
      <w:pPr>
        <w:pStyle w:val="NormalBold"/>
      </w:pPr>
      <w:r>
        <w:rPr>
          <w:rStyle w:val="HideTWBExt"/>
        </w:rPr>
        <w:t>&lt;Article&gt;</w:t>
      </w:r>
      <w:r>
        <w:t>Paragrafo 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Proposta di risoluzione</w:t>
            </w:r>
          </w:p>
        </w:tc>
        <w:tc>
          <w:tcPr>
            <w:tcW w:w="4876" w:type="dxa"/>
            <w:tcBorders>
              <w:top w:val="nil"/>
              <w:left w:val="nil"/>
              <w:bottom w:val="nil"/>
              <w:right w:val="nil"/>
            </w:tcBorders>
          </w:tcPr>
          <w:p>
            <w:pPr>
              <w:pStyle w:val="AmColumnHeading"/>
            </w:pPr>
            <w:r>
              <w:t>Emendamento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6.</w:t>
            </w:r>
            <w:r>
              <w:tab/>
            </w:r>
            <w:r>
              <w:t>ritiene che il quadro della performance del bilancio dell'UE dovrebbe essere semplificato in modo da garantire un approccio armonizzato nella misurazione degli effetti della spesa dell'UE in tutti gli Stati membri, ridurre gli oneri amministrativi complessivi, razionalizzare gli obblighi di comunicazione e aumentare la trasparenza riducendo il sovraccarico di informazioni, permettendo nel contempo di tenere pienamente conto degli effetti dei finanziamenti dell'UE, compreso il valore aggiunto degli interventi dell'UE che gli Stati membri non riuscirebbero a ottenere da soli;</w:t>
            </w:r>
          </w:p>
        </w:tc>
        <w:tc>
          <w:tcPr>
            <w:tcW w:w="4876" w:type="dxa"/>
            <w:tcBorders>
              <w:top w:val="nil"/>
              <w:left w:val="nil"/>
              <w:bottom w:val="nil"/>
              <w:right w:val="nil"/>
            </w:tcBorders>
          </w:tcPr>
          <w:p>
            <w:pPr>
              <w:pStyle w:val="Normal6a"/>
            </w:pPr>
            <w:r>
              <w:t>6.</w:t>
            </w:r>
            <w:r>
              <w:tab/>
            </w:r>
            <w:r>
              <w:t xml:space="preserve">ritiene che il quadro della performance del bilancio dell'UE dovrebbe essere semplificato in modo da garantire un approccio armonizzato nella misurazione degli effetti della spesa dell'UE in tutti gli Stati membri, ridurre gli oneri amministrativi complessivi, razionalizzare gli obblighi di comunicazione e aumentare la trasparenza riducendo il sovraccarico di informazioni, permettendo nel contempo di tenere pienamente conto degli effetti dei finanziamenti dell'UE, compreso il valore aggiunto degli interventi dell'UE che gli Stati membri non riuscirebbero a ottenere da soli; </w:t>
            </w:r>
            <w:r>
              <w:rPr>
                <w:b/>
                <w:i/>
              </w:rPr>
              <w:t>sottolinea che, per garantire un'autonomia di bilancio democratica e nazionale, la valutazione dei programmi di performance finanziati dall'UE deve restare principalmente responsabilità degli Stati membri e delle loro istituzioni nazionali di controllo;</w:t>
            </w:r>
          </w:p>
        </w:tc>
      </w:tr>
    </w:tbl>
    <w:p>
      <w:pPr>
        <w:pStyle w:val="AmOrLang"/>
      </w:pPr>
      <w:r>
        <w:t xml:space="preserve">Or. </w:t>
      </w:r>
      <w:r>
        <w:rPr>
          <w:rStyle w:val="HideTWBExt"/>
        </w:rPr>
        <w:t>&lt;Original&gt;</w:t>
      </w:r>
      <w:r>
        <w:rPr>
          <w:rStyle w:val="HideTWBInt"/>
        </w:rPr>
        <w:t>{DE}</w:t>
      </w:r>
      <w:r>
        <w:t>de</w:t>
      </w:r>
      <w:r>
        <w:rPr>
          <w:rStyle w:val="HideTWBExt"/>
        </w:rPr>
        <w:t>&lt;/Original&gt;</w:t>
      </w:r>
    </w:p>
    <w:p>
      <w:r>
        <w:rPr>
          <w:rStyle w:val="HideTWBExt"/>
        </w:rPr>
        <w:t>&lt;/Amend&gt;</w:t>
      </w:r>
    </w:p>
    <w:p>
      <w:pPr>
        <w:pStyle w:val="AmNumberTabs"/>
      </w:pPr>
      <w:r>
        <w:rPr>
          <w:rStyle w:val="HideTWBExt"/>
        </w:rPr>
        <w:t>&lt;Amend&gt;</w:t>
      </w:r>
      <w:r>
        <w:t>Emendamento</w:t>
      </w:r>
      <w:r>
        <w:tab/>
      </w:r>
      <w:r>
        <w:tab/>
      </w:r>
      <w:r>
        <w:rPr>
          <w:rStyle w:val="HideTWBExt"/>
        </w:rPr>
        <w:t>&lt;NumAm&gt;</w:t>
      </w:r>
      <w:r>
        <w:t>41</w:t>
      </w:r>
      <w:r>
        <w:rPr>
          <w:rStyle w:val="HideTWBExt"/>
        </w:rPr>
        <w:t>&lt;/NumAm&gt;</w:t>
      </w:r>
    </w:p>
    <w:p>
      <w:pPr>
        <w:pStyle w:val="NormalBold"/>
      </w:pPr>
      <w:r>
        <w:rPr>
          <w:rStyle w:val="HideTWBExt"/>
          <w:b w:val="0"/>
        </w:rPr>
        <w:t>&lt;RepeatBlock-By&gt;</w:t>
      </w:r>
      <w:r>
        <w:rPr>
          <w:rStyle w:val="HideTWBExt"/>
          <w:b w:val="0"/>
        </w:rPr>
        <w:t>&lt;Members&gt;</w:t>
      </w:r>
      <w:r>
        <w:t>Kinga Kollár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di risoluzione</w:t>
      </w:r>
      <w:r>
        <w:rPr>
          <w:rStyle w:val="HideTWBExt"/>
        </w:rPr>
        <w:t>&lt;/DocAmend&gt;</w:t>
      </w:r>
    </w:p>
    <w:p>
      <w:pPr>
        <w:pStyle w:val="NormalBold"/>
      </w:pPr>
      <w:r>
        <w:rPr>
          <w:rStyle w:val="HideTWBExt"/>
        </w:rPr>
        <w:t>&lt;Article&gt;</w:t>
      </w:r>
      <w:r>
        <w:t>Paragrafo 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Proposta di risoluzione</w:t>
            </w:r>
          </w:p>
        </w:tc>
        <w:tc>
          <w:tcPr>
            <w:tcW w:w="4876" w:type="dxa"/>
            <w:tcBorders>
              <w:top w:val="nil"/>
              <w:left w:val="nil"/>
              <w:bottom w:val="nil"/>
              <w:right w:val="nil"/>
            </w:tcBorders>
          </w:tcPr>
          <w:p>
            <w:pPr>
              <w:pStyle w:val="AmColumnHeading"/>
            </w:pPr>
            <w:r>
              <w:t>Emendamento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6.</w:t>
            </w:r>
            <w:r>
              <w:tab/>
            </w:r>
            <w:r>
              <w:t>ritiene che il quadro della performance del bilancio dell'UE dovrebbe essere semplificato in modo da garantire un approccio armonizzato nella misurazione degli effetti della spesa dell'UE in tutti gli Stati membri, ridurre gli oneri amministrativi complessivi, razionalizzare gli obblighi di comunicazione e aumentare la trasparenza riducendo il sovraccarico di informazioni, permettendo nel contempo di tenere pienamente conto degli effetti dei finanziamenti dell'UE, compreso il valore aggiunto degli interventi dell'UE che gli Stati membri non riuscirebbero a ottenere da soli;</w:t>
            </w:r>
          </w:p>
        </w:tc>
        <w:tc>
          <w:tcPr>
            <w:tcW w:w="4876" w:type="dxa"/>
            <w:tcBorders>
              <w:top w:val="nil"/>
              <w:left w:val="nil"/>
              <w:bottom w:val="nil"/>
              <w:right w:val="nil"/>
            </w:tcBorders>
          </w:tcPr>
          <w:p>
            <w:pPr>
              <w:pStyle w:val="Normal6a"/>
            </w:pPr>
            <w:r>
              <w:t>6.</w:t>
            </w:r>
            <w:r>
              <w:tab/>
            </w:r>
            <w:r>
              <w:t xml:space="preserve">ritiene che il quadro della performance del bilancio dell'UE dovrebbe essere semplificato in modo da garantire un approccio armonizzato </w:t>
            </w:r>
            <w:r>
              <w:rPr>
                <w:b/>
                <w:i/>
              </w:rPr>
              <w:t>e proporzionato</w:t>
            </w:r>
            <w:r>
              <w:t xml:space="preserve"> nella misurazione degli effetti della spesa dell'UE in tutti gli Stati membri </w:t>
            </w:r>
            <w:r>
              <w:rPr>
                <w:b/>
                <w:i/>
              </w:rPr>
              <w:t>in modo accurato e realistico</w:t>
            </w:r>
            <w:r>
              <w:t xml:space="preserve">, </w:t>
            </w:r>
            <w:r>
              <w:rPr>
                <w:b/>
                <w:i/>
              </w:rPr>
              <w:t>al fine di</w:t>
            </w:r>
            <w:r>
              <w:t xml:space="preserve"> ridurre gli oneri amministrativi complessivi, </w:t>
            </w:r>
            <w:r>
              <w:rPr>
                <w:b/>
                <w:i/>
              </w:rPr>
              <w:t>in particolare per le PMI e le autorità locali;</w:t>
            </w:r>
            <w:r>
              <w:t xml:space="preserve"> razionalizzare gli obblighi di comunicazione e aumentare la trasparenza riducendo il sovraccarico di informazioni, permettendo nel contempo di tenere pienamente conto degli effetti dei finanziamenti dell'UE, compreso il valore aggiunto degli interventi dell'UE che gli Stati membri non riuscirebbero a ottenere da soli; </w:t>
            </w:r>
            <w:r>
              <w:rPr>
                <w:b/>
                <w:i/>
              </w:rPr>
              <w:t>sottolinea che la semplificazione non dovrebbe andare a scapito della trasparenza, ma dovrebbe contribuire a razionalizzare la rendicontazione e a rendere più accessibili e utili le informazioni sulla performance dei finanziamenti;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Emendamento</w:t>
      </w:r>
      <w:r>
        <w:tab/>
      </w:r>
      <w:r>
        <w:tab/>
      </w:r>
      <w:r>
        <w:rPr>
          <w:rStyle w:val="HideTWBExt"/>
        </w:rPr>
        <w:t>&lt;NumAm&gt;</w:t>
      </w:r>
      <w:r>
        <w:t>42</w:t>
      </w:r>
      <w:r>
        <w:rPr>
          <w:rStyle w:val="HideTWBExt"/>
        </w:rPr>
        <w:t>&lt;/NumAm&gt;</w:t>
      </w:r>
    </w:p>
    <w:p>
      <w:pPr>
        <w:pStyle w:val="NormalBold"/>
      </w:pPr>
      <w:r>
        <w:rPr>
          <w:rStyle w:val="HideTWBExt"/>
          <w:b w:val="0"/>
        </w:rPr>
        <w:t>&lt;RepeatBlock-By&gt;</w:t>
      </w:r>
      <w:r>
        <w:rPr>
          <w:rStyle w:val="HideTWBExt"/>
          <w:b w:val="0"/>
        </w:rPr>
        <w:t>&lt;Members&gt;</w:t>
      </w:r>
      <w:r>
        <w:t>Terry Reintke</w:t>
      </w:r>
      <w:r>
        <w:rPr>
          <w:rStyle w:val="HideTWBExt"/>
          <w:b w:val="0"/>
        </w:rPr>
        <w:t>&lt;/Members&gt;</w:t>
      </w:r>
    </w:p>
    <w:p>
      <w:r>
        <w:rPr>
          <w:rStyle w:val="HideTWBExt"/>
          <w:b w:val="0"/>
        </w:rPr>
        <w:t>&lt;AuNomDe&gt;</w:t>
      </w:r>
      <w:r>
        <w:rPr>
          <w:rStyle w:val="HideTWBInt"/>
        </w:rPr>
        <w:t>{Verts/ALE}</w:t>
      </w:r>
      <w:r>
        <w:t>a nome del gruppo Verts/ALE</w:t>
      </w:r>
      <w:r>
        <w:rPr>
          <w:rStyle w:val="HideTWBExt"/>
          <w:b w:val="0"/>
        </w:rPr>
        <w:t>&lt;/AuNomDe&gt;</w:t>
      </w:r>
    </w:p>
    <w:p>
      <w:pPr>
        <w:pStyle w:val="NormalBold"/>
      </w:pPr>
      <w:r>
        <w:rPr>
          <w:rStyle w:val="HideTWBExt"/>
          <w:b w:val="0"/>
        </w:rPr>
        <w:t>&lt;/RepeatBlock-By&gt;</w:t>
      </w:r>
    </w:p>
    <w:p>
      <w:pPr>
        <w:pStyle w:val="NormalBold"/>
      </w:pPr>
      <w:r>
        <w:rPr>
          <w:rStyle w:val="HideTWBExt"/>
        </w:rPr>
        <w:t>&lt;DocAmend&gt;</w:t>
      </w:r>
      <w:r>
        <w:t>Proposta di risoluzione</w:t>
      </w:r>
      <w:r>
        <w:rPr>
          <w:rStyle w:val="HideTWBExt"/>
        </w:rPr>
        <w:t>&lt;/DocAmend&gt;</w:t>
      </w:r>
    </w:p>
    <w:p>
      <w:pPr>
        <w:pStyle w:val="NormalBold"/>
      </w:pPr>
      <w:r>
        <w:rPr>
          <w:rStyle w:val="HideTWBExt"/>
        </w:rPr>
        <w:t>&lt;Article&gt;</w:t>
      </w:r>
      <w:r>
        <w:t>Paragrafo 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Proposta di risoluzione</w:t>
            </w:r>
          </w:p>
        </w:tc>
        <w:tc>
          <w:tcPr>
            <w:tcW w:w="4876" w:type="dxa"/>
            <w:tcBorders>
              <w:top w:val="nil"/>
              <w:left w:val="nil"/>
              <w:bottom w:val="nil"/>
              <w:right w:val="nil"/>
            </w:tcBorders>
          </w:tcPr>
          <w:p>
            <w:pPr>
              <w:pStyle w:val="AmColumnHeading"/>
            </w:pPr>
            <w:r>
              <w:t>Emendamento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6.</w:t>
            </w:r>
            <w:r>
              <w:tab/>
            </w:r>
            <w:r>
              <w:t>ritiene che il quadro della performance del bilancio dell'UE dovrebbe essere semplificato in modo da garantire un approccio armonizzato nella misurazione degli effetti della spesa dell'UE in tutti gli Stati membri, ridurre gli oneri amministrativi complessivi, razionalizzare gli obblighi di comunicazione e aumentare la trasparenza riducendo il sovraccarico di informazioni, permettendo nel contempo di tenere pienamente conto degli effetti dei finanziamenti dell'UE, compreso il valore aggiunto degli interventi dell'UE che gli Stati membri non riuscirebbero a ottenere da soli;</w:t>
            </w:r>
          </w:p>
        </w:tc>
        <w:tc>
          <w:tcPr>
            <w:tcW w:w="4876" w:type="dxa"/>
            <w:tcBorders>
              <w:top w:val="nil"/>
              <w:left w:val="nil"/>
              <w:bottom w:val="nil"/>
              <w:right w:val="nil"/>
            </w:tcBorders>
          </w:tcPr>
          <w:p>
            <w:pPr>
              <w:pStyle w:val="Normal6a"/>
            </w:pPr>
            <w:r>
              <w:t>6.</w:t>
            </w:r>
            <w:r>
              <w:tab/>
            </w:r>
            <w:r>
              <w:t xml:space="preserve">ritiene che il quadro della performance del bilancio dell'UE dovrebbe essere semplificato in modo da garantire un approccio armonizzato nella misurazione degli effetti della spesa dell'UE in tutti gli Stati membri, ridurre gli oneri amministrativi complessivi, razionalizzare gli obblighi di comunicazione e aumentare la trasparenza riducendo il sovraccarico di informazioni, permettendo nel contempo di tenere pienamente conto degli effetti dei finanziamenti dell'UE, compreso il valore aggiunto degli interventi dell'UE che gli Stati membri non riuscirebbero a ottenere da soli; </w:t>
            </w:r>
            <w:r>
              <w:rPr>
                <w:b/>
                <w:i/>
              </w:rPr>
              <w:t>sottolinea che la semplificazione non deve diluire le piste di controllo;</w:t>
            </w:r>
            <w:r>
              <w:t xml:space="preserve"> </w:t>
            </w:r>
            <w:r>
              <w:rPr>
                <w:b/>
                <w:i/>
              </w:rPr>
              <w:t>ricorda che tutti gli indicatori devono essere collegabili agli impegni, ai pagamenti e ai contratti sottostanti, con identificatori dei beneficiari e dati sugli appalti che consentano l'analisi dei rischi;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Emendamento</w:t>
      </w:r>
      <w:r>
        <w:tab/>
      </w:r>
      <w:r>
        <w:tab/>
      </w:r>
      <w:r>
        <w:rPr>
          <w:rStyle w:val="HideTWBExt"/>
        </w:rPr>
        <w:t>&lt;NumAm&gt;</w:t>
      </w:r>
      <w:r>
        <w:t>43</w:t>
      </w:r>
      <w:r>
        <w:rPr>
          <w:rStyle w:val="HideTWBExt"/>
        </w:rPr>
        <w:t>&lt;/NumAm&gt;</w:t>
      </w:r>
    </w:p>
    <w:p>
      <w:pPr>
        <w:pStyle w:val="NormalBold"/>
      </w:pPr>
      <w:r>
        <w:rPr>
          <w:rStyle w:val="HideTWBExt"/>
          <w:b w:val="0"/>
        </w:rPr>
        <w:t>&lt;RepeatBlock-By&gt;</w:t>
      </w:r>
      <w:r>
        <w:rPr>
          <w:rStyle w:val="HideTWBExt"/>
          <w:b w:val="0"/>
        </w:rPr>
        <w:t>&lt;Members&gt;</w:t>
      </w:r>
      <w:r>
        <w:t>Dick Erixon, Şerban Dimitrie Sturdza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di risoluzione</w:t>
      </w:r>
      <w:r>
        <w:rPr>
          <w:rStyle w:val="HideTWBExt"/>
        </w:rPr>
        <w:t>&lt;/DocAmend&gt;</w:t>
      </w:r>
    </w:p>
    <w:p>
      <w:pPr>
        <w:pStyle w:val="NormalBold"/>
      </w:pPr>
      <w:r>
        <w:rPr>
          <w:rStyle w:val="HideTWBExt"/>
        </w:rPr>
        <w:t>&lt;Article&gt;</w:t>
      </w:r>
      <w:r>
        <w:t>Paragrafo 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Proposta di risoluzione</w:t>
            </w:r>
          </w:p>
        </w:tc>
        <w:tc>
          <w:tcPr>
            <w:tcW w:w="4876" w:type="dxa"/>
            <w:tcBorders>
              <w:top w:val="nil"/>
              <w:left w:val="nil"/>
              <w:bottom w:val="nil"/>
              <w:right w:val="nil"/>
            </w:tcBorders>
          </w:tcPr>
          <w:p>
            <w:pPr>
              <w:pStyle w:val="AmColumnHeading"/>
            </w:pPr>
            <w:r>
              <w:t>Emendamento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6.</w:t>
            </w:r>
            <w:r>
              <w:tab/>
            </w:r>
            <w:r>
              <w:t>ritiene che il quadro della performance del bilancio dell'UE dovrebbe essere semplificato in modo da garantire un approccio armonizzato nella misurazione degli effetti della spesa dell'UE in tutti gli Stati membri, ridurre gli oneri amministrativi complessivi, razionalizzare gli obblighi di comunicazione e aumentare la trasparenza riducendo il sovraccarico di informazioni, permettendo nel contempo di tenere pienamente conto degli effetti dei finanziamenti dell'UE, compreso il valore aggiunto degli interventi dell'UE che gli Stati membri non riuscirebbero a ottenere da soli;</w:t>
            </w:r>
          </w:p>
        </w:tc>
        <w:tc>
          <w:tcPr>
            <w:tcW w:w="4876" w:type="dxa"/>
            <w:tcBorders>
              <w:top w:val="nil"/>
              <w:left w:val="nil"/>
              <w:bottom w:val="nil"/>
              <w:right w:val="nil"/>
            </w:tcBorders>
          </w:tcPr>
          <w:p>
            <w:pPr>
              <w:pStyle w:val="Normal6a"/>
            </w:pPr>
            <w:r>
              <w:t>6.</w:t>
            </w:r>
            <w:r>
              <w:tab/>
            </w:r>
            <w:r>
              <w:t xml:space="preserve">ritiene che il quadro della performance del bilancio dell'UE dovrebbe essere semplificato in modo da garantire un approccio armonizzato nella misurazione degli effetti della spesa dell'UE in tutti gli Stati membri, ridurre gli oneri amministrativi complessivi, razionalizzare gli obblighi di comunicazione e aumentare la trasparenza riducendo il sovraccarico di informazioni, permettendo nel contempo di tenere pienamente conto degli effetti dei finanziamenti dell'UE, compreso il valore aggiunto degli interventi dell'UE che gli Stati membri non riuscirebbero a ottenere da soli; </w:t>
            </w:r>
            <w:r>
              <w:rPr>
                <w:b/>
                <w:i/>
              </w:rPr>
              <w:t>tutti i quadri della performance dovrebbero essere soggetti a un'analisi costi-benefici, garantendo la trasparenza e raggiungendo gli obiettivi di sostenibilità di bilancio;</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Emendamento</w:t>
      </w:r>
      <w:r>
        <w:tab/>
      </w:r>
      <w:r>
        <w:tab/>
      </w:r>
      <w:r>
        <w:rPr>
          <w:rStyle w:val="HideTWBExt"/>
        </w:rPr>
        <w:t>&lt;NumAm&gt;</w:t>
      </w:r>
      <w:r>
        <w:t>44</w:t>
      </w:r>
      <w:r>
        <w:rPr>
          <w:rStyle w:val="HideTWBExt"/>
        </w:rPr>
        <w:t>&lt;/NumAm&gt;</w:t>
      </w:r>
    </w:p>
    <w:p>
      <w:pPr>
        <w:pStyle w:val="NormalBold"/>
      </w:pPr>
      <w:r>
        <w:rPr>
          <w:rStyle w:val="HideTWBExt"/>
          <w:b w:val="0"/>
        </w:rPr>
        <w:t>&lt;RepeatBlock-By&gt;</w:t>
      </w:r>
      <w:r>
        <w:rPr>
          <w:rStyle w:val="HideTWBExt"/>
          <w:b w:val="0"/>
        </w:rPr>
        <w:t>&lt;Members&gt;</w:t>
      </w:r>
      <w:r>
        <w:t>Carla Tavares, José Cepeda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di risoluzione</w:t>
      </w:r>
      <w:r>
        <w:rPr>
          <w:rStyle w:val="HideTWBExt"/>
        </w:rPr>
        <w:t>&lt;/DocAmend&gt;</w:t>
      </w:r>
    </w:p>
    <w:p>
      <w:pPr>
        <w:pStyle w:val="NormalBold"/>
      </w:pPr>
      <w:r>
        <w:rPr>
          <w:rStyle w:val="HideTWBExt"/>
        </w:rPr>
        <w:t>&lt;Article&gt;</w:t>
      </w:r>
      <w:r>
        <w:t>Paragrafo 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Proposta di risoluzione</w:t>
            </w:r>
          </w:p>
        </w:tc>
        <w:tc>
          <w:tcPr>
            <w:tcW w:w="4876" w:type="dxa"/>
            <w:tcBorders>
              <w:top w:val="nil"/>
              <w:left w:val="nil"/>
              <w:bottom w:val="nil"/>
              <w:right w:val="nil"/>
            </w:tcBorders>
          </w:tcPr>
          <w:p>
            <w:pPr>
              <w:pStyle w:val="AmColumnHeading"/>
            </w:pPr>
            <w:r>
              <w:t>Emendamento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6.</w:t>
            </w:r>
            <w:r>
              <w:tab/>
            </w:r>
            <w:r>
              <w:t xml:space="preserve">ritiene che il quadro della performance del bilancio dell'UE dovrebbe </w:t>
            </w:r>
            <w:r>
              <w:rPr>
                <w:b/>
                <w:i/>
              </w:rPr>
              <w:t>essere semplificato in modo da</w:t>
            </w:r>
            <w:r>
              <w:t xml:space="preserve"> garantire un approccio armonizzato nella misurazione degli effetti della spesa dell'UE in tutti gli Stati membri, </w:t>
            </w:r>
            <w:r>
              <w:rPr>
                <w:b/>
                <w:i/>
              </w:rPr>
              <w:t>ridurre</w:t>
            </w:r>
            <w:r>
              <w:t xml:space="preserve"> gli oneri amministrativi complessivi</w:t>
            </w:r>
            <w:r>
              <w:rPr>
                <w:b/>
                <w:i/>
              </w:rPr>
              <w:t>, razionalizzare</w:t>
            </w:r>
            <w:r>
              <w:t xml:space="preserve"> gli obblighi di comunicazione e aumentare la trasparenza </w:t>
            </w:r>
            <w:r>
              <w:rPr>
                <w:b/>
                <w:i/>
              </w:rPr>
              <w:t>riducendo</w:t>
            </w:r>
            <w:r>
              <w:t xml:space="preserve"> il sovraccarico di informazioni, permettendo nel contempo di tenere pienamente conto degli effetti dei finanziamenti dell'UE, compreso il valore aggiunto degli interventi dell'UE che gli Stati membri non riuscirebbero a ottenere da soli;</w:t>
            </w:r>
          </w:p>
        </w:tc>
        <w:tc>
          <w:tcPr>
            <w:tcW w:w="4876" w:type="dxa"/>
            <w:tcBorders>
              <w:top w:val="nil"/>
              <w:left w:val="nil"/>
              <w:bottom w:val="nil"/>
              <w:right w:val="nil"/>
            </w:tcBorders>
          </w:tcPr>
          <w:p>
            <w:pPr>
              <w:pStyle w:val="Normal6a"/>
            </w:pPr>
            <w:r>
              <w:t>6.</w:t>
            </w:r>
            <w:r>
              <w:tab/>
            </w:r>
            <w:r>
              <w:t xml:space="preserve">ritiene che il quadro della performance del bilancio dell'UE dovrebbe garantire un approccio armonizzato nella misurazione degli effetti della spesa dell'UE in tutti gli Stati membri, </w:t>
            </w:r>
            <w:r>
              <w:rPr>
                <w:b/>
                <w:i/>
              </w:rPr>
              <w:t>razionalizzare</w:t>
            </w:r>
            <w:r>
              <w:t xml:space="preserve"> gli oneri amministrativi complessivi </w:t>
            </w:r>
            <w:r>
              <w:rPr>
                <w:b/>
                <w:i/>
              </w:rPr>
              <w:t>e</w:t>
            </w:r>
            <w:r>
              <w:t xml:space="preserve"> gli obblighi di comunicazione e aumentare la trasparenza </w:t>
            </w:r>
            <w:r>
              <w:rPr>
                <w:b/>
                <w:i/>
              </w:rPr>
              <w:t>evitando</w:t>
            </w:r>
            <w:r>
              <w:t xml:space="preserve"> il sovraccarico di informazioni, permettendo nel contempo di tenere pienamente conto degli effetti dei finanziamenti dell'UE, compreso il valore aggiunto degli interventi dell'UE che gli Stati membri non riuscirebbero a ottenere da soli;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Emendamento</w:t>
      </w:r>
      <w:r>
        <w:tab/>
      </w:r>
      <w:r>
        <w:tab/>
      </w:r>
      <w:r>
        <w:rPr>
          <w:rStyle w:val="HideTWBExt"/>
        </w:rPr>
        <w:t>&lt;NumAm&gt;</w:t>
      </w:r>
      <w:r>
        <w:t>45</w:t>
      </w:r>
      <w:r>
        <w:rPr>
          <w:rStyle w:val="HideTWBExt"/>
        </w:rPr>
        <w:t>&lt;/NumAm&gt;</w:t>
      </w:r>
    </w:p>
    <w:p>
      <w:pPr>
        <w:pStyle w:val="NormalBold"/>
      </w:pPr>
      <w:r>
        <w:rPr>
          <w:rStyle w:val="HideTWBExt"/>
          <w:b w:val="0"/>
        </w:rPr>
        <w:t>&lt;RepeatBlock-By&gt;</w:t>
      </w:r>
      <w:r>
        <w:rPr>
          <w:rStyle w:val="HideTWBExt"/>
          <w:b w:val="0"/>
        </w:rPr>
        <w:t>&lt;Members&gt;</w:t>
      </w:r>
      <w:r>
        <w:t>Şerban Dimitrie Sturdza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di risoluzione</w:t>
      </w:r>
      <w:r>
        <w:rPr>
          <w:rStyle w:val="HideTWBExt"/>
        </w:rPr>
        <w:t>&lt;/DocAmend&gt;</w:t>
      </w:r>
    </w:p>
    <w:p>
      <w:pPr>
        <w:pStyle w:val="NormalBold"/>
      </w:pPr>
      <w:r>
        <w:rPr>
          <w:rStyle w:val="HideTWBExt"/>
        </w:rPr>
        <w:t>&lt;Article&gt;</w:t>
      </w:r>
      <w:r>
        <w:t>Paragrafo 6 bis (nuovo)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Proposta di risoluzione</w:t>
            </w:r>
          </w:p>
        </w:tc>
        <w:tc>
          <w:tcPr>
            <w:tcW w:w="4876" w:type="dxa"/>
            <w:tcBorders>
              <w:top w:val="nil"/>
              <w:left w:val="nil"/>
              <w:bottom w:val="nil"/>
              <w:right w:val="nil"/>
            </w:tcBorders>
          </w:tcPr>
          <w:p>
            <w:pPr>
              <w:pStyle w:val="AmColumnHeading"/>
            </w:pPr>
            <w:r>
              <w:t>Emendamento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6 bis.</w:t>
            </w:r>
            <w:r>
              <w:tab/>
            </w:r>
            <w:r>
              <w:rPr>
                <w:b/>
                <w:i/>
              </w:rPr>
              <w:t>sottolinea che la spesa orientata alla competitività dovrebbe dare priorità all'efficienza e agli incrementi di produttività a lungo termine piuttosto che alla ridistribuzione a breve termine;</w:t>
            </w:r>
            <w:r>
              <w:t xml:space="preserve"> </w:t>
            </w:r>
            <w:r>
              <w:rPr>
                <w:b/>
                <w:i/>
              </w:rPr>
              <w:t>sottolinea che le risorse europee dovrebbero essere destinate a correggere le inefficienze del mercato, catalizzare gli investimenti privati e sostenere i progetti con un impatto economico misurabile e un chiaro valore aggiunto;</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Emendamento</w:t>
      </w:r>
      <w:r>
        <w:tab/>
      </w:r>
      <w:r>
        <w:tab/>
      </w:r>
      <w:r>
        <w:rPr>
          <w:rStyle w:val="HideTWBExt"/>
        </w:rPr>
        <w:t>&lt;NumAm&gt;</w:t>
      </w:r>
      <w:r>
        <w:t>46</w:t>
      </w:r>
      <w:r>
        <w:rPr>
          <w:rStyle w:val="HideTWBExt"/>
        </w:rPr>
        <w:t>&lt;/NumAm&gt;</w:t>
      </w:r>
    </w:p>
    <w:p>
      <w:pPr>
        <w:pStyle w:val="NormalBold"/>
      </w:pPr>
      <w:r>
        <w:rPr>
          <w:rStyle w:val="HideTWBExt"/>
          <w:b w:val="0"/>
        </w:rPr>
        <w:t>&lt;RepeatBlock-By&gt;</w:t>
      </w:r>
      <w:r>
        <w:rPr>
          <w:rStyle w:val="HideTWBExt"/>
          <w:b w:val="0"/>
        </w:rPr>
        <w:t>&lt;Members&gt;</w:t>
      </w:r>
      <w:r>
        <w:t>Pasquale Tridico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di risoluzione</w:t>
      </w:r>
      <w:r>
        <w:rPr>
          <w:rStyle w:val="HideTWBExt"/>
        </w:rPr>
        <w:t>&lt;/DocAmend&gt;</w:t>
      </w:r>
    </w:p>
    <w:p>
      <w:pPr>
        <w:pStyle w:val="NormalBold"/>
      </w:pPr>
      <w:r>
        <w:rPr>
          <w:rStyle w:val="HideTWBExt"/>
        </w:rPr>
        <w:t>&lt;Article&gt;</w:t>
      </w:r>
      <w:r>
        <w:t>Paragrafo 6 bis (nuovo)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Proposta di risoluzione</w:t>
            </w:r>
          </w:p>
        </w:tc>
        <w:tc>
          <w:tcPr>
            <w:tcW w:w="4876" w:type="dxa"/>
            <w:tcBorders>
              <w:top w:val="nil"/>
              <w:left w:val="nil"/>
              <w:bottom w:val="nil"/>
              <w:right w:val="nil"/>
            </w:tcBorders>
          </w:tcPr>
          <w:p>
            <w:pPr>
              <w:pStyle w:val="AmColumnHeading"/>
            </w:pPr>
            <w:r>
              <w:t>Emendamento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6 bis.</w:t>
            </w:r>
            <w:r>
              <w:tab/>
            </w:r>
            <w:r>
              <w:rPr>
                <w:b/>
                <w:i/>
              </w:rPr>
              <w:t>sottolinea che la capacità dell'Unione di produrre progressi in settori strategici chiave è spesso bloccata a livello di Consiglio, a causa del requisito dell'unanimità;</w:t>
            </w:r>
            <w:r>
              <w:t xml:space="preserve"> </w:t>
            </w:r>
            <w:r>
              <w:rPr>
                <w:b/>
                <w:i/>
              </w:rPr>
              <w:t>ritiene che una maggiore integrazione dovrebbe pertanto includere un graduale passaggio al voto a maggioranza qualificata, al fine di consentire un'azione tempestiva ed efficace dell'UE;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Emendamento</w:t>
      </w:r>
      <w:r>
        <w:tab/>
      </w:r>
      <w:r>
        <w:tab/>
      </w:r>
      <w:r>
        <w:rPr>
          <w:rStyle w:val="HideTWBExt"/>
        </w:rPr>
        <w:t>&lt;NumAm&gt;</w:t>
      </w:r>
      <w:r>
        <w:t>47</w:t>
      </w:r>
      <w:r>
        <w:rPr>
          <w:rStyle w:val="HideTWBExt"/>
        </w:rPr>
        <w:t>&lt;/NumAm&gt;</w:t>
      </w:r>
    </w:p>
    <w:p>
      <w:pPr>
        <w:pStyle w:val="NormalBold"/>
      </w:pPr>
      <w:r>
        <w:rPr>
          <w:rStyle w:val="HideTWBExt"/>
          <w:b w:val="0"/>
        </w:rPr>
        <w:t>&lt;RepeatBlock-By&gt;</w:t>
      </w:r>
      <w:r>
        <w:rPr>
          <w:rStyle w:val="HideTWBExt"/>
          <w:b w:val="0"/>
        </w:rPr>
        <w:t>&lt;Members&gt;</w:t>
      </w:r>
      <w:r>
        <w:t>Tomáš Zdechovský</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di risoluzione</w:t>
      </w:r>
      <w:r>
        <w:rPr>
          <w:rStyle w:val="HideTWBExt"/>
        </w:rPr>
        <w:t>&lt;/DocAmend&gt;</w:t>
      </w:r>
    </w:p>
    <w:p>
      <w:pPr>
        <w:pStyle w:val="NormalBold"/>
      </w:pPr>
      <w:r>
        <w:rPr>
          <w:rStyle w:val="HideTWBExt"/>
        </w:rPr>
        <w:t>&lt;Article&gt;</w:t>
      </w:r>
      <w:r>
        <w:t>Paragrafo 6 bis (nuovo)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Proposta di risoluzione</w:t>
            </w:r>
          </w:p>
        </w:tc>
        <w:tc>
          <w:tcPr>
            <w:tcW w:w="4876" w:type="dxa"/>
            <w:tcBorders>
              <w:top w:val="nil"/>
              <w:left w:val="nil"/>
              <w:bottom w:val="nil"/>
              <w:right w:val="nil"/>
            </w:tcBorders>
          </w:tcPr>
          <w:p>
            <w:pPr>
              <w:pStyle w:val="AmColumnHeading"/>
            </w:pPr>
            <w:r>
              <w:t>Emendamento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6 bis.</w:t>
            </w:r>
            <w:r>
              <w:tab/>
            </w:r>
            <w:r>
              <w:rPr>
                <w:b/>
                <w:i/>
              </w:rPr>
              <w:t>insiste sul fatto che gli sforzi di semplificazione non devono andare a scapito della responsabilità;</w:t>
            </w:r>
            <w:r>
              <w:t xml:space="preserve"> </w:t>
            </w:r>
            <w:r>
              <w:rPr>
                <w:b/>
                <w:i/>
              </w:rPr>
              <w:t>sottolinea che la riduzione del numero di indicatori dovrebbe essere accompagnata da collegamenti più chiari tra la spesa e i risultati misurabili delle politiche, compresi i rapporti costi/efficienza;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Emendamento</w:t>
      </w:r>
      <w:r>
        <w:tab/>
      </w:r>
      <w:r>
        <w:tab/>
      </w:r>
      <w:r>
        <w:rPr>
          <w:rStyle w:val="HideTWBExt"/>
        </w:rPr>
        <w:t>&lt;NumAm&gt;</w:t>
      </w:r>
      <w:r>
        <w:t>48</w:t>
      </w:r>
      <w:r>
        <w:rPr>
          <w:rStyle w:val="HideTWBExt"/>
        </w:rPr>
        <w:t>&lt;/NumAm&gt;</w:t>
      </w:r>
    </w:p>
    <w:p>
      <w:pPr>
        <w:pStyle w:val="NormalBold"/>
      </w:pPr>
      <w:r>
        <w:rPr>
          <w:rStyle w:val="HideTWBExt"/>
          <w:b w:val="0"/>
        </w:rPr>
        <w:t>&lt;RepeatBlock-By&gt;</w:t>
      </w:r>
      <w:r>
        <w:rPr>
          <w:rStyle w:val="HideTWBExt"/>
          <w:b w:val="0"/>
        </w:rPr>
        <w:t>&lt;Members&gt;</w:t>
      </w:r>
      <w:r>
        <w:t>Carla Tavares, José Cepeda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di risoluzione</w:t>
      </w:r>
      <w:r>
        <w:rPr>
          <w:rStyle w:val="HideTWBExt"/>
        </w:rPr>
        <w:t>&lt;/DocAmend&gt;</w:t>
      </w:r>
    </w:p>
    <w:p>
      <w:pPr>
        <w:pStyle w:val="NormalBold"/>
      </w:pPr>
      <w:r>
        <w:rPr>
          <w:rStyle w:val="HideTWBExt"/>
        </w:rPr>
        <w:t>&lt;Article&gt;</w:t>
      </w:r>
      <w:r>
        <w:t>Paragrafo 7</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Proposta di risoluzione</w:t>
            </w:r>
          </w:p>
        </w:tc>
        <w:tc>
          <w:tcPr>
            <w:tcW w:w="4876" w:type="dxa"/>
            <w:tcBorders>
              <w:top w:val="nil"/>
              <w:left w:val="nil"/>
              <w:bottom w:val="nil"/>
              <w:right w:val="nil"/>
            </w:tcBorders>
          </w:tcPr>
          <w:p>
            <w:pPr>
              <w:pStyle w:val="AmColumnHeading"/>
            </w:pPr>
            <w:r>
              <w:t>Emendamento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7.</w:t>
            </w:r>
            <w:r>
              <w:tab/>
            </w:r>
            <w:r>
              <w:t>ricorda che gli approcci alla raccolta dei dati variano da uno Stato membro all'altro e anche all'interno degli Stati membri, rendendo difficile l'aggregazione dei dati sulla performance a livello dell'UE; ribadisce il suo invito alla Commissione a sviluppare infrastrutture informatiche sicure e interoperabili, sfruttando nel contempo anche l'intelligenza artificiale, l'apprendimento automatico e le capacità di estrazione di dati al fine di migliorare l'attuazione delle politiche e facilitare il monitoraggio, la comunicazione e la sorveglianza; insiste affinché i dati e le metodologie relative agli indicatori siano messi a disposizione del pubblico in tempo reale attraverso un sistema interoperabile di monitoraggio, rendicontazione e audit, aumentando in tal modo la trasparenza e garantendo la tracciabilità a livello di progetto e beneficiario finale;</w:t>
            </w:r>
          </w:p>
        </w:tc>
        <w:tc>
          <w:tcPr>
            <w:tcW w:w="4876" w:type="dxa"/>
            <w:tcBorders>
              <w:top w:val="nil"/>
              <w:left w:val="nil"/>
              <w:bottom w:val="nil"/>
              <w:right w:val="nil"/>
            </w:tcBorders>
          </w:tcPr>
          <w:p>
            <w:pPr>
              <w:pStyle w:val="Normal6a"/>
            </w:pPr>
            <w:r>
              <w:t>7.</w:t>
            </w:r>
            <w:r>
              <w:tab/>
            </w:r>
            <w:r>
              <w:t xml:space="preserve">ricorda che gli approcci alla raccolta dei dati variano da uno Stato membro all'altro e anche all'interno degli Stati membri, rendendo difficile l'aggregazione dei dati sulla performance a livello dell'UE; ribadisce il suo invito alla Commissione a sviluppare infrastrutture informatiche sicure e interoperabili, sfruttando nel contempo anche l'intelligenza artificiale, l'apprendimento automatico e le capacità di estrazione di dati al fine di migliorare l'attuazione delle politiche e facilitare il monitoraggio, la comunicazione e la sorveglianza; </w:t>
            </w:r>
            <w:r>
              <w:rPr>
                <w:b/>
                <w:i/>
              </w:rPr>
              <w:t>sottolinea che l'uso dell'intelligenza artificiale deve avvenire nel rispetto di rigorosi principi di etica, trasparenza, protezione dei dati, controllo umano e protezione contro i pregiudizi algoritmici o gli abusi;</w:t>
            </w:r>
            <w:r>
              <w:t xml:space="preserve"> insiste affinché i dati e le metodologie relative agli indicatori siano messi a disposizione del pubblico in tempo reale attraverso un sistema interoperabile di monitoraggio, rendicontazione e audit, aumentando in tal modo la trasparenza e garantendo la tracciabilità a livello di progetto e beneficiario finale; </w:t>
            </w:r>
            <w:r>
              <w:rPr>
                <w:b/>
                <w:i/>
              </w:rPr>
              <w:t>insiste inoltre sul fatto che tali dati devono includere informazioni esaustive sull'impronta sociale e ambientale dei progetti finanziati;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Emendamento</w:t>
      </w:r>
      <w:r>
        <w:tab/>
      </w:r>
      <w:r>
        <w:tab/>
      </w:r>
      <w:r>
        <w:rPr>
          <w:rStyle w:val="HideTWBExt"/>
        </w:rPr>
        <w:t>&lt;NumAm&gt;</w:t>
      </w:r>
      <w:r>
        <w:t>49</w:t>
      </w:r>
      <w:r>
        <w:rPr>
          <w:rStyle w:val="HideTWBExt"/>
        </w:rPr>
        <w:t>&lt;/NumAm&gt;</w:t>
      </w:r>
    </w:p>
    <w:p>
      <w:pPr>
        <w:pStyle w:val="NormalBold"/>
      </w:pPr>
      <w:r>
        <w:rPr>
          <w:rStyle w:val="HideTWBExt"/>
          <w:b w:val="0"/>
        </w:rPr>
        <w:t>&lt;RepeatBlock-By&gt;</w:t>
      </w:r>
      <w:r>
        <w:rPr>
          <w:rStyle w:val="HideTWBExt"/>
          <w:b w:val="0"/>
        </w:rPr>
        <w:t>&lt;Members&gt;</w:t>
      </w:r>
      <w:r>
        <w:t>Tomáš Zdechovský</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di risoluzione</w:t>
      </w:r>
      <w:r>
        <w:rPr>
          <w:rStyle w:val="HideTWBExt"/>
        </w:rPr>
        <w:t>&lt;/DocAmend&gt;</w:t>
      </w:r>
    </w:p>
    <w:p>
      <w:pPr>
        <w:pStyle w:val="NormalBold"/>
      </w:pPr>
      <w:r>
        <w:rPr>
          <w:rStyle w:val="HideTWBExt"/>
        </w:rPr>
        <w:t>&lt;Article&gt;</w:t>
      </w:r>
      <w:r>
        <w:t>Paragrafo 7</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Proposta di risoluzione</w:t>
            </w:r>
          </w:p>
        </w:tc>
        <w:tc>
          <w:tcPr>
            <w:tcW w:w="4876" w:type="dxa"/>
            <w:tcBorders>
              <w:top w:val="nil"/>
              <w:left w:val="nil"/>
              <w:bottom w:val="nil"/>
              <w:right w:val="nil"/>
            </w:tcBorders>
          </w:tcPr>
          <w:p>
            <w:pPr>
              <w:pStyle w:val="AmColumnHeading"/>
            </w:pPr>
            <w:r>
              <w:t>Emendamento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7.</w:t>
            </w:r>
            <w:r>
              <w:tab/>
            </w:r>
            <w:r>
              <w:t>ricorda che gli approcci alla raccolta dei dati variano da uno Stato membro all'altro e anche all'interno degli Stati membri, rendendo difficile l'aggregazione dei dati sulla performance a livello dell'UE; ribadisce il suo invito alla Commissione a sviluppare infrastrutture informatiche sicure e interoperabili, sfruttando nel contempo anche l'intelligenza artificiale, l'apprendimento automatico e le capacità di estrazione di dati al fine di migliorare l'attuazione delle politiche e facilitare il monitoraggio, la comunicazione e la sorveglianza; insiste affinché i dati e le metodologie relative agli indicatori siano messi a disposizione del pubblico in tempo reale attraverso un sistema interoperabile di monitoraggio, rendicontazione e audit, aumentando in tal modo la trasparenza e garantendo la tracciabilità a livello di progetto e beneficiario finale;</w:t>
            </w:r>
          </w:p>
        </w:tc>
        <w:tc>
          <w:tcPr>
            <w:tcW w:w="4876" w:type="dxa"/>
            <w:tcBorders>
              <w:top w:val="nil"/>
              <w:left w:val="nil"/>
              <w:bottom w:val="nil"/>
              <w:right w:val="nil"/>
            </w:tcBorders>
          </w:tcPr>
          <w:p>
            <w:pPr>
              <w:pStyle w:val="Normal6a"/>
            </w:pPr>
            <w:r>
              <w:t>7.</w:t>
            </w:r>
            <w:r>
              <w:tab/>
            </w:r>
            <w:r>
              <w:t xml:space="preserve">ricorda che gli approcci alla raccolta dei dati variano da uno Stato membro all'altro e anche all'interno degli Stati membri, rendendo difficile l'aggregazione dei dati sulla performance a livello dell'UE; ribadisce il suo invito alla Commissione a sviluppare infrastrutture informatiche sicure e interoperabili, sfruttando nel contempo anche l'intelligenza artificiale, l'apprendimento automatico e le capacità di estrazione di dati al fine di migliorare l'attuazione delle politiche e facilitare il monitoraggio, la comunicazione e la sorveglianza; insiste affinché i dati e le metodologie relative agli indicatori siano messi a disposizione del pubblico in tempo reale attraverso un sistema interoperabile di monitoraggio, rendicontazione e audit, aumentando in tal modo la trasparenza e garantendo la tracciabilità a livello di progetto e beneficiario finale; </w:t>
            </w:r>
            <w:r>
              <w:rPr>
                <w:b/>
                <w:i/>
              </w:rPr>
              <w:t>sottolinea che tutti i beneficiari dei finanziamenti dell'Unione, compresi quelli in regime di gestione indiretta, dovrebbero essere identificabili per consentire un audit efficace e prevenire il doppio finanziamento;</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Emendamento</w:t>
      </w:r>
      <w:r>
        <w:tab/>
      </w:r>
      <w:r>
        <w:tab/>
      </w:r>
      <w:r>
        <w:rPr>
          <w:rStyle w:val="HideTWBExt"/>
        </w:rPr>
        <w:t>&lt;NumAm&gt;</w:t>
      </w:r>
      <w:r>
        <w:t>50</w:t>
      </w:r>
      <w:r>
        <w:rPr>
          <w:rStyle w:val="HideTWBExt"/>
        </w:rPr>
        <w:t>&lt;/NumAm&gt;</w:t>
      </w:r>
    </w:p>
    <w:p>
      <w:pPr>
        <w:pStyle w:val="NormalBold"/>
      </w:pPr>
      <w:r>
        <w:rPr>
          <w:rStyle w:val="HideTWBExt"/>
          <w:b w:val="0"/>
        </w:rPr>
        <w:t>&lt;RepeatBlock-By&gt;</w:t>
      </w:r>
      <w:r>
        <w:rPr>
          <w:rStyle w:val="HideTWBExt"/>
          <w:b w:val="0"/>
        </w:rPr>
        <w:t>&lt;Members&gt;</w:t>
      </w:r>
      <w:r>
        <w:t>Kinga Kollár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di risoluzione</w:t>
      </w:r>
      <w:r>
        <w:rPr>
          <w:rStyle w:val="HideTWBExt"/>
        </w:rPr>
        <w:t>&lt;/DocAmend&gt;</w:t>
      </w:r>
    </w:p>
    <w:p>
      <w:pPr>
        <w:pStyle w:val="NormalBold"/>
      </w:pPr>
      <w:r>
        <w:rPr>
          <w:rStyle w:val="HideTWBExt"/>
        </w:rPr>
        <w:t>&lt;Article&gt;</w:t>
      </w:r>
      <w:r>
        <w:t>Paragrafo 7</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Proposta di risoluzione</w:t>
            </w:r>
          </w:p>
        </w:tc>
        <w:tc>
          <w:tcPr>
            <w:tcW w:w="4876" w:type="dxa"/>
            <w:tcBorders>
              <w:top w:val="nil"/>
              <w:left w:val="nil"/>
              <w:bottom w:val="nil"/>
              <w:right w:val="nil"/>
            </w:tcBorders>
          </w:tcPr>
          <w:p>
            <w:pPr>
              <w:pStyle w:val="AmColumnHeading"/>
            </w:pPr>
            <w:r>
              <w:t>Emendamento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7.</w:t>
            </w:r>
            <w:r>
              <w:tab/>
            </w:r>
            <w:r>
              <w:t>ricorda che gli approcci alla raccolta dei dati variano da uno Stato membro all'altro e anche all'interno degli Stati membri, rendendo difficile l'aggregazione dei dati sulla performance a livello dell'UE; ribadisce il suo invito alla Commissione a sviluppare infrastrutture informatiche sicure e interoperabili, sfruttando nel contempo anche l'intelligenza artificiale, l'apprendimento automatico e le capacità di estrazione di dati al fine di migliorare l'attuazione delle politiche e facilitare il monitoraggio, la comunicazione e la sorveglianza; insiste affinché i dati e le metodologie relative agli indicatori siano messi a disposizione del pubblico in tempo reale attraverso un sistema interoperabile di monitoraggio, rendicontazione e audit, aumentando in tal modo la trasparenza e garantendo la tracciabilità a livello di progetto e beneficiario finale;</w:t>
            </w:r>
          </w:p>
        </w:tc>
        <w:tc>
          <w:tcPr>
            <w:tcW w:w="4876" w:type="dxa"/>
            <w:tcBorders>
              <w:top w:val="nil"/>
              <w:left w:val="nil"/>
              <w:bottom w:val="nil"/>
              <w:right w:val="nil"/>
            </w:tcBorders>
          </w:tcPr>
          <w:p>
            <w:pPr>
              <w:pStyle w:val="Normal6a"/>
            </w:pPr>
            <w:r>
              <w:t>7.</w:t>
            </w:r>
            <w:r>
              <w:tab/>
            </w:r>
            <w:r>
              <w:t xml:space="preserve">ricorda che gli approcci alla raccolta dei dati variano da uno Stato membro all'altro e anche all'interno degli Stati membri, rendendo difficile l'aggregazione </w:t>
            </w:r>
            <w:r>
              <w:rPr>
                <w:b/>
                <w:i/>
              </w:rPr>
              <w:t>e il confronto</w:t>
            </w:r>
            <w:r>
              <w:t xml:space="preserve"> dei dati sulla performance a livello dell'UE; ribadisce il suo invito alla Commissione a sviluppare infrastrutture informatiche sicure e interoperabili, sfruttando nel contempo anche l'intelligenza artificiale, l'apprendimento automatico e le capacità di estrazione di dati al fine di migliorare l'attuazione delle politiche e facilitare il monitoraggio, la comunicazione e la sorveglianza; insiste affinché i dati e le metodologie relative agli indicatori siano messi a disposizione del pubblico in tempo reale attraverso un sistema interoperabile di monitoraggio, rendicontazione e audit, </w:t>
            </w:r>
            <w:r>
              <w:rPr>
                <w:b/>
                <w:i/>
              </w:rPr>
              <w:t>garantendo nel contempo la massima sicurezza dei dati, e</w:t>
            </w:r>
            <w:r>
              <w:t xml:space="preserve"> aumentando in tal modo la trasparenza e garantendo la tracciabilità a livello di progetto e beneficiario finale;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Emendamento</w:t>
      </w:r>
      <w:r>
        <w:tab/>
      </w:r>
      <w:r>
        <w:tab/>
      </w:r>
      <w:r>
        <w:rPr>
          <w:rStyle w:val="HideTWBExt"/>
        </w:rPr>
        <w:t>&lt;NumAm&gt;</w:t>
      </w:r>
      <w:r>
        <w:t>51</w:t>
      </w:r>
      <w:r>
        <w:rPr>
          <w:rStyle w:val="HideTWBExt"/>
        </w:rPr>
        <w:t>&lt;/NumAm&gt;</w:t>
      </w:r>
    </w:p>
    <w:p>
      <w:pPr>
        <w:pStyle w:val="NormalBold"/>
      </w:pPr>
      <w:r>
        <w:rPr>
          <w:rStyle w:val="HideTWBExt"/>
          <w:b w:val="0"/>
        </w:rPr>
        <w:t>&lt;RepeatBlock-By&gt;</w:t>
      </w:r>
      <w:r>
        <w:rPr>
          <w:rStyle w:val="HideTWBExt"/>
          <w:b w:val="0"/>
        </w:rPr>
        <w:t>&lt;Members&gt;</w:t>
      </w:r>
      <w:r>
        <w:t>Dick Erixon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di risoluzione</w:t>
      </w:r>
      <w:r>
        <w:rPr>
          <w:rStyle w:val="HideTWBExt"/>
        </w:rPr>
        <w:t>&lt;/DocAmend&gt;</w:t>
      </w:r>
    </w:p>
    <w:p>
      <w:pPr>
        <w:pStyle w:val="NormalBold"/>
      </w:pPr>
      <w:r>
        <w:rPr>
          <w:rStyle w:val="HideTWBExt"/>
        </w:rPr>
        <w:t>&lt;Article&gt;</w:t>
      </w:r>
      <w:r>
        <w:t>Paragrafo 7 bis (nuovo)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Proposta di risoluzione</w:t>
            </w:r>
          </w:p>
        </w:tc>
        <w:tc>
          <w:tcPr>
            <w:tcW w:w="4876" w:type="dxa"/>
            <w:tcBorders>
              <w:top w:val="nil"/>
              <w:left w:val="nil"/>
              <w:bottom w:val="nil"/>
              <w:right w:val="nil"/>
            </w:tcBorders>
          </w:tcPr>
          <w:p>
            <w:pPr>
              <w:pStyle w:val="AmColumnHeading"/>
            </w:pPr>
            <w:r>
              <w:t>Emendamento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7 bis.</w:t>
            </w:r>
            <w:r>
              <w:tab/>
            </w:r>
            <w:r>
              <w:rPr>
                <w:b/>
                <w:i/>
              </w:rPr>
              <w:t>invita la Commissione a pubblicare sintesi della performance e della spesa chiare e di facile utilizzo (comprese panoramiche di una pagina e quadri operativi interattivi con serie di dati leggibili mediante dispositivo automatico), in linea con le raccomandazioni dell'OCSE volte a rafforzare la rendicontazione della performance integrando informazioni finanziarie e sulla performance (documenti dell'OCSE sul bilancio, n. 2025/07);</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Emendamento</w:t>
      </w:r>
      <w:r>
        <w:tab/>
      </w:r>
      <w:r>
        <w:tab/>
      </w:r>
      <w:r>
        <w:rPr>
          <w:rStyle w:val="HideTWBExt"/>
        </w:rPr>
        <w:t>&lt;NumAm&gt;</w:t>
      </w:r>
      <w:r>
        <w:t>52</w:t>
      </w:r>
      <w:r>
        <w:rPr>
          <w:rStyle w:val="HideTWBExt"/>
        </w:rPr>
        <w:t>&lt;/NumAm&gt;</w:t>
      </w:r>
    </w:p>
    <w:p>
      <w:pPr>
        <w:pStyle w:val="NormalBold"/>
      </w:pPr>
      <w:r>
        <w:rPr>
          <w:rStyle w:val="HideTWBExt"/>
          <w:b w:val="0"/>
        </w:rPr>
        <w:t>&lt;RepeatBlock-By&gt;</w:t>
      </w:r>
      <w:r>
        <w:rPr>
          <w:rStyle w:val="HideTWBExt"/>
          <w:b w:val="0"/>
        </w:rPr>
        <w:t>&lt;Members&gt;</w:t>
      </w:r>
      <w:r>
        <w:t>Pasquale Tridico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di risoluzione</w:t>
      </w:r>
      <w:r>
        <w:rPr>
          <w:rStyle w:val="HideTWBExt"/>
        </w:rPr>
        <w:t>&lt;/DocAmend&gt;</w:t>
      </w:r>
    </w:p>
    <w:p>
      <w:pPr>
        <w:pStyle w:val="NormalBold"/>
      </w:pPr>
      <w:r>
        <w:rPr>
          <w:rStyle w:val="HideTWBExt"/>
        </w:rPr>
        <w:t>&lt;Article&gt;</w:t>
      </w:r>
      <w:r>
        <w:t>Paragrafo 7 bis (nuovo)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Proposta di risoluzione</w:t>
            </w:r>
          </w:p>
        </w:tc>
        <w:tc>
          <w:tcPr>
            <w:tcW w:w="4876" w:type="dxa"/>
            <w:tcBorders>
              <w:top w:val="nil"/>
              <w:left w:val="nil"/>
              <w:bottom w:val="nil"/>
              <w:right w:val="nil"/>
            </w:tcBorders>
          </w:tcPr>
          <w:p>
            <w:pPr>
              <w:pStyle w:val="AmColumnHeading"/>
            </w:pPr>
            <w:r>
              <w:t>Emendamento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7 bis.</w:t>
            </w:r>
            <w:r>
              <w:tab/>
            </w:r>
            <w:r>
              <w:rPr>
                <w:b/>
                <w:i/>
              </w:rPr>
              <w:t>sottolinea che il maggiore utilizzo dell'intelligenza artificiale nel monitoraggio e nel trattamento dei dati deve essere soggetto a una regolamentazione rigorosa per prevenire la discriminazione algoritmica, garantire la trasparenza e la responsabilità e garantire il pieno rispetto dei diritti fondamentali, compreso un solido controllo umano;</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Emendamento</w:t>
      </w:r>
      <w:r>
        <w:tab/>
      </w:r>
      <w:r>
        <w:tab/>
      </w:r>
      <w:r>
        <w:rPr>
          <w:rStyle w:val="HideTWBExt"/>
        </w:rPr>
        <w:t>&lt;NumAm&gt;</w:t>
      </w:r>
      <w:r>
        <w:t>53</w:t>
      </w:r>
      <w:r>
        <w:rPr>
          <w:rStyle w:val="HideTWBExt"/>
        </w:rPr>
        <w:t>&lt;/NumAm&gt;</w:t>
      </w:r>
    </w:p>
    <w:p>
      <w:pPr>
        <w:pStyle w:val="NormalBold"/>
      </w:pPr>
      <w:r>
        <w:rPr>
          <w:rStyle w:val="HideTWBExt"/>
          <w:b w:val="0"/>
        </w:rPr>
        <w:t>&lt;RepeatBlock-By&gt;</w:t>
      </w:r>
      <w:r>
        <w:rPr>
          <w:rStyle w:val="HideTWBExt"/>
          <w:b w:val="0"/>
        </w:rPr>
        <w:t>&lt;Members&gt;</w:t>
      </w:r>
      <w:r>
        <w:t>Terry Reintke</w:t>
      </w:r>
      <w:r>
        <w:rPr>
          <w:rStyle w:val="HideTWBExt"/>
          <w:b w:val="0"/>
        </w:rPr>
        <w:t>&lt;/Members&gt;</w:t>
      </w:r>
    </w:p>
    <w:p>
      <w:r>
        <w:rPr>
          <w:rStyle w:val="HideTWBExt"/>
          <w:b w:val="0"/>
        </w:rPr>
        <w:t>&lt;AuNomDe&gt;</w:t>
      </w:r>
      <w:r>
        <w:rPr>
          <w:rStyle w:val="HideTWBInt"/>
        </w:rPr>
        <w:t>{Verts/ALE}</w:t>
      </w:r>
      <w:r>
        <w:t>a nome del gruppo Verts/ALE</w:t>
      </w:r>
      <w:r>
        <w:rPr>
          <w:rStyle w:val="HideTWBExt"/>
          <w:b w:val="0"/>
        </w:rPr>
        <w:t>&lt;/AuNomDe&gt;</w:t>
      </w:r>
    </w:p>
    <w:p>
      <w:pPr>
        <w:pStyle w:val="NormalBold"/>
      </w:pPr>
      <w:r>
        <w:rPr>
          <w:rStyle w:val="HideTWBExt"/>
          <w:b w:val="0"/>
        </w:rPr>
        <w:t>&lt;/RepeatBlock-By&gt;</w:t>
      </w:r>
    </w:p>
    <w:p>
      <w:pPr>
        <w:pStyle w:val="NormalBold"/>
      </w:pPr>
      <w:r>
        <w:rPr>
          <w:rStyle w:val="HideTWBExt"/>
        </w:rPr>
        <w:t>&lt;DocAmend&gt;</w:t>
      </w:r>
      <w:r>
        <w:t>Proposta di risoluzione</w:t>
      </w:r>
      <w:r>
        <w:rPr>
          <w:rStyle w:val="HideTWBExt"/>
        </w:rPr>
        <w:t>&lt;/DocAmend&gt;</w:t>
      </w:r>
    </w:p>
    <w:p>
      <w:pPr>
        <w:pStyle w:val="NormalBold"/>
      </w:pPr>
      <w:r>
        <w:rPr>
          <w:rStyle w:val="HideTWBExt"/>
        </w:rPr>
        <w:t>&lt;Article&gt;</w:t>
      </w:r>
      <w:r>
        <w:t>Paragrafo 8</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Proposta di risoluzione</w:t>
            </w:r>
          </w:p>
        </w:tc>
        <w:tc>
          <w:tcPr>
            <w:tcW w:w="4876" w:type="dxa"/>
            <w:tcBorders>
              <w:top w:val="nil"/>
              <w:left w:val="nil"/>
              <w:bottom w:val="nil"/>
              <w:right w:val="nil"/>
            </w:tcBorders>
          </w:tcPr>
          <w:p>
            <w:pPr>
              <w:pStyle w:val="AmColumnHeading"/>
            </w:pPr>
            <w:r>
              <w:t>Emendamento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8.</w:t>
            </w:r>
            <w:r>
              <w:tab/>
            </w:r>
            <w:r>
              <w:t>ritiene essenziale verificare e garantire l'affidabilità dei dati utilizzati per stabilire gli indicatori di performance; osserva con preoccupazione che, a causa dell'introduzione e del crescente utilizzo di modelli di attuazione, come l'RRF, basati su finanziamenti non collegati ai costi, in cui gli esborsi sono effettuati a fronte del conseguimento di traguardi e obiettivi fissati in precedenza, le carenze nell'affidabilità dei dati possono ledere gli interessi finanziari dell'Unione;</w:t>
            </w:r>
          </w:p>
        </w:tc>
        <w:tc>
          <w:tcPr>
            <w:tcW w:w="4876" w:type="dxa"/>
            <w:tcBorders>
              <w:top w:val="nil"/>
              <w:left w:val="nil"/>
              <w:bottom w:val="nil"/>
              <w:right w:val="nil"/>
            </w:tcBorders>
          </w:tcPr>
          <w:p>
            <w:pPr>
              <w:pStyle w:val="Normal6a"/>
            </w:pPr>
            <w:r>
              <w:t>8.</w:t>
            </w:r>
            <w:r>
              <w:tab/>
            </w:r>
            <w:r>
              <w:t xml:space="preserve">ritiene essenziale verificare e garantire l'affidabilità dei dati utilizzati per stabilire gli indicatori di performance; osserva con preoccupazione che, a causa dell'introduzione e del crescente utilizzo di modelli di attuazione, come l'RRF, basati su finanziamenti non collegati ai costi, in cui gli esborsi sono effettuati a fronte del conseguimento di traguardi e obiettivi fissati in precedenza, le carenze nell'affidabilità dei dati possono ledere gli interessi finanziari dell'Unione; </w:t>
            </w:r>
            <w:r>
              <w:rPr>
                <w:b/>
                <w:i/>
              </w:rPr>
              <w:t>insiste pertanto sull'obbligatorietà dei controlli di fattibilità ex ante e della verifica ex post dei traguardi e degli obiettivi, sul sistematico deferimento di sospette frodi o irregolarità gravi all'OLAF e all'EPPO e sulla possibilità di sospendere i pagamenti;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Emendamento</w:t>
      </w:r>
      <w:r>
        <w:tab/>
      </w:r>
      <w:r>
        <w:tab/>
      </w:r>
      <w:r>
        <w:rPr>
          <w:rStyle w:val="HideTWBExt"/>
        </w:rPr>
        <w:t>&lt;NumAm&gt;</w:t>
      </w:r>
      <w:r>
        <w:t>54</w:t>
      </w:r>
      <w:r>
        <w:rPr>
          <w:rStyle w:val="HideTWBExt"/>
        </w:rPr>
        <w:t>&lt;/NumAm&gt;</w:t>
      </w:r>
    </w:p>
    <w:p>
      <w:pPr>
        <w:pStyle w:val="NormalBold"/>
      </w:pPr>
      <w:r>
        <w:rPr>
          <w:rStyle w:val="HideTWBExt"/>
          <w:b w:val="0"/>
        </w:rPr>
        <w:t>&lt;RepeatBlock-By&gt;</w:t>
      </w:r>
      <w:r>
        <w:rPr>
          <w:rStyle w:val="HideTWBExt"/>
          <w:b w:val="0"/>
        </w:rPr>
        <w:t>&lt;Members&gt;</w:t>
      </w:r>
      <w:r>
        <w:t>Kinga Kollár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di risoluzione</w:t>
      </w:r>
      <w:r>
        <w:rPr>
          <w:rStyle w:val="HideTWBExt"/>
        </w:rPr>
        <w:t>&lt;/DocAmend&gt;</w:t>
      </w:r>
    </w:p>
    <w:p>
      <w:pPr>
        <w:pStyle w:val="NormalBold"/>
      </w:pPr>
      <w:r>
        <w:rPr>
          <w:rStyle w:val="HideTWBExt"/>
        </w:rPr>
        <w:t>&lt;Article&gt;</w:t>
      </w:r>
      <w:r>
        <w:t>Paragrafo 8</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Proposta di risoluzione</w:t>
            </w:r>
          </w:p>
        </w:tc>
        <w:tc>
          <w:tcPr>
            <w:tcW w:w="4876" w:type="dxa"/>
            <w:tcBorders>
              <w:top w:val="nil"/>
              <w:left w:val="nil"/>
              <w:bottom w:val="nil"/>
              <w:right w:val="nil"/>
            </w:tcBorders>
          </w:tcPr>
          <w:p>
            <w:pPr>
              <w:pStyle w:val="AmColumnHeading"/>
            </w:pPr>
            <w:r>
              <w:t>Emendamento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8.</w:t>
            </w:r>
            <w:r>
              <w:tab/>
            </w:r>
            <w:r>
              <w:t xml:space="preserve">ritiene essenziale verificare e garantire l'affidabilità dei dati utilizzati per stabilire gli indicatori di performance; osserva con preoccupazione che, a causa dell'introduzione e del crescente utilizzo di modelli di attuazione, come l'RRF, basati su finanziamenti non collegati ai costi, in cui gli esborsi sono effettuati a fronte del conseguimento di traguardi e obiettivi fissati in precedenza, le carenze nell'affidabilità dei dati </w:t>
            </w:r>
            <w:r>
              <w:rPr>
                <w:b/>
                <w:i/>
              </w:rPr>
              <w:t>possono ledere</w:t>
            </w:r>
            <w:r>
              <w:t xml:space="preserve"> gli interessi finanziari dell'Unione;</w:t>
            </w:r>
          </w:p>
        </w:tc>
        <w:tc>
          <w:tcPr>
            <w:tcW w:w="4876" w:type="dxa"/>
            <w:tcBorders>
              <w:top w:val="nil"/>
              <w:left w:val="nil"/>
              <w:bottom w:val="nil"/>
              <w:right w:val="nil"/>
            </w:tcBorders>
          </w:tcPr>
          <w:p>
            <w:pPr>
              <w:pStyle w:val="Normal6a"/>
            </w:pPr>
            <w:r>
              <w:t>8.</w:t>
            </w:r>
            <w:r>
              <w:tab/>
            </w:r>
            <w:r>
              <w:t xml:space="preserve">ritiene essenziale verificare e garantire l'affidabilità dei dati utilizzati per stabilire gli indicatori di performance; osserva con preoccupazione che, a causa dell'introduzione e del crescente utilizzo di modelli di attuazione, come l'RRF, basati su finanziamenti non collegati ai costi, in cui gli esborsi sono effettuati a fronte del conseguimento di traguardi e obiettivi fissati in precedenza, le carenze nell'affidabilità dei dati </w:t>
            </w:r>
            <w:r>
              <w:rPr>
                <w:b/>
                <w:i/>
              </w:rPr>
              <w:t>rendono più difficile difendere</w:t>
            </w:r>
            <w:r>
              <w:t xml:space="preserve"> gli interessi finanziari dell'Unione;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Emendamento</w:t>
      </w:r>
      <w:r>
        <w:tab/>
      </w:r>
      <w:r>
        <w:tab/>
      </w:r>
      <w:r>
        <w:rPr>
          <w:rStyle w:val="HideTWBExt"/>
        </w:rPr>
        <w:t>&lt;NumAm&gt;</w:t>
      </w:r>
      <w:r>
        <w:t>55</w:t>
      </w:r>
      <w:r>
        <w:rPr>
          <w:rStyle w:val="HideTWBExt"/>
        </w:rPr>
        <w:t>&lt;/NumAm&gt;</w:t>
      </w:r>
    </w:p>
    <w:p>
      <w:pPr>
        <w:pStyle w:val="NormalBold"/>
      </w:pPr>
      <w:r>
        <w:rPr>
          <w:rStyle w:val="HideTWBExt"/>
          <w:b w:val="0"/>
        </w:rPr>
        <w:t>&lt;RepeatBlock-By&gt;</w:t>
      </w:r>
      <w:r>
        <w:rPr>
          <w:rStyle w:val="HideTWBExt"/>
          <w:b w:val="0"/>
        </w:rPr>
        <w:t>&lt;Members&gt;</w:t>
      </w:r>
      <w:r>
        <w:t>Şerban Dimitrie Sturdza, Dick Erixon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di risoluzione</w:t>
      </w:r>
      <w:r>
        <w:rPr>
          <w:rStyle w:val="HideTWBExt"/>
        </w:rPr>
        <w:t>&lt;/DocAmend&gt;</w:t>
      </w:r>
    </w:p>
    <w:p>
      <w:pPr>
        <w:pStyle w:val="NormalBold"/>
      </w:pPr>
      <w:r>
        <w:rPr>
          <w:rStyle w:val="HideTWBExt"/>
        </w:rPr>
        <w:t>&lt;Article&gt;</w:t>
      </w:r>
      <w:r>
        <w:t>Paragrafo 9</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Proposta di risoluzione</w:t>
            </w:r>
          </w:p>
        </w:tc>
        <w:tc>
          <w:tcPr>
            <w:tcW w:w="4876" w:type="dxa"/>
            <w:tcBorders>
              <w:top w:val="nil"/>
              <w:left w:val="nil"/>
              <w:bottom w:val="nil"/>
              <w:right w:val="nil"/>
            </w:tcBorders>
          </w:tcPr>
          <w:p>
            <w:pPr>
              <w:pStyle w:val="AmColumnHeading"/>
            </w:pPr>
            <w:r>
              <w:t>Emendamento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9.</w:t>
            </w:r>
            <w:r>
              <w:tab/>
            </w:r>
            <w:r>
              <w:t>Invita la Commissione a includere nelle sue relazioni sulla performance informazioni sostanziali riguardanti la garanzia di qualità utilizzata per gli indicatori di performance; chiede che i dati sulla performance comunicati dagli Stati membri siano soggetti a una verifica indipendente, anche da parte degli organismi nazionali di audit e della Corte dei conti, e che i risultati siano messi a disposizione del Parlamento;</w:t>
            </w:r>
          </w:p>
        </w:tc>
        <w:tc>
          <w:tcPr>
            <w:tcW w:w="4876" w:type="dxa"/>
            <w:tcBorders>
              <w:top w:val="nil"/>
              <w:left w:val="nil"/>
              <w:bottom w:val="nil"/>
              <w:right w:val="nil"/>
            </w:tcBorders>
          </w:tcPr>
          <w:p>
            <w:pPr>
              <w:pStyle w:val="Normal6a"/>
            </w:pPr>
            <w:r>
              <w:t>9.</w:t>
            </w:r>
            <w:r>
              <w:tab/>
            </w:r>
            <w:r>
              <w:t>Invita la Commissione a includere nelle sue relazioni sulla performance informazioni sostanziali riguardanti la garanzia di qualità utilizzata per gli indicatori di performance</w:t>
            </w:r>
            <w:r>
              <w:rPr>
                <w:b/>
                <w:i/>
              </w:rPr>
              <w:t>;</w:t>
            </w:r>
            <w:r>
              <w:t xml:space="preserve"> </w:t>
            </w:r>
            <w:r>
              <w:rPr>
                <w:b/>
                <w:i/>
              </w:rPr>
              <w:t>sottolinea che gli indicatori di performance dovrebbero essere isolati dall'influenza politica e concepiti in consultazione con esperti indipendenti, le autorità nazionali di audit e la Corte dei conti europea;</w:t>
            </w:r>
            <w:r>
              <w:t xml:space="preserve"> </w:t>
            </w:r>
            <w:r>
              <w:rPr>
                <w:b/>
                <w:i/>
              </w:rPr>
              <w:t>sottolinea che un riesame periodico e trasparente della pertinenza e dell'affidabilità degli indicatori è essenziale per garantire la credibilità e la fiducia dei cittadini nella spesa dell'UE</w:t>
            </w:r>
            <w:r>
              <w:t>; chiede che i dati sulla performance comunicati dagli Stati membri siano soggetti a una verifica indipendente, anche da parte degli organismi nazionali di audit e della Corte dei conti, e che i risultati siano messi a disposizione del Parlamento;</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Emendamento</w:t>
      </w:r>
      <w:r>
        <w:tab/>
      </w:r>
      <w:r>
        <w:tab/>
      </w:r>
      <w:r>
        <w:rPr>
          <w:rStyle w:val="HideTWBExt"/>
        </w:rPr>
        <w:t>&lt;NumAm&gt;</w:t>
      </w:r>
      <w:r>
        <w:t>56</w:t>
      </w:r>
      <w:r>
        <w:rPr>
          <w:rStyle w:val="HideTWBExt"/>
        </w:rPr>
        <w:t>&lt;/NumAm&gt;</w:t>
      </w:r>
    </w:p>
    <w:p>
      <w:pPr>
        <w:pStyle w:val="NormalBold"/>
      </w:pPr>
      <w:r>
        <w:rPr>
          <w:rStyle w:val="HideTWBExt"/>
          <w:b w:val="0"/>
        </w:rPr>
        <w:t>&lt;RepeatBlock-By&gt;</w:t>
      </w:r>
      <w:r>
        <w:rPr>
          <w:rStyle w:val="HideTWBExt"/>
          <w:b w:val="0"/>
        </w:rPr>
        <w:t>&lt;Members&gt;</w:t>
      </w:r>
      <w:r>
        <w:t>Terry Reintke</w:t>
      </w:r>
      <w:r>
        <w:rPr>
          <w:rStyle w:val="HideTWBExt"/>
          <w:b w:val="0"/>
        </w:rPr>
        <w:t>&lt;/Members&gt;</w:t>
      </w:r>
    </w:p>
    <w:p>
      <w:r>
        <w:rPr>
          <w:rStyle w:val="HideTWBExt"/>
          <w:b w:val="0"/>
        </w:rPr>
        <w:t>&lt;AuNomDe&gt;</w:t>
      </w:r>
      <w:r>
        <w:rPr>
          <w:rStyle w:val="HideTWBInt"/>
        </w:rPr>
        <w:t>{Verts/ALE}</w:t>
      </w:r>
      <w:r>
        <w:t>a nome del gruppo Verts/ALE</w:t>
      </w:r>
      <w:r>
        <w:rPr>
          <w:rStyle w:val="HideTWBExt"/>
          <w:b w:val="0"/>
        </w:rPr>
        <w:t>&lt;/AuNomDe&gt;</w:t>
      </w:r>
    </w:p>
    <w:p>
      <w:pPr>
        <w:pStyle w:val="NormalBold"/>
      </w:pPr>
      <w:r>
        <w:rPr>
          <w:rStyle w:val="HideTWBExt"/>
          <w:b w:val="0"/>
        </w:rPr>
        <w:t>&lt;/RepeatBlock-By&gt;</w:t>
      </w:r>
    </w:p>
    <w:p>
      <w:pPr>
        <w:pStyle w:val="NormalBold"/>
      </w:pPr>
      <w:r>
        <w:rPr>
          <w:rStyle w:val="HideTWBExt"/>
        </w:rPr>
        <w:t>&lt;DocAmend&gt;</w:t>
      </w:r>
      <w:r>
        <w:t>Proposta di risoluzione</w:t>
      </w:r>
      <w:r>
        <w:rPr>
          <w:rStyle w:val="HideTWBExt"/>
        </w:rPr>
        <w:t>&lt;/DocAmend&gt;</w:t>
      </w:r>
    </w:p>
    <w:p>
      <w:pPr>
        <w:pStyle w:val="NormalBold"/>
      </w:pPr>
      <w:r>
        <w:rPr>
          <w:rStyle w:val="HideTWBExt"/>
        </w:rPr>
        <w:t>&lt;Article&gt;</w:t>
      </w:r>
      <w:r>
        <w:t>Paragrafo 9</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Proposta di risoluzione</w:t>
            </w:r>
          </w:p>
        </w:tc>
        <w:tc>
          <w:tcPr>
            <w:tcW w:w="4876" w:type="dxa"/>
            <w:tcBorders>
              <w:top w:val="nil"/>
              <w:left w:val="nil"/>
              <w:bottom w:val="nil"/>
              <w:right w:val="nil"/>
            </w:tcBorders>
          </w:tcPr>
          <w:p>
            <w:pPr>
              <w:pStyle w:val="AmColumnHeading"/>
            </w:pPr>
            <w:r>
              <w:t>Emendamento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9.</w:t>
            </w:r>
            <w:r>
              <w:tab/>
            </w:r>
            <w:r>
              <w:t>Invita la Commissione a includere nelle sue relazioni sulla performance informazioni sostanziali riguardanti la garanzia di qualità utilizzata per gli indicatori di performance; chiede che i dati sulla performance comunicati dagli Stati membri siano soggetti a una verifica indipendente, anche da parte degli organismi nazionali di audit e della Corte dei conti, e che i risultati siano messi a disposizione del Parlamento;</w:t>
            </w:r>
          </w:p>
        </w:tc>
        <w:tc>
          <w:tcPr>
            <w:tcW w:w="4876" w:type="dxa"/>
            <w:tcBorders>
              <w:top w:val="nil"/>
              <w:left w:val="nil"/>
              <w:bottom w:val="nil"/>
              <w:right w:val="nil"/>
            </w:tcBorders>
          </w:tcPr>
          <w:p>
            <w:pPr>
              <w:pStyle w:val="Normal6a"/>
            </w:pPr>
            <w:r>
              <w:t>9.</w:t>
            </w:r>
            <w:r>
              <w:tab/>
            </w:r>
            <w:r>
              <w:t xml:space="preserve">Invita la Commissione a includere nelle sue relazioni sulla performance informazioni sostanziali riguardanti la garanzia di qualità utilizzata per gli indicatori di performance; chiede che i dati sulla performance comunicati dagli Stati membri siano soggetti a una verifica indipendente, anche da parte degli organismi nazionali di audit e della Corte dei conti, e che i risultati siano messi a disposizione del Parlamento; </w:t>
            </w:r>
            <w:r>
              <w:rPr>
                <w:b/>
                <w:i/>
              </w:rPr>
              <w:t>chiede che le relazioni di verifica e le serie di dati siano pubblicate, nel debito rispetto della riservatezza, in un formato aperto che consenta l'accesso da parte degli attori della società civile e dei ricercatori;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Emendamento</w:t>
      </w:r>
      <w:r>
        <w:tab/>
      </w:r>
      <w:r>
        <w:tab/>
      </w:r>
      <w:r>
        <w:rPr>
          <w:rStyle w:val="HideTWBExt"/>
        </w:rPr>
        <w:t>&lt;NumAm&gt;</w:t>
      </w:r>
      <w:r>
        <w:t>57</w:t>
      </w:r>
      <w:r>
        <w:rPr>
          <w:rStyle w:val="HideTWBExt"/>
        </w:rPr>
        <w:t>&lt;/NumAm&gt;</w:t>
      </w:r>
    </w:p>
    <w:p>
      <w:pPr>
        <w:pStyle w:val="NormalBold"/>
      </w:pPr>
      <w:r>
        <w:rPr>
          <w:rStyle w:val="HideTWBExt"/>
          <w:b w:val="0"/>
        </w:rPr>
        <w:t>&lt;RepeatBlock-By&gt;</w:t>
      </w:r>
      <w:r>
        <w:rPr>
          <w:rStyle w:val="HideTWBExt"/>
          <w:b w:val="0"/>
        </w:rPr>
        <w:t>&lt;Members&gt;</w:t>
      </w:r>
      <w:r>
        <w:t>Kinga Kollár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di risoluzione</w:t>
      </w:r>
      <w:r>
        <w:rPr>
          <w:rStyle w:val="HideTWBExt"/>
        </w:rPr>
        <w:t>&lt;/DocAmend&gt;</w:t>
      </w:r>
    </w:p>
    <w:p>
      <w:pPr>
        <w:pStyle w:val="NormalBold"/>
      </w:pPr>
      <w:r>
        <w:rPr>
          <w:rStyle w:val="HideTWBExt"/>
        </w:rPr>
        <w:t>&lt;Article&gt;</w:t>
      </w:r>
      <w:r>
        <w:t>Paragrafo 9</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Proposta di risoluzione</w:t>
            </w:r>
          </w:p>
        </w:tc>
        <w:tc>
          <w:tcPr>
            <w:tcW w:w="4876" w:type="dxa"/>
            <w:tcBorders>
              <w:top w:val="nil"/>
              <w:left w:val="nil"/>
              <w:bottom w:val="nil"/>
              <w:right w:val="nil"/>
            </w:tcBorders>
          </w:tcPr>
          <w:p>
            <w:pPr>
              <w:pStyle w:val="AmColumnHeading"/>
            </w:pPr>
            <w:r>
              <w:t>Emendamento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9.</w:t>
            </w:r>
            <w:r>
              <w:tab/>
            </w:r>
            <w:r>
              <w:t>Invita la Commissione a includere nelle sue relazioni sulla performance informazioni sostanziali riguardanti la garanzia di qualità utilizzata per gli indicatori di performance; chiede che i dati sulla performance comunicati dagli Stati membri siano soggetti a una verifica indipendente, anche da parte degli organismi nazionali di audit e della Corte dei conti, e che i risultati siano messi a disposizione del Parlamento;</w:t>
            </w:r>
          </w:p>
        </w:tc>
        <w:tc>
          <w:tcPr>
            <w:tcW w:w="4876" w:type="dxa"/>
            <w:tcBorders>
              <w:top w:val="nil"/>
              <w:left w:val="nil"/>
              <w:bottom w:val="nil"/>
              <w:right w:val="nil"/>
            </w:tcBorders>
          </w:tcPr>
          <w:p>
            <w:pPr>
              <w:pStyle w:val="Normal6a"/>
            </w:pPr>
            <w:r>
              <w:rPr>
                <w:i/>
              </w:rPr>
              <w:t>(Non concerne la versione italiana)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Emendamento</w:t>
      </w:r>
      <w:r>
        <w:tab/>
      </w:r>
      <w:r>
        <w:tab/>
      </w:r>
      <w:r>
        <w:rPr>
          <w:rStyle w:val="HideTWBExt"/>
        </w:rPr>
        <w:t>&lt;NumAm&gt;</w:t>
      </w:r>
      <w:r>
        <w:t>58</w:t>
      </w:r>
      <w:r>
        <w:rPr>
          <w:rStyle w:val="HideTWBExt"/>
        </w:rPr>
        <w:t>&lt;/NumAm&gt;</w:t>
      </w:r>
    </w:p>
    <w:p>
      <w:pPr>
        <w:pStyle w:val="NormalBold"/>
      </w:pPr>
      <w:r>
        <w:rPr>
          <w:rStyle w:val="HideTWBExt"/>
          <w:b w:val="0"/>
        </w:rPr>
        <w:t>&lt;RepeatBlock-By&gt;</w:t>
      </w:r>
      <w:r>
        <w:rPr>
          <w:rStyle w:val="HideTWBExt"/>
          <w:b w:val="0"/>
        </w:rPr>
        <w:t>&lt;Members&gt;</w:t>
      </w:r>
      <w:r>
        <w:t>Eero Heinäluoma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di risoluzione</w:t>
      </w:r>
      <w:r>
        <w:rPr>
          <w:rStyle w:val="HideTWBExt"/>
        </w:rPr>
        <w:t>&lt;/DocAmend&gt;</w:t>
      </w:r>
    </w:p>
    <w:p>
      <w:pPr>
        <w:pStyle w:val="NormalBold"/>
      </w:pPr>
      <w:r>
        <w:rPr>
          <w:rStyle w:val="HideTWBExt"/>
        </w:rPr>
        <w:t>&lt;Article&gt;</w:t>
      </w:r>
      <w:r>
        <w:t>Paragrafo 9 bis (nuovo)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Proposta di risoluzione</w:t>
            </w:r>
          </w:p>
        </w:tc>
        <w:tc>
          <w:tcPr>
            <w:tcW w:w="4876" w:type="dxa"/>
            <w:tcBorders>
              <w:top w:val="nil"/>
              <w:left w:val="nil"/>
              <w:bottom w:val="nil"/>
              <w:right w:val="nil"/>
            </w:tcBorders>
          </w:tcPr>
          <w:p>
            <w:pPr>
              <w:pStyle w:val="AmColumnHeading"/>
            </w:pPr>
            <w:r>
              <w:t>Emendamento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9 bis.</w:t>
            </w:r>
            <w:r>
              <w:tab/>
            </w:r>
            <w:r>
              <w:rPr>
                <w:b/>
                <w:i/>
              </w:rPr>
              <w:t>ritiene che lo Stato di diritto sia un presupposto essenziale per rafforzare la competitività dell'UE;</w:t>
            </w:r>
            <w:r>
              <w:t xml:space="preserve"> </w:t>
            </w:r>
            <w:r>
              <w:rPr>
                <w:b/>
                <w:i/>
              </w:rPr>
              <w:t>sottolinea che le sfide allo Stato di diritto incidono negativamente sulla fiducia degli investitori e dei consumatori e sull'integrità del mercato unico, come osservato nella relazione sullo Stato di diritto 2025 della Commissione;</w:t>
            </w:r>
            <w:r>
              <w:t xml:space="preserve"> </w:t>
            </w:r>
            <w:r>
              <w:rPr>
                <w:b/>
                <w:i/>
              </w:rPr>
              <w:t>ritiene pertanto che il quadro di performance del bilancio dell'UE dovrebbe comprendere anche indicatori relativi allo Stato di diritto, come il funzionamento del sistema giudiziario, la lotta alla corruzione e un sistema efficace di bilanciamento dei poteri, che contribuiscono alla certezza del diritto e a un ambiente prevedibile in cui le imprese possano operare;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Emendamento</w:t>
      </w:r>
      <w:r>
        <w:tab/>
      </w:r>
      <w:r>
        <w:tab/>
      </w:r>
      <w:r>
        <w:rPr>
          <w:rStyle w:val="HideTWBExt"/>
        </w:rPr>
        <w:t>&lt;NumAm&gt;</w:t>
      </w:r>
      <w:r>
        <w:t>59</w:t>
      </w:r>
      <w:r>
        <w:rPr>
          <w:rStyle w:val="HideTWBExt"/>
        </w:rPr>
        <w:t>&lt;/NumAm&gt;</w:t>
      </w:r>
    </w:p>
    <w:p>
      <w:pPr>
        <w:pStyle w:val="NormalBold"/>
      </w:pPr>
      <w:r>
        <w:rPr>
          <w:rStyle w:val="HideTWBExt"/>
          <w:b w:val="0"/>
        </w:rPr>
        <w:t>&lt;RepeatBlock-By&gt;</w:t>
      </w:r>
      <w:r>
        <w:rPr>
          <w:rStyle w:val="HideTWBExt"/>
          <w:b w:val="0"/>
        </w:rPr>
        <w:t>&lt;Members&gt;</w:t>
      </w:r>
      <w:r>
        <w:t>Dick Erixon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di risoluzione</w:t>
      </w:r>
      <w:r>
        <w:rPr>
          <w:rStyle w:val="HideTWBExt"/>
        </w:rPr>
        <w:t>&lt;/DocAmend&gt;</w:t>
      </w:r>
    </w:p>
    <w:p>
      <w:pPr>
        <w:pStyle w:val="NormalBold"/>
      </w:pPr>
      <w:r>
        <w:rPr>
          <w:rStyle w:val="HideTWBExt"/>
        </w:rPr>
        <w:t>&lt;Article&gt;</w:t>
      </w:r>
      <w:r>
        <w:t>Paragrafo 9 bis (nuovo)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Proposta di risoluzione</w:t>
            </w:r>
          </w:p>
        </w:tc>
        <w:tc>
          <w:tcPr>
            <w:tcW w:w="4876" w:type="dxa"/>
            <w:tcBorders>
              <w:top w:val="nil"/>
              <w:left w:val="nil"/>
              <w:bottom w:val="nil"/>
              <w:right w:val="nil"/>
            </w:tcBorders>
          </w:tcPr>
          <w:p>
            <w:pPr>
              <w:pStyle w:val="AmColumnHeading"/>
            </w:pPr>
            <w:r>
              <w:t>Emendamento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9 bis.</w:t>
            </w:r>
            <w:r>
              <w:tab/>
            </w:r>
            <w:r>
              <w:rPr>
                <w:b/>
                <w:i/>
              </w:rPr>
              <w:t>esorta la Commissione a riesaminare periodicamente la prosecuzione dei programmi per i quali la Corte dei conti europea ha constatato un'efficacia insufficiente o gravi carenze nelle relazioni d'impatto;</w:t>
            </w:r>
            <w:r>
              <w:t xml:space="preserve"> </w:t>
            </w:r>
            <w:r>
              <w:rPr>
                <w:b/>
                <w:i/>
              </w:rPr>
              <w:t>chiede che i fondi siano riassegnati a misure più efficaci o restituiti ai cittadini attraverso una riduzione degli oneri fiscali, se del caso;</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Emendamento</w:t>
      </w:r>
      <w:r>
        <w:tab/>
      </w:r>
      <w:r>
        <w:tab/>
      </w:r>
      <w:r>
        <w:rPr>
          <w:rStyle w:val="HideTWBExt"/>
        </w:rPr>
        <w:t>&lt;NumAm&gt;</w:t>
      </w:r>
      <w:r>
        <w:t>60</w:t>
      </w:r>
      <w:r>
        <w:rPr>
          <w:rStyle w:val="HideTWBExt"/>
        </w:rPr>
        <w:t>&lt;/NumAm&gt;</w:t>
      </w:r>
    </w:p>
    <w:p>
      <w:pPr>
        <w:pStyle w:val="NormalBold"/>
      </w:pPr>
      <w:r>
        <w:rPr>
          <w:rStyle w:val="HideTWBExt"/>
          <w:b w:val="0"/>
        </w:rPr>
        <w:t>&lt;RepeatBlock-By&gt;</w:t>
      </w:r>
      <w:r>
        <w:rPr>
          <w:rStyle w:val="HideTWBExt"/>
          <w:b w:val="0"/>
        </w:rPr>
        <w:t>&lt;Members&gt;</w:t>
      </w:r>
      <w:r>
        <w:t>Terry Reintke</w:t>
      </w:r>
      <w:r>
        <w:rPr>
          <w:rStyle w:val="HideTWBExt"/>
          <w:b w:val="0"/>
        </w:rPr>
        <w:t>&lt;/Members&gt;</w:t>
      </w:r>
    </w:p>
    <w:p>
      <w:r>
        <w:rPr>
          <w:rStyle w:val="HideTWBExt"/>
          <w:b w:val="0"/>
        </w:rPr>
        <w:t>&lt;AuNomDe&gt;</w:t>
      </w:r>
      <w:r>
        <w:rPr>
          <w:rStyle w:val="HideTWBInt"/>
        </w:rPr>
        <w:t>{Verts/ALE}</w:t>
      </w:r>
      <w:r>
        <w:t>a nome del gruppo Verts/ALE</w:t>
      </w:r>
      <w:r>
        <w:rPr>
          <w:rStyle w:val="HideTWBExt"/>
          <w:b w:val="0"/>
        </w:rPr>
        <w:t>&lt;/AuNomDe&gt;</w:t>
      </w:r>
    </w:p>
    <w:p>
      <w:pPr>
        <w:pStyle w:val="NormalBold"/>
      </w:pPr>
      <w:r>
        <w:rPr>
          <w:rStyle w:val="HideTWBExt"/>
          <w:b w:val="0"/>
        </w:rPr>
        <w:t>&lt;/RepeatBlock-By&gt;</w:t>
      </w:r>
    </w:p>
    <w:p>
      <w:pPr>
        <w:pStyle w:val="NormalBold"/>
      </w:pPr>
      <w:r>
        <w:rPr>
          <w:rStyle w:val="HideTWBExt"/>
        </w:rPr>
        <w:t>&lt;DocAmend&gt;</w:t>
      </w:r>
      <w:r>
        <w:t>Proposta di risoluzione</w:t>
      </w:r>
      <w:r>
        <w:rPr>
          <w:rStyle w:val="HideTWBExt"/>
        </w:rPr>
        <w:t>&lt;/DocAmend&gt;</w:t>
      </w:r>
    </w:p>
    <w:p>
      <w:pPr>
        <w:pStyle w:val="NormalBold"/>
      </w:pPr>
      <w:r>
        <w:rPr>
          <w:rStyle w:val="HideTWBExt"/>
        </w:rPr>
        <w:t>&lt;Article&gt;</w:t>
      </w:r>
      <w:r>
        <w:t>Paragrafo 9 bis (nuovo)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Proposta di risoluzione</w:t>
            </w:r>
          </w:p>
        </w:tc>
        <w:tc>
          <w:tcPr>
            <w:tcW w:w="4876" w:type="dxa"/>
            <w:tcBorders>
              <w:top w:val="nil"/>
              <w:left w:val="nil"/>
              <w:bottom w:val="nil"/>
              <w:right w:val="nil"/>
            </w:tcBorders>
          </w:tcPr>
          <w:p>
            <w:pPr>
              <w:pStyle w:val="AmColumnHeading"/>
            </w:pPr>
            <w:r>
              <w:t>Emendamento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9 bis.</w:t>
            </w:r>
            <w:r>
              <w:tab/>
            </w:r>
            <w:r>
              <w:rPr>
                <w:b/>
                <w:i/>
              </w:rPr>
              <w:t>sottolinea che una gestione efficace della performance presuppone il rispetto dello Stato di diritto e la tutela degli interessi finanziari dell'UE;</w:t>
            </w:r>
            <w:r>
              <w:t xml:space="preserve"> </w:t>
            </w:r>
            <w:r>
              <w:rPr>
                <w:b/>
                <w:i/>
              </w:rPr>
              <w:t>ricorda che, qualora persistano gravi carenze nei sistemi di controllo, i pagamenti devono essere sospesi e devono essere applicate rettifiche finanziarie;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Emendamento</w:t>
      </w:r>
      <w:r>
        <w:tab/>
      </w:r>
      <w:r>
        <w:tab/>
      </w:r>
      <w:r>
        <w:rPr>
          <w:rStyle w:val="HideTWBExt"/>
        </w:rPr>
        <w:t>&lt;NumAm&gt;</w:t>
      </w:r>
      <w:r>
        <w:t>61</w:t>
      </w:r>
      <w:r>
        <w:rPr>
          <w:rStyle w:val="HideTWBExt"/>
        </w:rPr>
        <w:t>&lt;/NumAm&gt;</w:t>
      </w:r>
    </w:p>
    <w:p>
      <w:pPr>
        <w:pStyle w:val="NormalBold"/>
      </w:pPr>
      <w:r>
        <w:rPr>
          <w:rStyle w:val="HideTWBExt"/>
          <w:b w:val="0"/>
        </w:rPr>
        <w:t>&lt;RepeatBlock-By&gt;</w:t>
      </w:r>
      <w:r>
        <w:rPr>
          <w:rStyle w:val="HideTWBExt"/>
          <w:b w:val="0"/>
        </w:rPr>
        <w:t>&lt;Members&gt;</w:t>
      </w:r>
      <w:r>
        <w:t>Dick Erixon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di risoluzione</w:t>
      </w:r>
      <w:r>
        <w:rPr>
          <w:rStyle w:val="HideTWBExt"/>
        </w:rPr>
        <w:t>&lt;/DocAmend&gt;</w:t>
      </w:r>
    </w:p>
    <w:p>
      <w:pPr>
        <w:pStyle w:val="NormalBold"/>
      </w:pPr>
      <w:r>
        <w:rPr>
          <w:rStyle w:val="HideTWBExt"/>
        </w:rPr>
        <w:t>&lt;Article&gt;</w:t>
      </w:r>
      <w:r>
        <w:t>Paragrafo 10</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Proposta di risoluzione</w:t>
            </w:r>
          </w:p>
        </w:tc>
        <w:tc>
          <w:tcPr>
            <w:tcW w:w="4876" w:type="dxa"/>
            <w:tcBorders>
              <w:top w:val="nil"/>
              <w:left w:val="nil"/>
              <w:bottom w:val="nil"/>
              <w:right w:val="nil"/>
            </w:tcBorders>
          </w:tcPr>
          <w:p>
            <w:pPr>
              <w:pStyle w:val="AmColumnHeading"/>
            </w:pPr>
            <w:r>
              <w:t>Emendamento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10.</w:t>
            </w:r>
            <w:r>
              <w:tab/>
            </w:r>
            <w:r>
              <w:t>ricorda che la relazione Draghi esorta l'UE a intraprendere profonde riforme per stimolare la competitività</w:t>
            </w:r>
            <w:r>
              <w:rPr>
                <w:b/>
                <w:i/>
              </w:rPr>
              <w:t>, concentrandosi sull'innovazione, la decarbonizzazione e la difesa, e chiede ingenti investimenti in settori strategici quali l'energia verde, le infrastrutture digitali e la produzione avanzata, sostenuti da una semplificazione normativa e da un maggiore coordinamento a livello dell'UE;</w:t>
            </w:r>
            <w:r>
              <w:t xml:space="preserve"> </w:t>
            </w:r>
            <w:r>
              <w:rPr>
                <w:b/>
                <w:i/>
              </w:rPr>
              <w:t>ritiene, a tale proposito, che un quadro</w:t>
            </w:r>
            <w:r>
              <w:t xml:space="preserve"> della </w:t>
            </w:r>
            <w:r>
              <w:rPr>
                <w:b/>
                <w:i/>
              </w:rPr>
              <w:t>performance solido sia essenziale per monitorare i progressi e misurare l'impatto</w:t>
            </w:r>
            <w:r>
              <w:t>;</w:t>
            </w:r>
          </w:p>
        </w:tc>
        <w:tc>
          <w:tcPr>
            <w:tcW w:w="4876" w:type="dxa"/>
            <w:tcBorders>
              <w:top w:val="nil"/>
              <w:left w:val="nil"/>
              <w:bottom w:val="nil"/>
              <w:right w:val="nil"/>
            </w:tcBorders>
          </w:tcPr>
          <w:p>
            <w:pPr>
              <w:pStyle w:val="Normal6a"/>
            </w:pPr>
            <w:r>
              <w:t>10.</w:t>
            </w:r>
            <w:r>
              <w:tab/>
            </w:r>
            <w:r>
              <w:t xml:space="preserve">ricorda che la relazione Draghi esorta l'UE a intraprendere profonde riforme per stimolare la competitività </w:t>
            </w:r>
            <w:r>
              <w:rPr>
                <w:b/>
                <w:i/>
              </w:rPr>
              <w:t>e che la loro attuazione deve dare priorità all'efficacia</w:t>
            </w:r>
            <w:r>
              <w:t xml:space="preserve"> della </w:t>
            </w:r>
            <w:r>
              <w:rPr>
                <w:b/>
                <w:i/>
              </w:rPr>
              <w:t>spesa e alla misurazione dei risultati</w:t>
            </w:r>
            <w:r>
              <w:t xml:space="preserve">; </w:t>
            </w:r>
            <w:r>
              <w:rPr>
                <w:b/>
                <w:i/>
              </w:rPr>
              <w:t>ricorda che ogni euro speso deve essere speso in modo efficace;</w:t>
            </w:r>
            <w:r>
              <w:t xml:space="preserve"> </w:t>
            </w:r>
            <w:r>
              <w:rPr>
                <w:b/>
                <w:i/>
              </w:rPr>
              <w:t>sottolinea che i progetti finanziati dall'UE devono essere selezionati rigorosamente in base al rendimento atteso e all'impatto misurabile, in linea con i principi di economia, efficienza ed efficacia;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Emendamento</w:t>
      </w:r>
      <w:r>
        <w:tab/>
      </w:r>
      <w:r>
        <w:tab/>
      </w:r>
      <w:r>
        <w:rPr>
          <w:rStyle w:val="HideTWBExt"/>
        </w:rPr>
        <w:t>&lt;NumAm&gt;</w:t>
      </w:r>
      <w:r>
        <w:t>62</w:t>
      </w:r>
      <w:r>
        <w:rPr>
          <w:rStyle w:val="HideTWBExt"/>
        </w:rPr>
        <w:t>&lt;/NumAm&gt;</w:t>
      </w:r>
    </w:p>
    <w:p>
      <w:pPr>
        <w:pStyle w:val="NormalBold"/>
      </w:pPr>
      <w:r>
        <w:rPr>
          <w:rStyle w:val="HideTWBExt"/>
          <w:b w:val="0"/>
        </w:rPr>
        <w:t>&lt;RepeatBlock-By&gt;</w:t>
      </w:r>
      <w:r>
        <w:rPr>
          <w:rStyle w:val="HideTWBExt"/>
          <w:b w:val="0"/>
        </w:rPr>
        <w:t>&lt;Members&gt;</w:t>
      </w:r>
      <w:r>
        <w:t>Arno Bausemer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di risoluzione</w:t>
      </w:r>
      <w:r>
        <w:rPr>
          <w:rStyle w:val="HideTWBExt"/>
        </w:rPr>
        <w:t>&lt;/DocAmend&gt;</w:t>
      </w:r>
    </w:p>
    <w:p>
      <w:pPr>
        <w:pStyle w:val="NormalBold"/>
      </w:pPr>
      <w:r>
        <w:rPr>
          <w:rStyle w:val="HideTWBExt"/>
        </w:rPr>
        <w:t>&lt;Article&gt;</w:t>
      </w:r>
      <w:r>
        <w:t>Paragrafo 10</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Proposta di risoluzione</w:t>
            </w:r>
          </w:p>
        </w:tc>
        <w:tc>
          <w:tcPr>
            <w:tcW w:w="4876" w:type="dxa"/>
            <w:tcBorders>
              <w:top w:val="nil"/>
              <w:left w:val="nil"/>
              <w:bottom w:val="nil"/>
              <w:right w:val="nil"/>
            </w:tcBorders>
          </w:tcPr>
          <w:p>
            <w:pPr>
              <w:pStyle w:val="AmColumnHeading"/>
            </w:pPr>
            <w:r>
              <w:t>Emendamento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10.</w:t>
            </w:r>
            <w:r>
              <w:tab/>
            </w:r>
            <w:r>
              <w:t>ricorda che la relazione Draghi esorta l'UE a intraprendere profonde riforme per stimolare la competitività, concentrandosi sull'innovazione, la decarbonizzazione e la difesa, e chiede ingenti investimenti in settori strategici quali l'energia verde, le infrastrutture digitali e la produzione avanzata, sostenuti da una semplificazione normativa e da un maggiore coordinamento a livello dell'UE; ritiene, a tale proposito, che un quadro della performance solido sia essenziale per monitorare i progressi e misurare l'impatto;</w:t>
            </w:r>
          </w:p>
        </w:tc>
        <w:tc>
          <w:tcPr>
            <w:tcW w:w="4876" w:type="dxa"/>
            <w:tcBorders>
              <w:top w:val="nil"/>
              <w:left w:val="nil"/>
              <w:bottom w:val="nil"/>
              <w:right w:val="nil"/>
            </w:tcBorders>
          </w:tcPr>
          <w:p>
            <w:pPr>
              <w:pStyle w:val="Normal6a"/>
            </w:pPr>
            <w:r>
              <w:t>10.</w:t>
            </w:r>
            <w:r>
              <w:tab/>
            </w:r>
            <w:r>
              <w:t xml:space="preserve">ricorda che la relazione Draghi esorta l'UE a intraprendere profonde riforme per stimolare la competitività, concentrandosi sull'innovazione, la decarbonizzazione e la difesa, e chiede ingenti investimenti in settori strategici quali l'energia verde, le infrastrutture digitali e la produzione avanzata, sostenuti da una semplificazione normativa e da un maggiore coordinamento a livello dell'UE; ritiene, a tale proposito, che un quadro della performance solido sia essenziale per monitorare i progressi e misurare l'impatto; </w:t>
            </w:r>
            <w:r>
              <w:rPr>
                <w:b/>
                <w:i/>
              </w:rPr>
              <w:t>sottolinea che gli indicatori di performance devono essere oggettivi, misurabili ed esenti da pregiudizi politici e ideologici affinché la valutazione dei programmi dell'UE si basi su fatti verificabili e non sia influenzata da agende politiche specifiche;</w:t>
            </w:r>
          </w:p>
        </w:tc>
      </w:tr>
    </w:tbl>
    <w:p>
      <w:pPr>
        <w:pStyle w:val="AmOrLang"/>
      </w:pPr>
      <w:r>
        <w:t xml:space="preserve">Or. </w:t>
      </w:r>
      <w:r>
        <w:rPr>
          <w:rStyle w:val="HideTWBExt"/>
        </w:rPr>
        <w:t>&lt;Original&gt;</w:t>
      </w:r>
      <w:r>
        <w:rPr>
          <w:rStyle w:val="HideTWBInt"/>
        </w:rPr>
        <w:t>{DE}</w:t>
      </w:r>
      <w:r>
        <w:t>de</w:t>
      </w:r>
      <w:r>
        <w:rPr>
          <w:rStyle w:val="HideTWBExt"/>
        </w:rPr>
        <w:t>&lt;/Original&gt;</w:t>
      </w:r>
    </w:p>
    <w:p>
      <w:r>
        <w:rPr>
          <w:rStyle w:val="HideTWBExt"/>
        </w:rPr>
        <w:t>&lt;/Amend&gt;</w:t>
      </w:r>
    </w:p>
    <w:p>
      <w:pPr>
        <w:pStyle w:val="AmNumberTabs"/>
      </w:pPr>
      <w:r>
        <w:rPr>
          <w:rStyle w:val="HideTWBExt"/>
        </w:rPr>
        <w:t>&lt;Amend&gt;</w:t>
      </w:r>
      <w:r>
        <w:t>Emendamento</w:t>
      </w:r>
      <w:r>
        <w:tab/>
      </w:r>
      <w:r>
        <w:tab/>
      </w:r>
      <w:r>
        <w:rPr>
          <w:rStyle w:val="HideTWBExt"/>
        </w:rPr>
        <w:t>&lt;NumAm&gt;</w:t>
      </w:r>
      <w:r>
        <w:t>63</w:t>
      </w:r>
      <w:r>
        <w:rPr>
          <w:rStyle w:val="HideTWBExt"/>
        </w:rPr>
        <w:t>&lt;/NumAm&gt;</w:t>
      </w:r>
    </w:p>
    <w:p>
      <w:pPr>
        <w:pStyle w:val="NormalBold"/>
      </w:pPr>
      <w:r>
        <w:rPr>
          <w:rStyle w:val="HideTWBExt"/>
          <w:b w:val="0"/>
        </w:rPr>
        <w:t>&lt;RepeatBlock-By&gt;</w:t>
      </w:r>
      <w:r>
        <w:rPr>
          <w:rStyle w:val="HideTWBExt"/>
          <w:b w:val="0"/>
        </w:rPr>
        <w:t>&lt;Members&gt;</w:t>
      </w:r>
      <w:r>
        <w:t>Cristian Terheş</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di risoluzione</w:t>
      </w:r>
      <w:r>
        <w:rPr>
          <w:rStyle w:val="HideTWBExt"/>
        </w:rPr>
        <w:t>&lt;/DocAmend&gt;</w:t>
      </w:r>
    </w:p>
    <w:p>
      <w:pPr>
        <w:pStyle w:val="NormalBold"/>
      </w:pPr>
      <w:r>
        <w:rPr>
          <w:rStyle w:val="HideTWBExt"/>
        </w:rPr>
        <w:t>&lt;Article&gt;</w:t>
      </w:r>
      <w:r>
        <w:t>Paragrafo 10</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Proposta di risoluzione</w:t>
            </w:r>
          </w:p>
        </w:tc>
        <w:tc>
          <w:tcPr>
            <w:tcW w:w="4876" w:type="dxa"/>
            <w:tcBorders>
              <w:top w:val="nil"/>
              <w:left w:val="nil"/>
              <w:bottom w:val="nil"/>
              <w:right w:val="nil"/>
            </w:tcBorders>
          </w:tcPr>
          <w:p>
            <w:pPr>
              <w:pStyle w:val="AmColumnHeading"/>
            </w:pPr>
            <w:r>
              <w:t>Emendamento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10.</w:t>
            </w:r>
            <w:r>
              <w:tab/>
            </w:r>
            <w:r>
              <w:t>ricorda che la relazione Draghi esorta l'UE a intraprendere profonde riforme per stimolare la competitività, concentrandosi sull'innovazione</w:t>
            </w:r>
            <w:r>
              <w:rPr>
                <w:b/>
                <w:i/>
              </w:rPr>
              <w:t>, la decarbonizzazione</w:t>
            </w:r>
            <w:r>
              <w:t xml:space="preserve"> e la difesa, e chiede ingenti investimenti in settori strategici quali </w:t>
            </w:r>
            <w:r>
              <w:rPr>
                <w:b/>
                <w:i/>
              </w:rPr>
              <w:t>l'energia verde,</w:t>
            </w:r>
            <w:r>
              <w:t xml:space="preserve"> le infrastrutture digitali e la produzione avanzata, sostenuti da una semplificazione normativa e da un maggiore coordinamento a livello dell'UE; ritiene, a tale proposito, che un quadro della performance solido sia essenziale per monitorare i progressi e misurare l'impatto;</w:t>
            </w:r>
          </w:p>
        </w:tc>
        <w:tc>
          <w:tcPr>
            <w:tcW w:w="4876" w:type="dxa"/>
            <w:tcBorders>
              <w:top w:val="nil"/>
              <w:left w:val="nil"/>
              <w:bottom w:val="nil"/>
              <w:right w:val="nil"/>
            </w:tcBorders>
          </w:tcPr>
          <w:p>
            <w:pPr>
              <w:pStyle w:val="Normal6a"/>
            </w:pPr>
            <w:r>
              <w:t>10.</w:t>
            </w:r>
            <w:r>
              <w:tab/>
            </w:r>
            <w:r>
              <w:t>ricorda che la relazione Draghi esorta l'UE a intraprendere profonde riforme per stimolare la competitività, concentrandosi sull'innovazione e la difesa, e chiede ingenti investimenti in settori strategici quali le infrastrutture digitali e la produzione avanzata, sostenuti da una semplificazione normativa e da un maggiore coordinamento a livello dell'UE; ritiene, a tale proposito, che un quadro della performance solido sia essenziale per monitorare i progressi e misurare l'impatto;</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Emendamento</w:t>
      </w:r>
      <w:r>
        <w:tab/>
      </w:r>
      <w:r>
        <w:tab/>
      </w:r>
      <w:r>
        <w:rPr>
          <w:rStyle w:val="HideTWBExt"/>
        </w:rPr>
        <w:t>&lt;NumAm&gt;</w:t>
      </w:r>
      <w:r>
        <w:t>64</w:t>
      </w:r>
      <w:r>
        <w:rPr>
          <w:rStyle w:val="HideTWBExt"/>
        </w:rPr>
        <w:t>&lt;/NumAm&gt;</w:t>
      </w:r>
    </w:p>
    <w:p>
      <w:pPr>
        <w:pStyle w:val="NormalBold"/>
      </w:pPr>
      <w:r>
        <w:rPr>
          <w:rStyle w:val="HideTWBExt"/>
          <w:b w:val="0"/>
        </w:rPr>
        <w:t>&lt;RepeatBlock-By&gt;</w:t>
      </w:r>
      <w:r>
        <w:rPr>
          <w:rStyle w:val="HideTWBExt"/>
          <w:b w:val="0"/>
        </w:rPr>
        <w:t>&lt;Members&gt;</w:t>
      </w:r>
      <w:r>
        <w:t>Pasquale Tridico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di risoluzione</w:t>
      </w:r>
      <w:r>
        <w:rPr>
          <w:rStyle w:val="HideTWBExt"/>
        </w:rPr>
        <w:t>&lt;/DocAmend&gt;</w:t>
      </w:r>
    </w:p>
    <w:p>
      <w:pPr>
        <w:pStyle w:val="NormalBold"/>
      </w:pPr>
      <w:r>
        <w:rPr>
          <w:rStyle w:val="HideTWBExt"/>
        </w:rPr>
        <w:t>&lt;Article&gt;</w:t>
      </w:r>
      <w:r>
        <w:t>Paragrafo 10</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Proposta di risoluzione</w:t>
            </w:r>
          </w:p>
        </w:tc>
        <w:tc>
          <w:tcPr>
            <w:tcW w:w="4876" w:type="dxa"/>
            <w:tcBorders>
              <w:top w:val="nil"/>
              <w:left w:val="nil"/>
              <w:bottom w:val="nil"/>
              <w:right w:val="nil"/>
            </w:tcBorders>
          </w:tcPr>
          <w:p>
            <w:pPr>
              <w:pStyle w:val="AmColumnHeading"/>
            </w:pPr>
            <w:r>
              <w:t>Emendamento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10.</w:t>
            </w:r>
            <w:r>
              <w:tab/>
            </w:r>
            <w:r>
              <w:t>ricorda che la relazione Draghi esorta l'UE a intraprendere profonde riforme per stimolare la competitività, concentrandosi sull'innovazione</w:t>
            </w:r>
            <w:r>
              <w:rPr>
                <w:b/>
                <w:i/>
              </w:rPr>
              <w:t>,</w:t>
            </w:r>
            <w:r>
              <w:t xml:space="preserve"> la decarbonizzazione </w:t>
            </w:r>
            <w:r>
              <w:rPr>
                <w:b/>
                <w:i/>
              </w:rPr>
              <w:t>e la difesa</w:t>
            </w:r>
            <w:r>
              <w:t>, e chiede ingenti investimenti in settori strategici quali l'energia verde, le infrastrutture digitali e la produzione avanzata, sostenuti da una semplificazione normativa e da un maggiore coordinamento a livello dell'UE; ritiene, a tale proposito, che un quadro della performance solido sia essenziale per monitorare i progressi e misurare l'impatto;</w:t>
            </w:r>
          </w:p>
        </w:tc>
        <w:tc>
          <w:tcPr>
            <w:tcW w:w="4876" w:type="dxa"/>
            <w:tcBorders>
              <w:top w:val="nil"/>
              <w:left w:val="nil"/>
              <w:bottom w:val="nil"/>
              <w:right w:val="nil"/>
            </w:tcBorders>
          </w:tcPr>
          <w:p>
            <w:pPr>
              <w:pStyle w:val="Normal6a"/>
            </w:pPr>
            <w:r>
              <w:t>10.</w:t>
            </w:r>
            <w:r>
              <w:tab/>
            </w:r>
            <w:r>
              <w:t xml:space="preserve">ricorda che la relazione Draghi esorta l'UE a intraprendere profonde riforme per stimolare la competitività, concentrandosi sull'innovazione </w:t>
            </w:r>
            <w:r>
              <w:rPr>
                <w:b/>
                <w:i/>
              </w:rPr>
              <w:t>e</w:t>
            </w:r>
            <w:r>
              <w:t xml:space="preserve"> la decarbonizzazione, e chiede ingenti investimenti in settori strategici quali l'energia verde, le infrastrutture digitali e la produzione avanzata, sostenuti da una semplificazione normativa e da un maggiore coordinamento a livello dell'UE; ritiene, a tale proposito, che un quadro della performance solido sia essenziale per monitorare i progressi e misurare l'impatto;</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Emendamento</w:t>
      </w:r>
      <w:r>
        <w:tab/>
      </w:r>
      <w:r>
        <w:tab/>
      </w:r>
      <w:r>
        <w:rPr>
          <w:rStyle w:val="HideTWBExt"/>
        </w:rPr>
        <w:t>&lt;NumAm&gt;</w:t>
      </w:r>
      <w:r>
        <w:t>65</w:t>
      </w:r>
      <w:r>
        <w:rPr>
          <w:rStyle w:val="HideTWBExt"/>
        </w:rPr>
        <w:t>&lt;/NumAm&gt;</w:t>
      </w:r>
    </w:p>
    <w:p>
      <w:pPr>
        <w:pStyle w:val="NormalBold"/>
      </w:pPr>
      <w:r>
        <w:rPr>
          <w:rStyle w:val="HideTWBExt"/>
          <w:b w:val="0"/>
        </w:rPr>
        <w:t>&lt;RepeatBlock-By&gt;</w:t>
      </w:r>
      <w:r>
        <w:rPr>
          <w:rStyle w:val="HideTWBExt"/>
          <w:b w:val="0"/>
        </w:rPr>
        <w:t>&lt;Members&gt;</w:t>
      </w:r>
      <w:r>
        <w:t>Kinga Kollár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di risoluzione</w:t>
      </w:r>
      <w:r>
        <w:rPr>
          <w:rStyle w:val="HideTWBExt"/>
        </w:rPr>
        <w:t>&lt;/DocAmend&gt;</w:t>
      </w:r>
    </w:p>
    <w:p>
      <w:pPr>
        <w:pStyle w:val="NormalBold"/>
      </w:pPr>
      <w:r>
        <w:rPr>
          <w:rStyle w:val="HideTWBExt"/>
        </w:rPr>
        <w:t>&lt;Article&gt;</w:t>
      </w:r>
      <w:r>
        <w:t>Paragrafo 10</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Proposta di risoluzione</w:t>
            </w:r>
          </w:p>
        </w:tc>
        <w:tc>
          <w:tcPr>
            <w:tcW w:w="4876" w:type="dxa"/>
            <w:tcBorders>
              <w:top w:val="nil"/>
              <w:left w:val="nil"/>
              <w:bottom w:val="nil"/>
              <w:right w:val="nil"/>
            </w:tcBorders>
          </w:tcPr>
          <w:p>
            <w:pPr>
              <w:pStyle w:val="AmColumnHeading"/>
            </w:pPr>
            <w:r>
              <w:t>Emendamento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10.</w:t>
            </w:r>
            <w:r>
              <w:tab/>
            </w:r>
            <w:r>
              <w:t xml:space="preserve">ricorda che la relazione Draghi esorta l'UE a intraprendere profonde riforme per stimolare la competitività, concentrandosi sull'innovazione, la decarbonizzazione e la difesa, e chiede ingenti investimenti in settori strategici quali l'energia verde, le infrastrutture digitali e la produzione avanzata, sostenuti da una semplificazione normativa e da un maggiore coordinamento a livello dell'UE; ritiene, a tale proposito, che un quadro della performance solido </w:t>
            </w:r>
            <w:r>
              <w:rPr>
                <w:b/>
                <w:i/>
              </w:rPr>
              <w:t>sia essenziale</w:t>
            </w:r>
            <w:r>
              <w:t xml:space="preserve"> per monitorare i progressi e misurare l'impatto;</w:t>
            </w:r>
          </w:p>
        </w:tc>
        <w:tc>
          <w:tcPr>
            <w:tcW w:w="4876" w:type="dxa"/>
            <w:tcBorders>
              <w:top w:val="nil"/>
              <w:left w:val="nil"/>
              <w:bottom w:val="nil"/>
              <w:right w:val="nil"/>
            </w:tcBorders>
          </w:tcPr>
          <w:p>
            <w:pPr>
              <w:pStyle w:val="Normal6a"/>
            </w:pPr>
            <w:r>
              <w:t>10.</w:t>
            </w:r>
            <w:r>
              <w:tab/>
            </w:r>
            <w:r>
              <w:t>ricorda che la relazione Draghi esorta l'UE a intraprendere profonde riforme per stimolare la competitività, concentrandosi sull'innovazione, la decarbonizzazione e la difesa, e chiede ingenti investimenti in settori strategici quali l'energia verde, le infrastrutture digitali e la produzione avanzata, sostenuti da una semplificazione normativa e da un maggiore coordinamento a livello dell'UE; ritiene, a tale proposito, che un quadro della performance solido </w:t>
            </w:r>
            <w:r>
              <w:rPr>
                <w:b/>
                <w:i/>
              </w:rPr>
              <w:t>e un sistema di indicatori siano essenziali</w:t>
            </w:r>
            <w:r>
              <w:t xml:space="preserve"> per monitorare i progressi e misurare l'impatto</w:t>
            </w:r>
            <w:r>
              <w:rPr>
                <w:b/>
                <w:i/>
              </w:rPr>
              <w:t>, collegando direttamente la performance alla forza economica dell'Unione europea</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Emendamento</w:t>
      </w:r>
      <w:r>
        <w:tab/>
      </w:r>
      <w:r>
        <w:tab/>
      </w:r>
      <w:r>
        <w:rPr>
          <w:rStyle w:val="HideTWBExt"/>
        </w:rPr>
        <w:t>&lt;NumAm&gt;</w:t>
      </w:r>
      <w:r>
        <w:t>66</w:t>
      </w:r>
      <w:r>
        <w:rPr>
          <w:rStyle w:val="HideTWBExt"/>
        </w:rPr>
        <w:t>&lt;/NumAm&gt;</w:t>
      </w:r>
    </w:p>
    <w:p>
      <w:pPr>
        <w:pStyle w:val="NormalBold"/>
      </w:pPr>
      <w:r>
        <w:rPr>
          <w:rStyle w:val="HideTWBExt"/>
          <w:b w:val="0"/>
        </w:rPr>
        <w:t>&lt;RepeatBlock-By&gt;</w:t>
      </w:r>
      <w:r>
        <w:rPr>
          <w:rStyle w:val="HideTWBExt"/>
          <w:b w:val="0"/>
        </w:rPr>
        <w:t>&lt;Members&gt;</w:t>
      </w:r>
      <w:r>
        <w:t>Eero Heinäluoma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di risoluzione</w:t>
      </w:r>
      <w:r>
        <w:rPr>
          <w:rStyle w:val="HideTWBExt"/>
        </w:rPr>
        <w:t>&lt;/DocAmend&gt;</w:t>
      </w:r>
    </w:p>
    <w:p>
      <w:pPr>
        <w:pStyle w:val="NormalBold"/>
      </w:pPr>
      <w:r>
        <w:rPr>
          <w:rStyle w:val="HideTWBExt"/>
        </w:rPr>
        <w:t>&lt;Article&gt;</w:t>
      </w:r>
      <w:r>
        <w:t>Paragrafo 10 bis (nuovo)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Proposta di risoluzione</w:t>
            </w:r>
          </w:p>
        </w:tc>
        <w:tc>
          <w:tcPr>
            <w:tcW w:w="4876" w:type="dxa"/>
            <w:tcBorders>
              <w:top w:val="nil"/>
              <w:left w:val="nil"/>
              <w:bottom w:val="nil"/>
              <w:right w:val="nil"/>
            </w:tcBorders>
          </w:tcPr>
          <w:p>
            <w:pPr>
              <w:pStyle w:val="AmColumnHeading"/>
            </w:pPr>
            <w:r>
              <w:t>Emendamento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10 bis.</w:t>
            </w:r>
            <w:r>
              <w:tab/>
            </w:r>
            <w:r>
              <w:rPr>
                <w:b/>
                <w:i/>
              </w:rPr>
              <w:t>ricorda che la relazione Draghi sottolinea che l'eccellenza nella ricerca e nell'innovazione è fondamentale per la competitività dell'UE e che all'interno del sistema di ricerca e innovazione dell'UE, compreso il programma Orizzonte Europa, dovrebbe esserci un solo criterio di selezione, vale a dire l'eccellenza;</w:t>
            </w:r>
            <w:r>
              <w:t xml:space="preserve"> </w:t>
            </w:r>
            <w:r>
              <w:rPr>
                <w:b/>
                <w:i/>
              </w:rPr>
              <w:t>ribadisce, a tale proposito, la sua posizione secondo cui i finanziamenti per la ricerca e l'innovazione dovrebbero continuare a essere determinati dal principio dell'eccellenza e rimanere basati sul merito;</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Emendamento</w:t>
      </w:r>
      <w:r>
        <w:tab/>
      </w:r>
      <w:r>
        <w:tab/>
      </w:r>
      <w:r>
        <w:rPr>
          <w:rStyle w:val="HideTWBExt"/>
        </w:rPr>
        <w:t>&lt;NumAm&gt;</w:t>
      </w:r>
      <w:r>
        <w:t>67</w:t>
      </w:r>
      <w:r>
        <w:rPr>
          <w:rStyle w:val="HideTWBExt"/>
        </w:rPr>
        <w:t>&lt;/NumAm&gt;</w:t>
      </w:r>
    </w:p>
    <w:p>
      <w:pPr>
        <w:pStyle w:val="NormalBold"/>
      </w:pPr>
      <w:r>
        <w:rPr>
          <w:rStyle w:val="HideTWBExt"/>
          <w:b w:val="0"/>
        </w:rPr>
        <w:t>&lt;RepeatBlock-By&gt;</w:t>
      </w:r>
      <w:r>
        <w:rPr>
          <w:rStyle w:val="HideTWBExt"/>
          <w:b w:val="0"/>
        </w:rPr>
        <w:t>&lt;Members&gt;</w:t>
      </w:r>
      <w:r>
        <w:t>Şerban Dimitrie Sturdza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di risoluzione</w:t>
      </w:r>
      <w:r>
        <w:rPr>
          <w:rStyle w:val="HideTWBExt"/>
        </w:rPr>
        <w:t>&lt;/DocAmend&gt;</w:t>
      </w:r>
    </w:p>
    <w:p>
      <w:pPr>
        <w:pStyle w:val="NormalBold"/>
      </w:pPr>
      <w:r>
        <w:rPr>
          <w:rStyle w:val="HideTWBExt"/>
        </w:rPr>
        <w:t>&lt;Article&gt;</w:t>
      </w:r>
      <w:r>
        <w:t>Paragrafo 11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Proposta di risoluzione</w:t>
            </w:r>
          </w:p>
        </w:tc>
        <w:tc>
          <w:tcPr>
            <w:tcW w:w="4876" w:type="dxa"/>
            <w:tcBorders>
              <w:top w:val="nil"/>
              <w:left w:val="nil"/>
              <w:bottom w:val="nil"/>
              <w:right w:val="nil"/>
            </w:tcBorders>
          </w:tcPr>
          <w:p>
            <w:pPr>
              <w:pStyle w:val="AmColumnHeading"/>
            </w:pPr>
            <w:r>
              <w:t>Emendamento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11.</w:t>
            </w:r>
            <w:r>
              <w:tab/>
            </w:r>
            <w:r>
              <w:t>sottolinea che l'attuazione delle raccomandazioni formulate nella relazione Draghi dovrebbe essere monitorata mediante indicatori di performance pertinenti che rispecchino i progressi compiuti dall'UE nel promuovere la sua competitività. sottolinea che gli indicatori devono essere attentamente concepiti e dovrebbero riflettere non soltanto le realizzazioni (ad esempio, il numero di progetti finanziati), ma anche i risultati e l'impatto (ad esempio, aumenti di produttività, riduzione delle emissioni, creazione di posti di lavoro, effetto leva dei programmi dell'UE, in particolare in termini di mobilitazione di investimenti privati), al fine di misurare l'efficienza e l'efficacia della spesa dell'UE;</w:t>
            </w:r>
          </w:p>
        </w:tc>
        <w:tc>
          <w:tcPr>
            <w:tcW w:w="4876" w:type="dxa"/>
            <w:tcBorders>
              <w:top w:val="nil"/>
              <w:left w:val="nil"/>
              <w:bottom w:val="nil"/>
              <w:right w:val="nil"/>
            </w:tcBorders>
          </w:tcPr>
          <w:p>
            <w:pPr>
              <w:pStyle w:val="Normal6a"/>
            </w:pPr>
            <w:r>
              <w:t>11.</w:t>
            </w:r>
            <w:r>
              <w:tab/>
            </w:r>
            <w:r>
              <w:t xml:space="preserve">sottolinea che l'attuazione delle raccomandazioni formulate nella relazione Draghi dovrebbe essere monitorata mediante indicatori di performance pertinenti che rispecchino i progressi compiuti dall'UE nel promuovere la sua competitività. sottolinea che gli indicatori devono essere attentamente concepiti e dovrebbero riflettere non soltanto le realizzazioni (ad esempio, il numero di progetti finanziati), ma anche i risultati e l'impatto (ad esempio, aumenti di produttività, riduzione delle emissioni, creazione di posti di lavoro, effetto leva dei programmi dell'UE, in particolare in termini di mobilitazione di investimenti privati), al fine di misurare l'efficienza e l'efficacia della spesa dell'UE; </w:t>
            </w:r>
            <w:r>
              <w:rPr>
                <w:b/>
                <w:i/>
              </w:rPr>
              <w:t>sottolinea che gli indicatori basati sui risultati dovrebbero concentrarsi sugli incrementi di competitività a lungo termine, tra cui la crescita della produttività, la leadership tecnologica, la diversificazione delle esportazioni e la creazione di posti di lavoro sostenibili, anziché su parametri di esborso a breve termine o su traguardi definiti politicamente;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Emendamento</w:t>
      </w:r>
      <w:r>
        <w:tab/>
      </w:r>
      <w:r>
        <w:tab/>
      </w:r>
      <w:r>
        <w:rPr>
          <w:rStyle w:val="HideTWBExt"/>
        </w:rPr>
        <w:t>&lt;NumAm&gt;</w:t>
      </w:r>
      <w:r>
        <w:t>68</w:t>
      </w:r>
      <w:r>
        <w:rPr>
          <w:rStyle w:val="HideTWBExt"/>
        </w:rPr>
        <w:t>&lt;/NumAm&gt;</w:t>
      </w:r>
    </w:p>
    <w:p>
      <w:pPr>
        <w:pStyle w:val="NormalBold"/>
      </w:pPr>
      <w:r>
        <w:rPr>
          <w:rStyle w:val="HideTWBExt"/>
          <w:b w:val="0"/>
        </w:rPr>
        <w:t>&lt;RepeatBlock-By&gt;</w:t>
      </w:r>
      <w:r>
        <w:rPr>
          <w:rStyle w:val="HideTWBExt"/>
          <w:b w:val="0"/>
        </w:rPr>
        <w:t>&lt;Members&gt;</w:t>
      </w:r>
      <w:r>
        <w:t>Tomáš Zdechovský</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di risoluzione</w:t>
      </w:r>
      <w:r>
        <w:rPr>
          <w:rStyle w:val="HideTWBExt"/>
        </w:rPr>
        <w:t>&lt;/DocAmend&gt;</w:t>
      </w:r>
    </w:p>
    <w:p>
      <w:pPr>
        <w:pStyle w:val="NormalBold"/>
      </w:pPr>
      <w:r>
        <w:rPr>
          <w:rStyle w:val="HideTWBExt"/>
        </w:rPr>
        <w:t>&lt;Article&gt;</w:t>
      </w:r>
      <w:r>
        <w:t>Paragrafo 11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Proposta di risoluzione</w:t>
            </w:r>
          </w:p>
        </w:tc>
        <w:tc>
          <w:tcPr>
            <w:tcW w:w="4876" w:type="dxa"/>
            <w:tcBorders>
              <w:top w:val="nil"/>
              <w:left w:val="nil"/>
              <w:bottom w:val="nil"/>
              <w:right w:val="nil"/>
            </w:tcBorders>
          </w:tcPr>
          <w:p>
            <w:pPr>
              <w:pStyle w:val="AmColumnHeading"/>
            </w:pPr>
            <w:r>
              <w:t>Emendamento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11.</w:t>
            </w:r>
            <w:r>
              <w:tab/>
            </w:r>
            <w:r>
              <w:t>sottolinea che l'attuazione delle raccomandazioni formulate nella relazione Draghi dovrebbe essere monitorata mediante indicatori di performance pertinenti che rispecchino i progressi compiuti dall'UE nel promuovere la sua competitività. sottolinea che gli indicatori devono essere attentamente concepiti e dovrebbero riflettere non soltanto le realizzazioni (ad esempio, il numero di progetti finanziati), ma anche i risultati e l'impatto (ad esempio, aumenti di produttività, riduzione delle emissioni, creazione di posti di lavoro, effetto leva dei programmi dell'UE, in particolare in termini di mobilitazione di investimenti privati), al fine di misurare l'efficienza e l'efficacia della spesa dell'UE;</w:t>
            </w:r>
          </w:p>
        </w:tc>
        <w:tc>
          <w:tcPr>
            <w:tcW w:w="4876" w:type="dxa"/>
            <w:tcBorders>
              <w:top w:val="nil"/>
              <w:left w:val="nil"/>
              <w:bottom w:val="nil"/>
              <w:right w:val="nil"/>
            </w:tcBorders>
          </w:tcPr>
          <w:p>
            <w:pPr>
              <w:pStyle w:val="Normal6a"/>
            </w:pPr>
            <w:r>
              <w:t>11.</w:t>
            </w:r>
            <w:r>
              <w:tab/>
            </w:r>
            <w:r>
              <w:t xml:space="preserve">sottolinea che l'attuazione delle raccomandazioni formulate nella relazione Draghi dovrebbe essere monitorata mediante indicatori di performance pertinenti che rispecchino i progressi compiuti dall'UE nel promuovere la sua competitività. sottolinea che gli indicatori devono essere attentamente concepiti e dovrebbero riflettere non soltanto le realizzazioni (ad esempio, il numero di progetti finanziati), ma anche i risultati e l'impatto (ad esempio, aumenti di produttività, riduzione delle emissioni, creazione di posti di lavoro, effetto leva dei programmi dell'UE, in particolare in termini di mobilitazione di investimenti privati), al fine di misurare l'efficienza e l'efficacia della spesa dell'UE; </w:t>
            </w:r>
            <w:r>
              <w:rPr>
                <w:b/>
                <w:i/>
              </w:rPr>
              <w:t>sottolinea che la definizione di indicatori di performance deve evitare criteri politici o soggettivi, concentrandosi invece su risultati misurabili in termini di competitività quali la produttività, la bilancia commerciale e l'effetto leva sugli investimenti;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Emendamento</w:t>
      </w:r>
      <w:r>
        <w:tab/>
      </w:r>
      <w:r>
        <w:tab/>
      </w:r>
      <w:r>
        <w:rPr>
          <w:rStyle w:val="HideTWBExt"/>
        </w:rPr>
        <w:t>&lt;NumAm&gt;</w:t>
      </w:r>
      <w:r>
        <w:t>69</w:t>
      </w:r>
      <w:r>
        <w:rPr>
          <w:rStyle w:val="HideTWBExt"/>
        </w:rPr>
        <w:t>&lt;/NumAm&gt;</w:t>
      </w:r>
    </w:p>
    <w:p>
      <w:pPr>
        <w:pStyle w:val="NormalBold"/>
      </w:pPr>
      <w:r>
        <w:rPr>
          <w:rStyle w:val="HideTWBExt"/>
          <w:b w:val="0"/>
        </w:rPr>
        <w:t>&lt;RepeatBlock-By&gt;</w:t>
      </w:r>
      <w:r>
        <w:rPr>
          <w:rStyle w:val="HideTWBExt"/>
          <w:b w:val="0"/>
        </w:rPr>
        <w:t>&lt;Members&gt;</w:t>
      </w:r>
      <w:r>
        <w:t>Dick Erixon, Şerban Dimitrie Sturdza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di risoluzione</w:t>
      </w:r>
      <w:r>
        <w:rPr>
          <w:rStyle w:val="HideTWBExt"/>
        </w:rPr>
        <w:t>&lt;/DocAmend&gt;</w:t>
      </w:r>
    </w:p>
    <w:p>
      <w:pPr>
        <w:pStyle w:val="NormalBold"/>
      </w:pPr>
      <w:r>
        <w:rPr>
          <w:rStyle w:val="HideTWBExt"/>
        </w:rPr>
        <w:t>&lt;Article&gt;</w:t>
      </w:r>
      <w:r>
        <w:t>Paragrafo 11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Proposta di risoluzione</w:t>
            </w:r>
          </w:p>
        </w:tc>
        <w:tc>
          <w:tcPr>
            <w:tcW w:w="4876" w:type="dxa"/>
            <w:tcBorders>
              <w:top w:val="nil"/>
              <w:left w:val="nil"/>
              <w:bottom w:val="nil"/>
              <w:right w:val="nil"/>
            </w:tcBorders>
          </w:tcPr>
          <w:p>
            <w:pPr>
              <w:pStyle w:val="AmColumnHeading"/>
            </w:pPr>
            <w:r>
              <w:t>Emendamento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11.</w:t>
            </w:r>
            <w:r>
              <w:tab/>
            </w:r>
            <w:r>
              <w:t>sottolinea che l'attuazione delle raccomandazioni formulate nella relazione Draghi dovrebbe essere monitorata mediante indicatori di performance pertinenti che rispecchino i progressi compiuti dall'UE nel promuovere la sua competitività</w:t>
            </w:r>
            <w:r>
              <w:rPr>
                <w:b/>
                <w:i/>
              </w:rPr>
              <w:t>.</w:t>
            </w:r>
            <w:r>
              <w:t xml:space="preserve"> sottolinea che gli indicatori devono essere attentamente concepiti e dovrebbero riflettere non soltanto le realizzazioni (ad esempio, il numero di progetti finanziati), ma anche i risultati e l'impatto (ad esempio, aumenti di produttività, riduzione delle emissioni, creazione di posti di lavoro, effetto leva dei programmi dell'UE, in particolare in termini di mobilitazione di investimenti privati), al fine di misurare l'efficienza e l'efficacia della spesa dell'UE;</w:t>
            </w:r>
          </w:p>
        </w:tc>
        <w:tc>
          <w:tcPr>
            <w:tcW w:w="4876" w:type="dxa"/>
            <w:tcBorders>
              <w:top w:val="nil"/>
              <w:left w:val="nil"/>
              <w:bottom w:val="nil"/>
              <w:right w:val="nil"/>
            </w:tcBorders>
          </w:tcPr>
          <w:p>
            <w:pPr>
              <w:pStyle w:val="Normal6a"/>
            </w:pPr>
            <w:r>
              <w:t>11.</w:t>
            </w:r>
            <w:r>
              <w:tab/>
            </w:r>
            <w:r>
              <w:t xml:space="preserve">sottolinea che l'attuazione delle raccomandazioni formulate nella relazione Draghi dovrebbe essere monitorata mediante indicatori di performance pertinenti che rispecchino i progressi compiuti dall'UE nel promuovere la sua competitività </w:t>
            </w:r>
            <w:r>
              <w:rPr>
                <w:b/>
                <w:i/>
              </w:rPr>
              <w:t>con un impatto positivo sulla crescita economica negli Stati membri;</w:t>
            </w:r>
            <w:r>
              <w:t xml:space="preserve"> sottolinea che gli indicatori devono essere attentamente concepiti e dovrebbero riflettere non soltanto le realizzazioni (ad esempio, il numero di progetti finanziati), ma anche i risultati e l'impatto (ad esempio, aumenti di produttività, riduzione delle emissioni, creazione di posti di lavoro, effetto leva dei programmi dell'UE, in particolare in termini di mobilitazione di investimenti privati), al fine di misurare l'efficienza e l'efficacia della spesa dell'UE; </w:t>
            </w:r>
            <w:r>
              <w:rPr>
                <w:b/>
                <w:i/>
              </w:rPr>
              <w:t>ricorda che le riforme strutturali sono parte integrante del conseguimento degli obiettivi di competitività e devono essere prese in considerazione nei quadri di misurazione della performance;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Emendamento</w:t>
      </w:r>
      <w:r>
        <w:tab/>
      </w:r>
      <w:r>
        <w:tab/>
      </w:r>
      <w:r>
        <w:rPr>
          <w:rStyle w:val="HideTWBExt"/>
        </w:rPr>
        <w:t>&lt;NumAm&gt;</w:t>
      </w:r>
      <w:r>
        <w:t>70</w:t>
      </w:r>
      <w:r>
        <w:rPr>
          <w:rStyle w:val="HideTWBExt"/>
        </w:rPr>
        <w:t>&lt;/NumAm&gt;</w:t>
      </w:r>
    </w:p>
    <w:p>
      <w:pPr>
        <w:pStyle w:val="NormalBold"/>
      </w:pPr>
      <w:r>
        <w:rPr>
          <w:rStyle w:val="HideTWBExt"/>
          <w:b w:val="0"/>
        </w:rPr>
        <w:t>&lt;RepeatBlock-By&gt;</w:t>
      </w:r>
      <w:r>
        <w:rPr>
          <w:rStyle w:val="HideTWBExt"/>
          <w:b w:val="0"/>
        </w:rPr>
        <w:t>&lt;Members&gt;</w:t>
      </w:r>
      <w:r>
        <w:t>Kinga Kollár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di risoluzione</w:t>
      </w:r>
      <w:r>
        <w:rPr>
          <w:rStyle w:val="HideTWBExt"/>
        </w:rPr>
        <w:t>&lt;/DocAmend&gt;</w:t>
      </w:r>
    </w:p>
    <w:p>
      <w:pPr>
        <w:pStyle w:val="NormalBold"/>
      </w:pPr>
      <w:r>
        <w:rPr>
          <w:rStyle w:val="HideTWBExt"/>
        </w:rPr>
        <w:t>&lt;Article&gt;</w:t>
      </w:r>
      <w:r>
        <w:t>Paragrafo 11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Proposta di risoluzione</w:t>
            </w:r>
          </w:p>
        </w:tc>
        <w:tc>
          <w:tcPr>
            <w:tcW w:w="4876" w:type="dxa"/>
            <w:tcBorders>
              <w:top w:val="nil"/>
              <w:left w:val="nil"/>
              <w:bottom w:val="nil"/>
              <w:right w:val="nil"/>
            </w:tcBorders>
          </w:tcPr>
          <w:p>
            <w:pPr>
              <w:pStyle w:val="AmColumnHeading"/>
            </w:pPr>
            <w:r>
              <w:t>Emendamento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11.</w:t>
            </w:r>
            <w:r>
              <w:tab/>
            </w:r>
            <w:r>
              <w:t>sottolinea che l'attuazione delle raccomandazioni formulate nella relazione Draghi dovrebbe essere monitorata mediante indicatori di performance pertinenti che rispecchino i progressi compiuti dall'UE nel promuovere la sua competitività</w:t>
            </w:r>
            <w:r>
              <w:rPr>
                <w:b/>
                <w:i/>
              </w:rPr>
              <w:t>.</w:t>
            </w:r>
            <w:r>
              <w:t xml:space="preserve"> sottolinea che gli indicatori devono essere attentamente concepiti e dovrebbero riflettere non soltanto le realizzazioni (ad esempio, il numero di progetti finanziati), ma anche i risultati e l'impatto (ad esempio, aumenti di produttività, riduzione delle emissioni, creazione di posti di lavoro, effetto leva dei programmi dell'UE, in particolare in termini di mobilitazione di investimenti privati), al fine di misurare l'efficienza e l'efficacia della spesa dell'UE;</w:t>
            </w:r>
          </w:p>
        </w:tc>
        <w:tc>
          <w:tcPr>
            <w:tcW w:w="4876" w:type="dxa"/>
            <w:tcBorders>
              <w:top w:val="nil"/>
              <w:left w:val="nil"/>
              <w:bottom w:val="nil"/>
              <w:right w:val="nil"/>
            </w:tcBorders>
          </w:tcPr>
          <w:p>
            <w:pPr>
              <w:pStyle w:val="Normal6a"/>
            </w:pPr>
            <w:r>
              <w:t>11.</w:t>
            </w:r>
            <w:r>
              <w:tab/>
            </w:r>
            <w:r>
              <w:t>sottolinea che l'attuazione delle raccomandazioni formulate nella relazione Draghi</w:t>
            </w:r>
            <w:r>
              <w:rPr>
                <w:b/>
                <w:i/>
              </w:rPr>
              <w:t> e nella bussola per la competitività</w:t>
            </w:r>
            <w:r>
              <w:t xml:space="preserve"> dovrebbe essere monitorata mediante indicatori di performance pertinenti che rispecchino i progressi compiuti dall'UE nel promuovere la sua competitività </w:t>
            </w:r>
            <w:r>
              <w:rPr>
                <w:b/>
                <w:i/>
              </w:rPr>
              <w:t>e la sua crescita economica attraverso l'innovazione, la leadership tecnologica e la resilienza industriale;</w:t>
            </w:r>
            <w:r>
              <w:t xml:space="preserve"> sottolinea che gli indicatori devono essere attentamente concepiti e dovrebbero riflettere non soltanto le realizzazioni (ad esempio, il numero di progetti finanziati), ma anche i risultati e l'impatto (ad esempio, aumenti di produttività, riduzione delle emissioni, creazione di posti di lavoro, effetto leva dei programmi dell'UE, in particolare in termini di mobilitazione di investimenti privati), al fine di misurare l'efficienza e l'efficacia della spesa dell'UE;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Emendamento</w:t>
      </w:r>
      <w:r>
        <w:tab/>
      </w:r>
      <w:r>
        <w:tab/>
      </w:r>
      <w:r>
        <w:rPr>
          <w:rStyle w:val="HideTWBExt"/>
        </w:rPr>
        <w:t>&lt;NumAm&gt;</w:t>
      </w:r>
      <w:r>
        <w:t>71</w:t>
      </w:r>
      <w:r>
        <w:rPr>
          <w:rStyle w:val="HideTWBExt"/>
        </w:rPr>
        <w:t>&lt;/NumAm&gt;</w:t>
      </w:r>
    </w:p>
    <w:p>
      <w:pPr>
        <w:pStyle w:val="NormalBold"/>
      </w:pPr>
      <w:r>
        <w:rPr>
          <w:rStyle w:val="HideTWBExt"/>
          <w:b w:val="0"/>
        </w:rPr>
        <w:t>&lt;RepeatBlock-By&gt;</w:t>
      </w:r>
      <w:r>
        <w:rPr>
          <w:rStyle w:val="HideTWBExt"/>
          <w:b w:val="0"/>
        </w:rPr>
        <w:t>&lt;Members&gt;</w:t>
      </w:r>
      <w:r>
        <w:t>Carla Tavares, José Cepeda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di risoluzione</w:t>
      </w:r>
      <w:r>
        <w:rPr>
          <w:rStyle w:val="HideTWBExt"/>
        </w:rPr>
        <w:t>&lt;/DocAmend&gt;</w:t>
      </w:r>
    </w:p>
    <w:p>
      <w:pPr>
        <w:pStyle w:val="NormalBold"/>
      </w:pPr>
      <w:r>
        <w:rPr>
          <w:rStyle w:val="HideTWBExt"/>
        </w:rPr>
        <w:t>&lt;Article&gt;</w:t>
      </w:r>
      <w:r>
        <w:t>Paragrafo 11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Proposta di risoluzione</w:t>
            </w:r>
          </w:p>
        </w:tc>
        <w:tc>
          <w:tcPr>
            <w:tcW w:w="4876" w:type="dxa"/>
            <w:tcBorders>
              <w:top w:val="nil"/>
              <w:left w:val="nil"/>
              <w:bottom w:val="nil"/>
              <w:right w:val="nil"/>
            </w:tcBorders>
          </w:tcPr>
          <w:p>
            <w:pPr>
              <w:pStyle w:val="AmColumnHeading"/>
            </w:pPr>
            <w:r>
              <w:t>Emendamento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11.</w:t>
            </w:r>
            <w:r>
              <w:tab/>
            </w:r>
            <w:r>
              <w:t>sottolinea che l'attuazione delle raccomandazioni formulate nella relazione Draghi dovrebbe essere monitorata mediante indicatori di performance pertinenti che rispecchino i progressi compiuti dall'UE nel promuovere la sua competitività</w:t>
            </w:r>
            <w:r>
              <w:rPr>
                <w:b/>
                <w:i/>
              </w:rPr>
              <w:t>.</w:t>
            </w:r>
            <w:r>
              <w:t xml:space="preserve"> sottolinea che gli indicatori devono essere attentamente concepiti e dovrebbero riflettere non soltanto le realizzazioni (ad esempio, il numero di progetti finanziati), ma anche i risultati e l'impatto (ad esempio, aumenti di produttività, riduzione delle emissioni, creazione di posti di lavoro, effetto leva dei programmi dell'UE, in particolare in termini di mobilitazione di investimenti privati), al fine di misurare l'efficienza e l'efficacia della spesa dell'UE;</w:t>
            </w:r>
          </w:p>
        </w:tc>
        <w:tc>
          <w:tcPr>
            <w:tcW w:w="4876" w:type="dxa"/>
            <w:tcBorders>
              <w:top w:val="nil"/>
              <w:left w:val="nil"/>
              <w:bottom w:val="nil"/>
              <w:right w:val="nil"/>
            </w:tcBorders>
          </w:tcPr>
          <w:p>
            <w:pPr>
              <w:pStyle w:val="Normal6a"/>
            </w:pPr>
            <w:r>
              <w:t>11.</w:t>
            </w:r>
            <w:r>
              <w:tab/>
            </w:r>
            <w:r>
              <w:t xml:space="preserve">sottolinea che l'attuazione delle raccomandazioni formulate nella relazione Draghi dovrebbe essere monitorata mediante indicatori di performance pertinenti che rispecchino i progressi compiuti dall'UE nel promuovere la sua competitività </w:t>
            </w:r>
            <w:r>
              <w:rPr>
                <w:b/>
                <w:i/>
              </w:rPr>
              <w:t>e assicurino nel contempo l'equità sociale;</w:t>
            </w:r>
            <w:r>
              <w:t xml:space="preserve"> sottolinea che gli indicatori devono essere attentamente concepiti e dovrebbero riflettere non soltanto le realizzazioni (ad esempio, il numero di progetti finanziati), ma anche i risultati e l'impatto (ad esempio, aumenti di produttività, riduzione delle emissioni, creazione di posti di lavoro </w:t>
            </w:r>
            <w:r>
              <w:rPr>
                <w:b/>
                <w:i/>
              </w:rPr>
              <w:t>sostenibili e sicuri, miglioramenti della coesione sociale e territoriale, uguaglianza di genere</w:t>
            </w:r>
            <w:r>
              <w:t>, effetto leva dei programmi dell'UE, in particolare in termini di mobilitazione di investimenti privati), al fine di misurare l'efficienza e l'efficacia della spesa dell'UE;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Emendamento</w:t>
      </w:r>
      <w:r>
        <w:tab/>
      </w:r>
      <w:r>
        <w:tab/>
      </w:r>
      <w:r>
        <w:rPr>
          <w:rStyle w:val="HideTWBExt"/>
        </w:rPr>
        <w:t>&lt;NumAm&gt;</w:t>
      </w:r>
      <w:r>
        <w:t>72</w:t>
      </w:r>
      <w:r>
        <w:rPr>
          <w:rStyle w:val="HideTWBExt"/>
        </w:rPr>
        <w:t>&lt;/NumAm&gt;</w:t>
      </w:r>
    </w:p>
    <w:p>
      <w:pPr>
        <w:pStyle w:val="NormalBold"/>
      </w:pPr>
      <w:r>
        <w:rPr>
          <w:rStyle w:val="HideTWBExt"/>
          <w:b w:val="0"/>
        </w:rPr>
        <w:t>&lt;RepeatBlock-By&gt;</w:t>
      </w:r>
      <w:r>
        <w:rPr>
          <w:rStyle w:val="HideTWBExt"/>
          <w:b w:val="0"/>
        </w:rPr>
        <w:t>&lt;Members&gt;</w:t>
      </w:r>
      <w:r>
        <w:t>Cristian Terheş</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di risoluzione</w:t>
      </w:r>
      <w:r>
        <w:rPr>
          <w:rStyle w:val="HideTWBExt"/>
        </w:rPr>
        <w:t>&lt;/DocAmend&gt;</w:t>
      </w:r>
    </w:p>
    <w:p>
      <w:pPr>
        <w:pStyle w:val="NormalBold"/>
      </w:pPr>
      <w:r>
        <w:rPr>
          <w:rStyle w:val="HideTWBExt"/>
        </w:rPr>
        <w:t>&lt;Article&gt;</w:t>
      </w:r>
      <w:r>
        <w:t>Paragrafo 11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Proposta di risoluzione</w:t>
            </w:r>
          </w:p>
        </w:tc>
        <w:tc>
          <w:tcPr>
            <w:tcW w:w="4876" w:type="dxa"/>
            <w:tcBorders>
              <w:top w:val="nil"/>
              <w:left w:val="nil"/>
              <w:bottom w:val="nil"/>
              <w:right w:val="nil"/>
            </w:tcBorders>
          </w:tcPr>
          <w:p>
            <w:pPr>
              <w:pStyle w:val="AmColumnHeading"/>
            </w:pPr>
            <w:r>
              <w:t>Emendamento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11.</w:t>
            </w:r>
            <w:r>
              <w:tab/>
            </w:r>
            <w:r>
              <w:t xml:space="preserve">sottolinea che l'attuazione delle raccomandazioni formulate nella relazione Draghi dovrebbe essere monitorata mediante indicatori di performance pertinenti che rispecchino i progressi compiuti dall'UE nel promuovere la sua competitività. sottolinea che gli indicatori devono essere attentamente concepiti e dovrebbero riflettere non soltanto le realizzazioni (ad esempio, il numero di progetti finanziati), ma anche i risultati e l'impatto (ad esempio, aumenti di produttività, </w:t>
            </w:r>
            <w:r>
              <w:rPr>
                <w:b/>
                <w:i/>
              </w:rPr>
              <w:t>riduzione delle emissioni,</w:t>
            </w:r>
            <w:r>
              <w:t xml:space="preserve"> creazione di posti di lavoro, effetto leva dei programmi dell'UE, in particolare in termini di mobilitazione di investimenti privati), al fine di misurare l'efficienza e l'efficacia della spesa dell'UE;</w:t>
            </w:r>
          </w:p>
        </w:tc>
        <w:tc>
          <w:tcPr>
            <w:tcW w:w="4876" w:type="dxa"/>
            <w:tcBorders>
              <w:top w:val="nil"/>
              <w:left w:val="nil"/>
              <w:bottom w:val="nil"/>
              <w:right w:val="nil"/>
            </w:tcBorders>
          </w:tcPr>
          <w:p>
            <w:pPr>
              <w:pStyle w:val="Normal6a"/>
            </w:pPr>
            <w:r>
              <w:t>11.</w:t>
            </w:r>
            <w:r>
              <w:tab/>
            </w:r>
            <w:r>
              <w:t>sottolinea che l'attuazione delle raccomandazioni formulate nella relazione Draghi dovrebbe essere monitorata mediante indicatori di performance pertinenti che rispecchino i progressi compiuti dall'UE nel promuovere la sua competitività. sottolinea che gli indicatori devono essere attentamente concepiti e dovrebbero riflettere non soltanto le realizzazioni (ad esempio, il numero di progetti finanziati), ma anche i risultati e l'impatto (ad esempio, aumenti di produttività, creazione di posti di lavoro, effetto leva dei programmi dell'UE, in particolare in termini di mobilitazione di investimenti privati), al fine di misurare l'efficienza e l'efficacia della spesa dell'UE;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Emendamento</w:t>
      </w:r>
      <w:r>
        <w:tab/>
      </w:r>
      <w:r>
        <w:tab/>
      </w:r>
      <w:r>
        <w:rPr>
          <w:rStyle w:val="HideTWBExt"/>
        </w:rPr>
        <w:t>&lt;NumAm&gt;</w:t>
      </w:r>
      <w:r>
        <w:t>73</w:t>
      </w:r>
      <w:r>
        <w:rPr>
          <w:rStyle w:val="HideTWBExt"/>
        </w:rPr>
        <w:t>&lt;/NumAm&gt;</w:t>
      </w:r>
    </w:p>
    <w:p>
      <w:pPr>
        <w:pStyle w:val="NormalBold"/>
      </w:pPr>
      <w:r>
        <w:rPr>
          <w:rStyle w:val="HideTWBExt"/>
          <w:b w:val="0"/>
        </w:rPr>
        <w:t>&lt;RepeatBlock-By&gt;</w:t>
      </w:r>
      <w:r>
        <w:rPr>
          <w:rStyle w:val="HideTWBExt"/>
          <w:b w:val="0"/>
        </w:rPr>
        <w:t>&lt;Members&gt;</w:t>
      </w:r>
      <w:r>
        <w:t>Şerban Dimitrie Sturdza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di risoluzione</w:t>
      </w:r>
      <w:r>
        <w:rPr>
          <w:rStyle w:val="HideTWBExt"/>
        </w:rPr>
        <w:t>&lt;/DocAmend&gt;</w:t>
      </w:r>
    </w:p>
    <w:p>
      <w:pPr>
        <w:pStyle w:val="NormalBold"/>
      </w:pPr>
      <w:r>
        <w:rPr>
          <w:rStyle w:val="HideTWBExt"/>
        </w:rPr>
        <w:t>&lt;Article&gt;</w:t>
      </w:r>
      <w:r>
        <w:t>Paragrafo 11 bis (nuovo)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Proposta di risoluzione</w:t>
            </w:r>
          </w:p>
        </w:tc>
        <w:tc>
          <w:tcPr>
            <w:tcW w:w="4876" w:type="dxa"/>
            <w:tcBorders>
              <w:top w:val="nil"/>
              <w:left w:val="nil"/>
              <w:bottom w:val="nil"/>
              <w:right w:val="nil"/>
            </w:tcBorders>
          </w:tcPr>
          <w:p>
            <w:pPr>
              <w:pStyle w:val="AmColumnHeading"/>
            </w:pPr>
            <w:r>
              <w:t>Emendamento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11 bis.</w:t>
            </w:r>
            <w:r>
              <w:tab/>
            </w:r>
            <w:r>
              <w:rPr>
                <w:b/>
                <w:i/>
              </w:rPr>
              <w:t>osserva che l'uso di parametri di esborso a breve termine, che misurano principalmente l'assorbimento dei fondi o il tasso di esecuzione del bilancio, fornisce informazioni sui progressi amministrativi piuttosto che sull'effettivo impatto economico o sociale della spesa dell'UE;</w:t>
            </w:r>
            <w:r>
              <w:t xml:space="preserve"> </w:t>
            </w:r>
            <w:r>
              <w:rPr>
                <w:b/>
                <w:i/>
              </w:rPr>
              <w:t>sottolinea che tali indicatori possono creare una percezione fuorviante di successo quando i fondi sono interamente spesi ma non generano miglioramenti misurabili in termini di innovazione, investimenti o occupazione;</w:t>
            </w:r>
            <w:r>
              <w:t xml:space="preserve"> </w:t>
            </w:r>
            <w:r>
              <w:rPr>
                <w:b/>
                <w:i/>
              </w:rPr>
              <w:t>ricorda che la Corte dei conti europea ha ripetutamente criticato il ricorso eccessivo ai tassi di spesa e ai pagamenti al raggiungimento di determinati obiettivi nel quadro di performance dell’UE, e chiede che si passi a indicatori di risultato e indicatori di impatto che riflettano i reali incrementi di competitività e un buon rapporto qualità/prezzo;</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Emendamento</w:t>
      </w:r>
      <w:r>
        <w:tab/>
      </w:r>
      <w:r>
        <w:tab/>
      </w:r>
      <w:r>
        <w:rPr>
          <w:rStyle w:val="HideTWBExt"/>
        </w:rPr>
        <w:t>&lt;NumAm&gt;</w:t>
      </w:r>
      <w:r>
        <w:t>74</w:t>
      </w:r>
      <w:r>
        <w:rPr>
          <w:rStyle w:val="HideTWBExt"/>
        </w:rPr>
        <w:t>&lt;/NumAm&gt;</w:t>
      </w:r>
    </w:p>
    <w:p>
      <w:pPr>
        <w:pStyle w:val="NormalBold"/>
      </w:pPr>
      <w:r>
        <w:rPr>
          <w:rStyle w:val="HideTWBExt"/>
          <w:b w:val="0"/>
        </w:rPr>
        <w:t>&lt;RepeatBlock-By&gt;</w:t>
      </w:r>
      <w:r>
        <w:rPr>
          <w:rStyle w:val="HideTWBExt"/>
          <w:b w:val="0"/>
        </w:rPr>
        <w:t>&lt;Members&gt;</w:t>
      </w:r>
      <w:r>
        <w:t>Dick Erixon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di risoluzione</w:t>
      </w:r>
      <w:r>
        <w:rPr>
          <w:rStyle w:val="HideTWBExt"/>
        </w:rPr>
        <w:t>&lt;/DocAmend&gt;</w:t>
      </w:r>
    </w:p>
    <w:p>
      <w:pPr>
        <w:pStyle w:val="NormalBold"/>
      </w:pPr>
      <w:r>
        <w:rPr>
          <w:rStyle w:val="HideTWBExt"/>
        </w:rPr>
        <w:t>&lt;Article&gt;</w:t>
      </w:r>
      <w:r>
        <w:t>Paragrafo 11 bis (nuovo)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Proposta di risoluzione</w:t>
            </w:r>
          </w:p>
        </w:tc>
        <w:tc>
          <w:tcPr>
            <w:tcW w:w="4876" w:type="dxa"/>
            <w:tcBorders>
              <w:top w:val="nil"/>
              <w:left w:val="nil"/>
              <w:bottom w:val="nil"/>
              <w:right w:val="nil"/>
            </w:tcBorders>
          </w:tcPr>
          <w:p>
            <w:pPr>
              <w:pStyle w:val="AmColumnHeading"/>
            </w:pPr>
            <w:r>
              <w:t>Emendamento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11 bis.</w:t>
            </w:r>
            <w:r>
              <w:tab/>
            </w:r>
            <w:r>
              <w:rPr>
                <w:b/>
                <w:i/>
              </w:rPr>
              <w:t>avverte che le quote orizzontali minime per le priorità selezionate non migliorano automaticamente i risultati;</w:t>
            </w:r>
            <w:r>
              <w:t xml:space="preserve"> </w:t>
            </w:r>
            <w:r>
              <w:rPr>
                <w:b/>
                <w:i/>
              </w:rPr>
              <w:t>osserva che, nella sua proposta del 16 luglio 2025 per il QFP 2028-2034, la Commissione suggerisce un obiettivo di spesa del 35 % per il clima e l'ambiente (oltre 700 miliardi di EUR), che deve rimanere subordinato a un'efficacia misurabile e a una rendicontazione d'impatto trasparente;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Emendamento</w:t>
      </w:r>
      <w:r>
        <w:tab/>
      </w:r>
      <w:r>
        <w:tab/>
      </w:r>
      <w:r>
        <w:rPr>
          <w:rStyle w:val="HideTWBExt"/>
        </w:rPr>
        <w:t>&lt;NumAm&gt;</w:t>
      </w:r>
      <w:r>
        <w:t>75</w:t>
      </w:r>
      <w:r>
        <w:rPr>
          <w:rStyle w:val="HideTWBExt"/>
        </w:rPr>
        <w:t>&lt;/NumAm&gt;</w:t>
      </w:r>
    </w:p>
    <w:p>
      <w:pPr>
        <w:pStyle w:val="NormalBold"/>
      </w:pPr>
      <w:r>
        <w:rPr>
          <w:rStyle w:val="HideTWBExt"/>
          <w:b w:val="0"/>
        </w:rPr>
        <w:t>&lt;RepeatBlock-By&gt;</w:t>
      </w:r>
      <w:r>
        <w:rPr>
          <w:rStyle w:val="HideTWBExt"/>
          <w:b w:val="0"/>
        </w:rPr>
        <w:t>&lt;Members&gt;</w:t>
      </w:r>
      <w:r>
        <w:t>Kinga Kollár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di risoluzione</w:t>
      </w:r>
      <w:r>
        <w:rPr>
          <w:rStyle w:val="HideTWBExt"/>
        </w:rPr>
        <w:t>&lt;/DocAmend&gt;</w:t>
      </w:r>
    </w:p>
    <w:p>
      <w:pPr>
        <w:pStyle w:val="NormalBold"/>
      </w:pPr>
      <w:r>
        <w:rPr>
          <w:rStyle w:val="HideTWBExt"/>
        </w:rPr>
        <w:t>&lt;Article&gt;</w:t>
      </w:r>
      <w:r>
        <w:t>Paragrafo 12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Proposta di risoluzione</w:t>
            </w:r>
          </w:p>
        </w:tc>
        <w:tc>
          <w:tcPr>
            <w:tcW w:w="4876" w:type="dxa"/>
            <w:tcBorders>
              <w:top w:val="nil"/>
              <w:left w:val="nil"/>
              <w:bottom w:val="nil"/>
              <w:right w:val="nil"/>
            </w:tcBorders>
          </w:tcPr>
          <w:p>
            <w:pPr>
              <w:pStyle w:val="AmColumnHeading"/>
            </w:pPr>
            <w:r>
              <w:t>Emendamento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12.</w:t>
            </w:r>
            <w:r>
              <w:tab/>
            </w:r>
            <w:r>
              <w:t xml:space="preserve">sottolinea </w:t>
            </w:r>
            <w:r>
              <w:rPr>
                <w:b/>
                <w:i/>
              </w:rPr>
              <w:t>la necessità di includere</w:t>
            </w:r>
            <w:r>
              <w:t xml:space="preserve"> dati a livello di progetto </w:t>
            </w:r>
            <w:r>
              <w:rPr>
                <w:b/>
                <w:i/>
              </w:rPr>
              <w:t>nelle</w:t>
            </w:r>
            <w:r>
              <w:t xml:space="preserve"> relazioni sulla performance migliorate per gli strumenti finanziari attuati in regime di gestione indiretta, come InvestEU; riconosce che, dato che gli strumenti finanziari si basano, per loro natura, sul mercato e sulla domanda, la performance di tali programmi dipende dalla loro adozione da parte del mercato, il che limita la capacità della Commissione di fissare traguardi e obiettivi predefiniti;</w:t>
            </w:r>
          </w:p>
        </w:tc>
        <w:tc>
          <w:tcPr>
            <w:tcW w:w="4876" w:type="dxa"/>
            <w:tcBorders>
              <w:top w:val="nil"/>
              <w:left w:val="nil"/>
              <w:bottom w:val="nil"/>
              <w:right w:val="nil"/>
            </w:tcBorders>
          </w:tcPr>
          <w:p>
            <w:pPr>
              <w:pStyle w:val="Normal6a"/>
            </w:pPr>
            <w:r>
              <w:t>12.</w:t>
            </w:r>
            <w:r>
              <w:tab/>
            </w:r>
            <w:r>
              <w:t xml:space="preserve">sottolinea </w:t>
            </w:r>
            <w:r>
              <w:rPr>
                <w:b/>
                <w:i/>
              </w:rPr>
              <w:t>che i</w:t>
            </w:r>
            <w:r>
              <w:t xml:space="preserve"> dati a livello di progetto </w:t>
            </w:r>
            <w:r>
              <w:rPr>
                <w:b/>
                <w:i/>
              </w:rPr>
              <w:t>dovrebbero costituire la base di</w:t>
            </w:r>
            <w:r>
              <w:t xml:space="preserve"> relazioni sulla performance migliorate per gli strumenti finanziari attuati in regime di gestione indiretta, come InvestEU</w:t>
            </w:r>
            <w:r>
              <w:rPr>
                <w:b/>
                <w:i/>
              </w:rPr>
              <w:t>; osserva, tuttavia, che tali dati dovrebbero essere presentati in un formato standardizzato e limitarsi alle informazioni chiave necessarie per misurare il successo del programma, come la mobilitazione di investimenti privati che non sarebbe stata possibile senza il programma</w:t>
            </w:r>
            <w:r>
              <w:t>; riconosce che, dato che gli strumenti finanziari si basano, per loro natura, sul mercato e sulla domanda, la performance di tali programmi dipende dalla loro adozione da parte del mercato, il che limita la capacità della Commissione di fissare traguardi e obiettivi predefiniti;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Emendamento</w:t>
      </w:r>
      <w:r>
        <w:tab/>
      </w:r>
      <w:r>
        <w:tab/>
      </w:r>
      <w:r>
        <w:rPr>
          <w:rStyle w:val="HideTWBExt"/>
        </w:rPr>
        <w:t>&lt;NumAm&gt;</w:t>
      </w:r>
      <w:r>
        <w:t>76</w:t>
      </w:r>
      <w:r>
        <w:rPr>
          <w:rStyle w:val="HideTWBExt"/>
        </w:rPr>
        <w:t>&lt;/NumAm&gt;</w:t>
      </w:r>
    </w:p>
    <w:p>
      <w:pPr>
        <w:pStyle w:val="NormalBold"/>
      </w:pPr>
      <w:r>
        <w:rPr>
          <w:rStyle w:val="HideTWBExt"/>
          <w:b w:val="0"/>
        </w:rPr>
        <w:t>&lt;RepeatBlock-By&gt;</w:t>
      </w:r>
      <w:r>
        <w:rPr>
          <w:rStyle w:val="HideTWBExt"/>
          <w:b w:val="0"/>
        </w:rPr>
        <w:t>&lt;Members&gt;</w:t>
      </w:r>
      <w:r>
        <w:t>Dick Erixon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di risoluzione</w:t>
      </w:r>
      <w:r>
        <w:rPr>
          <w:rStyle w:val="HideTWBExt"/>
        </w:rPr>
        <w:t>&lt;/DocAmend&gt;</w:t>
      </w:r>
    </w:p>
    <w:p>
      <w:pPr>
        <w:pStyle w:val="NormalBold"/>
      </w:pPr>
      <w:r>
        <w:rPr>
          <w:rStyle w:val="HideTWBExt"/>
        </w:rPr>
        <w:t>&lt;Article&gt;</w:t>
      </w:r>
      <w:r>
        <w:t>Paragrafo 12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Proposta di risoluzione</w:t>
            </w:r>
          </w:p>
        </w:tc>
        <w:tc>
          <w:tcPr>
            <w:tcW w:w="4876" w:type="dxa"/>
            <w:tcBorders>
              <w:top w:val="nil"/>
              <w:left w:val="nil"/>
              <w:bottom w:val="nil"/>
              <w:right w:val="nil"/>
            </w:tcBorders>
          </w:tcPr>
          <w:p>
            <w:pPr>
              <w:pStyle w:val="AmColumnHeading"/>
            </w:pPr>
            <w:r>
              <w:t>Emendamento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12.</w:t>
            </w:r>
            <w:r>
              <w:tab/>
            </w:r>
            <w:r>
              <w:t>sottolinea la necessità di includere dati a livello di progetto nelle relazioni sulla performance migliorate per gli strumenti finanziari attuati in regime di gestione indiretta, come InvestEU; riconosce che, dato che gli strumenti finanziari si basano, per loro natura, sul mercato e sulla domanda, la performance di tali programmi dipende dalla loro adozione da parte del mercato, il che limita la capacità della Commissione di fissare traguardi e obiettivi predefiniti;</w:t>
            </w:r>
          </w:p>
        </w:tc>
        <w:tc>
          <w:tcPr>
            <w:tcW w:w="4876" w:type="dxa"/>
            <w:tcBorders>
              <w:top w:val="nil"/>
              <w:left w:val="nil"/>
              <w:bottom w:val="nil"/>
              <w:right w:val="nil"/>
            </w:tcBorders>
          </w:tcPr>
          <w:p>
            <w:pPr>
              <w:pStyle w:val="Normal6a"/>
            </w:pPr>
            <w:r>
              <w:t>12.</w:t>
            </w:r>
            <w:r>
              <w:tab/>
            </w:r>
            <w:r>
              <w:t xml:space="preserve">sottolinea la necessità di includere dati a livello di progetto nelle relazioni sulla performance migliorate per gli strumenti finanziari attuati in regime di gestione indiretta, come InvestEU; riconosce che, dato che gli strumenti finanziari si basano, per loro natura, sul mercato e sulla domanda, la performance di tali programmi dipende dalla loro adozione da parte del mercato, il che limita la capacità della Commissione di fissare traguardi e obiettivi predefiniti; </w:t>
            </w:r>
            <w:r>
              <w:rPr>
                <w:b/>
                <w:i/>
              </w:rPr>
              <w:t>sottolinea che, per il sostegno alle PMI e alle scale-up, i principali indicatori del successo dovrebbero essere la crescita della produttività e del valore aggiunto lordo, i risultati in termini di esportazioni e innovazione e la creazione di posti di lavoro di qualità, mentre il numero dei beneficiari dovrebbe essere secondario ed essere utilizzato per spiegare i risultati anziché sostituirvisi;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Emendamento</w:t>
      </w:r>
      <w:r>
        <w:tab/>
      </w:r>
      <w:r>
        <w:tab/>
      </w:r>
      <w:r>
        <w:rPr>
          <w:rStyle w:val="HideTWBExt"/>
        </w:rPr>
        <w:t>&lt;NumAm&gt;</w:t>
      </w:r>
      <w:r>
        <w:t>77</w:t>
      </w:r>
      <w:r>
        <w:rPr>
          <w:rStyle w:val="HideTWBExt"/>
        </w:rPr>
        <w:t>&lt;/NumAm&gt;</w:t>
      </w:r>
    </w:p>
    <w:p>
      <w:pPr>
        <w:pStyle w:val="NormalBold"/>
      </w:pPr>
      <w:r>
        <w:rPr>
          <w:rStyle w:val="HideTWBExt"/>
          <w:b w:val="0"/>
        </w:rPr>
        <w:t>&lt;RepeatBlock-By&gt;</w:t>
      </w:r>
      <w:r>
        <w:rPr>
          <w:rStyle w:val="HideTWBExt"/>
          <w:b w:val="0"/>
        </w:rPr>
        <w:t>&lt;Members&gt;</w:t>
      </w:r>
      <w:r>
        <w:t>Cristian Terheş</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di risoluzione</w:t>
      </w:r>
      <w:r>
        <w:rPr>
          <w:rStyle w:val="HideTWBExt"/>
        </w:rPr>
        <w:t>&lt;/DocAmend&gt;</w:t>
      </w:r>
    </w:p>
    <w:p>
      <w:pPr>
        <w:pStyle w:val="NormalBold"/>
      </w:pPr>
      <w:r>
        <w:rPr>
          <w:rStyle w:val="HideTWBExt"/>
        </w:rPr>
        <w:t>&lt;Article&gt;</w:t>
      </w:r>
      <w:r>
        <w:t>Paragrafo 12 bis (nuovo)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Proposta di risoluzione</w:t>
            </w:r>
          </w:p>
        </w:tc>
        <w:tc>
          <w:tcPr>
            <w:tcW w:w="4876" w:type="dxa"/>
            <w:tcBorders>
              <w:top w:val="nil"/>
              <w:left w:val="nil"/>
              <w:bottom w:val="nil"/>
              <w:right w:val="nil"/>
            </w:tcBorders>
          </w:tcPr>
          <w:p>
            <w:pPr>
              <w:pStyle w:val="AmColumnHeading"/>
            </w:pPr>
            <w:r>
              <w:t>Emendamento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12 bis.</w:t>
            </w:r>
            <w:r>
              <w:tab/>
            </w:r>
            <w:r>
              <w:rPr>
                <w:b/>
                <w:i/>
              </w:rPr>
              <w:t>sottolinea che la relazione Draghi collega il successo della strategia europea per la competitività all'istituzione di un quadro della performance solido e trasparente, in grado di monitorare i progressi non solo in termini di realizzazioni, ma anche di risultati e impatti a lungo termine;</w:t>
            </w:r>
            <w:r>
              <w:t xml:space="preserve"> </w:t>
            </w:r>
            <w:r>
              <w:rPr>
                <w:b/>
                <w:i/>
              </w:rPr>
              <w:t>sottolinea la necessità di indicatori di performance che colgano in modo esaustivo i risultati delle misure finanziate dall'UE, comprese le realizzazioni (come il numero di progetti finanziati), i risultati (come gli incrementi di produttività, la creazione di occupazione e gli investimenti privati mobilitati) e gli impatti (come il rafforzamento dell'autonomia strategica);</w:t>
            </w:r>
            <w:r>
              <w:t xml:space="preserve"> </w:t>
            </w:r>
            <w:r>
              <w:rPr>
                <w:b/>
                <w:i/>
              </w:rPr>
              <w:t>chiede che tali indicatori siano pubblici e armonizzati in tutti i programmi dell'UE e siano soggetti a una rendicontazione trasparente e a un audit indipendente, garantendo la responsabilità e la comparabilità nell'utilizzo dei fondi pubblici;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Emendamento</w:t>
      </w:r>
      <w:r>
        <w:tab/>
      </w:r>
      <w:r>
        <w:tab/>
      </w:r>
      <w:r>
        <w:rPr>
          <w:rStyle w:val="HideTWBExt"/>
        </w:rPr>
        <w:t>&lt;NumAm&gt;</w:t>
      </w:r>
      <w:r>
        <w:t>78</w:t>
      </w:r>
      <w:r>
        <w:rPr>
          <w:rStyle w:val="HideTWBExt"/>
        </w:rPr>
        <w:t>&lt;/NumAm&gt;</w:t>
      </w:r>
    </w:p>
    <w:p>
      <w:pPr>
        <w:pStyle w:val="NormalBold"/>
      </w:pPr>
      <w:r>
        <w:rPr>
          <w:rStyle w:val="HideTWBExt"/>
          <w:b w:val="0"/>
        </w:rPr>
        <w:t>&lt;RepeatBlock-By&gt;</w:t>
      </w:r>
      <w:r>
        <w:rPr>
          <w:rStyle w:val="HideTWBExt"/>
          <w:b w:val="0"/>
        </w:rPr>
        <w:t>&lt;Members&gt;</w:t>
      </w:r>
      <w:r>
        <w:t>Kinga Kollár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di risoluzione</w:t>
      </w:r>
      <w:r>
        <w:rPr>
          <w:rStyle w:val="HideTWBExt"/>
        </w:rPr>
        <w:t>&lt;/DocAmend&gt;</w:t>
      </w:r>
    </w:p>
    <w:p>
      <w:pPr>
        <w:pStyle w:val="NormalBold"/>
      </w:pPr>
      <w:r>
        <w:rPr>
          <w:rStyle w:val="HideTWBExt"/>
        </w:rPr>
        <w:t>&lt;Article&gt;</w:t>
      </w:r>
      <w:r>
        <w:t>Paragrafo 12 bis (nuovo)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Proposta di risoluzione</w:t>
            </w:r>
          </w:p>
        </w:tc>
        <w:tc>
          <w:tcPr>
            <w:tcW w:w="4876" w:type="dxa"/>
            <w:tcBorders>
              <w:top w:val="nil"/>
              <w:left w:val="nil"/>
              <w:bottom w:val="nil"/>
              <w:right w:val="nil"/>
            </w:tcBorders>
          </w:tcPr>
          <w:p>
            <w:pPr>
              <w:pStyle w:val="AmColumnHeading"/>
            </w:pPr>
            <w:r>
              <w:t>Emendamento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12 bis.</w:t>
            </w:r>
            <w:r>
              <w:tab/>
            </w:r>
            <w:r>
              <w:rPr>
                <w:b/>
                <w:i/>
              </w:rPr>
              <w:t>ritiene necessario istituire un quadro completo di valutazione ex ante dei rischi, in particolare per i progetti caratterizzati da un profilo di rischio e di rendimento elevato, al fine di garantire una valutazione equilibrata del loro valore aggiunto, dei loro costi e dei loro benefici;</w:t>
            </w:r>
            <w:r>
              <w:t xml:space="preserve"> </w:t>
            </w:r>
            <w:r>
              <w:rPr>
                <w:b/>
                <w:i/>
              </w:rPr>
              <w:t>sottolinea che il conseguimento degli obiettivi strategici dell'Unione in materia di competitività richiede un solido sistema di audit e di controllo sostenuto da una metodologia coerente di valutazione dei rischi;</w:t>
            </w:r>
            <w:r>
              <w:t xml:space="preserve"> </w:t>
            </w:r>
            <w:r>
              <w:rPr>
                <w:b/>
                <w:i/>
              </w:rPr>
              <w:t>sottolinea che tale metodologia dovrebbe consentire livelli proporzionati di rischio essenziali per promuovere l'innovazione, fornendo nel contempo garanzie adeguate per la protezione del bilancio dell'UE, in particolare contro le frodi e i rischi non finanziari;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Emendamento</w:t>
      </w:r>
      <w:r>
        <w:tab/>
      </w:r>
      <w:r>
        <w:tab/>
      </w:r>
      <w:r>
        <w:rPr>
          <w:rStyle w:val="HideTWBExt"/>
        </w:rPr>
        <w:t>&lt;NumAm&gt;</w:t>
      </w:r>
      <w:r>
        <w:t>79</w:t>
      </w:r>
      <w:r>
        <w:rPr>
          <w:rStyle w:val="HideTWBExt"/>
        </w:rPr>
        <w:t>&lt;/NumAm&gt;</w:t>
      </w:r>
    </w:p>
    <w:p>
      <w:pPr>
        <w:pStyle w:val="NormalBold"/>
      </w:pPr>
      <w:r>
        <w:rPr>
          <w:rStyle w:val="HideTWBExt"/>
          <w:b w:val="0"/>
        </w:rPr>
        <w:t>&lt;RepeatBlock-By&gt;</w:t>
      </w:r>
      <w:r>
        <w:rPr>
          <w:rStyle w:val="HideTWBExt"/>
          <w:b w:val="0"/>
        </w:rPr>
        <w:t>&lt;Members&gt;</w:t>
      </w:r>
      <w:r>
        <w:t>Kinga Kollár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di risoluzione</w:t>
      </w:r>
      <w:r>
        <w:rPr>
          <w:rStyle w:val="HideTWBExt"/>
        </w:rPr>
        <w:t>&lt;/DocAmend&gt;</w:t>
      </w:r>
    </w:p>
    <w:p>
      <w:pPr>
        <w:pStyle w:val="NormalBold"/>
      </w:pPr>
      <w:r>
        <w:rPr>
          <w:rStyle w:val="HideTWBExt"/>
        </w:rPr>
        <w:t>&lt;Article&gt;</w:t>
      </w:r>
      <w:r>
        <w:t>Paragrafo 12 ter (nuovo)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Proposta di risoluzione</w:t>
            </w:r>
          </w:p>
        </w:tc>
        <w:tc>
          <w:tcPr>
            <w:tcW w:w="4876" w:type="dxa"/>
            <w:tcBorders>
              <w:top w:val="nil"/>
              <w:left w:val="nil"/>
              <w:bottom w:val="nil"/>
              <w:right w:val="nil"/>
            </w:tcBorders>
          </w:tcPr>
          <w:p>
            <w:pPr>
              <w:pStyle w:val="AmColumnHeading"/>
            </w:pPr>
            <w:r>
              <w:t>Emendamento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12 ter.</w:t>
            </w:r>
            <w:r>
              <w:tab/>
            </w:r>
            <w:r>
              <w:rPr>
                <w:b/>
                <w:i/>
              </w:rPr>
              <w:t>suggerisce che, al fine di valutare meglio l'impatto dei finanziamenti dell'UE sulla competitività, si dovrebbe utilizzare una modellizzazione macroeconomica più approfondita, che integri gli ultimi progressi della ricerca economica;</w:t>
            </w:r>
            <w:r>
              <w:t xml:space="preserve"> </w:t>
            </w:r>
            <w:r>
              <w:rPr>
                <w:b/>
                <w:i/>
              </w:rPr>
              <w:t>osserva che i modelli che tengono conto dell'eterogeneità delle famiglie e delle imprese e degli effetti distributivi permettono una valutazione ex ante più completa dell'impatto dei finanziamenti dell'UE sulla produttività, sul comportamento in relazione agli investimenti e sulla competitività regionale;</w:t>
            </w:r>
            <w:r>
              <w:t xml:space="preserve"> </w:t>
            </w:r>
            <w:r>
              <w:rPr>
                <w:b/>
                <w:i/>
              </w:rPr>
              <w:t>suggerisce che tale approccio sia integrato dall'uso di microdati e indicatori di performance regionali per migliorare la base di conoscenze per l'elaborazione delle politiche e la destinazione dei fondi;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Emendamento</w:t>
      </w:r>
      <w:r>
        <w:tab/>
      </w:r>
      <w:r>
        <w:tab/>
      </w:r>
      <w:r>
        <w:rPr>
          <w:rStyle w:val="HideTWBExt"/>
        </w:rPr>
        <w:t>&lt;NumAm&gt;</w:t>
      </w:r>
      <w:r>
        <w:t>80</w:t>
      </w:r>
      <w:r>
        <w:rPr>
          <w:rStyle w:val="HideTWBExt"/>
        </w:rPr>
        <w:t>&lt;/NumAm&gt;</w:t>
      </w:r>
    </w:p>
    <w:p>
      <w:pPr>
        <w:pStyle w:val="NormalBold"/>
      </w:pPr>
      <w:r>
        <w:rPr>
          <w:rStyle w:val="HideTWBExt"/>
          <w:b w:val="0"/>
        </w:rPr>
        <w:t>&lt;RepeatBlock-By&gt;</w:t>
      </w:r>
      <w:r>
        <w:rPr>
          <w:rStyle w:val="HideTWBExt"/>
          <w:b w:val="0"/>
        </w:rPr>
        <w:t>&lt;Members&gt;</w:t>
      </w:r>
      <w:r>
        <w:t>Arno Bausemer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di risoluzione</w:t>
      </w:r>
      <w:r>
        <w:rPr>
          <w:rStyle w:val="HideTWBExt"/>
        </w:rPr>
        <w:t>&lt;/DocAmend&gt;</w:t>
      </w:r>
    </w:p>
    <w:p>
      <w:pPr>
        <w:pStyle w:val="NormalBold"/>
      </w:pPr>
      <w:r>
        <w:rPr>
          <w:rStyle w:val="HideTWBExt"/>
        </w:rPr>
        <w:t>&lt;Article&gt;</w:t>
      </w:r>
      <w:r>
        <w:t>Paragrafo 13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Proposta di risoluzione</w:t>
            </w:r>
          </w:p>
        </w:tc>
        <w:tc>
          <w:tcPr>
            <w:tcW w:w="4876" w:type="dxa"/>
            <w:tcBorders>
              <w:top w:val="nil"/>
              <w:left w:val="nil"/>
              <w:bottom w:val="nil"/>
              <w:right w:val="nil"/>
            </w:tcBorders>
          </w:tcPr>
          <w:p>
            <w:pPr>
              <w:pStyle w:val="AmColumnHeading"/>
            </w:pPr>
            <w:r>
              <w:t>Emendamento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13.</w:t>
            </w:r>
            <w:r>
              <w:tab/>
            </w:r>
            <w:r>
              <w:t>invita la Commissione e gli Stati membri a stabilire e utilizzare in modo coerente una serie armonizzata di indicatori fondamentali volti a promuovere la competitività in tutti gli Stati membri, in modo da permettere la comparabilità, l'analisi comparativa e l'aggregazione dei dati a livello dell'UE e, al tempo stesso, l'utilizzo di indicatori adattati alle esigenze nazionali o regionali, se del caso; sottolinea che le associazioni di imprese, gli istituti di ricerca e la società civile dovrebbero essere consultati nella definizione e nella revisione degli indicatori al fine di garantire che questi riflettano le esigenze reali in materia di competitività;</w:t>
            </w:r>
          </w:p>
        </w:tc>
        <w:tc>
          <w:tcPr>
            <w:tcW w:w="4876" w:type="dxa"/>
            <w:tcBorders>
              <w:top w:val="nil"/>
              <w:left w:val="nil"/>
              <w:bottom w:val="nil"/>
              <w:right w:val="nil"/>
            </w:tcBorders>
          </w:tcPr>
          <w:p>
            <w:pPr>
              <w:pStyle w:val="Normal6a"/>
            </w:pPr>
            <w:r>
              <w:t>13.</w:t>
            </w:r>
            <w:r>
              <w:tab/>
            </w:r>
            <w:r>
              <w:t xml:space="preserve">invita la Commissione e gli Stati membri a stabilire e utilizzare in modo coerente una serie armonizzata di indicatori fondamentali volti a promuovere la competitività in tutti gli Stati membri, in modo da permettere la comparabilità, l'analisi comparativa e l'aggregazione dei dati a livello dell'UE e, al tempo stesso, l'utilizzo di indicatori adattati alle esigenze nazionali o regionali, se del caso; sottolinea che le associazioni di imprese, gli istituti di ricerca e la società civile dovrebbero essere consultati nella definizione e nella revisione degli indicatori al fine di garantire che questi riflettano le esigenze reali in materia di competitività; </w:t>
            </w:r>
            <w:r>
              <w:rPr>
                <w:b/>
                <w:i/>
              </w:rPr>
              <w:t>sottolinea che l'introduzione di ulteriori quadri della performance non deve tradursi in un aumento degli oneri amministrativi, in obblighi di comunicazione supplementari o nella duplicazione dei meccanismi di controllo esistenti per gli Stati membri;</w:t>
            </w:r>
          </w:p>
        </w:tc>
      </w:tr>
    </w:tbl>
    <w:p>
      <w:pPr>
        <w:pStyle w:val="AmOrLang"/>
      </w:pPr>
      <w:r>
        <w:t xml:space="preserve">Or. </w:t>
      </w:r>
      <w:r>
        <w:rPr>
          <w:rStyle w:val="HideTWBExt"/>
        </w:rPr>
        <w:t>&lt;Original&gt;</w:t>
      </w:r>
      <w:r>
        <w:rPr>
          <w:rStyle w:val="HideTWBInt"/>
        </w:rPr>
        <w:t>{DE}</w:t>
      </w:r>
      <w:r>
        <w:t>de</w:t>
      </w:r>
      <w:r>
        <w:rPr>
          <w:rStyle w:val="HideTWBExt"/>
        </w:rPr>
        <w:t>&lt;/Original&gt;</w:t>
      </w:r>
    </w:p>
    <w:p>
      <w:r>
        <w:rPr>
          <w:rStyle w:val="HideTWBExt"/>
        </w:rPr>
        <w:t>&lt;/Amend&gt;</w:t>
      </w:r>
    </w:p>
    <w:p>
      <w:pPr>
        <w:pStyle w:val="AmNumberTabs"/>
      </w:pPr>
      <w:r>
        <w:rPr>
          <w:rStyle w:val="HideTWBExt"/>
        </w:rPr>
        <w:t>&lt;Amend&gt;</w:t>
      </w:r>
      <w:r>
        <w:t>Emendamento</w:t>
      </w:r>
      <w:r>
        <w:tab/>
      </w:r>
      <w:r>
        <w:tab/>
      </w:r>
      <w:r>
        <w:rPr>
          <w:rStyle w:val="HideTWBExt"/>
        </w:rPr>
        <w:t>&lt;NumAm&gt;</w:t>
      </w:r>
      <w:r>
        <w:t>81</w:t>
      </w:r>
      <w:r>
        <w:rPr>
          <w:rStyle w:val="HideTWBExt"/>
        </w:rPr>
        <w:t>&lt;/NumAm&gt;</w:t>
      </w:r>
    </w:p>
    <w:p>
      <w:pPr>
        <w:pStyle w:val="NormalBold"/>
      </w:pPr>
      <w:r>
        <w:rPr>
          <w:rStyle w:val="HideTWBExt"/>
          <w:b w:val="0"/>
        </w:rPr>
        <w:t>&lt;RepeatBlock-By&gt;</w:t>
      </w:r>
      <w:r>
        <w:rPr>
          <w:rStyle w:val="HideTWBExt"/>
          <w:b w:val="0"/>
        </w:rPr>
        <w:t>&lt;Members&gt;</w:t>
      </w:r>
      <w:r>
        <w:t>Carla Tavares, José Cepeda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di risoluzione</w:t>
      </w:r>
      <w:r>
        <w:rPr>
          <w:rStyle w:val="HideTWBExt"/>
        </w:rPr>
        <w:t>&lt;/DocAmend&gt;</w:t>
      </w:r>
    </w:p>
    <w:p>
      <w:pPr>
        <w:pStyle w:val="NormalBold"/>
      </w:pPr>
      <w:r>
        <w:rPr>
          <w:rStyle w:val="HideTWBExt"/>
        </w:rPr>
        <w:t>&lt;Article&gt;</w:t>
      </w:r>
      <w:r>
        <w:t>Paragrafo 13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Proposta di risoluzione</w:t>
            </w:r>
          </w:p>
        </w:tc>
        <w:tc>
          <w:tcPr>
            <w:tcW w:w="4876" w:type="dxa"/>
            <w:tcBorders>
              <w:top w:val="nil"/>
              <w:left w:val="nil"/>
              <w:bottom w:val="nil"/>
              <w:right w:val="nil"/>
            </w:tcBorders>
          </w:tcPr>
          <w:p>
            <w:pPr>
              <w:pStyle w:val="AmColumnHeading"/>
            </w:pPr>
            <w:r>
              <w:t>Emendamento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13.</w:t>
            </w:r>
            <w:r>
              <w:tab/>
            </w:r>
            <w:r>
              <w:t xml:space="preserve">invita la Commissione e gli Stati membri a stabilire e utilizzare in modo coerente una serie armonizzata di indicatori fondamentali volti a promuovere la competitività in tutti gli Stati membri, in modo da permettere la comparabilità, l'analisi comparativa e l'aggregazione dei dati a livello dell'UE e, al tempo stesso, l'utilizzo di indicatori adattati alle esigenze nazionali o regionali, se del caso; sottolinea che le associazioni di imprese, gli istituti di ricerca e la società civile dovrebbero essere consultati nella definizione e nella revisione degli indicatori al fine di garantire che </w:t>
            </w:r>
            <w:r>
              <w:rPr>
                <w:b/>
                <w:i/>
              </w:rPr>
              <w:t>questi</w:t>
            </w:r>
            <w:r>
              <w:t xml:space="preserve"> riflettano le esigenze reali in materia di competitività;</w:t>
            </w:r>
          </w:p>
        </w:tc>
        <w:tc>
          <w:tcPr>
            <w:tcW w:w="4876" w:type="dxa"/>
            <w:tcBorders>
              <w:top w:val="nil"/>
              <w:left w:val="nil"/>
              <w:bottom w:val="nil"/>
              <w:right w:val="nil"/>
            </w:tcBorders>
          </w:tcPr>
          <w:p>
            <w:pPr>
              <w:pStyle w:val="Normal6a"/>
            </w:pPr>
            <w:r>
              <w:t>13.</w:t>
            </w:r>
            <w:r>
              <w:tab/>
            </w:r>
            <w:r>
              <w:t xml:space="preserve">invita la Commissione e gli Stati membri a stabilire e utilizzare in modo coerente una serie armonizzata di indicatori fondamentali volti a promuovere la competitività in tutti gli Stati membri, in modo da permettere la comparabilità, l'analisi comparativa e l'aggregazione dei dati a livello dell'UE e, al tempo stesso, l'utilizzo di indicatori adattati alle esigenze nazionali o regionali, se del caso; sottolinea che le associazioni di imprese, </w:t>
            </w:r>
            <w:r>
              <w:rPr>
                <w:b/>
                <w:i/>
              </w:rPr>
              <w:t>i sindacati, le parti sociali,</w:t>
            </w:r>
            <w:r>
              <w:t xml:space="preserve"> gli istituti di ricerca e la società civile dovrebbero essere consultati nella definizione e nella revisione degli indicatori al fine di garantire che riflettano le esigenze reali in materia di competitività </w:t>
            </w:r>
            <w:r>
              <w:rPr>
                <w:b/>
                <w:i/>
              </w:rPr>
              <w:t>e garantiscano il rispetto di norme sociali e del lavoro elevate</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Emendamento</w:t>
      </w:r>
      <w:r>
        <w:tab/>
      </w:r>
      <w:r>
        <w:tab/>
      </w:r>
      <w:r>
        <w:rPr>
          <w:rStyle w:val="HideTWBExt"/>
        </w:rPr>
        <w:t>&lt;NumAm&gt;</w:t>
      </w:r>
      <w:r>
        <w:t>82</w:t>
      </w:r>
      <w:r>
        <w:rPr>
          <w:rStyle w:val="HideTWBExt"/>
        </w:rPr>
        <w:t>&lt;/NumAm&gt;</w:t>
      </w:r>
    </w:p>
    <w:p>
      <w:pPr>
        <w:pStyle w:val="NormalBold"/>
      </w:pPr>
      <w:r>
        <w:rPr>
          <w:rStyle w:val="HideTWBExt"/>
          <w:b w:val="0"/>
        </w:rPr>
        <w:t>&lt;RepeatBlock-By&gt;</w:t>
      </w:r>
      <w:r>
        <w:rPr>
          <w:rStyle w:val="HideTWBExt"/>
          <w:b w:val="0"/>
        </w:rPr>
        <w:t>&lt;Members&gt;</w:t>
      </w:r>
      <w:r>
        <w:t>Kinga Kollár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di risoluzione</w:t>
      </w:r>
      <w:r>
        <w:rPr>
          <w:rStyle w:val="HideTWBExt"/>
        </w:rPr>
        <w:t>&lt;/DocAmend&gt;</w:t>
      </w:r>
    </w:p>
    <w:p>
      <w:pPr>
        <w:pStyle w:val="NormalBold"/>
      </w:pPr>
      <w:r>
        <w:rPr>
          <w:rStyle w:val="HideTWBExt"/>
        </w:rPr>
        <w:t>&lt;Article&gt;</w:t>
      </w:r>
      <w:r>
        <w:t>Paragrafo 13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Proposta di risoluzione</w:t>
            </w:r>
          </w:p>
        </w:tc>
        <w:tc>
          <w:tcPr>
            <w:tcW w:w="4876" w:type="dxa"/>
            <w:tcBorders>
              <w:top w:val="nil"/>
              <w:left w:val="nil"/>
              <w:bottom w:val="nil"/>
              <w:right w:val="nil"/>
            </w:tcBorders>
          </w:tcPr>
          <w:p>
            <w:pPr>
              <w:pStyle w:val="AmColumnHeading"/>
            </w:pPr>
            <w:r>
              <w:t>Emendamento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13.</w:t>
            </w:r>
            <w:r>
              <w:tab/>
            </w:r>
            <w:r>
              <w:t xml:space="preserve">invita la Commissione e gli Stati membri a stabilire e utilizzare in modo coerente una serie armonizzata di indicatori fondamentali </w:t>
            </w:r>
            <w:r>
              <w:rPr>
                <w:b/>
                <w:i/>
              </w:rPr>
              <w:t>volti a</w:t>
            </w:r>
            <w:r>
              <w:t xml:space="preserve"> promuovere la competitività in tutti gli Stati membri, in modo da permettere la comparabilità, l'analisi comparativa e l'aggregazione dei dati a livello dell'UE e, al tempo stesso, l'utilizzo di indicatori adattati alle esigenze nazionali o regionali, se del caso; sottolinea che le associazioni di imprese, gli istituti di ricerca e la società civile dovrebbero essere consultati nella definizione e nella revisione degli indicatori al fine di garantire che questi riflettano le esigenze reali in materia di competitività;</w:t>
            </w:r>
          </w:p>
        </w:tc>
        <w:tc>
          <w:tcPr>
            <w:tcW w:w="4876" w:type="dxa"/>
            <w:tcBorders>
              <w:top w:val="nil"/>
              <w:left w:val="nil"/>
              <w:bottom w:val="nil"/>
              <w:right w:val="nil"/>
            </w:tcBorders>
          </w:tcPr>
          <w:p>
            <w:pPr>
              <w:pStyle w:val="Normal6a"/>
            </w:pPr>
            <w:r>
              <w:t>13.</w:t>
            </w:r>
            <w:r>
              <w:tab/>
            </w:r>
            <w:r>
              <w:t>invita la Commissione e gli Stati membri a stabilire e utilizzare in modo coerente</w:t>
            </w:r>
            <w:r>
              <w:rPr>
                <w:b/>
                <w:i/>
              </w:rPr>
              <w:t>, nell'ambito del prossimo QFP,</w:t>
            </w:r>
            <w:r>
              <w:t xml:space="preserve"> una serie armonizzata di indicatori fondamentali </w:t>
            </w:r>
            <w:r>
              <w:rPr>
                <w:b/>
                <w:i/>
              </w:rPr>
              <w:t>come quelli che fanno già parte del quadro di valutazione dell'innovazione, al fine di</w:t>
            </w:r>
            <w:r>
              <w:t xml:space="preserve"> promuovere la competitività in tutti gli Stati membri, in modo da permettere la comparabilità, l'analisi comparativa e l'aggregazione dei dati a livello dell'UE e, al tempo stesso, l'utilizzo di indicatori adattati alle esigenze nazionali o regionali, se del caso; sottolinea che le associazioni di imprese, gli istituti di ricerca e la società civile dovrebbero essere consultati nella definizione e nella revisione degli indicatori al fine di garantire che questi riflettano le esigenze reali in materia di competitività;</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Emendamento</w:t>
      </w:r>
      <w:r>
        <w:tab/>
      </w:r>
      <w:r>
        <w:tab/>
      </w:r>
      <w:r>
        <w:rPr>
          <w:rStyle w:val="HideTWBExt"/>
        </w:rPr>
        <w:t>&lt;NumAm&gt;</w:t>
      </w:r>
      <w:r>
        <w:t>83</w:t>
      </w:r>
      <w:r>
        <w:rPr>
          <w:rStyle w:val="HideTWBExt"/>
        </w:rPr>
        <w:t>&lt;/NumAm&gt;</w:t>
      </w:r>
    </w:p>
    <w:p>
      <w:pPr>
        <w:pStyle w:val="NormalBold"/>
      </w:pPr>
      <w:r>
        <w:rPr>
          <w:rStyle w:val="HideTWBExt"/>
          <w:b w:val="0"/>
        </w:rPr>
        <w:t>&lt;RepeatBlock-By&gt;</w:t>
      </w:r>
      <w:r>
        <w:rPr>
          <w:rStyle w:val="HideTWBExt"/>
          <w:b w:val="0"/>
        </w:rPr>
        <w:t>&lt;Members&gt;</w:t>
      </w:r>
      <w:r>
        <w:t>Pasquale Tridico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di risoluzione</w:t>
      </w:r>
      <w:r>
        <w:rPr>
          <w:rStyle w:val="HideTWBExt"/>
        </w:rPr>
        <w:t>&lt;/DocAmend&gt;</w:t>
      </w:r>
    </w:p>
    <w:p>
      <w:pPr>
        <w:pStyle w:val="NormalBold"/>
      </w:pPr>
      <w:r>
        <w:rPr>
          <w:rStyle w:val="HideTWBExt"/>
        </w:rPr>
        <w:t>&lt;Article&gt;</w:t>
      </w:r>
      <w:r>
        <w:t>Paragrafo 13 bis (nuovo)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Proposta di risoluzione</w:t>
            </w:r>
          </w:p>
        </w:tc>
        <w:tc>
          <w:tcPr>
            <w:tcW w:w="4876" w:type="dxa"/>
            <w:tcBorders>
              <w:top w:val="nil"/>
              <w:left w:val="nil"/>
              <w:bottom w:val="nil"/>
              <w:right w:val="nil"/>
            </w:tcBorders>
          </w:tcPr>
          <w:p>
            <w:pPr>
              <w:pStyle w:val="AmColumnHeading"/>
            </w:pPr>
            <w:r>
              <w:t>Emendamento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13 bis.</w:t>
            </w:r>
            <w:r>
              <w:tab/>
            </w:r>
            <w:r>
              <w:rPr>
                <w:b/>
                <w:i/>
              </w:rPr>
              <w:t>sottolinea che l'istruzione, la formazione e la disponibilità di una forza lavoro qualificata sono fattori essenziali per la competitività dell'UE;</w:t>
            </w:r>
            <w:r>
              <w:t xml:space="preserve"> </w:t>
            </w:r>
            <w:r>
              <w:rPr>
                <w:b/>
                <w:i/>
              </w:rPr>
              <w:t>chiede pertanto l'inclusione di indicatori legati all'accesso a un'istruzione di qualità, alla partecipazione alla formazione professionale e all'apprendimento permanente, allo sviluppo delle competenze e all'inclusione nel mercato del lavoro;</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Emendamento</w:t>
      </w:r>
      <w:r>
        <w:tab/>
      </w:r>
      <w:r>
        <w:tab/>
      </w:r>
      <w:r>
        <w:rPr>
          <w:rStyle w:val="HideTWBExt"/>
        </w:rPr>
        <w:t>&lt;NumAm&gt;</w:t>
      </w:r>
      <w:r>
        <w:t>84</w:t>
      </w:r>
      <w:r>
        <w:rPr>
          <w:rStyle w:val="HideTWBExt"/>
        </w:rPr>
        <w:t>&lt;/NumAm&gt;</w:t>
      </w:r>
    </w:p>
    <w:p>
      <w:pPr>
        <w:pStyle w:val="NormalBold"/>
      </w:pPr>
      <w:r>
        <w:rPr>
          <w:rStyle w:val="HideTWBExt"/>
          <w:b w:val="0"/>
        </w:rPr>
        <w:t>&lt;RepeatBlock-By&gt;</w:t>
      </w:r>
      <w:r>
        <w:rPr>
          <w:rStyle w:val="HideTWBExt"/>
          <w:b w:val="0"/>
        </w:rPr>
        <w:t>&lt;Members&gt;</w:t>
      </w:r>
      <w:r>
        <w:t>Dick Erixon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di risoluzione</w:t>
      </w:r>
      <w:r>
        <w:rPr>
          <w:rStyle w:val="HideTWBExt"/>
        </w:rPr>
        <w:t>&lt;/DocAmend&gt;</w:t>
      </w:r>
    </w:p>
    <w:p>
      <w:pPr>
        <w:pStyle w:val="NormalBold"/>
      </w:pPr>
      <w:r>
        <w:rPr>
          <w:rStyle w:val="HideTWBExt"/>
        </w:rPr>
        <w:t>&lt;Article&gt;</w:t>
      </w:r>
      <w:r>
        <w:t>Paragrafo 14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Proposta di risoluzione</w:t>
            </w:r>
          </w:p>
        </w:tc>
        <w:tc>
          <w:tcPr>
            <w:tcW w:w="4876" w:type="dxa"/>
            <w:tcBorders>
              <w:top w:val="nil"/>
              <w:left w:val="nil"/>
              <w:bottom w:val="nil"/>
              <w:right w:val="nil"/>
            </w:tcBorders>
          </w:tcPr>
          <w:p>
            <w:pPr>
              <w:pStyle w:val="AmColumnHeading"/>
            </w:pPr>
            <w:r>
              <w:t>Emendamento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14.</w:t>
            </w:r>
            <w:r>
              <w:tab/>
            </w:r>
            <w:r>
              <w:t xml:space="preserve">ritiene che, nel caso di progetti che promuovono l'innovazione e sostengono tecnologie strategiche, </w:t>
            </w:r>
            <w:r>
              <w:rPr>
                <w:b/>
                <w:i/>
              </w:rPr>
              <w:t>si potrebbero utilizzare i seguenti indicatori di realizzazione</w:t>
            </w:r>
            <w:r>
              <w:t xml:space="preserve">: </w:t>
            </w:r>
            <w:r>
              <w:rPr>
                <w:b/>
                <w:i/>
              </w:rPr>
              <w:t>volume di finanziamento mobilitato,</w:t>
            </w:r>
            <w:r>
              <w:t xml:space="preserve"> utile sul capitale investito, numero di progetti finanziati per settore </w:t>
            </w:r>
            <w:r>
              <w:rPr>
                <w:b/>
                <w:i/>
              </w:rPr>
              <w:t>(intelligenza artificiale, tecnologie quantistiche e biotecnologie) e</w:t>
            </w:r>
            <w:r>
              <w:t xml:space="preserve"> numero di start-up e scale-up create o sviluppate nell'UE</w:t>
            </w:r>
            <w:r>
              <w:rPr>
                <w:b/>
                <w:i/>
              </w:rPr>
              <w:t>;</w:t>
            </w:r>
            <w:r>
              <w:t xml:space="preserve"> </w:t>
            </w:r>
            <w:r>
              <w:rPr>
                <w:b/>
                <w:i/>
              </w:rPr>
              <w:t>ritiene che si potrebbero utilizzare anche indicatori di risultato quali il numero di brevetti depositati da progetti finanziati dall'UE e il tasso di sopravvivenza dopo tre anni delle imprese finanziate dall'UE</w:t>
            </w:r>
            <w:r>
              <w:t>;</w:t>
            </w:r>
          </w:p>
        </w:tc>
        <w:tc>
          <w:tcPr>
            <w:tcW w:w="4876" w:type="dxa"/>
            <w:tcBorders>
              <w:top w:val="nil"/>
              <w:left w:val="nil"/>
              <w:bottom w:val="nil"/>
              <w:right w:val="nil"/>
            </w:tcBorders>
          </w:tcPr>
          <w:p>
            <w:pPr>
              <w:pStyle w:val="Normal6a"/>
            </w:pPr>
            <w:r>
              <w:t>14.</w:t>
            </w:r>
            <w:r>
              <w:tab/>
            </w:r>
            <w:r>
              <w:t xml:space="preserve">ritiene che, nel caso di progetti che promuovono l'innovazione e sostengono tecnologie strategiche, </w:t>
            </w:r>
            <w:r>
              <w:rPr>
                <w:b/>
                <w:i/>
              </w:rPr>
              <w:t>la misurazione della performance dovrebbe basarsi sull'impatto</w:t>
            </w:r>
            <w:r>
              <w:t xml:space="preserve">: utile sul capitale investito, </w:t>
            </w:r>
            <w:r>
              <w:rPr>
                <w:b/>
                <w:i/>
              </w:rPr>
              <w:t>adozione da parte del mercato e crescita delle entrate attribuibili alle innovazioni finanziate dall'UE;</w:t>
            </w:r>
            <w:r>
              <w:t xml:space="preserve"> </w:t>
            </w:r>
            <w:r>
              <w:rPr>
                <w:b/>
                <w:i/>
              </w:rPr>
              <w:t>ritiene che indicatori di realizzazione quali i finanziamenti mobilitati, il</w:t>
            </w:r>
            <w:r>
              <w:t xml:space="preserve"> numero di progetti finanziati per settore </w:t>
            </w:r>
            <w:r>
              <w:rPr>
                <w:b/>
                <w:i/>
              </w:rPr>
              <w:t>e il</w:t>
            </w:r>
            <w:r>
              <w:t xml:space="preserve"> numero di start-up e scale-up create o sviluppate nell'UE </w:t>
            </w:r>
            <w:r>
              <w:rPr>
                <w:b/>
                <w:i/>
              </w:rPr>
              <w:t>dovrebbero essere secondari e utilizzati per spiegare i risultati anziché sostituirvisi</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Emendamento</w:t>
      </w:r>
      <w:r>
        <w:tab/>
      </w:r>
      <w:r>
        <w:tab/>
      </w:r>
      <w:r>
        <w:rPr>
          <w:rStyle w:val="HideTWBExt"/>
        </w:rPr>
        <w:t>&lt;NumAm&gt;</w:t>
      </w:r>
      <w:r>
        <w:t>85</w:t>
      </w:r>
      <w:r>
        <w:rPr>
          <w:rStyle w:val="HideTWBExt"/>
        </w:rPr>
        <w:t>&lt;/NumAm&gt;</w:t>
      </w:r>
    </w:p>
    <w:p>
      <w:pPr>
        <w:pStyle w:val="NormalBold"/>
      </w:pPr>
      <w:r>
        <w:rPr>
          <w:rStyle w:val="HideTWBExt"/>
          <w:b w:val="0"/>
        </w:rPr>
        <w:t>&lt;RepeatBlock-By&gt;</w:t>
      </w:r>
      <w:r>
        <w:rPr>
          <w:rStyle w:val="HideTWBExt"/>
          <w:b w:val="0"/>
        </w:rPr>
        <w:t>&lt;Members&gt;</w:t>
      </w:r>
      <w:r>
        <w:t>Kinga Kollár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di risoluzione</w:t>
      </w:r>
      <w:r>
        <w:rPr>
          <w:rStyle w:val="HideTWBExt"/>
        </w:rPr>
        <w:t>&lt;/DocAmend&gt;</w:t>
      </w:r>
    </w:p>
    <w:p>
      <w:pPr>
        <w:pStyle w:val="NormalBold"/>
      </w:pPr>
      <w:r>
        <w:rPr>
          <w:rStyle w:val="HideTWBExt"/>
        </w:rPr>
        <w:t>&lt;Article&gt;</w:t>
      </w:r>
      <w:r>
        <w:t>Paragrafo 14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Proposta di risoluzione</w:t>
            </w:r>
          </w:p>
        </w:tc>
        <w:tc>
          <w:tcPr>
            <w:tcW w:w="4876" w:type="dxa"/>
            <w:tcBorders>
              <w:top w:val="nil"/>
              <w:left w:val="nil"/>
              <w:bottom w:val="nil"/>
              <w:right w:val="nil"/>
            </w:tcBorders>
          </w:tcPr>
          <w:p>
            <w:pPr>
              <w:pStyle w:val="AmColumnHeading"/>
            </w:pPr>
            <w:r>
              <w:t>Emendamento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14.</w:t>
            </w:r>
            <w:r>
              <w:tab/>
            </w:r>
            <w:r>
              <w:t>ritiene che, nel caso di progetti che promuovono l'innovazione e sostengono tecnologie strategiche, si potrebbero utilizzare i seguenti indicatori di realizzazione: volume di finanziamento mobilitato, utile sul capitale investito, numero di progetti finanziati per settore (intelligenza artificiale, tecnologie quantistiche e biotecnologie) e numero di start-up e scale-up create o sviluppate nell'UE; ritiene che si potrebbero utilizzare anche indicatori di risultato quali il numero di brevetti depositati da progetti finanziati dall'UE e il tasso di sopravvivenza dopo tre anni delle imprese finanziate dall'UE;</w:t>
            </w:r>
          </w:p>
        </w:tc>
        <w:tc>
          <w:tcPr>
            <w:tcW w:w="4876" w:type="dxa"/>
            <w:tcBorders>
              <w:top w:val="nil"/>
              <w:left w:val="nil"/>
              <w:bottom w:val="nil"/>
              <w:right w:val="nil"/>
            </w:tcBorders>
          </w:tcPr>
          <w:p>
            <w:pPr>
              <w:pStyle w:val="Normal6a"/>
            </w:pPr>
            <w:r>
              <w:t>14.</w:t>
            </w:r>
            <w:r>
              <w:tab/>
            </w:r>
            <w:r>
              <w:t xml:space="preserve">ritiene che, nel caso di progetti che promuovono l'innovazione e sostengono tecnologie strategiche, si potrebbero utilizzare i seguenti indicatori di realizzazione: volume di finanziamento </w:t>
            </w:r>
            <w:r>
              <w:rPr>
                <w:b/>
                <w:i/>
              </w:rPr>
              <w:t>dell'UE e realmente privato</w:t>
            </w:r>
            <w:r>
              <w:t xml:space="preserve"> mobilitato, utile sul capitale investito, numero di progetti finanziati per settore (intelligenza artificiale, tecnologie quantistiche e biotecnologie) e numero di </w:t>
            </w:r>
            <w:r>
              <w:rPr>
                <w:b/>
                <w:i/>
              </w:rPr>
              <w:t>imprese "unicorno",</w:t>
            </w:r>
            <w:r>
              <w:t xml:space="preserve"> start-up e scale-up create o sviluppate nell'UE </w:t>
            </w:r>
            <w:r>
              <w:rPr>
                <w:b/>
                <w:i/>
              </w:rPr>
              <w:t>che hanno ricevuto un finanziamento dell'UE</w:t>
            </w:r>
            <w:r>
              <w:t>; ritiene che si potrebbero utilizzare anche indicatori di risultato quali il numero di brevetti depositati da progetti finanziati dall'UE</w:t>
            </w:r>
            <w:r>
              <w:rPr>
                <w:b/>
                <w:i/>
              </w:rPr>
              <w:t>, la redditività dell'investimento dell'UE per settore</w:t>
            </w:r>
            <w:r>
              <w:t xml:space="preserve"> e il tasso di sopravvivenza dopo tre anni delle imprese finanziate dall'UE; </w:t>
            </w:r>
            <w:r>
              <w:rPr>
                <w:b/>
                <w:i/>
              </w:rPr>
              <w:t>ritiene che si potrebbero altresì utilizzare indicatori di impatto quali l'aumento del numero di imprese che raggiungono un'elevata intensità digitale, l'aumento della capacità (produzione annua) nella produzione di tecnologie deep tech e digitali (ad esempio, tipi specifici di apparecchiature), l'aumento del volume di capitale di rischio investito in Europa, l'aumento della capitalizzazione di mercato delle imprese europee, l'aumento del numero di uffici di PI europei e del numero di imprese esportatrici;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Emendamento</w:t>
      </w:r>
      <w:r>
        <w:tab/>
      </w:r>
      <w:r>
        <w:tab/>
      </w:r>
      <w:r>
        <w:rPr>
          <w:rStyle w:val="HideTWBExt"/>
        </w:rPr>
        <w:t>&lt;NumAm&gt;</w:t>
      </w:r>
      <w:r>
        <w:t>86</w:t>
      </w:r>
      <w:r>
        <w:rPr>
          <w:rStyle w:val="HideTWBExt"/>
        </w:rPr>
        <w:t>&lt;/NumAm&gt;</w:t>
      </w:r>
    </w:p>
    <w:p>
      <w:pPr>
        <w:pStyle w:val="NormalBold"/>
      </w:pPr>
      <w:r>
        <w:rPr>
          <w:rStyle w:val="HideTWBExt"/>
          <w:b w:val="0"/>
        </w:rPr>
        <w:t>&lt;RepeatBlock-By&gt;</w:t>
      </w:r>
      <w:r>
        <w:rPr>
          <w:rStyle w:val="HideTWBExt"/>
          <w:b w:val="0"/>
        </w:rPr>
        <w:t>&lt;Members&gt;</w:t>
      </w:r>
      <w:r>
        <w:t>Carla Tavares, José Cepeda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di risoluzione</w:t>
      </w:r>
      <w:r>
        <w:rPr>
          <w:rStyle w:val="HideTWBExt"/>
        </w:rPr>
        <w:t>&lt;/DocAmend&gt;</w:t>
      </w:r>
    </w:p>
    <w:p>
      <w:pPr>
        <w:pStyle w:val="NormalBold"/>
      </w:pPr>
      <w:r>
        <w:rPr>
          <w:rStyle w:val="HideTWBExt"/>
        </w:rPr>
        <w:t>&lt;Article&gt;</w:t>
      </w:r>
      <w:r>
        <w:t>Paragrafo 14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Proposta di risoluzione</w:t>
            </w:r>
          </w:p>
        </w:tc>
        <w:tc>
          <w:tcPr>
            <w:tcW w:w="4876" w:type="dxa"/>
            <w:tcBorders>
              <w:top w:val="nil"/>
              <w:left w:val="nil"/>
              <w:bottom w:val="nil"/>
              <w:right w:val="nil"/>
            </w:tcBorders>
          </w:tcPr>
          <w:p>
            <w:pPr>
              <w:pStyle w:val="AmColumnHeading"/>
            </w:pPr>
            <w:r>
              <w:t>Emendamento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14.</w:t>
            </w:r>
            <w:r>
              <w:tab/>
            </w:r>
            <w:r>
              <w:t xml:space="preserve">ritiene che, nel caso di progetti che promuovono l'innovazione e sostengono tecnologie strategiche, si potrebbero utilizzare i seguenti indicatori di realizzazione: volume di finanziamento mobilitato, utile sul capitale investito, numero di progetti finanziati per settore (intelligenza artificiale, tecnologie quantistiche e biotecnologie) </w:t>
            </w:r>
            <w:r>
              <w:rPr>
                <w:b/>
                <w:i/>
              </w:rPr>
              <w:t>e</w:t>
            </w:r>
            <w:r>
              <w:t xml:space="preserve"> numero di start-up e scale-up create o sviluppate nell'UE; ritiene che si potrebbero utilizzare anche indicatori di risultato quali il numero di brevetti depositati da progetti finanziati dall'UE e il tasso di sopravvivenza dopo tre anni delle imprese finanziate dall'UE;</w:t>
            </w:r>
          </w:p>
        </w:tc>
        <w:tc>
          <w:tcPr>
            <w:tcW w:w="4876" w:type="dxa"/>
            <w:tcBorders>
              <w:top w:val="nil"/>
              <w:left w:val="nil"/>
              <w:bottom w:val="nil"/>
              <w:right w:val="nil"/>
            </w:tcBorders>
          </w:tcPr>
          <w:p>
            <w:pPr>
              <w:pStyle w:val="Normal6a"/>
            </w:pPr>
            <w:r>
              <w:t>14.</w:t>
            </w:r>
            <w:r>
              <w:tab/>
            </w:r>
            <w:r>
              <w:t>ritiene che, nel caso di progetti che promuovono l'innovazione e sostengono tecnologie strategiche, si potrebbero utilizzare i seguenti indicatori di realizzazione: volume di finanziamento mobilitato, utile sul capitale investito, numero di progetti finanziati per settore (intelligenza artificiale, tecnologie quantistiche e biotecnologie)</w:t>
            </w:r>
            <w:r>
              <w:rPr>
                <w:b/>
                <w:i/>
              </w:rPr>
              <w:t>,</w:t>
            </w:r>
            <w:r>
              <w:t xml:space="preserve"> numero di start-up e scale-up create o sviluppate nell'UE</w:t>
            </w:r>
            <w:r>
              <w:rPr>
                <w:b/>
                <w:i/>
              </w:rPr>
              <w:t>, percentuale di start-up guidate da donne che hanno beneficiato di un finanziamento e impatto sull'occupazione in termini di creazione o distruzione di posti di lavoro</w:t>
            </w:r>
            <w:r>
              <w:t>; ritiene che si potrebbero utilizzare anche indicatori di risultato quali il numero di brevetti depositati da progetti finanziati dall'UE e il tasso di sopravvivenza dopo tre anni delle imprese finanziate dall'UE;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Emendamento</w:t>
      </w:r>
      <w:r>
        <w:tab/>
      </w:r>
      <w:r>
        <w:tab/>
      </w:r>
      <w:r>
        <w:rPr>
          <w:rStyle w:val="HideTWBExt"/>
        </w:rPr>
        <w:t>&lt;NumAm&gt;</w:t>
      </w:r>
      <w:r>
        <w:t>87</w:t>
      </w:r>
      <w:r>
        <w:rPr>
          <w:rStyle w:val="HideTWBExt"/>
        </w:rPr>
        <w:t>&lt;/NumAm&gt;</w:t>
      </w:r>
    </w:p>
    <w:p>
      <w:pPr>
        <w:pStyle w:val="NormalBold"/>
      </w:pPr>
      <w:r>
        <w:rPr>
          <w:rStyle w:val="HideTWBExt"/>
          <w:b w:val="0"/>
        </w:rPr>
        <w:t>&lt;RepeatBlock-By&gt;</w:t>
      </w:r>
      <w:r>
        <w:rPr>
          <w:rStyle w:val="HideTWBExt"/>
          <w:b w:val="0"/>
        </w:rPr>
        <w:t>&lt;Members&gt;</w:t>
      </w:r>
      <w:r>
        <w:t>Dick Erixon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di risoluzione</w:t>
      </w:r>
      <w:r>
        <w:rPr>
          <w:rStyle w:val="HideTWBExt"/>
        </w:rPr>
        <w:t>&lt;/DocAmend&gt;</w:t>
      </w:r>
    </w:p>
    <w:p>
      <w:pPr>
        <w:pStyle w:val="NormalBold"/>
      </w:pPr>
      <w:r>
        <w:rPr>
          <w:rStyle w:val="HideTWBExt"/>
        </w:rPr>
        <w:t>&lt;Article&gt;</w:t>
      </w:r>
      <w:r>
        <w:t>Paragrafo 15</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Proposta di risoluzione</w:t>
            </w:r>
          </w:p>
        </w:tc>
        <w:tc>
          <w:tcPr>
            <w:tcW w:w="4876" w:type="dxa"/>
            <w:tcBorders>
              <w:top w:val="nil"/>
              <w:left w:val="nil"/>
              <w:bottom w:val="nil"/>
              <w:right w:val="nil"/>
            </w:tcBorders>
          </w:tcPr>
          <w:p>
            <w:pPr>
              <w:pStyle w:val="AmColumnHeading"/>
            </w:pPr>
            <w:r>
              <w:t>Emendamento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15.</w:t>
            </w:r>
            <w:r>
              <w:tab/>
            </w:r>
            <w:r>
              <w:t>ritiene che si dovrebbe sostenere la rilocalizzazione industriale verso l'UE al fine di ridurre le dipendenze strategiche dell'Unione</w:t>
            </w:r>
            <w:r>
              <w:rPr>
                <w:b/>
                <w:i/>
              </w:rPr>
              <w:t>;</w:t>
            </w:r>
            <w:r>
              <w:t xml:space="preserve"> </w:t>
            </w:r>
            <w:r>
              <w:rPr>
                <w:b/>
                <w:i/>
              </w:rPr>
              <w:t>suggerisce che i progressi possono essere misurati con</w:t>
            </w:r>
            <w:r>
              <w:t xml:space="preserve"> indicatori di realizzazione quali il numero di progetti </w:t>
            </w:r>
            <w:r>
              <w:rPr>
                <w:b/>
                <w:i/>
              </w:rPr>
              <w:t>e di piccole e medie imprese che hanno trasferito</w:t>
            </w:r>
            <w:r>
              <w:t xml:space="preserve"> la loro attività </w:t>
            </w:r>
            <w:r>
              <w:rPr>
                <w:b/>
                <w:i/>
              </w:rPr>
              <w:t>nell'UE, il numero</w:t>
            </w:r>
            <w:r>
              <w:t xml:space="preserve"> di start-up e scale-up create o sviluppate </w:t>
            </w:r>
            <w:r>
              <w:rPr>
                <w:b/>
                <w:i/>
              </w:rPr>
              <w:t>e la creazione di</w:t>
            </w:r>
            <w:r>
              <w:t xml:space="preserve"> posti di lavoro nell'industria nelle regioni interessate</w:t>
            </w:r>
            <w:r>
              <w:rPr>
                <w:b/>
                <w:i/>
              </w:rPr>
              <w:t>;</w:t>
            </w:r>
            <w:r>
              <w:t xml:space="preserve"> </w:t>
            </w:r>
            <w:r>
              <w:rPr>
                <w:b/>
                <w:i/>
              </w:rPr>
              <w:t>ritiene che si potrebbero utilizzare anche indicatori di risultato come la riduzione delle importazioni derivante da una minore dipendenza strategica dalle importazioni di materie prime critiche</w:t>
            </w:r>
            <w:r>
              <w:t>;</w:t>
            </w:r>
          </w:p>
        </w:tc>
        <w:tc>
          <w:tcPr>
            <w:tcW w:w="4876" w:type="dxa"/>
            <w:tcBorders>
              <w:top w:val="nil"/>
              <w:left w:val="nil"/>
              <w:bottom w:val="nil"/>
              <w:right w:val="nil"/>
            </w:tcBorders>
          </w:tcPr>
          <w:p>
            <w:pPr>
              <w:pStyle w:val="Normal6a"/>
            </w:pPr>
            <w:r>
              <w:t>15.</w:t>
            </w:r>
            <w:r>
              <w:tab/>
            </w:r>
            <w:r>
              <w:t xml:space="preserve">ritiene che si dovrebbe sostenere la rilocalizzazione industriale verso l'UE al fine di ridurre le dipendenze strategiche dell'Unione </w:t>
            </w:r>
            <w:r>
              <w:rPr>
                <w:b/>
                <w:i/>
              </w:rPr>
              <w:t>a seguito di un'analisi indipendente costi-benefici e di una valutazione della sussidiarietà e della proporzionalità;</w:t>
            </w:r>
            <w:r>
              <w:t xml:space="preserve"> </w:t>
            </w:r>
            <w:r>
              <w:rPr>
                <w:b/>
                <w:i/>
              </w:rPr>
              <w:t>sottolinea che la misurazione della performance dovrebbe basarsi sull'impatto:</w:t>
            </w:r>
            <w:r>
              <w:t xml:space="preserve"> </w:t>
            </w:r>
            <w:r>
              <w:rPr>
                <w:b/>
                <w:i/>
              </w:rPr>
              <w:t>riduzioni dimostrabili della dipendenza strategica per quanto riguarda i fattori produttivi identificati (ad esempio, materie prime critiche e componenti critici) rispetto a uno scenario di riferimento/controfattuale definito, aumento della produttività e del valore aggiunto lordo nelle catene del valore interessate, maggiore resilienza dell'approvvigionamento e migliori prestazioni commerciali;</w:t>
            </w:r>
            <w:r>
              <w:t xml:space="preserve"> </w:t>
            </w:r>
            <w:r>
              <w:rPr>
                <w:b/>
                <w:i/>
              </w:rPr>
              <w:t>ritiene che</w:t>
            </w:r>
            <w:r>
              <w:t> indicatori di realizzazione quali il numero di progetti</w:t>
            </w:r>
            <w:r>
              <w:rPr>
                <w:b/>
                <w:i/>
              </w:rPr>
              <w:t>, di PMI che trasferiscono</w:t>
            </w:r>
            <w:r>
              <w:t xml:space="preserve"> la loro attività </w:t>
            </w:r>
            <w:r>
              <w:rPr>
                <w:b/>
                <w:i/>
              </w:rPr>
              <w:t>e</w:t>
            </w:r>
            <w:r>
              <w:t xml:space="preserve"> di start-up e scale-up create o sviluppate</w:t>
            </w:r>
            <w:r>
              <w:rPr>
                <w:b/>
                <w:i/>
              </w:rPr>
              <w:t>, il capitale investito e i</w:t>
            </w:r>
            <w:r>
              <w:t xml:space="preserve"> posti di lavoro nell'industria nelle regioni interessate </w:t>
            </w:r>
            <w:r>
              <w:rPr>
                <w:b/>
                <w:i/>
              </w:rPr>
              <w:t>dovrebbero essere secondari e utilizzati per spiegare i risultati anziché sostituirvisi</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Emendamento</w:t>
      </w:r>
      <w:r>
        <w:tab/>
      </w:r>
      <w:r>
        <w:tab/>
      </w:r>
      <w:r>
        <w:rPr>
          <w:rStyle w:val="HideTWBExt"/>
        </w:rPr>
        <w:t>&lt;NumAm&gt;</w:t>
      </w:r>
      <w:r>
        <w:t>88</w:t>
      </w:r>
      <w:r>
        <w:rPr>
          <w:rStyle w:val="HideTWBExt"/>
        </w:rPr>
        <w:t>&lt;/NumAm&gt;</w:t>
      </w:r>
    </w:p>
    <w:p>
      <w:pPr>
        <w:pStyle w:val="NormalBold"/>
      </w:pPr>
      <w:r>
        <w:rPr>
          <w:rStyle w:val="HideTWBExt"/>
          <w:b w:val="0"/>
        </w:rPr>
        <w:t>&lt;RepeatBlock-By&gt;</w:t>
      </w:r>
      <w:r>
        <w:rPr>
          <w:rStyle w:val="HideTWBExt"/>
          <w:b w:val="0"/>
        </w:rPr>
        <w:t>&lt;Members&gt;</w:t>
      </w:r>
      <w:r>
        <w:t>Kinga Kollár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di risoluzione</w:t>
      </w:r>
      <w:r>
        <w:rPr>
          <w:rStyle w:val="HideTWBExt"/>
        </w:rPr>
        <w:t>&lt;/DocAmend&gt;</w:t>
      </w:r>
    </w:p>
    <w:p>
      <w:pPr>
        <w:pStyle w:val="NormalBold"/>
      </w:pPr>
      <w:r>
        <w:rPr>
          <w:rStyle w:val="HideTWBExt"/>
        </w:rPr>
        <w:t>&lt;Article&gt;</w:t>
      </w:r>
      <w:r>
        <w:t>Paragrafo 15</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Proposta di risoluzione</w:t>
            </w:r>
          </w:p>
        </w:tc>
        <w:tc>
          <w:tcPr>
            <w:tcW w:w="4876" w:type="dxa"/>
            <w:tcBorders>
              <w:top w:val="nil"/>
              <w:left w:val="nil"/>
              <w:bottom w:val="nil"/>
              <w:right w:val="nil"/>
            </w:tcBorders>
          </w:tcPr>
          <w:p>
            <w:pPr>
              <w:pStyle w:val="AmColumnHeading"/>
            </w:pPr>
            <w:r>
              <w:t>Emendamento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15.</w:t>
            </w:r>
            <w:r>
              <w:tab/>
            </w:r>
            <w:r>
              <w:t xml:space="preserve">ritiene che si dovrebbe sostenere la rilocalizzazione industriale </w:t>
            </w:r>
            <w:r>
              <w:rPr>
                <w:b/>
                <w:i/>
              </w:rPr>
              <w:t>verso l'UE</w:t>
            </w:r>
            <w:r>
              <w:t xml:space="preserve"> al fine di ridurre le dipendenze strategiche dell'Unione; suggerisce che i progressi possono essere misurati con indicatori di realizzazione quali il numero di progetti e di piccole e medie imprese che hanno trasferito la loro attività nell'UE, il numero di start-up e scale-up create o sviluppate e la creazione di posti di lavoro nell'industria nelle regioni interessate; ritiene che si potrebbero utilizzare anche indicatori di risultato </w:t>
            </w:r>
            <w:r>
              <w:rPr>
                <w:b/>
                <w:i/>
              </w:rPr>
              <w:t>come la riduzione delle importazioni derivante da una minore dipendenza strategica dalle importazioni</w:t>
            </w:r>
            <w:r>
              <w:t xml:space="preserve"> di materie prime critiche;</w:t>
            </w:r>
          </w:p>
        </w:tc>
        <w:tc>
          <w:tcPr>
            <w:tcW w:w="4876" w:type="dxa"/>
            <w:tcBorders>
              <w:top w:val="nil"/>
              <w:left w:val="nil"/>
              <w:bottom w:val="nil"/>
              <w:right w:val="nil"/>
            </w:tcBorders>
          </w:tcPr>
          <w:p>
            <w:pPr>
              <w:pStyle w:val="Normal6a"/>
            </w:pPr>
            <w:r>
              <w:t>15.</w:t>
            </w:r>
            <w:r>
              <w:tab/>
            </w:r>
            <w:r>
              <w:t xml:space="preserve">ritiene che si dovrebbe sostenere la rilocalizzazione industriale </w:t>
            </w:r>
            <w:r>
              <w:rPr>
                <w:b/>
                <w:i/>
              </w:rPr>
              <w:t>e l'autosufficienza in termini di materie prime critiche</w:t>
            </w:r>
            <w:r>
              <w:t xml:space="preserve"> al fine di ridurre le dipendenze strategiche dell'Unione; suggerisce che i progressi possono essere misurati con indicatori di realizzazione quali il numero di progetti e di piccole e medie imprese che hanno trasferito la loro attività nell'UE </w:t>
            </w:r>
            <w:r>
              <w:rPr>
                <w:b/>
                <w:i/>
              </w:rPr>
              <w:t>a seguito di un finanziamento dell'UE</w:t>
            </w:r>
            <w:r>
              <w:t xml:space="preserve">, il numero di start-up e scale-up create o sviluppate e la creazione di posti di lavoro nell'industria nelle regioni interessate; ritiene che si potrebbero utilizzare anche indicatori di risultato </w:t>
            </w:r>
            <w:r>
              <w:rPr>
                <w:b/>
                <w:i/>
              </w:rPr>
              <w:t>quali l'aumento della quota</w:t>
            </w:r>
            <w:r>
              <w:t xml:space="preserve"> di materie prime critiche </w:t>
            </w:r>
            <w:r>
              <w:rPr>
                <w:b/>
                <w:i/>
              </w:rPr>
              <w:t>importate da nuovi partner strategici o provenienti dall'UE e l'aumento dei volumi (tonnellate) di materie prime critiche riciclate</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Emendamento</w:t>
      </w:r>
      <w:r>
        <w:tab/>
      </w:r>
      <w:r>
        <w:tab/>
      </w:r>
      <w:r>
        <w:rPr>
          <w:rStyle w:val="HideTWBExt"/>
        </w:rPr>
        <w:t>&lt;NumAm&gt;</w:t>
      </w:r>
      <w:r>
        <w:t>89</w:t>
      </w:r>
      <w:r>
        <w:rPr>
          <w:rStyle w:val="HideTWBExt"/>
        </w:rPr>
        <w:t>&lt;/NumAm&gt;</w:t>
      </w:r>
    </w:p>
    <w:p>
      <w:pPr>
        <w:pStyle w:val="NormalBold"/>
      </w:pPr>
      <w:r>
        <w:rPr>
          <w:rStyle w:val="HideTWBExt"/>
          <w:b w:val="0"/>
        </w:rPr>
        <w:t>&lt;RepeatBlock-By&gt;</w:t>
      </w:r>
      <w:r>
        <w:rPr>
          <w:rStyle w:val="HideTWBExt"/>
          <w:b w:val="0"/>
        </w:rPr>
        <w:t>&lt;Members&gt;</w:t>
      </w:r>
      <w:r>
        <w:t>Carla Tavares, José Cepeda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di risoluzione</w:t>
      </w:r>
      <w:r>
        <w:rPr>
          <w:rStyle w:val="HideTWBExt"/>
        </w:rPr>
        <w:t>&lt;/DocAmend&gt;</w:t>
      </w:r>
    </w:p>
    <w:p>
      <w:pPr>
        <w:pStyle w:val="NormalBold"/>
      </w:pPr>
      <w:r>
        <w:rPr>
          <w:rStyle w:val="HideTWBExt"/>
        </w:rPr>
        <w:t>&lt;Article&gt;</w:t>
      </w:r>
      <w:r>
        <w:t>Paragrafo 15</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Proposta di risoluzione</w:t>
            </w:r>
          </w:p>
        </w:tc>
        <w:tc>
          <w:tcPr>
            <w:tcW w:w="4876" w:type="dxa"/>
            <w:tcBorders>
              <w:top w:val="nil"/>
              <w:left w:val="nil"/>
              <w:bottom w:val="nil"/>
              <w:right w:val="nil"/>
            </w:tcBorders>
          </w:tcPr>
          <w:p>
            <w:pPr>
              <w:pStyle w:val="AmColumnHeading"/>
            </w:pPr>
            <w:r>
              <w:t>Emendamento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15.</w:t>
            </w:r>
            <w:r>
              <w:tab/>
            </w:r>
            <w:r>
              <w:t>ritiene che si dovrebbe sostenere la rilocalizzazione industriale verso l'UE al fine di ridurre le dipendenze strategiche dell'Unione; suggerisce che i progressi possono essere misurati con indicatori di realizzazione quali il numero di progetti e di piccole e medie imprese che hanno trasferito la loro attività nell'UE, il numero di start-up e scale-up create o sviluppate e la creazione di posti di lavoro nell'industria nelle regioni interessate; ritiene che si potrebbero utilizzare anche indicatori di risultato come la riduzione delle importazioni derivante da una minore dipendenza strategica dalle importazioni di materie prime critiche;</w:t>
            </w:r>
          </w:p>
        </w:tc>
        <w:tc>
          <w:tcPr>
            <w:tcW w:w="4876" w:type="dxa"/>
            <w:tcBorders>
              <w:top w:val="nil"/>
              <w:left w:val="nil"/>
              <w:bottom w:val="nil"/>
              <w:right w:val="nil"/>
            </w:tcBorders>
          </w:tcPr>
          <w:p>
            <w:pPr>
              <w:pStyle w:val="Normal6a"/>
            </w:pPr>
            <w:r>
              <w:t>15.</w:t>
            </w:r>
            <w:r>
              <w:tab/>
            </w:r>
            <w:r>
              <w:t>ritiene che si dovrebbe sostenere la rilocalizzazione industriale verso l'UE al fine di ridurre le dipendenze strategiche dell'Unione; suggerisce che i progressi possono essere misurati con indicatori di realizzazione quali il numero di progetti e di piccole e medie imprese che hanno trasferito la loro attività nell'UE, il numero di start-up e scale-up create o sviluppate</w:t>
            </w:r>
            <w:r>
              <w:rPr>
                <w:b/>
                <w:i/>
              </w:rPr>
              <w:t>, la percentuale di start-up guidate da donne che hanno beneficiato di un finanziamento</w:t>
            </w:r>
            <w:r>
              <w:t xml:space="preserve"> e la creazione di posti di lavoro nell'industria nelle regioni interessate</w:t>
            </w:r>
            <w:r>
              <w:rPr>
                <w:b/>
                <w:i/>
              </w:rPr>
              <w:t>, compresa la copertura della contrattazione collettiva</w:t>
            </w:r>
            <w:r>
              <w:t xml:space="preserve">; ritiene che si potrebbero utilizzare anche indicatori di risultato come </w:t>
            </w:r>
            <w:r>
              <w:rPr>
                <w:b/>
                <w:i/>
              </w:rPr>
              <w:t>la riduzione dell'impronta di carbonio e</w:t>
            </w:r>
            <w:r>
              <w:t xml:space="preserve"> la riduzione delle importazioni derivante da una minore dipendenza strategica dalle importazioni di materie prime critiche;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Emendamento</w:t>
      </w:r>
      <w:r>
        <w:tab/>
      </w:r>
      <w:r>
        <w:tab/>
      </w:r>
      <w:r>
        <w:rPr>
          <w:rStyle w:val="HideTWBExt"/>
        </w:rPr>
        <w:t>&lt;NumAm&gt;</w:t>
      </w:r>
      <w:r>
        <w:t>90</w:t>
      </w:r>
      <w:r>
        <w:rPr>
          <w:rStyle w:val="HideTWBExt"/>
        </w:rPr>
        <w:t>&lt;/NumAm&gt;</w:t>
      </w:r>
    </w:p>
    <w:p>
      <w:pPr>
        <w:pStyle w:val="NormalBold"/>
      </w:pPr>
      <w:r>
        <w:rPr>
          <w:rStyle w:val="HideTWBExt"/>
          <w:b w:val="0"/>
        </w:rPr>
        <w:t>&lt;RepeatBlock-By&gt;</w:t>
      </w:r>
      <w:r>
        <w:rPr>
          <w:rStyle w:val="HideTWBExt"/>
          <w:b w:val="0"/>
        </w:rPr>
        <w:t>&lt;Members&gt;</w:t>
      </w:r>
      <w:r>
        <w:t>Carla Tavares, José Cepeda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di risoluzione</w:t>
      </w:r>
      <w:r>
        <w:rPr>
          <w:rStyle w:val="HideTWBExt"/>
        </w:rPr>
        <w:t>&lt;/DocAmend&gt;</w:t>
      </w:r>
    </w:p>
    <w:p>
      <w:pPr>
        <w:pStyle w:val="NormalBold"/>
      </w:pPr>
      <w:r>
        <w:rPr>
          <w:rStyle w:val="HideTWBExt"/>
        </w:rPr>
        <w:t>&lt;Article&gt;</w:t>
      </w:r>
      <w:r>
        <w:t>Paragrafo 16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Proposta di risoluzione</w:t>
            </w:r>
          </w:p>
        </w:tc>
        <w:tc>
          <w:tcPr>
            <w:tcW w:w="4876" w:type="dxa"/>
            <w:tcBorders>
              <w:top w:val="nil"/>
              <w:left w:val="nil"/>
              <w:bottom w:val="nil"/>
              <w:right w:val="nil"/>
            </w:tcBorders>
          </w:tcPr>
          <w:p>
            <w:pPr>
              <w:pStyle w:val="AmColumnHeading"/>
            </w:pPr>
            <w:r>
              <w:t>Emendamento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16.</w:t>
            </w:r>
            <w:r>
              <w:tab/>
            </w:r>
            <w:r>
              <w:t xml:space="preserve">ritiene che gli acquisti in comune di energia industriale dovrebbero essere sostenuti al fine di ridurre i costi dell'energia e garantire l'approvvigionamento; suggerisce che i progressi possono essere misurati con indicatori di realizzazione quali il numero di imprese partecipanti e la quota di energie rinnovabili nei contratti comuni; ritiene che si potrebbero utilizzare anche indicatori di risultato quali le variazioni dei prezzi medi dell'energia nelle industrie interessate </w:t>
            </w:r>
            <w:r>
              <w:rPr>
                <w:b/>
                <w:i/>
              </w:rPr>
              <w:t>e</w:t>
            </w:r>
            <w:r>
              <w:t xml:space="preserve"> la riduzione dell'interruzione dell'approvvigionamento;</w:t>
            </w:r>
          </w:p>
        </w:tc>
        <w:tc>
          <w:tcPr>
            <w:tcW w:w="4876" w:type="dxa"/>
            <w:tcBorders>
              <w:top w:val="nil"/>
              <w:left w:val="nil"/>
              <w:bottom w:val="nil"/>
              <w:right w:val="nil"/>
            </w:tcBorders>
          </w:tcPr>
          <w:p>
            <w:pPr>
              <w:pStyle w:val="Normal6a"/>
            </w:pPr>
            <w:r>
              <w:t>16.</w:t>
            </w:r>
            <w:r>
              <w:tab/>
            </w:r>
            <w:r>
              <w:t>ritiene che gli acquisti in comune di energia industriale dovrebbero essere sostenuti al fine di ridurre i costi dell'energia e garantire l'approvvigionamento; suggerisce che i progressi possono essere misurati con indicatori di realizzazione quali il numero di imprese partecipanti</w:t>
            </w:r>
            <w:r>
              <w:rPr>
                <w:b/>
                <w:i/>
              </w:rPr>
              <w:t>, il volume degli acquisti di energia</w:t>
            </w:r>
            <w:r>
              <w:t xml:space="preserve"> e la quota di energie rinnovabili nei contratti comuni; ritiene che si potrebbero utilizzare anche indicatori di risultato quali le variazioni dei prezzi medi dell'energia nelle industrie interessate</w:t>
            </w:r>
            <w:r>
              <w:rPr>
                <w:b/>
                <w:i/>
              </w:rPr>
              <w:t>,</w:t>
            </w:r>
            <w:r>
              <w:t xml:space="preserve"> la riduzione dell'interruzione dell'approvvigionamento </w:t>
            </w:r>
            <w:r>
              <w:rPr>
                <w:b/>
                <w:i/>
              </w:rPr>
              <w:t>e l'aumento dell'uso di energie rinnovabili</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Emendamento</w:t>
      </w:r>
      <w:r>
        <w:tab/>
      </w:r>
      <w:r>
        <w:tab/>
      </w:r>
      <w:r>
        <w:rPr>
          <w:rStyle w:val="HideTWBExt"/>
        </w:rPr>
        <w:t>&lt;NumAm&gt;</w:t>
      </w:r>
      <w:r>
        <w:t>91</w:t>
      </w:r>
      <w:r>
        <w:rPr>
          <w:rStyle w:val="HideTWBExt"/>
        </w:rPr>
        <w:t>&lt;/NumAm&gt;</w:t>
      </w:r>
    </w:p>
    <w:p>
      <w:pPr>
        <w:pStyle w:val="NormalBold"/>
      </w:pPr>
      <w:r>
        <w:rPr>
          <w:rStyle w:val="HideTWBExt"/>
          <w:b w:val="0"/>
        </w:rPr>
        <w:t>&lt;RepeatBlock-By&gt;</w:t>
      </w:r>
      <w:r>
        <w:rPr>
          <w:rStyle w:val="HideTWBExt"/>
          <w:b w:val="0"/>
        </w:rPr>
        <w:t>&lt;Members&gt;</w:t>
      </w:r>
      <w:r>
        <w:t>Cristian Terheş</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di risoluzione</w:t>
      </w:r>
      <w:r>
        <w:rPr>
          <w:rStyle w:val="HideTWBExt"/>
        </w:rPr>
        <w:t>&lt;/DocAmend&gt;</w:t>
      </w:r>
    </w:p>
    <w:p>
      <w:pPr>
        <w:pStyle w:val="NormalBold"/>
      </w:pPr>
      <w:r>
        <w:rPr>
          <w:rStyle w:val="HideTWBExt"/>
        </w:rPr>
        <w:t>&lt;Article&gt;</w:t>
      </w:r>
      <w:r>
        <w:t>Paragrafo 16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Proposta di risoluzione</w:t>
            </w:r>
          </w:p>
        </w:tc>
        <w:tc>
          <w:tcPr>
            <w:tcW w:w="4876" w:type="dxa"/>
            <w:tcBorders>
              <w:top w:val="nil"/>
              <w:left w:val="nil"/>
              <w:bottom w:val="nil"/>
              <w:right w:val="nil"/>
            </w:tcBorders>
          </w:tcPr>
          <w:p>
            <w:pPr>
              <w:pStyle w:val="AmColumnHeading"/>
            </w:pPr>
            <w:r>
              <w:t>Emendamento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16.</w:t>
            </w:r>
            <w:r>
              <w:tab/>
            </w:r>
            <w:r>
              <w:rPr>
                <w:b/>
                <w:i/>
              </w:rPr>
              <w:t>ritiene</w:t>
            </w:r>
            <w:r>
              <w:t xml:space="preserve"> che gli acquisti in comune di energia industriale </w:t>
            </w:r>
            <w:r>
              <w:rPr>
                <w:b/>
                <w:i/>
              </w:rPr>
              <w:t>dovrebbero essere sostenuti al fine</w:t>
            </w:r>
            <w:r>
              <w:t xml:space="preserve"> di ridurre i costi </w:t>
            </w:r>
            <w:r>
              <w:rPr>
                <w:b/>
                <w:i/>
              </w:rPr>
              <w:t>dell'energia e garantire l'approvvigionamento;</w:t>
            </w:r>
            <w:r>
              <w:t xml:space="preserve"> </w:t>
            </w:r>
            <w:r>
              <w:rPr>
                <w:b/>
                <w:i/>
              </w:rPr>
              <w:t>suggerisce</w:t>
            </w:r>
            <w:r>
              <w:t xml:space="preserve"> che i progressi </w:t>
            </w:r>
            <w:r>
              <w:rPr>
                <w:b/>
                <w:i/>
              </w:rPr>
              <w:t>possono</w:t>
            </w:r>
            <w:r>
              <w:t xml:space="preserve"> essere </w:t>
            </w:r>
            <w:r>
              <w:rPr>
                <w:b/>
                <w:i/>
              </w:rPr>
              <w:t>misurati con indicatori di realizzazione</w:t>
            </w:r>
            <w:r>
              <w:t xml:space="preserve"> quali </w:t>
            </w:r>
            <w:r>
              <w:rPr>
                <w:b/>
                <w:i/>
              </w:rPr>
              <w:t>il numero di imprese partecipanti e la quota di energie rinnovabili nei contratti comuni;</w:t>
            </w:r>
            <w:r>
              <w:t xml:space="preserve"> </w:t>
            </w:r>
            <w:r>
              <w:rPr>
                <w:b/>
                <w:i/>
              </w:rPr>
              <w:t>ritiene che si potrebbero utilizzare anche indicatori di risultato quali le variazioni</w:t>
            </w:r>
            <w:r>
              <w:t xml:space="preserve"> dei prezzi </w:t>
            </w:r>
            <w:r>
              <w:rPr>
                <w:b/>
                <w:i/>
              </w:rPr>
              <w:t>medi</w:t>
            </w:r>
            <w:r>
              <w:t xml:space="preserve"> dell'energia </w:t>
            </w:r>
            <w:r>
              <w:rPr>
                <w:b/>
                <w:i/>
              </w:rPr>
              <w:t>nelle industrie interessate e la riduzione dell'interruzione</w:t>
            </w:r>
            <w:r>
              <w:t xml:space="preserve"> dell'approvvigionamento;</w:t>
            </w:r>
          </w:p>
        </w:tc>
        <w:tc>
          <w:tcPr>
            <w:tcW w:w="4876" w:type="dxa"/>
            <w:tcBorders>
              <w:top w:val="nil"/>
              <w:left w:val="nil"/>
              <w:bottom w:val="nil"/>
              <w:right w:val="nil"/>
            </w:tcBorders>
          </w:tcPr>
          <w:p>
            <w:pPr>
              <w:pStyle w:val="Normal6a"/>
            </w:pPr>
            <w:r>
              <w:t>16.</w:t>
            </w:r>
            <w:r>
              <w:tab/>
            </w:r>
            <w:r>
              <w:rPr>
                <w:b/>
                <w:i/>
              </w:rPr>
              <w:t>sottolinea</w:t>
            </w:r>
            <w:r>
              <w:t xml:space="preserve"> che gli acquisti in comune di energia industriale </w:t>
            </w:r>
            <w:r>
              <w:rPr>
                <w:b/>
                <w:i/>
              </w:rPr>
              <w:t>possono permettere</w:t>
            </w:r>
            <w:r>
              <w:t xml:space="preserve"> di ridurre i costi </w:t>
            </w:r>
            <w:r>
              <w:rPr>
                <w:b/>
                <w:i/>
              </w:rPr>
              <w:t>e migliorare la sicurezza energetica dell'Europa, a condizione che rimangano guidati dal mercato e volontari;</w:t>
            </w:r>
            <w:r>
              <w:t xml:space="preserve"> </w:t>
            </w:r>
            <w:r>
              <w:rPr>
                <w:b/>
                <w:i/>
              </w:rPr>
              <w:t>sottolinea</w:t>
            </w:r>
            <w:r>
              <w:t xml:space="preserve"> che i progressi </w:t>
            </w:r>
            <w:r>
              <w:rPr>
                <w:b/>
                <w:i/>
              </w:rPr>
              <w:t>dovrebbero</w:t>
            </w:r>
            <w:r>
              <w:t xml:space="preserve"> essere </w:t>
            </w:r>
            <w:r>
              <w:rPr>
                <w:b/>
                <w:i/>
              </w:rPr>
              <w:t>valutati attraverso risultati concreti</w:t>
            </w:r>
            <w:r>
              <w:t xml:space="preserve"> quali </w:t>
            </w:r>
            <w:r>
              <w:rPr>
                <w:b/>
                <w:i/>
              </w:rPr>
              <w:t>la riduzione</w:t>
            </w:r>
            <w:r>
              <w:t xml:space="preserve"> dei prezzi dell'energia </w:t>
            </w:r>
            <w:r>
              <w:rPr>
                <w:b/>
                <w:i/>
              </w:rPr>
              <w:t>e una maggiore affidabilità</w:t>
            </w:r>
            <w:r>
              <w:t xml:space="preserve"> dell'approvvigionamento;</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Emendamento</w:t>
      </w:r>
      <w:r>
        <w:tab/>
      </w:r>
      <w:r>
        <w:tab/>
      </w:r>
      <w:r>
        <w:rPr>
          <w:rStyle w:val="HideTWBExt"/>
        </w:rPr>
        <w:t>&lt;NumAm&gt;</w:t>
      </w:r>
      <w:r>
        <w:t>92</w:t>
      </w:r>
      <w:r>
        <w:rPr>
          <w:rStyle w:val="HideTWBExt"/>
        </w:rPr>
        <w:t>&lt;/NumAm&gt;</w:t>
      </w:r>
    </w:p>
    <w:p>
      <w:pPr>
        <w:pStyle w:val="NormalBold"/>
      </w:pPr>
      <w:r>
        <w:rPr>
          <w:rStyle w:val="HideTWBExt"/>
          <w:b w:val="0"/>
        </w:rPr>
        <w:t>&lt;RepeatBlock-By&gt;</w:t>
      </w:r>
      <w:r>
        <w:rPr>
          <w:rStyle w:val="HideTWBExt"/>
          <w:b w:val="0"/>
        </w:rPr>
        <w:t>&lt;Members&gt;</w:t>
      </w:r>
      <w:r>
        <w:t>Kinga Kollár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di risoluzione</w:t>
      </w:r>
      <w:r>
        <w:rPr>
          <w:rStyle w:val="HideTWBExt"/>
        </w:rPr>
        <w:t>&lt;/DocAmend&gt;</w:t>
      </w:r>
    </w:p>
    <w:p>
      <w:pPr>
        <w:pStyle w:val="NormalBold"/>
      </w:pPr>
      <w:r>
        <w:rPr>
          <w:rStyle w:val="HideTWBExt"/>
        </w:rPr>
        <w:t>&lt;Article&gt;</w:t>
      </w:r>
      <w:r>
        <w:t>Paragrafo 16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Proposta di risoluzione</w:t>
            </w:r>
          </w:p>
        </w:tc>
        <w:tc>
          <w:tcPr>
            <w:tcW w:w="4876" w:type="dxa"/>
            <w:tcBorders>
              <w:top w:val="nil"/>
              <w:left w:val="nil"/>
              <w:bottom w:val="nil"/>
              <w:right w:val="nil"/>
            </w:tcBorders>
          </w:tcPr>
          <w:p>
            <w:pPr>
              <w:pStyle w:val="AmColumnHeading"/>
            </w:pPr>
            <w:r>
              <w:t>Emendamento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16.</w:t>
            </w:r>
            <w:r>
              <w:tab/>
            </w:r>
            <w:r>
              <w:t xml:space="preserve">ritiene che </w:t>
            </w:r>
            <w:r>
              <w:rPr>
                <w:b/>
                <w:i/>
              </w:rPr>
              <w:t>gli acquisti in comune di energia industriale dovrebbero essere sostenuti</w:t>
            </w:r>
            <w:r>
              <w:t xml:space="preserve"> al fine di ridurre i costi dell'energia e garantire l'approvvigionamento; suggerisce che i progressi possono essere misurati con indicatori di realizzazione quali il numero di imprese partecipanti e la quota di energie rinnovabili nei contratti comuni; ritiene che si potrebbero utilizzare anche indicatori di </w:t>
            </w:r>
            <w:r>
              <w:rPr>
                <w:b/>
                <w:i/>
              </w:rPr>
              <w:t>risultato</w:t>
            </w:r>
            <w:r>
              <w:t xml:space="preserve"> quali le variazioni dei prezzi medi dell'energia nelle industrie interessate </w:t>
            </w:r>
            <w:r>
              <w:rPr>
                <w:b/>
                <w:i/>
              </w:rPr>
              <w:t>e</w:t>
            </w:r>
            <w:r>
              <w:t xml:space="preserve"> la riduzione dell'interruzione dell'approvvigionamento;</w:t>
            </w:r>
          </w:p>
        </w:tc>
        <w:tc>
          <w:tcPr>
            <w:tcW w:w="4876" w:type="dxa"/>
            <w:tcBorders>
              <w:top w:val="nil"/>
              <w:left w:val="nil"/>
              <w:bottom w:val="nil"/>
              <w:right w:val="nil"/>
            </w:tcBorders>
          </w:tcPr>
          <w:p>
            <w:pPr>
              <w:pStyle w:val="Normal6a"/>
            </w:pPr>
            <w:r>
              <w:t>16.</w:t>
            </w:r>
            <w:r>
              <w:tab/>
            </w:r>
            <w:r>
              <w:t>ritiene che</w:t>
            </w:r>
            <w:r>
              <w:rPr>
                <w:b/>
                <w:i/>
              </w:rPr>
              <w:t>,</w:t>
            </w:r>
            <w:r>
              <w:t xml:space="preserve"> al fine di ridurre i costi dell'energia e garantire l'approvvigionamento</w:t>
            </w:r>
            <w:r>
              <w:rPr>
                <w:b/>
                <w:i/>
              </w:rPr>
              <w:t>, si dovrebbero adottare misure volte all'acquisto in comune di energia industriale e alla decarbonizzazione industriale, senza che ciò abbia impatto indebito sulla sicurezza energetica degli Stati membri</w:t>
            </w:r>
            <w:r>
              <w:t xml:space="preserve">; suggerisce che i progressi possono essere misurati con indicatori di realizzazione quali il numero di imprese partecipanti e la quota di energie rinnovabili nei contratti comuni; ritiene che </w:t>
            </w:r>
            <w:r>
              <w:rPr>
                <w:b/>
                <w:i/>
              </w:rPr>
              <w:t>indicatori di risultato quali la capacità energetica supplementare installata nella produzione di energia elettrica (MW);</w:t>
            </w:r>
            <w:r>
              <w:t xml:space="preserve"> </w:t>
            </w:r>
            <w:r>
              <w:rPr>
                <w:b/>
                <w:i/>
              </w:rPr>
              <w:t>ritiene inoltre che</w:t>
            </w:r>
            <w:r>
              <w:t xml:space="preserve"> si potrebbero utilizzare anche indicatori di </w:t>
            </w:r>
            <w:r>
              <w:rPr>
                <w:b/>
                <w:i/>
              </w:rPr>
              <w:t>impatto</w:t>
            </w:r>
            <w:r>
              <w:t xml:space="preserve"> quali le variazioni dei prezzi medi dell'energia nelle industrie interessate</w:t>
            </w:r>
            <w:r>
              <w:rPr>
                <w:b/>
                <w:i/>
              </w:rPr>
              <w:t>,</w:t>
            </w:r>
            <w:r>
              <w:t xml:space="preserve"> la riduzione dell'interruzione dell'approvvigionamento </w:t>
            </w:r>
            <w:r>
              <w:rPr>
                <w:b/>
                <w:i/>
              </w:rPr>
              <w:t>e la riduzione delle emissioni di gas a effetto serra (tCO2e) ottenuta grazie alle tecnologie di cattura del carbonio</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Emendamento</w:t>
      </w:r>
      <w:r>
        <w:tab/>
      </w:r>
      <w:r>
        <w:tab/>
      </w:r>
      <w:r>
        <w:rPr>
          <w:rStyle w:val="HideTWBExt"/>
        </w:rPr>
        <w:t>&lt;NumAm&gt;</w:t>
      </w:r>
      <w:r>
        <w:t>93</w:t>
      </w:r>
      <w:r>
        <w:rPr>
          <w:rStyle w:val="HideTWBExt"/>
        </w:rPr>
        <w:t>&lt;/NumAm&gt;</w:t>
      </w:r>
    </w:p>
    <w:p>
      <w:pPr>
        <w:pStyle w:val="NormalBold"/>
      </w:pPr>
      <w:r>
        <w:rPr>
          <w:rStyle w:val="HideTWBExt"/>
          <w:b w:val="0"/>
        </w:rPr>
        <w:t>&lt;RepeatBlock-By&gt;</w:t>
      </w:r>
      <w:r>
        <w:rPr>
          <w:rStyle w:val="HideTWBExt"/>
          <w:b w:val="0"/>
        </w:rPr>
        <w:t>&lt;Members&gt;</w:t>
      </w:r>
      <w:r>
        <w:t>Ondřej Knotek</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di risoluzione</w:t>
      </w:r>
      <w:r>
        <w:rPr>
          <w:rStyle w:val="HideTWBExt"/>
        </w:rPr>
        <w:t>&lt;/DocAmend&gt;</w:t>
      </w:r>
    </w:p>
    <w:p>
      <w:pPr>
        <w:pStyle w:val="NormalBold"/>
      </w:pPr>
      <w:r>
        <w:rPr>
          <w:rStyle w:val="HideTWBExt"/>
        </w:rPr>
        <w:t>&lt;Article&gt;</w:t>
      </w:r>
      <w:r>
        <w:t>Paragrafo 16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Proposta di risoluzione</w:t>
            </w:r>
          </w:p>
        </w:tc>
        <w:tc>
          <w:tcPr>
            <w:tcW w:w="4876" w:type="dxa"/>
            <w:tcBorders>
              <w:top w:val="nil"/>
              <w:left w:val="nil"/>
              <w:bottom w:val="nil"/>
              <w:right w:val="nil"/>
            </w:tcBorders>
          </w:tcPr>
          <w:p>
            <w:pPr>
              <w:pStyle w:val="AmColumnHeading"/>
            </w:pPr>
            <w:r>
              <w:t>Emendamento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16.</w:t>
            </w:r>
            <w:r>
              <w:tab/>
            </w:r>
            <w:r>
              <w:t>ritiene che gli acquisti in comune di energia industriale dovrebbero essere sostenuti al fine di ridurre i costi dell'energia e garantire l'approvvigionamento; suggerisce che i progressi possono essere misurati con indicatori di realizzazione quali il numero di imprese partecipanti e la quota di energie rinnovabili nei contratti comuni; ritiene che si potrebbero utilizzare anche indicatori di risultato quali le variazioni dei prezzi medi dell'energia nelle industrie interessate e la riduzione dell'interruzione dell'approvvigionamento;</w:t>
            </w:r>
          </w:p>
        </w:tc>
        <w:tc>
          <w:tcPr>
            <w:tcW w:w="4876" w:type="dxa"/>
            <w:tcBorders>
              <w:top w:val="nil"/>
              <w:left w:val="nil"/>
              <w:bottom w:val="nil"/>
              <w:right w:val="nil"/>
            </w:tcBorders>
          </w:tcPr>
          <w:p>
            <w:pPr>
              <w:pStyle w:val="Normal6a"/>
            </w:pPr>
            <w:r>
              <w:t>16.</w:t>
            </w:r>
            <w:r>
              <w:tab/>
            </w:r>
            <w:r>
              <w:t xml:space="preserve">ritiene che gli acquisti in comune di energia industriale dovrebbero essere sostenuti al fine di ridurre i costi dell'energia e garantire l'approvvigionamento; suggerisce che i progressi possono essere misurati con indicatori di realizzazione quali il numero di imprese partecipanti e la quota di energie rinnovabili </w:t>
            </w:r>
            <w:r>
              <w:rPr>
                <w:b/>
                <w:i/>
              </w:rPr>
              <w:t>e a basse emissioni</w:t>
            </w:r>
            <w:r>
              <w:t xml:space="preserve"> nei contratti comuni; ritiene che si potrebbero utilizzare anche indicatori di risultato quali le variazioni dei prezzi medi dell'energia nelle industrie interessate e la riduzione dell'interruzione dell'approvvigionamento;</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Emendamento</w:t>
      </w:r>
      <w:r>
        <w:tab/>
      </w:r>
      <w:r>
        <w:tab/>
      </w:r>
      <w:r>
        <w:rPr>
          <w:rStyle w:val="HideTWBExt"/>
        </w:rPr>
        <w:t>&lt;NumAm&gt;</w:t>
      </w:r>
      <w:r>
        <w:t>94</w:t>
      </w:r>
      <w:r>
        <w:rPr>
          <w:rStyle w:val="HideTWBExt"/>
        </w:rPr>
        <w:t>&lt;/NumAm&gt;</w:t>
      </w:r>
    </w:p>
    <w:p>
      <w:pPr>
        <w:pStyle w:val="NormalBold"/>
      </w:pPr>
      <w:r>
        <w:rPr>
          <w:rStyle w:val="HideTWBExt"/>
          <w:b w:val="0"/>
        </w:rPr>
        <w:t>&lt;RepeatBlock-By&gt;</w:t>
      </w:r>
      <w:r>
        <w:rPr>
          <w:rStyle w:val="HideTWBExt"/>
          <w:b w:val="0"/>
        </w:rPr>
        <w:t>&lt;Members&gt;</w:t>
      </w:r>
      <w:r>
        <w:t>Cristian Terheş</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di risoluzione</w:t>
      </w:r>
      <w:r>
        <w:rPr>
          <w:rStyle w:val="HideTWBExt"/>
        </w:rPr>
        <w:t>&lt;/DocAmend&gt;</w:t>
      </w:r>
    </w:p>
    <w:p>
      <w:pPr>
        <w:pStyle w:val="NormalBold"/>
      </w:pPr>
      <w:r>
        <w:rPr>
          <w:rStyle w:val="HideTWBExt"/>
        </w:rPr>
        <w:t>&lt;Article&gt;</w:t>
      </w:r>
      <w:r>
        <w:t>Paragrafo 16 bis (nuovo)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Proposta di risoluzione</w:t>
            </w:r>
          </w:p>
        </w:tc>
        <w:tc>
          <w:tcPr>
            <w:tcW w:w="4876" w:type="dxa"/>
            <w:tcBorders>
              <w:top w:val="nil"/>
              <w:left w:val="nil"/>
              <w:bottom w:val="nil"/>
              <w:right w:val="nil"/>
            </w:tcBorders>
          </w:tcPr>
          <w:p>
            <w:pPr>
              <w:pStyle w:val="AmColumnHeading"/>
            </w:pPr>
            <w:r>
              <w:t>Emendamento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16 bis.</w:t>
            </w:r>
            <w:r>
              <w:tab/>
            </w:r>
            <w:r>
              <w:rPr>
                <w:b/>
                <w:i/>
              </w:rPr>
              <w:t>invita la Commissione ad accelerare le misure volte a ridurre i costi dell'energia e a rafforzare la sicurezza energetica nell'Unione, anche promuovendo il completamento delle interconnessioni transfrontaliere dell'energia elettrica e del gas, sostenendo l'integrazione delle fonti energetiche rinnovabili, rivedendo il meccanismo dei prezzi marginali nei mercati all'ingrosso dell'energia elettrica e garantendo il funzionamento efficiente del sistema di scambio di quote di emissione dell'UE;</w:t>
            </w:r>
            <w:r>
              <w:t xml:space="preserve"> </w:t>
            </w:r>
            <w:r>
              <w:rPr>
                <w:b/>
                <w:i/>
              </w:rPr>
              <w:t>sottolinea la necessità di investire nelle reti intelligenti, nello stoccaggio dell'energia e nei corridoi dell'idrogeno per facilitare un sistema energetico resiliente e competitivo;</w:t>
            </w:r>
            <w:r>
              <w:t xml:space="preserve"> </w:t>
            </w:r>
            <w:r>
              <w:rPr>
                <w:b/>
                <w:i/>
              </w:rPr>
              <w:t>sottolinea che tali azioni sono essenziali per ridurre la volatilità dei prezzi dell'energia, rafforzare la competitività industriale e garantire la transizione dell'Europa verso un'economia sostenibile e a basse emissioni di carbonio;</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Emendamento</w:t>
      </w:r>
      <w:r>
        <w:tab/>
      </w:r>
      <w:r>
        <w:tab/>
      </w:r>
      <w:r>
        <w:rPr>
          <w:rStyle w:val="HideTWBExt"/>
        </w:rPr>
        <w:t>&lt;NumAm&gt;</w:t>
      </w:r>
      <w:r>
        <w:t>95</w:t>
      </w:r>
      <w:r>
        <w:rPr>
          <w:rStyle w:val="HideTWBExt"/>
        </w:rPr>
        <w:t>&lt;/NumAm&gt;</w:t>
      </w:r>
    </w:p>
    <w:p>
      <w:pPr>
        <w:pStyle w:val="NormalBold"/>
      </w:pPr>
      <w:r>
        <w:rPr>
          <w:rStyle w:val="HideTWBExt"/>
          <w:b w:val="0"/>
        </w:rPr>
        <w:t>&lt;RepeatBlock-By&gt;</w:t>
      </w:r>
      <w:r>
        <w:rPr>
          <w:rStyle w:val="HideTWBExt"/>
          <w:b w:val="0"/>
        </w:rPr>
        <w:t>&lt;Members&gt;</w:t>
      </w:r>
      <w:r>
        <w:t>Şerban Dimitrie Sturdza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di risoluzione</w:t>
      </w:r>
      <w:r>
        <w:rPr>
          <w:rStyle w:val="HideTWBExt"/>
        </w:rPr>
        <w:t>&lt;/DocAmend&gt;</w:t>
      </w:r>
    </w:p>
    <w:p>
      <w:pPr>
        <w:pStyle w:val="NormalBold"/>
      </w:pPr>
      <w:r>
        <w:rPr>
          <w:rStyle w:val="HideTWBExt"/>
        </w:rPr>
        <w:t>&lt;Article&gt;</w:t>
      </w:r>
      <w:r>
        <w:t>Paragrafo 16 bis (nuovo)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Proposta di risoluzione</w:t>
            </w:r>
          </w:p>
        </w:tc>
        <w:tc>
          <w:tcPr>
            <w:tcW w:w="4876" w:type="dxa"/>
            <w:tcBorders>
              <w:top w:val="nil"/>
              <w:left w:val="nil"/>
              <w:bottom w:val="nil"/>
              <w:right w:val="nil"/>
            </w:tcBorders>
          </w:tcPr>
          <w:p>
            <w:pPr>
              <w:pStyle w:val="AmColumnHeading"/>
            </w:pPr>
            <w:r>
              <w:t>Emendamento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16 bis.</w:t>
            </w:r>
            <w:r>
              <w:tab/>
            </w:r>
            <w:r>
              <w:rPr>
                <w:b/>
                <w:i/>
              </w:rPr>
              <w:t>sottolinea che la competitività dipende da un insieme coerente di condizioni favorevoli, tra cui una forza lavoro qualificata e sana, un'infrastruttura strategica efficiente, un settore finanziario solido in grado di fornire finanziamenti su misura per l'innovazione e istituzioni e mercati ben funzionanti che premino la performance e l'imprenditorialità;</w:t>
            </w:r>
            <w:r>
              <w:t xml:space="preserve"> </w:t>
            </w:r>
            <w:r>
              <w:rPr>
                <w:b/>
                <w:i/>
              </w:rPr>
              <w:t>invita la Commissione a sviluppare indicatori di performance specifici che riflettano tali fattori abilitanti strutturali e il loro contributo alla produttività e alla crescita;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Emendamento</w:t>
      </w:r>
      <w:r>
        <w:tab/>
      </w:r>
      <w:r>
        <w:tab/>
      </w:r>
      <w:r>
        <w:rPr>
          <w:rStyle w:val="HideTWBExt"/>
        </w:rPr>
        <w:t>&lt;NumAm&gt;</w:t>
      </w:r>
      <w:r>
        <w:t>96</w:t>
      </w:r>
      <w:r>
        <w:rPr>
          <w:rStyle w:val="HideTWBExt"/>
        </w:rPr>
        <w:t>&lt;/NumAm&gt;</w:t>
      </w:r>
    </w:p>
    <w:p>
      <w:pPr>
        <w:pStyle w:val="NormalBold"/>
      </w:pPr>
      <w:r>
        <w:rPr>
          <w:rStyle w:val="HideTWBExt"/>
          <w:b w:val="0"/>
        </w:rPr>
        <w:t>&lt;RepeatBlock-By&gt;</w:t>
      </w:r>
      <w:r>
        <w:rPr>
          <w:rStyle w:val="HideTWBExt"/>
          <w:b w:val="0"/>
        </w:rPr>
        <w:t>&lt;Members&gt;</w:t>
      </w:r>
      <w:r>
        <w:t>Cristian Terheş</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di risoluzione</w:t>
      </w:r>
      <w:r>
        <w:rPr>
          <w:rStyle w:val="HideTWBExt"/>
        </w:rPr>
        <w:t>&lt;/DocAmend&gt;</w:t>
      </w:r>
    </w:p>
    <w:p>
      <w:pPr>
        <w:pStyle w:val="NormalBold"/>
      </w:pPr>
      <w:r>
        <w:rPr>
          <w:rStyle w:val="HideTWBExt"/>
        </w:rPr>
        <w:t>&lt;Article&gt;</w:t>
      </w:r>
      <w:r>
        <w:t>Paragrafo 16 ter (nuovo)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Proposta di risoluzione</w:t>
            </w:r>
          </w:p>
        </w:tc>
        <w:tc>
          <w:tcPr>
            <w:tcW w:w="4876" w:type="dxa"/>
            <w:tcBorders>
              <w:top w:val="nil"/>
              <w:left w:val="nil"/>
              <w:bottom w:val="nil"/>
              <w:right w:val="nil"/>
            </w:tcBorders>
          </w:tcPr>
          <w:p>
            <w:pPr>
              <w:pStyle w:val="AmColumnHeading"/>
            </w:pPr>
            <w:r>
              <w:t>Emendamento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16 ter.</w:t>
            </w:r>
            <w:r>
              <w:tab/>
            </w:r>
            <w:r>
              <w:rPr>
                <w:b/>
                <w:i/>
              </w:rPr>
              <w:t>invita la Commissione a dare priorità agli investimenti nei principali corridoi di trasporto europei, comprese le vie navigabili interne come il Danubio, le reti ferroviarie e le infrastrutture stradali, al fine di migliorare la connettività est-ovest, ridurre i costi logistici, abbreviare i tempi di transito e facilitare l'accesso ai mercati globali;</w:t>
            </w:r>
            <w:r>
              <w:t xml:space="preserve"> </w:t>
            </w:r>
            <w:r>
              <w:rPr>
                <w:b/>
                <w:i/>
              </w:rPr>
              <w:t>sottolinea che corridoi multimodali moderni e pienamente funzionali sono essenziali per rafforzare la competitività industriale, la coesione economica e la resilienza commerciale dell'UE;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Emendamento</w:t>
      </w:r>
      <w:r>
        <w:tab/>
      </w:r>
      <w:r>
        <w:tab/>
      </w:r>
      <w:r>
        <w:rPr>
          <w:rStyle w:val="HideTWBExt"/>
        </w:rPr>
        <w:t>&lt;NumAm&gt;</w:t>
      </w:r>
      <w:r>
        <w:t>97</w:t>
      </w:r>
      <w:r>
        <w:rPr>
          <w:rStyle w:val="HideTWBExt"/>
        </w:rPr>
        <w:t>&lt;/NumAm&gt;</w:t>
      </w:r>
    </w:p>
    <w:p>
      <w:pPr>
        <w:pStyle w:val="NormalBold"/>
      </w:pPr>
      <w:r>
        <w:rPr>
          <w:rStyle w:val="HideTWBExt"/>
          <w:b w:val="0"/>
        </w:rPr>
        <w:t>&lt;RepeatBlock-By&gt;</w:t>
      </w:r>
      <w:r>
        <w:rPr>
          <w:rStyle w:val="HideTWBExt"/>
          <w:b w:val="0"/>
        </w:rPr>
        <w:t>&lt;Members&gt;</w:t>
      </w:r>
      <w:r>
        <w:t>Dick Erixon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di risoluzione</w:t>
      </w:r>
      <w:r>
        <w:rPr>
          <w:rStyle w:val="HideTWBExt"/>
        </w:rPr>
        <w:t>&lt;/DocAmend&gt;</w:t>
      </w:r>
    </w:p>
    <w:p>
      <w:pPr>
        <w:pStyle w:val="NormalBold"/>
      </w:pPr>
      <w:r>
        <w:rPr>
          <w:rStyle w:val="HideTWBExt"/>
        </w:rPr>
        <w:t>&lt;Article&gt;</w:t>
      </w:r>
      <w:r>
        <w:t>Paragrafo 17</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Proposta di risoluzione</w:t>
            </w:r>
          </w:p>
        </w:tc>
        <w:tc>
          <w:tcPr>
            <w:tcW w:w="4876" w:type="dxa"/>
            <w:tcBorders>
              <w:top w:val="nil"/>
              <w:left w:val="nil"/>
              <w:bottom w:val="nil"/>
              <w:right w:val="nil"/>
            </w:tcBorders>
          </w:tcPr>
          <w:p>
            <w:pPr>
              <w:pStyle w:val="AmColumnHeading"/>
            </w:pPr>
            <w:r>
              <w:t>Emendamento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17.</w:t>
            </w:r>
            <w:r>
              <w:tab/>
            </w:r>
            <w:r>
              <w:rPr>
                <w:b/>
                <w:i/>
              </w:rPr>
              <w:t>ritiene che l'UE dovrebbe investire</w:t>
            </w:r>
            <w:r>
              <w:t xml:space="preserve"> nei talenti in settori critici </w:t>
            </w:r>
            <w:r>
              <w:rPr>
                <w:b/>
                <w:i/>
              </w:rPr>
              <w:t>per aumentare la competitività a lungo termine dell'UE attraverso una forza</w:t>
            </w:r>
            <w:r>
              <w:t xml:space="preserve"> lavoro </w:t>
            </w:r>
            <w:r>
              <w:rPr>
                <w:b/>
                <w:i/>
              </w:rPr>
              <w:t>competente;</w:t>
            </w:r>
            <w:r>
              <w:t xml:space="preserve"> </w:t>
            </w:r>
            <w:r>
              <w:rPr>
                <w:b/>
                <w:i/>
              </w:rPr>
              <w:t>suggerisce che i progressi potrebbero essere misurati con indicatori di realizzazione quali il numero di giovani formati annualmente (prestando particolare attenzione all'equilibrio di genere), il tasso di partecipazione ai programmi di apprendimento per adulti e di apprendimento permanente e il tasso di soddisfazione delle imprese partner;</w:t>
            </w:r>
            <w:r>
              <w:t xml:space="preserve"> </w:t>
            </w:r>
            <w:r>
              <w:rPr>
                <w:b/>
                <w:i/>
              </w:rPr>
              <w:t>ritiene che si potrebbero utilizzare anche indicatori di risultato quali le variazioni del tasso di occupazione</w:t>
            </w:r>
            <w:r>
              <w:t xml:space="preserve"> in settori specifici;</w:t>
            </w:r>
          </w:p>
        </w:tc>
        <w:tc>
          <w:tcPr>
            <w:tcW w:w="4876" w:type="dxa"/>
            <w:tcBorders>
              <w:top w:val="nil"/>
              <w:left w:val="nil"/>
              <w:bottom w:val="nil"/>
              <w:right w:val="nil"/>
            </w:tcBorders>
          </w:tcPr>
          <w:p>
            <w:pPr>
              <w:pStyle w:val="Normal6a"/>
            </w:pPr>
            <w:r>
              <w:t>17.</w:t>
            </w:r>
            <w:r>
              <w:tab/>
            </w:r>
            <w:r>
              <w:rPr>
                <w:b/>
                <w:i/>
              </w:rPr>
              <w:t>sottolinea che l'investimento nel capitale umano, nelle competenze e nei talenti è di competenza degli Stati membri e che, se l'UE investe</w:t>
            </w:r>
            <w:r>
              <w:t xml:space="preserve"> nei talenti in settori critici</w:t>
            </w:r>
            <w:r>
              <w:rPr>
                <w:b/>
                <w:i/>
              </w:rPr>
              <w:t>, occorre valutare innanzitutto l'impatto sulla riduzione della disoccupazione, sulla riduzione della durata della disoccupazione, sulla crescita dei salari e sulla sostenibilità dei posti di</w:t>
            </w:r>
            <w:r>
              <w:t xml:space="preserve"> lavoro in settori specifici; </w:t>
            </w:r>
            <w:r>
              <w:rPr>
                <w:b/>
                <w:i/>
              </w:rPr>
              <w:t>ritiene che il numero di beneficiari possa fungere da indicatore secondario, dal momento che l'obiettivo dei programmi finanziati dai contribuenti è migliorare i risultati sociali e del mercato del lavoro, e non massimizzare il numero di beneficiari;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Emendamento</w:t>
      </w:r>
      <w:r>
        <w:tab/>
      </w:r>
      <w:r>
        <w:tab/>
      </w:r>
      <w:r>
        <w:rPr>
          <w:rStyle w:val="HideTWBExt"/>
        </w:rPr>
        <w:t>&lt;NumAm&gt;</w:t>
      </w:r>
      <w:r>
        <w:t>98</w:t>
      </w:r>
      <w:r>
        <w:rPr>
          <w:rStyle w:val="HideTWBExt"/>
        </w:rPr>
        <w:t>&lt;/NumAm&gt;</w:t>
      </w:r>
    </w:p>
    <w:p>
      <w:pPr>
        <w:pStyle w:val="NormalBold"/>
      </w:pPr>
      <w:r>
        <w:rPr>
          <w:rStyle w:val="HideTWBExt"/>
          <w:b w:val="0"/>
        </w:rPr>
        <w:t>&lt;RepeatBlock-By&gt;</w:t>
      </w:r>
      <w:r>
        <w:rPr>
          <w:rStyle w:val="HideTWBExt"/>
          <w:b w:val="0"/>
        </w:rPr>
        <w:t>&lt;Members&gt;</w:t>
      </w:r>
      <w:r>
        <w:t>Terry Reintke</w:t>
      </w:r>
      <w:r>
        <w:rPr>
          <w:rStyle w:val="HideTWBExt"/>
          <w:b w:val="0"/>
        </w:rPr>
        <w:t>&lt;/Members&gt;</w:t>
      </w:r>
    </w:p>
    <w:p>
      <w:r>
        <w:rPr>
          <w:rStyle w:val="HideTWBExt"/>
          <w:b w:val="0"/>
        </w:rPr>
        <w:t>&lt;AuNomDe&gt;</w:t>
      </w:r>
      <w:r>
        <w:rPr>
          <w:rStyle w:val="HideTWBInt"/>
        </w:rPr>
        <w:t>{Verts/ALE}</w:t>
      </w:r>
      <w:r>
        <w:t>a nome del gruppo Verts/ALE</w:t>
      </w:r>
      <w:r>
        <w:rPr>
          <w:rStyle w:val="HideTWBExt"/>
          <w:b w:val="0"/>
        </w:rPr>
        <w:t>&lt;/AuNomDe&gt;</w:t>
      </w:r>
    </w:p>
    <w:p>
      <w:pPr>
        <w:pStyle w:val="NormalBold"/>
      </w:pPr>
      <w:r>
        <w:rPr>
          <w:rStyle w:val="HideTWBExt"/>
          <w:b w:val="0"/>
        </w:rPr>
        <w:t>&lt;/RepeatBlock-By&gt;</w:t>
      </w:r>
    </w:p>
    <w:p>
      <w:pPr>
        <w:pStyle w:val="NormalBold"/>
      </w:pPr>
      <w:r>
        <w:rPr>
          <w:rStyle w:val="HideTWBExt"/>
        </w:rPr>
        <w:t>&lt;DocAmend&gt;</w:t>
      </w:r>
      <w:r>
        <w:t>Proposta di risoluzione</w:t>
      </w:r>
      <w:r>
        <w:rPr>
          <w:rStyle w:val="HideTWBExt"/>
        </w:rPr>
        <w:t>&lt;/DocAmend&gt;</w:t>
      </w:r>
    </w:p>
    <w:p>
      <w:pPr>
        <w:pStyle w:val="NormalBold"/>
      </w:pPr>
      <w:r>
        <w:rPr>
          <w:rStyle w:val="HideTWBExt"/>
        </w:rPr>
        <w:t>&lt;Article&gt;</w:t>
      </w:r>
      <w:r>
        <w:t>Paragrafo 17</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Proposta di risoluzione</w:t>
            </w:r>
          </w:p>
        </w:tc>
        <w:tc>
          <w:tcPr>
            <w:tcW w:w="4876" w:type="dxa"/>
            <w:tcBorders>
              <w:top w:val="nil"/>
              <w:left w:val="nil"/>
              <w:bottom w:val="nil"/>
              <w:right w:val="nil"/>
            </w:tcBorders>
          </w:tcPr>
          <w:p>
            <w:pPr>
              <w:pStyle w:val="AmColumnHeading"/>
            </w:pPr>
            <w:r>
              <w:t>Emendamento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17.</w:t>
            </w:r>
            <w:r>
              <w:tab/>
            </w:r>
            <w:r>
              <w:t xml:space="preserve">ritiene che l'UE dovrebbe investire nei talenti in settori critici per aumentare la competitività a lungo termine dell'UE attraverso una forza lavoro competente; suggerisce che i progressi potrebbero essere misurati con indicatori di realizzazione quali il numero di giovani formati annualmente (prestando particolare attenzione all'equilibrio di genere), il tasso di partecipazione ai programmi di apprendimento per adulti e di apprendimento permanente e il tasso di soddisfazione delle imprese partner; ritiene che si potrebbero utilizzare anche indicatori di risultato </w:t>
            </w:r>
            <w:r>
              <w:rPr>
                <w:b/>
                <w:i/>
              </w:rPr>
              <w:t>quali le variazioni del</w:t>
            </w:r>
            <w:r>
              <w:t xml:space="preserve"> tasso di occupazione in settori specifici;</w:t>
            </w:r>
          </w:p>
        </w:tc>
        <w:tc>
          <w:tcPr>
            <w:tcW w:w="4876" w:type="dxa"/>
            <w:tcBorders>
              <w:top w:val="nil"/>
              <w:left w:val="nil"/>
              <w:bottom w:val="nil"/>
              <w:right w:val="nil"/>
            </w:tcBorders>
          </w:tcPr>
          <w:p>
            <w:pPr>
              <w:pStyle w:val="Normal6a"/>
            </w:pPr>
            <w:r>
              <w:t>17.</w:t>
            </w:r>
            <w:r>
              <w:tab/>
            </w:r>
            <w:r>
              <w:t xml:space="preserve">ritiene che l'UE dovrebbe investire nei talenti in settori critici per aumentare la competitività a lungo termine dell'UE attraverso una forza lavoro competente; suggerisce che i progressi potrebbero essere misurati con indicatori di realizzazione quali il numero di giovani formati annualmente (prestando particolare attenzione all'equilibrio di genere </w:t>
            </w:r>
            <w:r>
              <w:rPr>
                <w:b/>
                <w:i/>
              </w:rPr>
              <w:t>e ai gruppi sottorappresentati</w:t>
            </w:r>
            <w:r>
              <w:t>), il tasso di partecipazione ai programmi di apprendimento per adulti e di apprendimento permanente e il tasso di soddisfazione delle imprese partner; ritiene che si potrebbero utilizzare anche indicatori di risultato</w:t>
            </w:r>
            <w:r>
              <w:rPr>
                <w:b/>
                <w:i/>
              </w:rPr>
              <w:t>, tra cui il</w:t>
            </w:r>
            <w:r>
              <w:t xml:space="preserve"> tasso di occupazione </w:t>
            </w:r>
            <w:r>
              <w:rPr>
                <w:b/>
                <w:i/>
              </w:rPr>
              <w:t>e la progressione dei salari e il mantenimento dei posti di lavoro</w:t>
            </w:r>
            <w:r>
              <w:t xml:space="preserve"> in settori </w:t>
            </w:r>
            <w:r>
              <w:rPr>
                <w:b/>
                <w:i/>
              </w:rPr>
              <w:t>verdi e digitali</w:t>
            </w:r>
            <w:r>
              <w:t xml:space="preserve"> specifici;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Emendamento</w:t>
      </w:r>
      <w:r>
        <w:tab/>
      </w:r>
      <w:r>
        <w:tab/>
      </w:r>
      <w:r>
        <w:rPr>
          <w:rStyle w:val="HideTWBExt"/>
        </w:rPr>
        <w:t>&lt;NumAm&gt;</w:t>
      </w:r>
      <w:r>
        <w:t>99</w:t>
      </w:r>
      <w:r>
        <w:rPr>
          <w:rStyle w:val="HideTWBExt"/>
        </w:rPr>
        <w:t>&lt;/NumAm&gt;</w:t>
      </w:r>
    </w:p>
    <w:p>
      <w:pPr>
        <w:pStyle w:val="NormalBold"/>
      </w:pPr>
      <w:r>
        <w:rPr>
          <w:rStyle w:val="HideTWBExt"/>
          <w:b w:val="0"/>
        </w:rPr>
        <w:t>&lt;RepeatBlock-By&gt;</w:t>
      </w:r>
      <w:r>
        <w:rPr>
          <w:rStyle w:val="HideTWBExt"/>
          <w:b w:val="0"/>
        </w:rPr>
        <w:t>&lt;Members&gt;</w:t>
      </w:r>
      <w:r>
        <w:t>Carla Tavares, José Cepeda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di risoluzione</w:t>
      </w:r>
      <w:r>
        <w:rPr>
          <w:rStyle w:val="HideTWBExt"/>
        </w:rPr>
        <w:t>&lt;/DocAmend&gt;</w:t>
      </w:r>
    </w:p>
    <w:p>
      <w:pPr>
        <w:pStyle w:val="NormalBold"/>
      </w:pPr>
      <w:r>
        <w:rPr>
          <w:rStyle w:val="HideTWBExt"/>
        </w:rPr>
        <w:t>&lt;Article&gt;</w:t>
      </w:r>
      <w:r>
        <w:t>Paragrafo 17</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Proposta di risoluzione</w:t>
            </w:r>
          </w:p>
        </w:tc>
        <w:tc>
          <w:tcPr>
            <w:tcW w:w="4876" w:type="dxa"/>
            <w:tcBorders>
              <w:top w:val="nil"/>
              <w:left w:val="nil"/>
              <w:bottom w:val="nil"/>
              <w:right w:val="nil"/>
            </w:tcBorders>
          </w:tcPr>
          <w:p>
            <w:pPr>
              <w:pStyle w:val="AmColumnHeading"/>
            </w:pPr>
            <w:r>
              <w:t>Emendamento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17.</w:t>
            </w:r>
            <w:r>
              <w:tab/>
            </w:r>
            <w:r>
              <w:t>ritiene che l'UE dovrebbe investire nei talenti in settori critici per aumentare la competitività a lungo termine dell'UE attraverso una forza lavoro competente; suggerisce che i progressi potrebbero essere misurati con indicatori di realizzazione quali il numero di giovani formati annualmente (prestando particolare attenzione all'equilibrio di genere), il tasso di partecipazione ai programmi di apprendimento per adulti e di apprendimento permanente e il tasso di soddisfazione delle imprese partner; ritiene che si potrebbero utilizzare anche indicatori di risultato quali le variazioni del tasso di occupazione in settori specifici;</w:t>
            </w:r>
          </w:p>
        </w:tc>
        <w:tc>
          <w:tcPr>
            <w:tcW w:w="4876" w:type="dxa"/>
            <w:tcBorders>
              <w:top w:val="nil"/>
              <w:left w:val="nil"/>
              <w:bottom w:val="nil"/>
              <w:right w:val="nil"/>
            </w:tcBorders>
          </w:tcPr>
          <w:p>
            <w:pPr>
              <w:pStyle w:val="Normal6a"/>
            </w:pPr>
            <w:r>
              <w:t>17.</w:t>
            </w:r>
            <w:r>
              <w:tab/>
            </w:r>
            <w:r>
              <w:t xml:space="preserve">ritiene che l'UE dovrebbe investire nei talenti in settori critici per aumentare la competitività a lungo termine dell'UE attraverso una forza lavoro competente; suggerisce che i progressi potrebbero essere misurati con indicatori di realizzazione quali il numero di giovani formati annualmente (prestando particolare attenzione all'equilibrio di genere </w:t>
            </w:r>
            <w:r>
              <w:rPr>
                <w:b/>
                <w:i/>
              </w:rPr>
              <w:t>e all'inclusione sociale</w:t>
            </w:r>
            <w:r>
              <w:t xml:space="preserve">), il tasso di partecipazione ai programmi di apprendimento per adulti e di apprendimento permanente e il tasso di soddisfazione delle imprese partner </w:t>
            </w:r>
            <w:r>
              <w:rPr>
                <w:b/>
                <w:i/>
              </w:rPr>
              <w:t>e delle parti sociali</w:t>
            </w:r>
            <w:r>
              <w:t xml:space="preserve">; ritiene che si potrebbero utilizzare anche indicatori di risultato quali le variazioni del tasso di occupazione </w:t>
            </w:r>
            <w:r>
              <w:rPr>
                <w:b/>
                <w:i/>
              </w:rPr>
              <w:t>e il tasso di transizione dalla formazione o dall'occupazione a tempo determinato all'occupazione a tempo indeterminato</w:t>
            </w:r>
            <w:r>
              <w:t xml:space="preserve"> in settori specifici;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Emendamento</w:t>
      </w:r>
      <w:r>
        <w:tab/>
      </w:r>
      <w:r>
        <w:tab/>
      </w:r>
      <w:r>
        <w:rPr>
          <w:rStyle w:val="HideTWBExt"/>
        </w:rPr>
        <w:t>&lt;NumAm&gt;</w:t>
      </w:r>
      <w:r>
        <w:t>100</w:t>
      </w:r>
      <w:r>
        <w:rPr>
          <w:rStyle w:val="HideTWBExt"/>
        </w:rPr>
        <w:t>&lt;/NumAm&gt;</w:t>
      </w:r>
    </w:p>
    <w:p>
      <w:pPr>
        <w:pStyle w:val="NormalBold"/>
      </w:pPr>
      <w:r>
        <w:rPr>
          <w:rStyle w:val="HideTWBExt"/>
          <w:b w:val="0"/>
        </w:rPr>
        <w:t>&lt;RepeatBlock-By&gt;</w:t>
      </w:r>
      <w:r>
        <w:rPr>
          <w:rStyle w:val="HideTWBExt"/>
          <w:b w:val="0"/>
        </w:rPr>
        <w:t>&lt;Members&gt;</w:t>
      </w:r>
      <w:r>
        <w:t>Kinga Kollár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di risoluzione</w:t>
      </w:r>
      <w:r>
        <w:rPr>
          <w:rStyle w:val="HideTWBExt"/>
        </w:rPr>
        <w:t>&lt;/DocAmend&gt;</w:t>
      </w:r>
    </w:p>
    <w:p>
      <w:pPr>
        <w:pStyle w:val="NormalBold"/>
      </w:pPr>
      <w:r>
        <w:rPr>
          <w:rStyle w:val="HideTWBExt"/>
        </w:rPr>
        <w:t>&lt;Article&gt;</w:t>
      </w:r>
      <w:r>
        <w:t>Paragrafo 17</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Proposta di risoluzione</w:t>
            </w:r>
          </w:p>
        </w:tc>
        <w:tc>
          <w:tcPr>
            <w:tcW w:w="4876" w:type="dxa"/>
            <w:tcBorders>
              <w:top w:val="nil"/>
              <w:left w:val="nil"/>
              <w:bottom w:val="nil"/>
              <w:right w:val="nil"/>
            </w:tcBorders>
          </w:tcPr>
          <w:p>
            <w:pPr>
              <w:pStyle w:val="AmColumnHeading"/>
            </w:pPr>
            <w:r>
              <w:t>Emendamento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17.</w:t>
            </w:r>
            <w:r>
              <w:tab/>
            </w:r>
            <w:r>
              <w:t xml:space="preserve">ritiene che l'UE dovrebbe investire nei talenti in settori critici per aumentare la competitività a lungo termine dell'UE attraverso una forza lavoro competente; suggerisce che i progressi potrebbero essere misurati con indicatori di realizzazione quali il numero di </w:t>
            </w:r>
            <w:r>
              <w:rPr>
                <w:b/>
                <w:i/>
              </w:rPr>
              <w:t>giovani formati</w:t>
            </w:r>
            <w:r>
              <w:t xml:space="preserve"> annualmente (prestando particolare attenzione all'equilibrio di genere), il tasso di partecipazione ai programmi di apprendimento per adulti e di apprendimento permanente e il tasso di soddisfazione delle imprese partner; ritiene che si potrebbero utilizzare anche indicatori di risultato quali le variazioni del tasso di occupazione in settori specifici;</w:t>
            </w:r>
          </w:p>
        </w:tc>
        <w:tc>
          <w:tcPr>
            <w:tcW w:w="4876" w:type="dxa"/>
            <w:tcBorders>
              <w:top w:val="nil"/>
              <w:left w:val="nil"/>
              <w:bottom w:val="nil"/>
              <w:right w:val="nil"/>
            </w:tcBorders>
          </w:tcPr>
          <w:p>
            <w:pPr>
              <w:pStyle w:val="Normal6a"/>
            </w:pPr>
            <w:r>
              <w:t>17.</w:t>
            </w:r>
            <w:r>
              <w:tab/>
            </w:r>
            <w:r>
              <w:t xml:space="preserve">ritiene che l'UE dovrebbe investire nei talenti in settori </w:t>
            </w:r>
            <w:r>
              <w:rPr>
                <w:b/>
                <w:i/>
              </w:rPr>
              <w:t>strategici e</w:t>
            </w:r>
            <w:r>
              <w:t xml:space="preserve"> critici per aumentare la competitività a lungo termine dell'UE attraverso una forza lavoro competente; suggerisce che i progressi potrebbero essere misurati con indicatori di realizzazione quali il numero di </w:t>
            </w:r>
            <w:r>
              <w:rPr>
                <w:b/>
                <w:i/>
              </w:rPr>
              <w:t>persone formate</w:t>
            </w:r>
            <w:r>
              <w:t xml:space="preserve"> annualmente (prestando particolare attenzione all'equilibrio di genere)</w:t>
            </w:r>
            <w:r>
              <w:rPr>
                <w:b/>
                <w:i/>
              </w:rPr>
              <w:t>, il numero di persone che hanno ottenuto un diploma in scienza, tecnologia, ingegneria o matematica (STEM) nell'ambito di corsi universitari o di istruzione e formazione professionale</w:t>
            </w:r>
            <w:r>
              <w:t>, il tasso di partecipazione ai programmi di apprendimento per adulti e di apprendimento permanente e il tasso di soddisfazione delle imprese partner; ritiene che si potrebbero utilizzare anche indicatori di risultato quali le variazioni del tasso di occupazione in settori specifici;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Emendamento</w:t>
      </w:r>
      <w:r>
        <w:tab/>
      </w:r>
      <w:r>
        <w:tab/>
      </w:r>
      <w:r>
        <w:rPr>
          <w:rStyle w:val="HideTWBExt"/>
        </w:rPr>
        <w:t>&lt;NumAm&gt;</w:t>
      </w:r>
      <w:r>
        <w:t>101</w:t>
      </w:r>
      <w:r>
        <w:rPr>
          <w:rStyle w:val="HideTWBExt"/>
        </w:rPr>
        <w:t>&lt;/NumAm&gt;</w:t>
      </w:r>
    </w:p>
    <w:p>
      <w:pPr>
        <w:pStyle w:val="NormalBold"/>
      </w:pPr>
      <w:r>
        <w:rPr>
          <w:rStyle w:val="HideTWBExt"/>
          <w:b w:val="0"/>
        </w:rPr>
        <w:t>&lt;RepeatBlock-By&gt;</w:t>
      </w:r>
      <w:r>
        <w:rPr>
          <w:rStyle w:val="HideTWBExt"/>
          <w:b w:val="0"/>
        </w:rPr>
        <w:t>&lt;Members&gt;</w:t>
      </w:r>
      <w:r>
        <w:t>Julien Sanchez</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di risoluzione</w:t>
      </w:r>
      <w:r>
        <w:rPr>
          <w:rStyle w:val="HideTWBExt"/>
        </w:rPr>
        <w:t>&lt;/DocAmend&gt;</w:t>
      </w:r>
    </w:p>
    <w:p>
      <w:pPr>
        <w:pStyle w:val="NormalBold"/>
      </w:pPr>
      <w:r>
        <w:rPr>
          <w:rStyle w:val="HideTWBExt"/>
        </w:rPr>
        <w:t>&lt;Article&gt;</w:t>
      </w:r>
      <w:r>
        <w:t>Paragrafo 17</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Proposta di risoluzione</w:t>
            </w:r>
          </w:p>
        </w:tc>
        <w:tc>
          <w:tcPr>
            <w:tcW w:w="4876" w:type="dxa"/>
            <w:tcBorders>
              <w:top w:val="nil"/>
              <w:left w:val="nil"/>
              <w:bottom w:val="nil"/>
              <w:right w:val="nil"/>
            </w:tcBorders>
          </w:tcPr>
          <w:p>
            <w:pPr>
              <w:pStyle w:val="AmColumnHeading"/>
            </w:pPr>
            <w:r>
              <w:t>Emendamento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17.</w:t>
            </w:r>
            <w:r>
              <w:tab/>
            </w:r>
            <w:r>
              <w:t xml:space="preserve">ritiene che l'UE dovrebbe investire nei talenti in settori critici per aumentare la competitività a lungo termine dell'UE attraverso una forza lavoro competente; suggerisce che i progressi potrebbero essere misurati con indicatori di realizzazione quali il numero di giovani formati annualmente </w:t>
            </w:r>
            <w:r>
              <w:rPr>
                <w:b/>
                <w:i/>
              </w:rPr>
              <w:t>(prestando particolare attenzione all'equilibrio di genere</w:t>
            </w:r>
            <w:r>
              <w:t>), il tasso di partecipazione ai programmi di apprendimento per adulti e di apprendimento permanente e il tasso di soddisfazione delle imprese partner; ritiene che si potrebbero utilizzare anche indicatori di risultato quali le variazioni del tasso di occupazione in settori specifici;</w:t>
            </w:r>
          </w:p>
        </w:tc>
        <w:tc>
          <w:tcPr>
            <w:tcW w:w="4876" w:type="dxa"/>
            <w:tcBorders>
              <w:top w:val="nil"/>
              <w:left w:val="nil"/>
              <w:bottom w:val="nil"/>
              <w:right w:val="nil"/>
            </w:tcBorders>
          </w:tcPr>
          <w:p>
            <w:pPr>
              <w:pStyle w:val="Normal6a"/>
            </w:pPr>
            <w:r>
              <w:t>17.</w:t>
            </w:r>
            <w:r>
              <w:tab/>
            </w:r>
            <w:r>
              <w:t xml:space="preserve">ritiene che l'UE dovrebbe investire nei talenti in settori critici per aumentare la competitività a lungo termine dell'UE attraverso una forza lavoro competente; suggerisce che i progressi potrebbero essere misurati con indicatori di realizzazione quali il numero di giovani formati annualmente </w:t>
            </w:r>
            <w:r>
              <w:rPr>
                <w:b/>
                <w:i/>
              </w:rPr>
              <w:t>che trovano un impiego nel loro ambito di specializzazione al termine degli studi</w:t>
            </w:r>
            <w:r>
              <w:t>), il tasso di partecipazione ai programmi di apprendimento per adulti e di apprendimento permanente e il tasso di soddisfazione delle imprese partner; ritiene che si potrebbero utilizzare anche indicatori di risultato quali le variazioni del tasso di occupazione in settori specifici;</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&lt;/Amend&gt;</w:t>
      </w:r>
    </w:p>
    <w:p>
      <w:pPr>
        <w:pStyle w:val="AmNumberTabs"/>
      </w:pPr>
      <w:r>
        <w:rPr>
          <w:rStyle w:val="HideTWBExt"/>
        </w:rPr>
        <w:t>&lt;Amend&gt;</w:t>
      </w:r>
      <w:r>
        <w:t>Emendamento</w:t>
      </w:r>
      <w:r>
        <w:tab/>
      </w:r>
      <w:r>
        <w:tab/>
      </w:r>
      <w:r>
        <w:rPr>
          <w:rStyle w:val="HideTWBExt"/>
        </w:rPr>
        <w:t>&lt;NumAm&gt;</w:t>
      </w:r>
      <w:r>
        <w:t>102</w:t>
      </w:r>
      <w:r>
        <w:rPr>
          <w:rStyle w:val="HideTWBExt"/>
        </w:rPr>
        <w:t>&lt;/NumAm&gt;</w:t>
      </w:r>
    </w:p>
    <w:p>
      <w:pPr>
        <w:pStyle w:val="NormalBold"/>
      </w:pPr>
      <w:r>
        <w:rPr>
          <w:rStyle w:val="HideTWBExt"/>
          <w:b w:val="0"/>
        </w:rPr>
        <w:t>&lt;RepeatBlock-By&gt;</w:t>
      </w:r>
      <w:r>
        <w:rPr>
          <w:rStyle w:val="HideTWBExt"/>
          <w:b w:val="0"/>
        </w:rPr>
        <w:t>&lt;Members&gt;</w:t>
      </w:r>
      <w:r>
        <w:t>Cristian Terheş</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di risoluzione</w:t>
      </w:r>
      <w:r>
        <w:rPr>
          <w:rStyle w:val="HideTWBExt"/>
        </w:rPr>
        <w:t>&lt;/DocAmend&gt;</w:t>
      </w:r>
    </w:p>
    <w:p>
      <w:pPr>
        <w:pStyle w:val="NormalBold"/>
      </w:pPr>
      <w:r>
        <w:rPr>
          <w:rStyle w:val="HideTWBExt"/>
        </w:rPr>
        <w:t>&lt;Article&gt;</w:t>
      </w:r>
      <w:r>
        <w:t>Paragrafo 17</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Proposta di risoluzione</w:t>
            </w:r>
          </w:p>
        </w:tc>
        <w:tc>
          <w:tcPr>
            <w:tcW w:w="4876" w:type="dxa"/>
            <w:tcBorders>
              <w:top w:val="nil"/>
              <w:left w:val="nil"/>
              <w:bottom w:val="nil"/>
              <w:right w:val="nil"/>
            </w:tcBorders>
          </w:tcPr>
          <w:p>
            <w:pPr>
              <w:pStyle w:val="AmColumnHeading"/>
            </w:pPr>
            <w:r>
              <w:t>Emendamento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17.</w:t>
            </w:r>
            <w:r>
              <w:tab/>
            </w:r>
            <w:r>
              <w:t xml:space="preserve">ritiene che l'UE dovrebbe investire nei talenti in settori critici per aumentare la competitività a lungo termine dell'UE attraverso una forza lavoro competente; suggerisce che i progressi potrebbero essere misurati con indicatori di realizzazione quali il numero di giovani formati annualmente </w:t>
            </w:r>
            <w:r>
              <w:rPr>
                <w:b/>
                <w:i/>
              </w:rPr>
              <w:t>(prestando particolare attenzione all'equilibrio di genere)</w:t>
            </w:r>
            <w:r>
              <w:t>, il tasso di partecipazione ai programmi di apprendimento per adulti e di apprendimento permanente e il tasso di soddisfazione delle imprese partner; ritiene che si potrebbero utilizzare anche indicatori di risultato quali le variazioni del tasso di occupazione in settori specifici;</w:t>
            </w:r>
          </w:p>
        </w:tc>
        <w:tc>
          <w:tcPr>
            <w:tcW w:w="4876" w:type="dxa"/>
            <w:tcBorders>
              <w:top w:val="nil"/>
              <w:left w:val="nil"/>
              <w:bottom w:val="nil"/>
              <w:right w:val="nil"/>
            </w:tcBorders>
          </w:tcPr>
          <w:p>
            <w:pPr>
              <w:pStyle w:val="Normal6a"/>
            </w:pPr>
            <w:r>
              <w:t>17.</w:t>
            </w:r>
            <w:r>
              <w:tab/>
            </w:r>
            <w:r>
              <w:t>ritiene che l'UE dovrebbe investire nei talenti in settori critici per aumentare la competitività a lungo termine dell'UE attraverso una forza lavoro competente; suggerisce che i progressi potrebbero essere misurati con indicatori di realizzazione quali il numero di giovani formati annualmente, il tasso di partecipazione ai programmi di apprendimento per adulti e di apprendimento permanente e il tasso di soddisfazione delle imprese partner; ritiene che si potrebbero utilizzare anche indicatori di risultato quali le variazioni del tasso di occupazione in settori specifici;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Emendamento</w:t>
      </w:r>
      <w:r>
        <w:tab/>
      </w:r>
      <w:r>
        <w:tab/>
      </w:r>
      <w:r>
        <w:rPr>
          <w:rStyle w:val="HideTWBExt"/>
        </w:rPr>
        <w:t>&lt;NumAm&gt;</w:t>
      </w:r>
      <w:r>
        <w:t>103</w:t>
      </w:r>
      <w:r>
        <w:rPr>
          <w:rStyle w:val="HideTWBExt"/>
        </w:rPr>
        <w:t>&lt;/NumAm&gt;</w:t>
      </w:r>
    </w:p>
    <w:p>
      <w:pPr>
        <w:pStyle w:val="NormalBold"/>
      </w:pPr>
      <w:r>
        <w:rPr>
          <w:rStyle w:val="HideTWBExt"/>
          <w:b w:val="0"/>
        </w:rPr>
        <w:t>&lt;RepeatBlock-By&gt;</w:t>
      </w:r>
      <w:r>
        <w:rPr>
          <w:rStyle w:val="HideTWBExt"/>
          <w:b w:val="0"/>
        </w:rPr>
        <w:t>&lt;Members&gt;</w:t>
      </w:r>
      <w:r>
        <w:t>Şerban Dimitrie Sturdza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di risoluzione</w:t>
      </w:r>
      <w:r>
        <w:rPr>
          <w:rStyle w:val="HideTWBExt"/>
        </w:rPr>
        <w:t>&lt;/DocAmend&gt;</w:t>
      </w:r>
    </w:p>
    <w:p>
      <w:pPr>
        <w:pStyle w:val="NormalBold"/>
      </w:pPr>
      <w:r>
        <w:rPr>
          <w:rStyle w:val="HideTWBExt"/>
        </w:rPr>
        <w:t>&lt;Article&gt;</w:t>
      </w:r>
      <w:r>
        <w:t>Paragrafo 17 bis (nuovo)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Proposta di risoluzione</w:t>
            </w:r>
          </w:p>
        </w:tc>
        <w:tc>
          <w:tcPr>
            <w:tcW w:w="4876" w:type="dxa"/>
            <w:tcBorders>
              <w:top w:val="nil"/>
              <w:left w:val="nil"/>
              <w:bottom w:val="nil"/>
              <w:right w:val="nil"/>
            </w:tcBorders>
          </w:tcPr>
          <w:p>
            <w:pPr>
              <w:pStyle w:val="AmColumnHeading"/>
            </w:pPr>
            <w:r>
              <w:t>Emendamento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17 bis.</w:t>
            </w:r>
            <w:r>
              <w:tab/>
            </w:r>
            <w:r>
              <w:rPr>
                <w:b/>
                <w:i/>
              </w:rPr>
              <w:t>sottolinea che il successo dei progetti europei in materia di competitività dipende dalla mobilitazione di capitali privati;</w:t>
            </w:r>
            <w:r>
              <w:t xml:space="preserve"> </w:t>
            </w:r>
            <w:r>
              <w:rPr>
                <w:b/>
                <w:i/>
              </w:rPr>
              <w:t>invita la Commissione a introdurre indicatori specifici per misurare l'effetto leva dei fondi dell'UE sulla mobilitazione degli investimenti privati, il rapporto tra finanziamenti pubblici e finanziamenti privati e la redditività degli investimenti realizzati;</w:t>
            </w:r>
            <w:r>
              <w:t xml:space="preserve"> </w:t>
            </w:r>
            <w:r>
              <w:rPr>
                <w:b/>
                <w:i/>
              </w:rPr>
              <w:t>sottolinea che il successo dei programmi dell'UE dovrebbe essere valutato in base alla loro capacità di attrarre e sostenere la crescita del settore privato;</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Emendamento</w:t>
      </w:r>
      <w:r>
        <w:tab/>
      </w:r>
      <w:r>
        <w:tab/>
      </w:r>
      <w:r>
        <w:rPr>
          <w:rStyle w:val="HideTWBExt"/>
        </w:rPr>
        <w:t>&lt;NumAm&gt;</w:t>
      </w:r>
      <w:r>
        <w:t>104</w:t>
      </w:r>
      <w:r>
        <w:rPr>
          <w:rStyle w:val="HideTWBExt"/>
        </w:rPr>
        <w:t>&lt;/NumAm&gt;</w:t>
      </w:r>
    </w:p>
    <w:p>
      <w:pPr>
        <w:pStyle w:val="NormalBold"/>
      </w:pPr>
      <w:r>
        <w:rPr>
          <w:rStyle w:val="HideTWBExt"/>
          <w:b w:val="0"/>
        </w:rPr>
        <w:t>&lt;RepeatBlock-By&gt;</w:t>
      </w:r>
      <w:r>
        <w:rPr>
          <w:rStyle w:val="HideTWBExt"/>
          <w:b w:val="0"/>
        </w:rPr>
        <w:t>&lt;Members&gt;</w:t>
      </w:r>
      <w:r>
        <w:t>Dick Erixon, Şerban Dimitrie Sturdza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di risoluzione</w:t>
      </w:r>
      <w:r>
        <w:rPr>
          <w:rStyle w:val="HideTWBExt"/>
        </w:rPr>
        <w:t>&lt;/DocAmend&gt;</w:t>
      </w:r>
    </w:p>
    <w:p>
      <w:pPr>
        <w:pStyle w:val="NormalBold"/>
      </w:pPr>
      <w:r>
        <w:rPr>
          <w:rStyle w:val="HideTWBExt"/>
        </w:rPr>
        <w:t>&lt;Article&gt;</w:t>
      </w:r>
      <w:r>
        <w:t>Paragrafo 18</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Proposta di risoluzione</w:t>
            </w:r>
          </w:p>
        </w:tc>
        <w:tc>
          <w:tcPr>
            <w:tcW w:w="4876" w:type="dxa"/>
            <w:tcBorders>
              <w:top w:val="nil"/>
              <w:left w:val="nil"/>
              <w:bottom w:val="nil"/>
              <w:right w:val="nil"/>
            </w:tcBorders>
          </w:tcPr>
          <w:p>
            <w:pPr>
              <w:pStyle w:val="AmColumnHeading"/>
            </w:pPr>
            <w:r>
              <w:t>Emendamento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18.</w:t>
            </w:r>
            <w:r>
              <w:tab/>
            </w:r>
            <w:r>
              <w:t xml:space="preserve">ritiene che, al fine di accelerare </w:t>
            </w:r>
            <w:r>
              <w:rPr>
                <w:b/>
                <w:i/>
              </w:rPr>
              <w:t>i progetti industriali verdi e digitali</w:t>
            </w:r>
            <w:r>
              <w:t xml:space="preserve">, si dovrebbe prestare particolare attenzione alle piccole e medie imprese innovative, perseguendo nel contempo </w:t>
            </w:r>
            <w:r>
              <w:rPr>
                <w:b/>
                <w:i/>
              </w:rPr>
              <w:t>anche</w:t>
            </w:r>
            <w:r>
              <w:t xml:space="preserve"> la semplificazione; suggerisce che i progressi potrebbero essere misurati con indicatori quali il numero di progetti approvati annualmente, il tasso di ricorsi o controversie legati alle procedure e il tempo necessario per accedere ai finanziamenti dell'UE, dalla domanda all'erogazione;</w:t>
            </w:r>
          </w:p>
        </w:tc>
        <w:tc>
          <w:tcPr>
            <w:tcW w:w="4876" w:type="dxa"/>
            <w:tcBorders>
              <w:top w:val="nil"/>
              <w:left w:val="nil"/>
              <w:bottom w:val="nil"/>
              <w:right w:val="nil"/>
            </w:tcBorders>
          </w:tcPr>
          <w:p>
            <w:pPr>
              <w:pStyle w:val="Normal6a"/>
            </w:pPr>
            <w:r>
              <w:t>18.</w:t>
            </w:r>
            <w:r>
              <w:tab/>
            </w:r>
            <w:r>
              <w:t xml:space="preserve">ritiene che, al fine di accelerare </w:t>
            </w:r>
            <w:r>
              <w:rPr>
                <w:b/>
                <w:i/>
              </w:rPr>
              <w:t>la competitività e la crescita economica</w:t>
            </w:r>
            <w:r>
              <w:t xml:space="preserve">, si dovrebbe prestare particolare attenzione alle piccole e medie imprese innovative, </w:t>
            </w:r>
            <w:r>
              <w:rPr>
                <w:b/>
                <w:i/>
              </w:rPr>
              <w:t>anche riducendo la burocrazia che ostacola l'accesso ai finanziamenti e</w:t>
            </w:r>
            <w:r>
              <w:t xml:space="preserve"> perseguendo nel contempo la semplificazione</w:t>
            </w:r>
            <w:r>
              <w:rPr>
                <w:b/>
                <w:i/>
              </w:rPr>
              <w:t>;</w:t>
            </w:r>
            <w:r>
              <w:t xml:space="preserve"> </w:t>
            </w:r>
            <w:r>
              <w:rPr>
                <w:b/>
                <w:i/>
              </w:rPr>
              <w:t>chiede una valutazione e una razionalizzazione approfondite degli obblighi di rendicontazione sulla performance al fine di garantire solo oneri amministrativi adeguati</w:t>
            </w:r>
            <w:r>
              <w:t xml:space="preserve">; suggerisce che i progressi potrebbero essere misurati con indicatori quali il numero di progetti approvati annualmente, il tasso di ricorsi o controversie legati alle procedure e il tempo necessario per accedere ai finanziamenti dell'UE, dalla domanda all'erogazione; </w:t>
            </w:r>
            <w:r>
              <w:rPr>
                <w:b/>
                <w:i/>
              </w:rPr>
              <w:t>chiede una revisione intermedia ed ex post strutturata per interrompere o riprogettare gli interventi poco efficienti individuati dalla Corte dei conti europea, riassegnando i fondi a misure più efficaci o restituendoli ai cittadini, se del caso;</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Emendamento</w:t>
      </w:r>
      <w:r>
        <w:tab/>
      </w:r>
      <w:r>
        <w:tab/>
      </w:r>
      <w:r>
        <w:rPr>
          <w:rStyle w:val="HideTWBExt"/>
        </w:rPr>
        <w:t>&lt;NumAm&gt;</w:t>
      </w:r>
      <w:r>
        <w:t>105</w:t>
      </w:r>
      <w:r>
        <w:rPr>
          <w:rStyle w:val="HideTWBExt"/>
        </w:rPr>
        <w:t>&lt;/NumAm&gt;</w:t>
      </w:r>
    </w:p>
    <w:p>
      <w:pPr>
        <w:pStyle w:val="NormalBold"/>
      </w:pPr>
      <w:r>
        <w:rPr>
          <w:rStyle w:val="HideTWBExt"/>
          <w:b w:val="0"/>
        </w:rPr>
        <w:t>&lt;RepeatBlock-By&gt;</w:t>
      </w:r>
      <w:r>
        <w:rPr>
          <w:rStyle w:val="HideTWBExt"/>
          <w:b w:val="0"/>
        </w:rPr>
        <w:t>&lt;Members&gt;</w:t>
      </w:r>
      <w:r>
        <w:t>Cristian Terheş</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di risoluzione</w:t>
      </w:r>
      <w:r>
        <w:rPr>
          <w:rStyle w:val="HideTWBExt"/>
        </w:rPr>
        <w:t>&lt;/DocAmend&gt;</w:t>
      </w:r>
    </w:p>
    <w:p>
      <w:pPr>
        <w:pStyle w:val="NormalBold"/>
      </w:pPr>
      <w:r>
        <w:rPr>
          <w:rStyle w:val="HideTWBExt"/>
        </w:rPr>
        <w:t>&lt;Article&gt;</w:t>
      </w:r>
      <w:r>
        <w:t>Paragrafo 18</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Proposta di risoluzione</w:t>
            </w:r>
          </w:p>
        </w:tc>
        <w:tc>
          <w:tcPr>
            <w:tcW w:w="4876" w:type="dxa"/>
            <w:tcBorders>
              <w:top w:val="nil"/>
              <w:left w:val="nil"/>
              <w:bottom w:val="nil"/>
              <w:right w:val="nil"/>
            </w:tcBorders>
          </w:tcPr>
          <w:p>
            <w:pPr>
              <w:pStyle w:val="AmColumnHeading"/>
            </w:pPr>
            <w:r>
              <w:t>Emendamento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18.</w:t>
            </w:r>
            <w:r>
              <w:tab/>
            </w:r>
            <w:r>
              <w:t xml:space="preserve">ritiene che, al fine di accelerare i progetti industriali </w:t>
            </w:r>
            <w:r>
              <w:rPr>
                <w:b/>
                <w:i/>
              </w:rPr>
              <w:t>verdi e digitali</w:t>
            </w:r>
            <w:r>
              <w:t xml:space="preserve">, si dovrebbe prestare particolare attenzione alle piccole e medie imprese innovative, </w:t>
            </w:r>
            <w:r>
              <w:rPr>
                <w:b/>
                <w:i/>
              </w:rPr>
              <w:t>perseguendo</w:t>
            </w:r>
            <w:r>
              <w:t xml:space="preserve"> nel contempo </w:t>
            </w:r>
            <w:r>
              <w:rPr>
                <w:b/>
                <w:i/>
              </w:rPr>
              <w:t>anche</w:t>
            </w:r>
            <w:r>
              <w:t xml:space="preserve"> la semplificazione; suggerisce che i progressi potrebbero essere misurati </w:t>
            </w:r>
            <w:r>
              <w:rPr>
                <w:b/>
                <w:i/>
              </w:rPr>
              <w:t>con</w:t>
            </w:r>
            <w:r>
              <w:t xml:space="preserve"> indicatori quali il numero di progetti approvati annualmente, il tasso di ricorsi o controversie legati alle procedure e il tempo necessario per accedere ai finanziamenti dell'UE, dalla domanda all'erogazione;</w:t>
            </w:r>
          </w:p>
        </w:tc>
        <w:tc>
          <w:tcPr>
            <w:tcW w:w="4876" w:type="dxa"/>
            <w:tcBorders>
              <w:top w:val="nil"/>
              <w:left w:val="nil"/>
              <w:bottom w:val="nil"/>
              <w:right w:val="nil"/>
            </w:tcBorders>
          </w:tcPr>
          <w:p>
            <w:pPr>
              <w:pStyle w:val="Normal6a"/>
            </w:pPr>
            <w:r>
              <w:t>18.</w:t>
            </w:r>
            <w:r>
              <w:tab/>
            </w:r>
            <w:r>
              <w:t xml:space="preserve">ritiene che, al fine di accelerare i progetti industriali </w:t>
            </w:r>
            <w:r>
              <w:rPr>
                <w:b/>
                <w:i/>
              </w:rPr>
              <w:t>che rafforzano la competitività e la resilienza dell'industria europea</w:t>
            </w:r>
            <w:r>
              <w:t xml:space="preserve">, si dovrebbe prestare particolare attenzione alle piccole e medie imprese innovative, </w:t>
            </w:r>
            <w:r>
              <w:rPr>
                <w:b/>
                <w:i/>
              </w:rPr>
              <w:t>garantendo</w:t>
            </w:r>
            <w:r>
              <w:t xml:space="preserve"> nel contempo la semplificazione </w:t>
            </w:r>
            <w:r>
              <w:rPr>
                <w:b/>
                <w:i/>
              </w:rPr>
              <w:t>delle procedure amministrative</w:t>
            </w:r>
            <w:r>
              <w:t xml:space="preserve">; suggerisce che i progressi </w:t>
            </w:r>
            <w:r>
              <w:rPr>
                <w:b/>
                <w:i/>
              </w:rPr>
              <w:t>a tale riguardo</w:t>
            </w:r>
            <w:r>
              <w:t xml:space="preserve"> potrebbero essere misurati </w:t>
            </w:r>
            <w:r>
              <w:rPr>
                <w:b/>
                <w:i/>
              </w:rPr>
              <w:t>attraverso</w:t>
            </w:r>
            <w:r>
              <w:t xml:space="preserve"> indicatori quali il numero di progetti approvati annualmente, il tasso di ricorsi o controversie legati alle procedure e il tempo necessario per accedere ai finanziamenti dell'UE, dalla domanda all'erogazione;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Emendamento</w:t>
      </w:r>
      <w:r>
        <w:tab/>
      </w:r>
      <w:r>
        <w:tab/>
      </w:r>
      <w:r>
        <w:rPr>
          <w:rStyle w:val="HideTWBExt"/>
        </w:rPr>
        <w:t>&lt;NumAm&gt;</w:t>
      </w:r>
      <w:r>
        <w:t>106</w:t>
      </w:r>
      <w:r>
        <w:rPr>
          <w:rStyle w:val="HideTWBExt"/>
        </w:rPr>
        <w:t>&lt;/NumAm&gt;</w:t>
      </w:r>
    </w:p>
    <w:p>
      <w:pPr>
        <w:pStyle w:val="NormalBold"/>
      </w:pPr>
      <w:r>
        <w:rPr>
          <w:rStyle w:val="HideTWBExt"/>
          <w:b w:val="0"/>
        </w:rPr>
        <w:t>&lt;RepeatBlock-By&gt;</w:t>
      </w:r>
      <w:r>
        <w:rPr>
          <w:rStyle w:val="HideTWBExt"/>
          <w:b w:val="0"/>
        </w:rPr>
        <w:t>&lt;Members&gt;</w:t>
      </w:r>
      <w:r>
        <w:t>Carla Tavares, José Cepeda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di risoluzione</w:t>
      </w:r>
      <w:r>
        <w:rPr>
          <w:rStyle w:val="HideTWBExt"/>
        </w:rPr>
        <w:t>&lt;/DocAmend&gt;</w:t>
      </w:r>
    </w:p>
    <w:p>
      <w:pPr>
        <w:pStyle w:val="NormalBold"/>
      </w:pPr>
      <w:r>
        <w:rPr>
          <w:rStyle w:val="HideTWBExt"/>
        </w:rPr>
        <w:t>&lt;Article&gt;</w:t>
      </w:r>
      <w:r>
        <w:t>Paragrafo 18</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Proposta di risoluzione</w:t>
            </w:r>
          </w:p>
        </w:tc>
        <w:tc>
          <w:tcPr>
            <w:tcW w:w="4876" w:type="dxa"/>
            <w:tcBorders>
              <w:top w:val="nil"/>
              <w:left w:val="nil"/>
              <w:bottom w:val="nil"/>
              <w:right w:val="nil"/>
            </w:tcBorders>
          </w:tcPr>
          <w:p>
            <w:pPr>
              <w:pStyle w:val="AmColumnHeading"/>
            </w:pPr>
            <w:r>
              <w:t>Emendamento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18.</w:t>
            </w:r>
            <w:r>
              <w:tab/>
            </w:r>
            <w:r>
              <w:t>ritiene che, al fine di accelerare i progetti industriali verdi e digitali, si dovrebbe prestare particolare attenzione alle piccole e medie imprese innovative, perseguendo nel contempo anche la semplificazione; suggerisce che i progressi potrebbero essere misurati con indicatori quali il numero di progetti approvati annualmente, il tasso di ricorsi o controversie legati alle procedure e il tempo necessario per accedere ai finanziamenti dell'UE, dalla domanda all'erogazione;</w:t>
            </w:r>
          </w:p>
        </w:tc>
        <w:tc>
          <w:tcPr>
            <w:tcW w:w="4876" w:type="dxa"/>
            <w:tcBorders>
              <w:top w:val="nil"/>
              <w:left w:val="nil"/>
              <w:bottom w:val="nil"/>
              <w:right w:val="nil"/>
            </w:tcBorders>
          </w:tcPr>
          <w:p>
            <w:pPr>
              <w:pStyle w:val="Normal6a"/>
            </w:pPr>
            <w:r>
              <w:t>18.</w:t>
            </w:r>
            <w:r>
              <w:tab/>
            </w:r>
            <w:r>
              <w:t>ritiene che, al fine di accelerare i progetti industriali verdi e digitali, si dovrebbe prestare particolare attenzione alle piccole e medie imprese innovative, perseguendo nel contempo anche la semplificazione</w:t>
            </w:r>
            <w:r>
              <w:rPr>
                <w:b/>
                <w:i/>
              </w:rPr>
              <w:t>, vale a dire procedure e rendicontazione più semplici;</w:t>
            </w:r>
            <w:r>
              <w:t xml:space="preserve"> </w:t>
            </w:r>
            <w:r>
              <w:rPr>
                <w:b/>
                <w:i/>
              </w:rPr>
              <w:t>sottolinea che la semplificazione non deve portare a una deregolamentazione che comprometta le norme ambientali, sociali o del lavoro e deve essere effettuata in modo da garantire la certezza normativa, nonché un esame, una consultazione e una valutazione d'impatto adeguati</w:t>
            </w:r>
            <w:r>
              <w:t>; suggerisce che i progressi potrebbero essere misurati con indicatori quali il numero di progetti approvati annualmente, il tasso di ricorsi o controversie legati alle procedure e il tempo necessario per accedere ai finanziamenti dell'UE, dalla domanda all'erogazione;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Emendamento</w:t>
      </w:r>
      <w:r>
        <w:tab/>
      </w:r>
      <w:r>
        <w:tab/>
      </w:r>
      <w:r>
        <w:rPr>
          <w:rStyle w:val="HideTWBExt"/>
        </w:rPr>
        <w:t>&lt;NumAm&gt;</w:t>
      </w:r>
      <w:r>
        <w:t>107</w:t>
      </w:r>
      <w:r>
        <w:rPr>
          <w:rStyle w:val="HideTWBExt"/>
        </w:rPr>
        <w:t>&lt;/NumAm&gt;</w:t>
      </w:r>
    </w:p>
    <w:p>
      <w:pPr>
        <w:pStyle w:val="NormalBold"/>
      </w:pPr>
      <w:r>
        <w:rPr>
          <w:rStyle w:val="HideTWBExt"/>
          <w:b w:val="0"/>
        </w:rPr>
        <w:t>&lt;RepeatBlock-By&gt;</w:t>
      </w:r>
      <w:r>
        <w:rPr>
          <w:rStyle w:val="HideTWBExt"/>
          <w:b w:val="0"/>
        </w:rPr>
        <w:t>&lt;Members&gt;</w:t>
      </w:r>
      <w:r>
        <w:t>Kinga Kollár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di risoluzione</w:t>
      </w:r>
      <w:r>
        <w:rPr>
          <w:rStyle w:val="HideTWBExt"/>
        </w:rPr>
        <w:t>&lt;/DocAmend&gt;</w:t>
      </w:r>
    </w:p>
    <w:p>
      <w:pPr>
        <w:pStyle w:val="NormalBold"/>
      </w:pPr>
      <w:r>
        <w:rPr>
          <w:rStyle w:val="HideTWBExt"/>
        </w:rPr>
        <w:t>&lt;Article&gt;</w:t>
      </w:r>
      <w:r>
        <w:t>Paragrafo 18</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Proposta di risoluzione</w:t>
            </w:r>
          </w:p>
        </w:tc>
        <w:tc>
          <w:tcPr>
            <w:tcW w:w="4876" w:type="dxa"/>
            <w:tcBorders>
              <w:top w:val="nil"/>
              <w:left w:val="nil"/>
              <w:bottom w:val="nil"/>
              <w:right w:val="nil"/>
            </w:tcBorders>
          </w:tcPr>
          <w:p>
            <w:pPr>
              <w:pStyle w:val="AmColumnHeading"/>
            </w:pPr>
            <w:r>
              <w:t>Emendamento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18.</w:t>
            </w:r>
            <w:r>
              <w:tab/>
            </w:r>
            <w:r>
              <w:t xml:space="preserve">ritiene che, al fine di accelerare </w:t>
            </w:r>
            <w:r>
              <w:rPr>
                <w:b/>
                <w:i/>
              </w:rPr>
              <w:t>i progetti industriali verdi e digitali</w:t>
            </w:r>
            <w:r>
              <w:t xml:space="preserve">, si dovrebbe prestare particolare attenzione alle piccole e medie imprese innovative, </w:t>
            </w:r>
            <w:r>
              <w:rPr>
                <w:b/>
                <w:i/>
              </w:rPr>
              <w:t>perseguendo nel contempo anche</w:t>
            </w:r>
            <w:r>
              <w:t xml:space="preserve"> la semplificazione; suggerisce che i progressi potrebbero essere misurati con indicatori quali il numero di progetti approvati annualmente</w:t>
            </w:r>
            <w:r>
              <w:rPr>
                <w:b/>
                <w:i/>
              </w:rPr>
              <w:t>, il</w:t>
            </w:r>
            <w:r>
              <w:t xml:space="preserve"> tasso di ricorsi o controversie legati alle procedure </w:t>
            </w:r>
            <w:r>
              <w:rPr>
                <w:b/>
                <w:i/>
              </w:rPr>
              <w:t>e il</w:t>
            </w:r>
            <w:r>
              <w:t xml:space="preserve"> tempo necessario per accedere ai finanziamenti dell'UE, dalla domanda all'erogazione;</w:t>
            </w:r>
          </w:p>
        </w:tc>
        <w:tc>
          <w:tcPr>
            <w:tcW w:w="4876" w:type="dxa"/>
            <w:tcBorders>
              <w:top w:val="nil"/>
              <w:left w:val="nil"/>
              <w:bottom w:val="nil"/>
              <w:right w:val="nil"/>
            </w:tcBorders>
          </w:tcPr>
          <w:p>
            <w:pPr>
              <w:pStyle w:val="Normal6a"/>
            </w:pPr>
            <w:r>
              <w:t>18.</w:t>
            </w:r>
            <w:r>
              <w:tab/>
            </w:r>
            <w:r>
              <w:t xml:space="preserve">ritiene che, al fine di accelerare </w:t>
            </w:r>
            <w:r>
              <w:rPr>
                <w:b/>
                <w:i/>
              </w:rPr>
              <w:t>le transizioni verde e digitale</w:t>
            </w:r>
            <w:r>
              <w:t xml:space="preserve">, si dovrebbe prestare particolare attenzione alle piccole e medie imprese innovative, </w:t>
            </w:r>
            <w:r>
              <w:rPr>
                <w:b/>
                <w:i/>
              </w:rPr>
              <w:t>per le quali</w:t>
            </w:r>
            <w:r>
              <w:t xml:space="preserve"> la semplificazione </w:t>
            </w:r>
            <w:r>
              <w:rPr>
                <w:b/>
                <w:i/>
              </w:rPr>
              <w:t>è essenziale</w:t>
            </w:r>
            <w:r>
              <w:t xml:space="preserve">; suggerisce che i progressi </w:t>
            </w:r>
            <w:r>
              <w:rPr>
                <w:b/>
                <w:i/>
              </w:rPr>
              <w:t>nella riduzione degli oneri amministrativi</w:t>
            </w:r>
            <w:r>
              <w:t xml:space="preserve"> potrebbero essere misurati con indicatori quali il numero di progetti approvati </w:t>
            </w:r>
            <w:r>
              <w:rPr>
                <w:b/>
                <w:i/>
              </w:rPr>
              <w:t>e conclusi</w:t>
            </w:r>
            <w:r>
              <w:t xml:space="preserve"> annualmente </w:t>
            </w:r>
            <w:r>
              <w:rPr>
                <w:b/>
                <w:i/>
              </w:rPr>
              <w:t>con le PMI, la riduzione del</w:t>
            </w:r>
            <w:r>
              <w:t xml:space="preserve"> tasso di ricorsi o controversie legati alle procedure </w:t>
            </w:r>
            <w:r>
              <w:rPr>
                <w:b/>
                <w:i/>
              </w:rPr>
              <w:t>di domanda e del</w:t>
            </w:r>
            <w:r>
              <w:t xml:space="preserve"> tempo necessario per accedere ai finanziamenti dell'UE, dalla domanda all'erogazione;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Emendamento</w:t>
      </w:r>
      <w:r>
        <w:tab/>
      </w:r>
      <w:r>
        <w:tab/>
      </w:r>
      <w:r>
        <w:rPr>
          <w:rStyle w:val="HideTWBExt"/>
        </w:rPr>
        <w:t>&lt;NumAm&gt;</w:t>
      </w:r>
      <w:r>
        <w:t>108</w:t>
      </w:r>
      <w:r>
        <w:rPr>
          <w:rStyle w:val="HideTWBExt"/>
        </w:rPr>
        <w:t>&lt;/NumAm&gt;</w:t>
      </w:r>
    </w:p>
    <w:p>
      <w:pPr>
        <w:pStyle w:val="NormalBold"/>
      </w:pPr>
      <w:r>
        <w:rPr>
          <w:rStyle w:val="HideTWBExt"/>
          <w:b w:val="0"/>
        </w:rPr>
        <w:t>&lt;RepeatBlock-By&gt;</w:t>
      </w:r>
      <w:r>
        <w:rPr>
          <w:rStyle w:val="HideTWBExt"/>
          <w:b w:val="0"/>
        </w:rPr>
        <w:t>&lt;Members&gt;</w:t>
      </w:r>
      <w:r>
        <w:t>Cristian Terheş</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di risoluzione</w:t>
      </w:r>
      <w:r>
        <w:rPr>
          <w:rStyle w:val="HideTWBExt"/>
        </w:rPr>
        <w:t>&lt;/DocAmend&gt;</w:t>
      </w:r>
    </w:p>
    <w:p>
      <w:pPr>
        <w:pStyle w:val="NormalBold"/>
      </w:pPr>
      <w:r>
        <w:rPr>
          <w:rStyle w:val="HideTWBExt"/>
        </w:rPr>
        <w:t>&lt;Article&gt;</w:t>
      </w:r>
      <w:r>
        <w:t>Paragrafo 18 bis (nuovo)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Proposta di risoluzione</w:t>
            </w:r>
          </w:p>
        </w:tc>
        <w:tc>
          <w:tcPr>
            <w:tcW w:w="4876" w:type="dxa"/>
            <w:tcBorders>
              <w:top w:val="nil"/>
              <w:left w:val="nil"/>
              <w:bottom w:val="nil"/>
              <w:right w:val="nil"/>
            </w:tcBorders>
          </w:tcPr>
          <w:p>
            <w:pPr>
              <w:pStyle w:val="AmColumnHeading"/>
            </w:pPr>
            <w:r>
              <w:t>Emendamento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18 bis.</w:t>
            </w:r>
            <w:r>
              <w:tab/>
            </w:r>
            <w:r>
              <w:rPr>
                <w:b/>
                <w:i/>
              </w:rPr>
              <w:t>invita la Commissione a rafforzare la diplomazia economica dell'UE e ad attuare pienamente la strategia Global Gateway per garantire corridoi di trasporto strategici, compreso il corridoio centrale che collega l'Europa all'Asia centrale e al Medio Oriente, migliorare la connettività con i mercati globali e garantire un accesso affidabile alle materie prime e alle risorse energetiche;</w:t>
            </w:r>
            <w:r>
              <w:t xml:space="preserve"> </w:t>
            </w:r>
            <w:r>
              <w:rPr>
                <w:b/>
                <w:i/>
              </w:rPr>
              <w:t>sottolinea che gli investimenti mirati e l'impegno diplomatico sono essenziali per aprire nuove rotte commerciali, ridurre la dipendenza da singoli fornitori e rafforzare la competitività industriale, la resilienza e l'influenza globale dell'Unione;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Emendamento</w:t>
      </w:r>
      <w:r>
        <w:tab/>
      </w:r>
      <w:r>
        <w:tab/>
      </w:r>
      <w:r>
        <w:rPr>
          <w:rStyle w:val="HideTWBExt"/>
        </w:rPr>
        <w:t>&lt;NumAm&gt;</w:t>
      </w:r>
      <w:r>
        <w:t>109</w:t>
      </w:r>
      <w:r>
        <w:rPr>
          <w:rStyle w:val="HideTWBExt"/>
        </w:rPr>
        <w:t>&lt;/NumAm&gt;</w:t>
      </w:r>
    </w:p>
    <w:p>
      <w:pPr>
        <w:pStyle w:val="NormalBold"/>
      </w:pPr>
      <w:r>
        <w:rPr>
          <w:rStyle w:val="HideTWBExt"/>
          <w:b w:val="0"/>
        </w:rPr>
        <w:t>&lt;RepeatBlock-By&gt;</w:t>
      </w:r>
      <w:r>
        <w:rPr>
          <w:rStyle w:val="HideTWBExt"/>
          <w:b w:val="0"/>
        </w:rPr>
        <w:t>&lt;Members&gt;</w:t>
      </w:r>
      <w:r>
        <w:t>Dick Erixon, Şerban Dimitrie Sturdza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di risoluzione</w:t>
      </w:r>
      <w:r>
        <w:rPr>
          <w:rStyle w:val="HideTWBExt"/>
        </w:rPr>
        <w:t>&lt;/DocAmend&gt;</w:t>
      </w:r>
    </w:p>
    <w:p>
      <w:pPr>
        <w:pStyle w:val="NormalBold"/>
      </w:pPr>
      <w:r>
        <w:rPr>
          <w:rStyle w:val="HideTWBExt"/>
        </w:rPr>
        <w:t>&lt;Article&gt;</w:t>
      </w:r>
      <w:r>
        <w:t>Paragrafo 18 bis (nuovo)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Proposta di risoluzione</w:t>
            </w:r>
          </w:p>
        </w:tc>
        <w:tc>
          <w:tcPr>
            <w:tcW w:w="4876" w:type="dxa"/>
            <w:tcBorders>
              <w:top w:val="nil"/>
              <w:left w:val="nil"/>
              <w:bottom w:val="nil"/>
              <w:right w:val="nil"/>
            </w:tcBorders>
          </w:tcPr>
          <w:p>
            <w:pPr>
              <w:pStyle w:val="AmColumnHeading"/>
            </w:pPr>
            <w:r>
              <w:t>Emendamento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18 bis.</w:t>
            </w:r>
            <w:r>
              <w:tab/>
            </w:r>
            <w:r>
              <w:rPr>
                <w:b/>
                <w:i/>
              </w:rPr>
              <w:t>sottolinea che il passaggio da una rendicontazione basata sui fattori produttivi e le attività a una rendicontazione orientata ai risultati e all'impatto dovrebbe ridurre gli oneri amministrativi sia per i revisori che per i beneficiari, concentrandosi sulla rilevanza e la proporzionalità;</w:t>
            </w:r>
            <w:r>
              <w:t xml:space="preserve"> </w:t>
            </w:r>
            <w:r>
              <w:rPr>
                <w:b/>
                <w:i/>
              </w:rPr>
              <w:t>invita la Commissione a razionalizzare gli indicatori, semplificare i modelli, evitare la duplicazione delle richieste di dati e applicare il principio "una tantum", in modo che i beneficiari possano dedicare più tempo al conseguimento dei risultati e meno tempo alla "spunta delle caselle";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Emendamento</w:t>
      </w:r>
      <w:r>
        <w:tab/>
      </w:r>
      <w:r>
        <w:tab/>
      </w:r>
      <w:r>
        <w:rPr>
          <w:rStyle w:val="HideTWBExt"/>
        </w:rPr>
        <w:t>&lt;NumAm&gt;</w:t>
      </w:r>
      <w:r>
        <w:t>110</w:t>
      </w:r>
      <w:r>
        <w:rPr>
          <w:rStyle w:val="HideTWBExt"/>
        </w:rPr>
        <w:t>&lt;/NumAm&gt;</w:t>
      </w:r>
    </w:p>
    <w:p>
      <w:pPr>
        <w:pStyle w:val="NormalBold"/>
      </w:pPr>
      <w:r>
        <w:rPr>
          <w:rStyle w:val="HideTWBExt"/>
          <w:b w:val="0"/>
        </w:rPr>
        <w:t>&lt;RepeatBlock-By&gt;</w:t>
      </w:r>
      <w:r>
        <w:rPr>
          <w:rStyle w:val="HideTWBExt"/>
          <w:b w:val="0"/>
        </w:rPr>
        <w:t>&lt;Members&gt;</w:t>
      </w:r>
      <w:r>
        <w:t>Şerban Dimitrie Sturdza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di risoluzione</w:t>
      </w:r>
      <w:r>
        <w:rPr>
          <w:rStyle w:val="HideTWBExt"/>
        </w:rPr>
        <w:t>&lt;/DocAmend&gt;</w:t>
      </w:r>
    </w:p>
    <w:p>
      <w:pPr>
        <w:pStyle w:val="NormalBold"/>
      </w:pPr>
      <w:r>
        <w:rPr>
          <w:rStyle w:val="HideTWBExt"/>
        </w:rPr>
        <w:t>&lt;Article&gt;</w:t>
      </w:r>
      <w:r>
        <w:t>Paragrafo 18 bis (nuovo)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Proposta di risoluzione</w:t>
            </w:r>
          </w:p>
        </w:tc>
        <w:tc>
          <w:tcPr>
            <w:tcW w:w="4876" w:type="dxa"/>
            <w:tcBorders>
              <w:top w:val="nil"/>
              <w:left w:val="nil"/>
              <w:bottom w:val="nil"/>
              <w:right w:val="nil"/>
            </w:tcBorders>
          </w:tcPr>
          <w:p>
            <w:pPr>
              <w:pStyle w:val="AmColumnHeading"/>
            </w:pPr>
            <w:r>
              <w:t>Emendamento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18 bis.</w:t>
            </w:r>
            <w:r>
              <w:tab/>
            </w:r>
            <w:r>
              <w:rPr>
                <w:b/>
                <w:i/>
              </w:rPr>
              <w:t>sottolinea che per ripristinare la competitività dell'Europa è necessario passare da una gestione delle crisi a breve termine a una strategia a lungo termine basata sull'innovazione, l'efficienza e l'apertura globale;</w:t>
            </w:r>
            <w:r>
              <w:t xml:space="preserve"> </w:t>
            </w:r>
            <w:r>
              <w:rPr>
                <w:b/>
                <w:i/>
              </w:rPr>
              <w:t>chiede un rinnovato impegno a rafforzare il mercato unico, ridurre la frammentazione normativa e garantire che i programmi dell'UE sostengano l'economia reale e non l'espansione burocratica;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Emendamento</w:t>
      </w:r>
      <w:r>
        <w:tab/>
      </w:r>
      <w:r>
        <w:tab/>
      </w:r>
      <w:r>
        <w:rPr>
          <w:rStyle w:val="HideTWBExt"/>
        </w:rPr>
        <w:t>&lt;NumAm&gt;</w:t>
      </w:r>
      <w:r>
        <w:t>111</w:t>
      </w:r>
      <w:r>
        <w:rPr>
          <w:rStyle w:val="HideTWBExt"/>
        </w:rPr>
        <w:t>&lt;/NumAm&gt;</w:t>
      </w:r>
    </w:p>
    <w:p>
      <w:pPr>
        <w:pStyle w:val="NormalBold"/>
      </w:pPr>
      <w:r>
        <w:rPr>
          <w:rStyle w:val="HideTWBExt"/>
          <w:b w:val="0"/>
        </w:rPr>
        <w:t>&lt;RepeatBlock-By&gt;</w:t>
      </w:r>
      <w:r>
        <w:rPr>
          <w:rStyle w:val="HideTWBExt"/>
          <w:b w:val="0"/>
        </w:rPr>
        <w:t>&lt;Members&gt;</w:t>
      </w:r>
      <w:r>
        <w:t>Tomáš Zdechovský</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di risoluzione</w:t>
      </w:r>
      <w:r>
        <w:rPr>
          <w:rStyle w:val="HideTWBExt"/>
        </w:rPr>
        <w:t>&lt;/DocAmend&gt;</w:t>
      </w:r>
    </w:p>
    <w:p>
      <w:pPr>
        <w:pStyle w:val="NormalBold"/>
      </w:pPr>
      <w:r>
        <w:rPr>
          <w:rStyle w:val="HideTWBExt"/>
        </w:rPr>
        <w:t>&lt;Article&gt;</w:t>
      </w:r>
      <w:r>
        <w:t>Paragrafo 18 bis (nuovo)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Proposta di risoluzione</w:t>
            </w:r>
          </w:p>
        </w:tc>
        <w:tc>
          <w:tcPr>
            <w:tcW w:w="4876" w:type="dxa"/>
            <w:tcBorders>
              <w:top w:val="nil"/>
              <w:left w:val="nil"/>
              <w:bottom w:val="nil"/>
              <w:right w:val="nil"/>
            </w:tcBorders>
          </w:tcPr>
          <w:p>
            <w:pPr>
              <w:pStyle w:val="AmColumnHeading"/>
            </w:pPr>
            <w:r>
              <w:t>Emendamento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18 bis.</w:t>
            </w:r>
            <w:r>
              <w:tab/>
            </w:r>
            <w:r>
              <w:rPr>
                <w:b/>
                <w:i/>
              </w:rPr>
              <w:t>sottolinea che il Fondo europeo per la competitività e tutti gli strumenti futuri dovrebbero includere verifiche della performance a medio termine obbligatorie da parte della Corte dei conti europea, garantendo che siano introdotte senza indugio misure correttive qualora i risultati non siano all'altezza degli obiettivi;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r>
        <w:rPr>
          <w:rStyle w:val="HideTWBExt"/>
        </w:rPr>
        <w:t>&lt;/RepeatBlock-Amend&gt;</w:t>
      </w:r>
    </w:p>
    <w:sectPr>
      <w:footerReference w:type="even" r:id="rId5"/>
      <w:footerReference w:type="default" r:id="rId6"/>
      <w:footerReference w:type="first" r:id="rId7"/>
      <w:pgSz w:w="11909" w:h="16834"/>
      <w:pgMar w:top="1134" w:right="1417" w:bottom="1417" w:left="1417" w:header="1134" w:footer="567"/>
      <w:cols w:space="720"/>
      <w:titlePg/>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20007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CC"/>
    <w:family w:val="swiss"/>
    <w:pitch w:val="variable"/>
    <w:sig w:usb0="20007A87" w:usb1="80000000" w:usb2="00000008" w:usb3="00000000" w:csb0="0000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EPFooter"/>
    </w:pPr>
    <w:r>
      <w:t>PE</w:t>
    </w:r>
    <w:r>
      <w:rPr>
        <w:rStyle w:val="HideTWBExt"/>
      </w:rPr>
      <w:t>&lt;NoPE&gt;</w:t>
    </w:r>
    <w:r>
      <w:t>779.587</w:t>
    </w:r>
    <w:r>
      <w:rPr>
        <w:rStyle w:val="HideTWBExt"/>
      </w:rPr>
      <w:t>&lt;/NoPE&gt;</w:t>
    </w:r>
    <w:r>
      <w:rPr>
        <w:rStyle w:val="HideTWBExt"/>
      </w:rPr>
      <w:t>&lt;Version&gt;</w:t>
    </w:r>
    <w:r>
      <w:t>v01-00</w:t>
    </w:r>
    <w:r>
      <w:rPr>
        <w:rStyle w:val="HideTWBExt"/>
      </w:rPr>
      <w:t>&lt;/Version&gt;</w:t>
    </w:r>
    <w:r>
      <w:tab/>
    </w:r>
    <w:r>
      <w:fldChar w:fldCharType="begin"/>
    </w:r>
    <w:r>
      <w:instrText xml:space="preserve"> PAGE </w:instrText>
    </w:r>
    <w:r>
      <w:fldChar w:fldCharType="separate"/>
    </w:r>
    <w:r>
      <w:t>70</w:t>
    </w:r>
    <w:r>
      <w:fldChar w:fldCharType="end"/>
    </w:r>
    <w:r>
      <w:t>/</w:t>
    </w:r>
    <w:r>
      <w:fldChar w:fldCharType="begin"/>
    </w:r>
    <w:r>
      <w:instrText xml:space="preserve"> NUMPAGES </w:instrText>
    </w:r>
    <w:r>
      <w:fldChar w:fldCharType="separate"/>
    </w:r>
    <w:r>
      <w:t>70</w:t>
    </w:r>
    <w:r>
      <w:fldChar w:fldCharType="end"/>
    </w:r>
    <w:r>
      <w:tab/>
    </w:r>
    <w:r>
      <w:rPr>
        <w:rStyle w:val="HideTWBExt"/>
      </w:rPr>
      <w:t>&lt;PathFdR&gt;</w:t>
    </w:r>
    <w:r>
      <w:t>AM\1331809IT.docx</w:t>
    </w:r>
    <w:r>
      <w:rPr>
        <w:rStyle w:val="HideTWBExt"/>
      </w:rPr>
      <w:t>&lt;/PathFdR&gt;</w:t>
    </w:r>
  </w:p>
  <w:p>
    <w:pPr>
      <w:pStyle w:val="EPFooter2"/>
    </w:pPr>
    <w:r>
      <w:t>IT</w:t>
    </w: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EPFooter"/>
    </w:pPr>
    <w:r>
      <w:rPr>
        <w:rStyle w:val="HideTWBExt"/>
      </w:rPr>
      <w:t>&lt;PathFdR&gt;</w:t>
    </w:r>
    <w:r>
      <w:t>AM\1331809IT.docx</w:t>
    </w:r>
    <w:r>
      <w:rPr>
        <w:rStyle w:val="HideTWBExt"/>
      </w:rPr>
      <w:t>&lt;/PathFdR&gt;</w:t>
    </w:r>
    <w:r>
      <w:tab/>
    </w:r>
    <w:r>
      <w:fldChar w:fldCharType="begin"/>
    </w:r>
    <w:r>
      <w:instrText xml:space="preserve"> PAGE </w:instrText>
    </w:r>
    <w:r>
      <w:fldChar w:fldCharType="separate"/>
    </w:r>
    <w:r>
      <w:t>69</w:t>
    </w:r>
    <w:r>
      <w:fldChar w:fldCharType="end"/>
    </w:r>
    <w:r>
      <w:t>/</w:t>
    </w:r>
    <w:r>
      <w:fldChar w:fldCharType="begin"/>
    </w:r>
    <w:r>
      <w:instrText xml:space="preserve"> NUMPAGES </w:instrText>
    </w:r>
    <w:r>
      <w:fldChar w:fldCharType="separate"/>
    </w:r>
    <w:r>
      <w:t>70</w:t>
    </w:r>
    <w:r>
      <w:fldChar w:fldCharType="end"/>
    </w:r>
    <w:r>
      <w:tab/>
    </w:r>
    <w:r>
      <w:t>PE</w:t>
    </w:r>
    <w:r>
      <w:rPr>
        <w:rStyle w:val="HideTWBExt"/>
      </w:rPr>
      <w:t>&lt;NoPE&gt;</w:t>
    </w:r>
    <w:r>
      <w:t>779.587</w:t>
    </w:r>
    <w:r>
      <w:rPr>
        <w:rStyle w:val="HideTWBExt"/>
      </w:rPr>
      <w:t>&lt;/NoPE&gt;</w:t>
    </w:r>
    <w:r>
      <w:rPr>
        <w:rStyle w:val="HideTWBExt"/>
      </w:rPr>
      <w:t>&lt;Version&gt;</w:t>
    </w:r>
    <w:r>
      <w:t>v01-00</w:t>
    </w:r>
    <w:r>
      <w:rPr>
        <w:rStyle w:val="HideTWBExt"/>
      </w:rPr>
      <w:t>&lt;/Version&gt;</w:t>
    </w:r>
  </w:p>
  <w:p>
    <w:pPr>
      <w:pStyle w:val="EPFooter2"/>
    </w:pPr>
    <w:r>
      <w:tab/>
    </w:r>
    <w:r>
      <w:tab/>
    </w:r>
    <w:r>
      <w:t>IT</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EPFooter"/>
    </w:pPr>
    <w:r>
      <w:rPr>
        <w:rStyle w:val="HideTWBExt"/>
      </w:rPr>
      <w:t>&lt;PathFdR&gt;</w:t>
    </w:r>
    <w:r>
      <w:t>AM\1331809IT.docx</w:t>
    </w:r>
    <w:r>
      <w:rPr>
        <w:rStyle w:val="HideTWBExt"/>
      </w:rPr>
      <w:t>&lt;/PathFdR&gt;</w:t>
    </w:r>
    <w:r>
      <w:tab/>
    </w:r>
    <w:r>
      <w:tab/>
    </w:r>
    <w:r>
      <w:t>PE</w:t>
    </w:r>
    <w:r>
      <w:rPr>
        <w:rStyle w:val="HideTWBExt"/>
      </w:rPr>
      <w:t>&lt;NoPE&gt;</w:t>
    </w:r>
    <w:r>
      <w:t>779.587</w:t>
    </w:r>
    <w:r>
      <w:rPr>
        <w:rStyle w:val="HideTWBExt"/>
      </w:rPr>
      <w:t>&lt;/NoPE&gt;</w:t>
    </w:r>
    <w:r>
      <w:rPr>
        <w:rStyle w:val="HideTWBExt"/>
      </w:rPr>
      <w:t>&lt;Version&gt;</w:t>
    </w:r>
    <w:r>
      <w:t>v01-00</w:t>
    </w:r>
    <w:r>
      <w:rPr>
        <w:rStyle w:val="HideTWBExt"/>
      </w:rPr>
      <w:t>&lt;/Version&gt;</w:t>
    </w:r>
  </w:p>
  <w:p>
    <w:pPr>
      <w:pStyle w:val="EPFooter2"/>
    </w:pPr>
    <w:r>
      <w:t>IT</w:t>
    </w:r>
    <w:r>
      <w:tab/>
    </w:r>
    <w:r>
      <w:rPr>
        <w:rStyle w:val="EPFooter2Motto"/>
      </w:rPr>
      <w:t>Unita nella diversità</w:t>
    </w:r>
    <w:r>
      <w:tab/>
    </w:r>
    <w:r>
      <w:t>IT</w:t>
    </w:r>
  </w:p>
</w:ft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grammar="clean"/>
  <w:stylePaneFormatFilter w:val="3F01"/>
  <w:defaultTabStop w:val="720"/>
  <w:evenAndOddHeaders/>
  <w:noPunctuationKerning/>
  <w:characterSpacingControl w:val="doNotCompress"/>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
  <w:rsids>
    <w:rsidRoot w:val="00A77B3E"/>
    <w:rsid w:val="00A77B3E"/>
    <w:rsid w:val="00CA2A55"/>
  </w:rsids>
  <w:docVars>
    <w:docVar w:name="restart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13;_x000a_{\f34\fbidi \froman\fcharset0\fprq2{\*\panose 02040503050406030204}Cambria Math;}{\flomajor\f31500\fbidi \froman\fcharset0\fprq2{\*\panose 02020603050405020304}Times New Roman;}&#13;_x000a_{\fdbmajor\f31501\fbidi \froman\fcharset0\fprq2{\*\panose 02020603050405020304}Times New Roman;}{\fhimajor\f31502\fbidi \fswiss\fcharset0\fprq2{\*\panose 020f0302020204030204}Calibri Light;}&#13;_x000a_{\fbimajor\f31503\fbidi \froman\fcharset0\fprq2{\*\panose 02020603050405020304}Times New Roman;}{\flominor\f31504\fbidi \froman\fcharset0\fprq2{\*\panose 02020603050405020304}Times New Roman;}&#13;_x000a_{\fdbminor\f31505\fbidi \froman\fcharset0\fprq2{\*\panose 02020603050405020304}Times New Roman;}{\fhiminor\f31506\fbidi \fswiss\fcharset0\fprq2{\*\panose 020f0502020204030204}Calibri;}&#13;_x000a_{\fbiminor\f31507\fbidi \froman\fcharset0\fprq2{\*\panose 02020603050405020304}Times New Roman;}{\f276\fbidi \froman\fcharset238\fprq2 Times New Roman CE;}{\f277\fbidi \froman\fcharset204\fprq2 Times New Roman Cyr;}&#13;_x000a_{\f279\fbidi \froman\fcharset161\fprq2 Times New Roman Greek;}{\f280\fbidi \froman\fcharset162\fprq2 Times New Roman Tur;}{\f281\fbidi \froman\fcharset177\fprq2 Times New Roman (Hebrew);}{\f282\fbidi \froman\fcharset178\fprq2 Times New Roman (Arabic);}&#13;_x000a_{\f283\fbidi \froman\fcharset186\fprq2 Times New Roman Baltic;}{\f284\fbidi \froman\fcharset163\fprq2 Times New Roman (Vietnamese);}{\f286\fbidi \fswiss\fcharset238\fprq2 Arial CE;}{\f287\fbidi \fswiss\fcharset204\fprq2 Arial Cyr;}&#13;_x000a_{\f289\fbidi \fswiss\fcharset161\fprq2 Arial Greek;}{\f290\fbidi \fswiss\fcharset162\fprq2 Arial Tur;}{\f291\fbidi \fswiss\fcharset177\fprq2 Arial (Hebrew);}{\f292\fbidi \fswiss\fcharset178\fprq2 Arial (Arabic);}&#13;_x000a_{\f293\fbidi \fswiss\fcharset186\fprq2 Arial Baltic;}{\f294\fbidi \fswiss\fcharset163\fprq2 Arial (Vietnamese);}{\f616\fbidi \froman\fcharset238\fprq2 Cambria Math CE;}{\f617\fbidi \froman\fcharset204\fprq2 Cambria Math Cyr;}&#13;_x000a_{\f619\fbidi \froman\fcharset161\fprq2 Cambria Math Greek;}{\f620\fbidi \froman\fcharset162\fprq2 Cambria Math Tur;}{\f623\fbidi \froman\fcharset186\fprq2 Cambria Math Baltic;}{\f624\fbidi \froman\fcharset163\fprq2 Cambria Math (Vietnamese);}&#13;_x000a_{\flomajor\f31508\fbidi \froman\fcharset238\fprq2 Times New Roman CE;}{\flomajor\f31509\fbidi \froman\fcharset204\fprq2 Times New Roman Cyr;}{\flomajor\f31511\fbidi \froman\fcharset161\fprq2 Times New Roman Greek;}&#13;_x000a_{\flomajor\f31512\fbidi \froman\fcharset162\fprq2 Times New Roman Tur;}{\flomajor\f31513\fbidi \froman\fcharset177\fprq2 Times New Roman (Hebrew);}{\flomajor\f31514\fbidi \froman\fcharset178\fprq2 Times New Roman (Arabic);}&#13;_x000a_{\flomajor\f31515\fbidi \froman\fcharset186\fprq2 Times New Roman Baltic;}{\flomajor\f31516\fbidi \froman\fcharset163\fprq2 Times New Roman (Vietnamese);}{\fdbmajor\f31518\fbidi \froman\fcharset238\fprq2 Times New Roman CE;}&#13;_x000a_{\fdbmajor\f31519\fbidi \froman\fcharset204\fprq2 Times New Roman Cyr;}{\fdbmajor\f31521\fbidi \froman\fcharset161\fprq2 Times New Roman Greek;}{\fdbmajor\f31522\fbidi \froman\fcharset162\fprq2 Times New Roman Tur;}&#13;_x000a_{\fdbmajor\f31523\fbidi \froman\fcharset177\fprq2 Times New Roman (Hebrew);}{\fdbmajor\f31524\fbidi \froman\fcharset178\fprq2 Times New Roman (Arabic);}{\fdbmajor\f31525\fbidi \froman\fcharset186\fprq2 Times New Roman Baltic;}&#13;_x000a_{\fdbmajor\f31526\fbidi \froman\fcharset163\fprq2 Times New Roman (Vietnamese);}{\fhimajor\f31528\fbidi \fswiss\fcharset238\fprq2 Calibri Light CE;}{\fhimajor\f31529\fbidi \fswiss\fcharset204\fprq2 Calibri Light Cyr;}&#13;_x000a_{\fhimajor\f31531\fbidi \fswiss\fcharset161\fprq2 Calibri Light Greek;}{\fhimajor\f31532\fbidi \fswiss\fcharset162\fprq2 Calibri Light Tur;}{\fhimajor\f31533\fbidi \fswiss\fcharset177\fprq2 Calibri Light (Hebrew);}&#13;_x000a_{\fhimajor\f31534\fbidi \fswiss\fcharset178\fprq2 Calibri Light (Arabic);}{\fhimajor\f31535\fbidi \fswiss\fcharset186\fprq2 Calibri Light Baltic;}{\fhimajor\f31536\fbidi \fswiss\fcharset163\fprq2 Calibri Light (Vietnamese);}&#13;_x000a_{\fbimajor\f31538\fbidi \froman\fcharset238\fprq2 Times New Roman CE;}{\fbimajor\f31539\fbidi \froman\fcharset204\fprq2 Times New Roman Cyr;}{\fbimajor\f31541\fbidi \froman\fcharset161\fprq2 Times New Roman Greek;}&#13;_x000a_{\fbimajor\f31542\fbidi \froman\fcharset162\fprq2 Times New Roman Tur;}{\fbimajor\f31543\fbidi \froman\fcharset177\fprq2 Times New Roman (Hebrew);}{\fbimajor\f31544\fbidi \froman\fcharset178\fprq2 Times New Roman (Arabic);}&#13;_x000a_{\fbimajor\f31545\fbidi \froman\fcharset186\fprq2 Times New Roman Baltic;}{\fbimajor\f31546\fbidi \froman\fcharset163\fprq2 Times New Roman (Vietnamese);}{\flominor\f31548\fbidi \froman\fcharset238\fprq2 Times New Roman CE;}&#13;_x000a_{\flominor\f31549\fbidi \froman\fcharset204\fprq2 Times New Roman Cyr;}{\flominor\f31551\fbidi \froman\fcharset161\fprq2 Times New Roman Greek;}{\flominor\f31552\fbidi \froman\fcharset162\fprq2 Times New Roman Tur;}&#13;_x000a_{\flominor\f31553\fbidi \froman\fcharset177\fprq2 Times New Roman (Hebrew);}{\flominor\f31554\fbidi \froman\fcharset178\fprq2 Times New Roman (Arabic);}{\flominor\f31555\fbidi \froman\fcharset186\fprq2 Times New Roman Baltic;}&#13;_x000a_{\flominor\f31556\fbidi \froman\fcharset163\fprq2 Times New Roman (Vietnamese);}{\fdbminor\f31558\fbidi \froman\fcharset238\fprq2 Times New Roman CE;}{\fdbminor\f31559\fbidi \froman\fcharset204\fprq2 Times New Roman Cyr;}&#13;_x000a_{\fdbminor\f31561\fbidi \froman\fcharset161\fprq2 Times New Roman Greek;}{\fdbminor\f31562\fbidi \froman\fcharset162\fprq2 Times New Roman Tur;}{\fdbminor\f31563\fbidi \froman\fcharset177\fprq2 Times New Roman (Hebrew);}&#13;_x000a_{\fdbminor\f31564\fbidi \froman\fcharset178\fprq2 Times New Roman (Arabic);}{\fdbminor\f31565\fbidi \froman\fcharset186\fprq2 Times New Roman Baltic;}{\fdbminor\f31566\fbidi \froman\fcharset163\fprq2 Times New Roman (Vietnamese);}&#13;_x000a_{\fhiminor\f31568\fbidi \fswiss\fcharset238\fprq2 Calibri CE;}{\fhiminor\f31569\fbidi \fswiss\fcharset204\fprq2 Calibri Cyr;}{\fhiminor\f31571\fbidi \fswiss\fcharset161\fprq2 Calibri Greek;}{\fhiminor\f31572\fbidi \fswiss\fcharset162\fprq2 Calibri Tur;}&#13;_x000a_{\fhiminor\f31573\fbidi \fswiss\fcharset177\fprq2 Calibri (Hebrew);}{\fhiminor\f31574\fbidi \fswiss\fcharset178\fprq2 Calibri (Arabic);}{\fhiminor\f31575\fbidi \fswiss\fcharset186\fprq2 Calibri Baltic;}&#13;_x000a_{\fhiminor\f31576\fbidi \fswiss\fcharset163\fprq2 Calibri (Vietnamese);}{\fbiminor\f31578\fbidi \froman\fcharset238\fprq2 Times New Roman CE;}{\fbiminor\f31579\fbidi \froman\fcharset204\fprq2 Times New Roman Cyr;}&#13;_x000a_{\fbiminor\f31581\fbidi \froman\fcharset161\fprq2 Times New Roman Greek;}{\fbiminor\f31582\fbidi \froman\fcharset162\fprq2 Times New Roman Tur;}{\fbiminor\f31583\fbidi \froman\fcharset177\fprq2 Times New Roman (Hebrew);}&#13;_x000a_{\fbiminor\f31584\fbidi \froman\fcharset178\fprq2 Times New Roman (Arabic);}{\fbiminor\f31585\fbidi \froman\fcharset186\fprq2 Times New Roman Baltic;}{\fbiminor\f31586\fbidi \froman\fcharset163\fprq2 Times New Roman (Vietnamese);}}&#13;_x000a_{\colortbl;\red0\green0\blue0;\red0\green0\blue255;\red0\green255\blue255;\red0\green255\blue0;\red255\green0\blue255;\red255\green0\blue0;\red255\green255\blue0;\red255\green255\blue255;\red0\green0\blue128;\red0\green128\blue128;\red0\green128\blue0;&#13;_x000a_\red128\green0\blue128;\red128\green0\blue0;\red128\green128\blue0;\red128\green128\blue128;\red192\green192\blue192;}{\*\defchp }{\*\defpap \ql \li0\ri0\widctlpar\wrapdefault\aspalpha\aspnum\faauto\adjustright\rin0\lin0\itap0 }\noqfpromote {\stylesheet{&#13;_x000a_\ql \li0\ri0\widctlpar\wrapdefault\aspalpha\aspnum\faauto\adjustright\rin0\lin0\itap0 \rtlch\fcs1 \af0\afs20\alang1025 \ltrch\fcs0 \fs24\lang2057\langfe2057\cgrid\langnp2057\langfenp2057 \snext0 \sqformat \spriority0 Normal;}{\*\cs10 \additive &#13;_x000a_\ssemihidden \spriority0 Default Paragraph Font;}{\*\ts11\tsrowd\trftsWidthB3\trpaddl108\trpaddr108\trpaddfl3\trpaddft3\trpaddfb3\trpaddfr3\tblind0\tblindtype3\tsvertalt\tsbrdrt\tsbrdrl\tsbrdrb\tsbrdrr\tsbrdrdgl\tsbrdrdgr\tsbrdrh\tsbrdrv &#13;_x000a_\ql \li0\ri0\widctlpar\wrapdefault\aspalpha\aspnum\faauto\adjustright\rin0\lin0\itap0 \rtlch\fcs1 \af0\afs20\alang1025 \ltrch\fcs0 \fs20\lang2057\langfe2057\cgrid\langnp2057\langfenp2057 \snext11 \ssemihidden \spriority0 Normal Table;}{\*\cs15 \additive &#13;_x000a_\v\f1\fs20\cf9\lang1024\langfe1024\noproof \spriority0 \styrsid1140430 HideTWBExt;}{\s16\qr \li0\ri0\sb240\sa240\nowidctlpar\wrapdefault\aspalpha\aspnum\faauto\adjustright\rin0\lin0\itap0 \rtlch\fcs1 \af0\afs20\alang1025 \ltrch\fcs0 &#13;_x000a_\fs24\lang2057\langfe2057\cgrid\langnp2057\langfenp2057 \sbasedon0 \snext16 \spriority0 \styrsid1140430 AmOrLang;}{\s17\ql \li0\ri0\sa120\nowidctlpar\wrapdefault\aspalpha\aspnum\faauto\adjustright\rin0\lin0\itap0 \rtlch\fcs1 \af0\afs20\alang1025 &#13;_x000a_\ltrch\fcs0 \fs24\lang2057\langfe2057\cgrid\langnp2057\langfenp2057 \sbasedon0 \snext17 \spriority0 \styrsid1140430 Normal6a;}{\s18\ql \li0\ri0\nowidctlpar\wrapdefault\aspalpha\aspnum\faauto\adjustright\rin0\lin0\itap0 \rtlch\fcs1 \af0\afs20\alang1025 &#13;_x000a_\ltrch\fcs0 \b\fs24\lang2057\langfe2057\cgrid\langnp2057\langfenp2057 \sbasedon0 \snext18 \spriority0 \styrsid1140430 NormalBold;}{\s19\qc \li0\ri0\sa240\nowidctlpar\wrapdefault\aspalpha\aspnum\faauto\adjustright\rin0\lin0\itap0 \rtlch\fcs1 &#13;_x000a_\af0\afs20\alang1025 \ltrch\fcs0 \i\fs24\lang2057\langfe2057\cgrid\langnp2057\langfenp2057 \sbasedon0 \snext19 \spriority0 \styrsid1140430 AmColumnHeading;}{\s20\ql \li0\ri0\sb240\nowidctlpar&#13;_x000a_\tx879\tx936\tx1021\tx1077\tx1134\tx1191\tx1247\tx1304\tx1361\tx1418\tx1474\tx1531\tx1588\tx1644\tx1701\tx1758\tx1814\tx1871\tx2070\tx2126\tx3374\tx3430\wrapdefault\aspalpha\aspnum\faauto\adjustright\rin0\lin0\itap0 \rtlch\fcs1 \af0\afs20\alang1025 &#13;_x000a_\ltrch\fcs0 \b\fs24\lang2057\langfe2057\cgrid\langnp2057\langfenp2057 \sbasedon0 \snext20 \spriority0 \styrsid1140430 AmNumberTabs;}}{\*\rsidtbl \rsid24658\rsid358857\rsid735077\rsid787282\rsid1140430\rsid2892074\rsid3622648\rsid4666813\rsid5708216&#13;_x000a_\rsid6641733\rsid7553164\rsid8465581\rsid8681905\rsid8724649\rsid9636012\rsid9862312\rsid11215221\rsid11370291\rsid11434737\rsid11607138\rsid11824949\rsid12154954\rsid12213393\rsid14424199\rsid15204470\rsid15285974\rsid15535219\rsid15950462\rsid16324206&#13;_x000a_\rsid16662270}{\mmathPr\mmathFont34\mbrkBin0\mbrkBinSub0\msmallFrac0\mdispDef1\mlMargin0\mrMargin0\mdefJc1\mwrapIndent1440\mintLim0\mnaryLim1}{\info{\author FELIX Karina}{\operator FELIX Karina}{\creatim\yr2019\mo7\dy3\hr17\min21}&#13;_x000a_{\revtim\yr2019\mo7\dy3\hr17\min21}{\version1}{\edmins0}{\nofpages1}{\nofwords25}{\nofchars291}{\*\company European Parliament}{\nofcharsws294}{\vern97}}{\*\xmlnstbl {\xmlns1 http://schemas.microsoft.com/office/word/2003/wordml}}&#13;_x000a_\paperw11906\paperh16838\margl1418\margr1418\margt1134\margb1418\gutter0\ltrsect &#13;_x000a_\facingp\widowctrl\ftnbj\aenddoc\ftnrestart\trackmoves0\trackformatting1\donotembedsysfont1\relyonvml0\donotembedlingdata0\grfdocevents0\validatexml1\showplaceholdtext0\ignoremixedcontent0\saveinvalidxml0&#13;_x000a_\showxmlerrors1\margmirror\noxlattoyen\expshrtn\noultrlspc\dntblnsbdb\nospaceforul\formshade\horzdoc\dghspace180\dgvspace180\dghorigin1701\dgvorigin1984\dghshow0\dgvshow0&#13;_x000a_\jexpand\viewkind1\viewscale100\pgbrdrhead\pgbrdrfoot\nolnhtadjtbl\nojkernpunct\rsidroot1140430\utinl \donotshowprops1\fet0{\*\wgrffmtfilter 013f}\ilfomacatclnup0{\*\template C:\\Users\\kfelix\\AppData\\Local\\Temp\\Blank1.dot}{\*\ftnsep \ltrpar &#13;_x000a_\pard\plain \ltrpar\ql \li0\ri0\widctlpar\wrapdefault\aspalpha\aspnum\faauto\adjustright\rin0\lin0\itap0 \rtlch\fcs1 \af0\afs20\alang1025 \ltrch\fcs0 \fs24\lang2057\langfe2057\cgrid\langnp2057\langfenp2057 {\rtlch\fcs1 \af0 \ltrch\fcs0 \insrsid12213393 &#13;_x000a_\chftnsep &#13;_x000a_\par }}{\*\ftnsepc \ltrpar \pard\plain \ltrpar\ql \li0\ri0\widctlpar\wrapdefault\aspalpha\aspnum\faauto\adjustright\rin0\lin0\itap0 \rtlch\fcs1 \af0\afs20\alang1025 \ltrch\fcs0 \fs24\lang2057\langfe2057\cgrid\langnp2057\langfenp2057 {\rtlch\fcs1 \af0 &#13;_x000a_\ltrch\fcs0 \insrsid12213393 \chftnsepc &#13;_x000a_\par }}{\*\aftnsep \ltrpar \pard\plain \ltrpar\ql \li0\ri0\widctlpar\wrapdefault\aspalpha\aspnum\faauto\adjustright\rin0\lin0\itap0 \rtlch\fcs1 \af0\afs20\alang1025 \ltrch\fcs0 \fs24\lang2057\langfe2057\cgrid\langnp2057\langfenp2057 {\rtlch\fcs1 \af0 &#13;_x000a_\ltrch\fcs0 \insrsid12213393 \chftnsep &#13;_x000a_\par }}{\*\aftnsepc \ltrpar \pard\plain \ltrpar\ql \li0\ri0\widctlpar\wrapdefault\aspalpha\aspnum\faauto\adjustright\rin0\lin0\itap0 \rtlch\fcs1 \af0\afs20\alang1025 \ltrch\fcs0 \fs24\lang2057\langfe2057\cgrid\langnp2057\langfenp2057 {\rtlch\fcs1 \af0 &#13;_x000a_\ltrch\fcs0 \insrsid12213393 \chftnsepc &#13;_x000a_\par }}\ltrpar \sectd \ltrsect\psz9\linex0\headery1134\footery505\endnhere\titlepg\sectdefaultcl\sectrsid14424199\sftnbj\sftnrestart {\*\pnseclvl1\pnucrm\pnstart1\pnindent720\pnhang {\pntxta .}}{\*\pnseclvl2\pnucltr\pnstart1\pnindent720\pnhang {\pntxta .}}&#13;_x000a_{\*\pnseclvl3\pndec\pnstart1\pnindent720\pnhang {\pntxta .}}{\*\pnseclvl4\pnlcltr\pnstart1\pnindent720\pnhang {\pntxta )}}{\*\pnseclvl5\pndec\pnstart1\pnindent720\pnhang {\pntxtb (}{\pntxta )}}{\*\pnseclvl6\pnlcltr\pnstart1\pnindent720\pnhang {\pntxtb (}&#13;_x000a_{\pntxta )}}{\*\pnseclvl7\pnlcrm\pnstart1\pnindent720\pnhang {\pntxtb (}{\pntxta )}}{\*\pnseclvl8\pnlcltr\pnstart1\pnindent720\pnhang {\pntxtb (}{\pntxta )}}{\*\pnseclvl9\pnlcrm\pnstart1\pnindent720\pnhang {\pntxtb (}{\pntxta )}}\pard\plain \ltrpar&#13;_x000a_\s20\ql \li0\ri0\sb240\keepn\nowidctlpar\tx879\tx936\tx1021\tx1077\tx1134\tx1191\tx1247\tx1304\tx1361\tx1418\tx1474\tx1531\tx1588\tx1644\tx1701\tx1758\tx1814\tx1871\tx2070\tx2126\tx3374\tx3430\wrapdefault\aspalpha\aspnum\faauto\adjustright\rin0&#13;_x000a_\lin0\itap0\pararsid1140430 \rtlch\fcs1 \af0\afs20\alang1025 \ltrch\fcs0 \b\fs24\lang2057\langfe2057\cgrid\langnp2057\langfenp2057 {\rtlch\fcs1 \af0 \ltrch\fcs0 \cs15\b0\v\f1\fs20\cf9\lang1024\langfe1024\noproof\insrsid1140430\charrsid4417459 &#13;_x000a_{\*\bkmkstart restart}&lt;Amend&gt;}{\rtlch\fcs1 \af0 \ltrch\fcs0 \insrsid1140430\charrsid1799708 [ZAMENDMENT]}{\rtlch\fcs1 \af0 \ltrch\fcs0 \insrsid1140430 \tab \tab }{\rtlch\fcs1 \af0 \ltrch\fcs0 &#13;_x000a_\cs15\b0\v\f1\fs20\cf9\lang1024\langfe1024\noproof\insrsid1140430\charrsid4417459 &lt;NumAm&gt;}{\rtlch\fcs1 \af0 \ltrch\fcs0 \insrsid1140430\charrsid1799708 [ZNRAM]}{\rtlch\fcs1 \af0 \ltrch\fcs0 &#13;_x000a_\cs15\b0\v\f1\fs20\cf9\lang1024\langfe1024\noproof\insrsid1140430\charrsid4417459 &lt;/NumAm&gt;}{\rtlch\fcs1 \af0 \ltrch\fcs0 \insrsid1140430\charrsid4080556 &#13;_x000a_\par }\pard\plain \ltrpar\s18\ql \li0\ri0\nowidctlpar\wrapdefault\aspalpha\aspnum\faauto\adjustright\rin0\lin0\itap0\pararsid1140430 \rtlch\fcs1 \af0\afs20\alang1025 \ltrch\fcs0 \b\fs24\lang2057\langfe2057\cgrid\langnp2057\langfenp2057 {\rtlch\fcs1 \af0 &#13;_x000a_\ltrch\fcs0 \cs15\b0\v\f1\fs20\cf9\lang1024\langfe1024\noproof\insrsid1140430\charrsid14699840 &lt;RepeatBlock-By&gt;}{\rtlch\fcs1 \af0 \ltrch\fcs0 \lang1024\langfe1024\noproof\insrsid1140430\charrsid14699840 [RepeatMembers]}{\rtlch\fcs1 \af0 \ltrch\fcs0 &#13;_x000a_\cs15\b0\v\f1\fs20\cf9\lang1024\langfe1024\noproof\insrsid1140430\charrsid14699840 &lt;Members&gt;}{\rtlch\fcs1 \af0 \ltrch\fcs0 \insrsid1140430\charrsid14699840 [ZMEMBERS]}{\rtlch\fcs1 \af0 \ltrch\fcs0 &#13;_x000a_\cs15\b0\v\f1\fs20\cf9\lang1024\langfe1024\noproof\insrsid1140430\charrsid14699840 &lt;/Members&gt;}{\rtlch\fcs1 \af0 \ltrch\fcs0 \insrsid1140430\charrsid14699840 &#13;_x000a_\par }\pard\plain \ltrpar\ql \li0\ri0\widctlpar\wrapdefault\aspalpha\aspnum\faauto\adjustright\rin0\lin0\itap0\pararsid1140430 \rtlch\fcs1 \af0\afs20\alang1025 \ltrch\fcs0 \fs24\lang2057\langfe2057\cgrid\langnp2057\langfenp2057 {\rtlch\fcs1 \af0 \ltrch\fcs0 &#13;_x000a_\cs15\v\f1\fs20\cf9\lang1024\langfe1024\noproof\langnp1043\insrsid1140430\charrsid14424489 &lt;AuNomDe&gt;&lt;OptDel&gt;}{\rtlch\fcs1 \af0 \ltrch\fcs0 \lang1043\langfe2057\langnp1043\insrsid1140430\charrsid14424489 [ZONBEHALF]}{\rtlch\fcs1 \af0 \ltrch\fcs0 &#13;_x000a_\cs15\v\f1\fs20\cf9\lang1024\langfe1024\noproof\langnp1043\insrsid1140430\charrsid14424489 &lt;/OptDel&gt;&lt;/AuNomDe&gt;}{\rtlch\fcs1 \af0 \ltrch\fcs0 \lang1043\langfe2057\langnp1043\insrsid1140430\charrsid14424489 &#13;_x000a_\par }{\rtlch\fcs1 \af0 \ltrch\fcs0 \insrsid1140430\charrsid14699840 &lt;&lt;&lt;}{\rtlch\fcs1 \af0 \ltrch\fcs0 \cs15\v\f1\fs20\cf9\lang1024\langfe1024\noproof\insrsid1140430\charrsid14699840 &lt;/RepeatBlock-By&gt;}{\rtlch\fcs1 \af0 \ltrch\fcs0 &#13;_x000a_\insrsid1140430\charrsid14699840 &#13;_x000a_\par }\pard\plain \ltrpar\s18\ql \li0\ri0\nowidctlpar\wrapdefault\aspalpha\aspnum\faauto\adjustright\rin0\lin0\itap0\pararsid1140430 \rtlch\fcs1 \af0\afs20\alang1025 \ltrch\fcs0 \b\fs24\lang2057\langfe2057\cgrid\langnp2057\langfenp2057 {\rtlch\fcs1 \af0 &#13;_x000a_\ltrch\fcs0 \cs15\b0\v\f1\fs20\cf9\lang1024\langfe1024\noproof\insrsid1140430\charrsid4737239 &lt;DocAmend&gt;}{\rtlch\fcs1 \af0 \ltrch\fcs0 \insrsid1140430\charrsid1799708 [Z}{\rtlch\fcs1 \af0 \ltrch\fcs0 \insrsid1140430 AMDOC}{\rtlch\fcs1 \af0 \ltrch\fcs0 &#13;_x000a_\insrsid1140430\charrsid1799708 ]}{\rtlch\fcs1 \af0 \ltrch\fcs0 \cs15\b0\v\f1\fs20\cf9\lang1024\langfe1024\noproof\insrsid1140430\charrsid4737239 &lt;/DocAmend&gt;}{\rtlch\fcs1 \af0 \ltrch\fcs0 \insrsid1140430\charrsid1799708 &#13;_x000a_\par }{\rtlch\fcs1 \af0 \ltrch\fcs0 \cs15\b0\v\f1\fs20\cf9\lang1024\langfe1024\noproof\insrsid1140430\charrsid1799708 &lt;Article&gt;}{\rtlch\fcs1 \af0 \ltrch\fcs0 \insrsid1140430\charrsid1799708 [ZAMPART]}{\rtlch\fcs1 \af0 \ltrch\fcs0 &#13;_x000a_\cs15\b0\v\f1\fs20\cf9\lang1024\langfe1024\noproof\insrsid1140430\charrsid1799708 &lt;/Article&gt;}{\rtlch\fcs1 \af0 \ltrch\fcs0 \insrsid1140430\charrsid1799708 &#13;_x000a_\par \ltrrow}\trowd \irow0\irowband0\ltrrow\ts11\trqc\trgaph340\trleft-340\trftsWidth3\trwWidth9752\trftsWidthB3\trpaddl340\trpaddr340\trpaddfl3\trpaddft3\trpaddfb3\trpaddfr3\tblrsid7949889\tblind0\tblindtype3 \clvertalt\clbrdrt\brdrtbl \clbrdrl\brdrtbl &#13;_x000a_\clbrdrb\brdrtbl \clbrdrr\brdrtbl \cltxlrtb\clftsWidth3\clwWidth9752\clshdrawnil \cellx9412\pard\plain \ltrpar\ql \li0\ri0\keepn\widctlpar\intbl\wrapdefault\aspalpha\aspnum\faauto\adjustright\rin0\lin0\pararsid13053803 \rtlch\fcs1 \af0\afs20\alang1025 &#13;_x000a_\ltrch\fcs0 \fs24\lang2057\langfe2057\cgrid\langnp2057\langfenp2057 {\rtlch\fcs1 \af0 \ltrch\fcs0 \insrsid1140430\charrsid1799708 \cell }\pard\plain \ltrpar\ql \li0\ri0\widctlpar\intbl\wrapdefault\aspalpha\aspnum\faauto\adjustright\rin0\lin0 \rtlch\fcs1 &#13;_x000a_\af0\afs20\alang1025 \ltrch\fcs0 \fs24\lang2057\langfe2057\cgrid\langnp2057\langfenp2057 {\rtlch\fcs1 \af0 \ltrch\fcs0 \insrsid1140430\charrsid1799708 \trowd \irow0\irowband0\ltrrow&#13;_x000a_\ts11\trqc\trgaph340\trleft-340\trftsWidth3\trwWidth9752\trftsWidthB3\trpaddl340\trpaddr340\trpaddfl3\trpaddft3\trpaddfb3\trpaddfr3\tblrsid7949889\tblind0\tblindtype3 \clvertalt\clbrdrt\brdrtbl \clbrdrl\brdrtbl \clbrdrb\brdrtbl \clbrdrr\brdrtbl &#13;_x000a_\cltxlrtb\clftsWidth3\clwWidth9752\clshdrawnil \cellx9412\row \ltrrow}\trowd \irow1\irowband1\ltrrow&#13;_x000a_\ts11\trqc\trgaph340\trleft-340\trftsWidth3\trwWidth9752\trftsWidthB3\trpaddl340\trpaddr340\trpaddfl3\trpaddft3\trpaddfb3\trpaddfr3\tblrsid7949889\tblind0\tblindtype3 \clvertalt\clbrdrt\brdrtbl \clbrdrl\brdrtbl \clbrdrb\brdrtbl \clbrdrr\brdrtbl &#13;_x000a_\cltxlrtb\clftsWidth3\clwWidth4876\clshdrawnil \cellx4536\clvertalt\clbrdrt\brdrtbl \clbrdrl\brdrtbl \clbrdrb\brdrtbl \clbrdrr\brdrtbl \cltxlrtb\clftsWidth3\clwWidth4876\clshdrawnil \cellx9412\pard\plain \ltrpar&#13;_x000a_\s19\qc \li0\ri0\sa240\keepn\nowidctlpar\intbl\wrapdefault\aspalpha\aspnum\faauto\adjustright\rin0\lin0\pararsid13053803 \rtlch\fcs1 \af0\afs20\alang1025 \ltrch\fcs0 \i\fs24\lang2057\langfe2057\cgrid\langnp2057\langfenp2057 {\rtlch\fcs1 \af0 \ltrch\fcs0 &#13;_x000a_\insrsid1140430\charrsid1799708 [ZLEFT]\cell [ZRIGHT]\cell }\pard\plain \ltrpar\ql \li0\ri0\widctlpar\intbl\wrapdefault\aspalpha\aspnum\faauto\adjustright\rin0\lin0 \rtlch\fcs1 \af0\afs20\alang1025 \ltrch\fcs0 &#13;_x000a_\fs24\lang2057\langfe2057\cgrid\langnp2057\langfenp2057 {\rtlch\fcs1 \af0 \ltrch\fcs0 \insrsid1140430\charrsid1799708 \trowd \irow1\irowband1\ltrrow&#13;_x000a_\ts11\trqc\trgaph340\trleft-340\trftsWidth3\trwWidth9752\trftsWidthB3\trpaddl340\trpaddr340\trpaddfl3\trpaddft3\trpaddfb3\trpaddfr3\tblrsid7949889\tblind0\tblindtype3 \clvertalt\clbrdrt\brdrtbl \clbrdrl\brdrtbl \clbrdrb\brdrtbl \clbrdrr\brdrtbl &#13;_x000a_\cltxlrtb\clftsWidth3\clwWidth4876\clshdrawnil \cellx4536\clvertalt\clbrdrt\brdrtbl \clbrdrl\brdrtbl \clbrdrb\brdrtbl \clbrdrr\brdrtbl \cltxlrtb\clftsWidth3\clwWidth4876\clshdrawnil \cellx9412\row \ltrrow}\pard\plain \ltrpar&#13;_x000a_\s17\ql \li0\ri0\sa120\nowidctlpar\intbl\wrapdefault\aspalpha\aspnum\faauto\adjustright\rin0\lin0\pararsid7949889 \rtlch\fcs1 \af0\afs20\alang1025 \ltrch\fcs0 \fs24\lang2057\langfe2057\cgrid\langnp2057\langfenp2057 {\rtlch\fcs1 \af0 \ltrch\fcs0 &#13;_x000a_\insrsid1140430\charrsid1799708 [ZTEXTL]\cell [ZTEXTR]}{\rtlch\fcs1 \af0\afs24 \ltrch\fcs0 \insrsid1140430\charrsid1799708 \cell }\pard\plain \ltrpar\ql \li0\ri0\widctlpar\intbl\wrapdefault\aspalpha\aspnum\faauto\adjustright\rin0\lin0 \rtlch\fcs1 &#13;_x000a_\af0\afs20\alang1025 \ltrch\fcs0 \fs24\lang2057\langfe2057\cgrid\langnp2057\langfenp2057 {\rtlch\fcs1 \af0 \ltrch\fcs0 \insrsid1140430\charrsid1799708 \trowd \irow2\irowband2\lastrow \ltrrow&#13;_x000a_\ts11\trqc\trgaph340\trleft-340\trftsWidth3\trwWidth9752\trftsWidthB3\trpaddl340\trpaddr340\trpaddfl3\trpaddft3\trpaddfb3\trpaddfr3\tblrsid7949889\tblind0\tblindtype3 \clvertalt\clbrdrt\brdrtbl \clbrdrl\brdrtbl \clbrdrb\brdrtbl \clbrdrr\brdrtbl &#13;_x000a_\cltxlrtb\clftsWidth3\clwWidth4876\clshdrawnil \cellx4536\clvertalt\clbrdrt\brdrtbl \clbrdrl\brdrtbl \clbrdrb\brdrtbl \clbrdrr\brdrtbl \cltxlrtb\clftsWidth3\clwWidth4876\clshdrawnil \cellx9412\row }\pard\plain \ltrpar&#13;_x000a_\s16\qr \li0\ri0\sb240\sa240\nowidctlpar\wrapdefault\aspalpha\aspnum\faauto\adjustright\rin0\lin0\itap0\pararsid1140430 \rtlch\fcs1 \af0\afs20\alang1025 \ltrch\fcs0 \fs24\lang2057\langfe2057\cgrid\langnp2057\langfenp2057 {\rtlch\fcs1 \af0 \ltrch\fcs0 &#13;_x000a_\insrsid1140430\charrsid1799708 Or. }{\rtlch\fcs1 \af0 \ltrch\fcs0 \cs15\v\f1\fs20\cf9\lang1024\langfe1024\noproof\insrsid1140430\charrsid1799708 &lt;Original&gt;}{\rtlch\fcs1 \af0 \ltrch\fcs0 \insrsid1140430\charrsid1799708 [ZORLANG]}{\rtlch\fcs1 \af0 &#13;_x000a_\ltrch\fcs0 \cs15\v\f1\fs20\cf9\lang1024\langfe1024\noproof\insrsid1140430\charrsid1799708 &lt;/Original&gt;}{\rtlch\fcs1 \af0 \ltrch\fcs0 \insrsid1140430\charrsid1799708 &#13;_x000a_\par }\pard\plain \ltrpar\ql \li0\ri0\widctlpar\wrapdefault\aspalpha\aspnum\faauto\adjustright\rin0\lin0\itap0\pararsid1140430 \rtlch\fcs1 \af0\afs20\alang1025 \ltrch\fcs0 \fs24\lang2057\langfe2057\cgrid\langnp2057\langfenp2057 {\rtlch\fcs1 \af0 \ltrch\fcs0 &#13;_x000a_\cs15\v\f1\fs20\cf9\lang1024\langfe1024\noproof\insrsid1140430\charrsid1799708 &lt;/Amend&gt;}{\rtlch\fcs1 \af0 \ltrch\fcs0 \insrsid24658\charrsid16324206 {\*\bkmkend restart}&#13;_x000a_\par }{\*\themedata 504b030414000600080000002100e9de0fbfff0000001c020000130000005b436f6e74656e745f54797065735d2e786d6cac91cb4ec3301045f748fc83e52d4a&#13;_x000a_9cb2400825e982c78ec7a27cc0c8992416c9d8b2a755fbf74cd25442a820166c2cd933f79e3be372bd1f07b5c3989ca74aaff2422b24eb1b475da5df374fd9ad&#13;_x000a_5689811a183c61a50f98f4babebc2837878049899a52a57be670674cb23d8e90721f90a4d2fa3802cb35762680fd800ecd7551dc18eb899138e3c943d7e503b6&#13;_x000a_b01d583deee5f99824e290b4ba3f364eac4a430883b3c092d4eca8f946c916422ecab927f52ea42b89a1cd59c254f919b0e85e6535d135a8de20f20b8c12c3b0&#13;_x000a_0c895fcf6720192de6bf3b9e89ecdbd6596cbcdd8eb28e7c365ecc4ec1ff1460f53fe813d3cc7f5b7f020000ffff0300504b030414000600080000002100a5d6&#13;_x000a_a7e7c0000000360100000b0000005f72656c732f2e72656c73848fcf6ac3300c87ef85bd83d17d51d2c31825762fa590432fa37d00e1287f68221bdb1bebdb4f&#13;_x000a_c7060abb0884a4eff7a93dfeae8bf9e194e720169aaa06c3e2433fcb68e1763dbf7f82c985a4a725085b787086a37bdbb55fbc50d1a33ccd311ba548b6309512&#13;_x000a_0f88d94fbc52ae4264d1c910d24a45db3462247fa791715fd71f989e19e0364cd3f51652d73760ae8fa8c9ffb3c330cc9e4fc17faf2ce545046e37944c69e462&#13;_x000a_a1a82fe353bd90a865aad41ed0b5b8f9d6fd010000ffff0300504b0304140006000800000021006b799616830000008a0000001c0000007468656d652f746865&#13;_x000a_6d652f7468656d654d616e616765722e786d6c0ccc4d0ac3201040e17da17790d93763bb284562b2cbaebbf600439c1a41c7a0d29fdbd7e5e38337cedf14d59b&#13;_x000a_4b0d592c9c070d8a65cd2e88b7f07c2ca71ba8da481cc52c6ce1c715e6e97818c9b48d13df49c873517d23d59085adb5dd20d6b52bd521ef2cdd5eb9246a3d8b&#13;_x000a_4757e8d3f729e245eb2b260a0238fd010000ffff0300504b03041400060008000000210007b740aaca0600008f1a0000160000007468656d652f7468656d652f&#13;_x000a_7468656d65312e786d6cec595b8bdb46147e2ff43f08bd3bbe49be2cf1065bb69336bb49889d943cceda636bb2238dd18c776342a0244f7d2914d2d28706fad6&#13;_x000a_87521a68a0a12ffd310b1bdaf447f4cc489667ec71f6420aa1640d8b34face996fce39face48ba7aed51449d239c70c2e2965bbe52721d1c8fd898c4d3967b6f&#13;_x000a_d82f345c870b148f1165316eb90bccdd6bbb9f7e7215ed881047d801fb98efa0961b0a31db2916f9088611bfc26638866b13964448c069322d8e13740c7e235a&#13;_x000a_ac944ab5628448ec3a318ac0ededc9848cb033942edddda5f31e85d358703930a2c940bac68685c28e0fcb12c1173ca089738468cb8579c6ec78881f09d7a188&#13;_x000a_0bb8d0724beacf2dee5e2da29dcc888a2db69a5d5ffd657699c1f8b0a2e64ca607f9a49ee77bb576ee5f01a8d8c4f5eabd5aaf96fb5300341ac14a532eba4fbf&#13;_x000a_d3ec74fd0cab81d2438bef6ebd5b2d1b78cd7f758373db973f03af40a97f6f03dfef07104503af4029dedfc07b5ebd1278065e81527c6d035f2fb5bb5eddc02b&#13;_x000a_5048497cb8812ef9b56ab05c6d0e99307ac30a6ffa5ebf5ec99caf50500d7975c929262c16db6a2d420f59d2078004522448ec88c50c4fd008aa3840941c24c4&#13;_x000a_d923d3100a6f8662c661b85429f54b55f82f7f9e3a5211413b1869d6921730e11b43928fc34709998996fb39787535c8e9ebd7274f5f9d3cfdfde4d9b393a7bf&#13;_x000a_66732b5786dd0d144f75bbb73f7df3cf8b2f9dbf7ffbf1edf36fd3a9d7f15cc7bff9e5ab377ffcf92ef7b0e255284ebf7bf9e6d5cbd3efbffeebe7e716efed04&#13;_x000a_1de8f0218930776ee163e72e8b608116fef820b998c5304444b768c7538e622467b1f8ef89d040df5a208a2cb80e36e3783f01a9b101afcf1f1a8407613217c4&#13;_x000a_e2f1661819c07dc6688725d628dc947369611ecee3a97df264aee3ee2274649b3b40b191e5de7c061a4b6c2e83101b34ef50140b34c531168ebcc60e31b6acee&#13;_x000a_0121465cf7c928619c4d84f380381d44ac21199203a39a56463748047959d80842be8dd8ecdf773a8cda56ddc5472612ee0d442de487981a61bc8ee602453697&#13;_x000a_4314513de07b48843692834532d2713d2e20d3534c99d31b63ce6d36b71358af96f49b2033f6b4efd345642213410e6d3ef710633ab2cb0e831045331b7640e2&#13;_x000a_50c77ec60fa144917387091b7c9f9977883c873ca0786bbaef136ca4fb6c35b8070aab535a1588bc324f2cb9bc8e9951bf83059d20aca4061a80a1eb1189cf14&#13;_x000a_f93579f7ff3b7907113dfde1856545ef47d2ed8e8d7c5c50ccdb09b1de4d37d6247c1b6e5db803968cc987afdb5d348fef60b855369bd747d9fe28dbeeff5eb6&#13;_x000a_b7ddcfef5fac57fa0cd22db7ade9765d6ddea3ad7bf709a174201614ef71b57de7d095c67d189476eab915e7cf72b3100ee59d0c1318b86982948d9330f10511&#13;_x000a_e1204433d8e3975de964ca33d753eecc1887adbf1ab6fa96783a8ff6d9387d642d97e5e3692a1e1c89d578c9cfc7e17143a4e85a7df51896bb576ca7ea717949&#13;_x000a_40da5e8484369949a26a21515f0eca20a98773089a85845ad97b61d1b4b06848f7cb546db0006a795660dbe4c066abe5fa1e9880113c55218ac7324f69aa97d9&#13;_x000a_55c97c9f99de164ca302600fb1ac8055a69b92ebd6e5c9d5a5a5768e4c1b24b4723349a8c8a81ec64334c65975cad1f3d0b868ae9bab941af46428d47c505a2b&#13;_x000a_1af5c6bb585c36d760b7ae0d34d69582c6ce71cbad557d2899119ab5dc093cfac3613483dae172bb8be814de9f8d4492def097519659c24517f1300db8129d54&#13;_x000a_0d222270e25012b55cb9fc3c0d34561aa2b8952b20081f2cb926c8ca87460e926e26194f267824f4b46b2332d2e929287caa15d6abcafcf26069c9e690ee4138&#13;_x000a_3e760ee83cb98ba0c4fc7a5906704c38bc012aa7d11c1378a5990bd9aafed61a5326bbfa3b455543e938a2b310651d4517f314aea43ca7a3cef2186867d99a21&#13;_x000a_a05a48b2467830950d560faad14df3ae9172d8da75cf369291d34473d5330d55915dd3ae62c60ccb36b016cbcb35798dd532c4a0697a874fa57b5d729b4bad5b&#13;_x000a_db27e45d02029ec7cfd275cfd110346aabc90c6a92f1a60c4bcdce46cddeb15ce019d4ced32434d5af2dddaec52def11d6e960f0529d1fecd6ab168626cb7da5&#13;_x000a_8ab4faf6a17f9e60070f413cbaf022784e0557a9848f0f09820dd140ed4952d9805be491c86e0d3872e60969b98f4b7edb0b2a7e502835fc5ec1ab7aa542c36f&#13;_x000a_570b6ddfaf967b7eb9d4ed549e4063116154f6d3ef2e7d780d4517d9d71735bef105265abe69bb32625191a92f2c45455c7d812957b67f81710888cee35aa5df&#13;_x000a_ac363bb542b3daee17bc6ea7516806b54ea15b0beadd7e37f01bcdfe13d7395260af5d0dbc5aaf51a89583a0e0d54a927ea359a87b954adbabb71b3daffd24db&#13;_x000a_c6c0ca53f9c86201e155bc76ff050000ffff0300504b0304140006000800000021000dd1909fb60000001b010000270000007468656d652f7468656d652f5f72&#13;_x000a_656c732f7468656d654d616e616765722e786d6c2e72656c73848f4d0ac2301484f78277086f6fd3ba109126dd88d0add40384e4350d363f2451eced0dae2c08&#13;_x000a_2e8761be9969bb979dc9136332de3168aa1a083ae995719ac16db8ec8e4052164e89d93b64b060828e6f37ed1567914b284d262452282e3198720e274a939cd0&#13;_x000a_8a54f980ae38a38f56e422a3a641c8bbd048f7757da0f19b017cc524bd62107bd5001996509affb3fd381a89672f1f165dfe514173d9850528a2c6cce0239baa&#13;_x000a_4c04ca5bbabac4df000000ffff0300504b01022d0014000600080000002100e9de0fbfff0000001c0200001300000000000000000000000000000000005b436f&#13;_x000a_6e74656e745f54797065735d2e786d6c504b01022d0014000600080000002100a5d6a7e7c0000000360100000b00000000000000000000000000300100005f72&#13;_x000a_656c732f2e72656c73504b01022d00140006000800000021006b799616830000008a0000001c00000000000000000000000000190200007468656d652f746865&#13;_x000a_6d652f7468656d654d616e616765722e786d6c504b01022d001400060008000000210007b740aaca0600008f1a00001600000000000000000000000000d60200&#13;_x000a_007468656d652f7468656d652f7468656d65312e786d6c504b01022d00140006000800000021000dd1909fb60000001b01000027000000000000000000000000&#13;_x000a_00d40900007468656d652f7468656d652f5f72656c732f7468656d654d616e616765722e786d6c2e72656c73504b050600000000050005005d010000cf0a00000000}&#13;_x000a_{\*\colorschememapping 3c3f786d6c2076657273696f6e3d22312e302220656e636f64696e673d225554462d3822207374616e64616c6f6e653d22796573223f3e0d0a3c613a636c724d&#13;_x000a_617020786d6c6e733a613d22687474703a2f2f736368656d61732e6f70656e786d6c666f726d6174732e6f72672f64726177696e676d6c2f323030362f6d6169&#13;_x000a_6e22206267313d226c743122207478313d22646b3122206267323d226c743222207478323d22646b322220616363656e74313d22616363656e74312220616363&#13;_x000a_656e74323d22616363656e74322220616363656e74333d22616363656e74332220616363656e74343d22616363656e74342220616363656e74353d22616363656e74352220616363656e74363d22616363656e74362220686c696e6b3d22686c696e6b2220666f6c486c696e6b3d22666f6c486c696e6b222f3e}&#13;_x000a_{\*\latentstyles\lsdstimax371\lsdlockeddef0\lsdsemihiddendef0\lsdunhideuseddef0\lsdqformatdef0\lsdprioritydef0{\lsdlockedexcept \lsdqformat1 \lsdlocked0 Normal;\lsdqformat1 \lsdlocked0 heading 1;&#13;_x000a_\lsdsemihidden1 \lsdunhideused1 \lsdqformat1 \lsdlocked0 heading 2;\lsdsemihidden1 \lsdunhideused1 \lsdqformat1 \lsdlocked0 heading 3;\lsdsemihidden1 \lsdunhideused1 \lsdqformat1 \lsdlocked0 heading 4;&#13;_x000a_\lsdsemihidden1 \lsdunhideused1 \lsdqformat1 \lsdlocked0 heading 5;\lsdsemihidden1 \lsdunhideused1 \lsdqformat1 \lsdlocked0 heading 6;\lsdsemihidden1 \lsdunhideused1 \lsdqformat1 \lsdlocked0 heading 7;&#13;_x000a_\lsdsemihidden1 \lsdunhideused1 \lsdqformat1 \lsdlocked0 heading 8;\lsdsemihidden1 \lsdunhideused1 \lsdqformat1 \lsdlocked0 heading 9;\lsdsemihidden1 \lsdunhideused1 \lsdqformat1 \lsdlocked0 caption;\lsdqformat1 \lsdlocked0 Title;&#13;_x000a_\lsdqformat1 \lsdlocked0 Subtitle;\lsdqformat1 \lsdlocked0 Strong;\lsdqformat1 \lsdlocked0 Emphasis;\lsdsemihidden1 \lsdpriority99 \lsdlocked0 Placeholder Text;\lsdqformat1 \lsdpriority1 \lsdlocked0 No Spacing;\lsdpriority60 \lsdlocked0 Light Shading;&#13;_x000a_\lsdpriority61 \lsdlocked0 Light List;\lsdpriority62 \lsdlocked0 Light Grid;\lsdpriority63 \lsdlocked0 Medium Shading 1;\lsdpriority64 \lsdlocked0 Medium Shading 2;\lsdpriority65 \lsdlocked0 Medium List 1;\lsdpriority66 \lsdlocked0 Medium List 2;&#13;_x000a_\lsdpriority67 \lsdlocked0 Medium Grid 1;\lsdpriority68 \lsdlocked0 Medium Grid 2;\lsdpriority69 \lsdlocked0 Medium Grid 3;\lsdpriority70 \lsdlocked0 Dark List;\lsdpriority71 \lsdlocked0 Colorful Shading;\lsdpriority72 \lsdlocked0 Colorful List;&#13;_x000a_\lsdpriority73 \lsdlocked0 Colorful Grid;\lsdpriority60 \lsdlocked0 Light Shading Accent 1;\lsdpriority61 \lsdlocked0 Light List Accent 1;\lsdpriority62 \lsdlocked0 Light Grid Accent 1;\lsdpriority63 \lsdlocked0 Medium Shading 1 Accent 1;&#13;_x000a_\lsdpriority64 \lsdlocked0 Medium Shading 2 Accent 1;\lsdpriority65 \lsdlocked0 Medium List 1 Accent 1;\lsdsemihidden1 \lsdpriority99 \lsdlocked0 Revision;\lsdqformat1 \lsdpriority34 \lsdlocked0 List Paragraph;&#13;_x000a_\lsdqformat1 \lsdpriority29 \lsdlocked0 Quote;\lsdqformat1 \lsdpriority30 \lsdlocked0 Intense Quote;\lsdpriority66 \lsdlocked0 Medium List 2 Accent 1;\lsdpriority67 \lsdlocked0 Medium Grid 1 Accent 1;\lsdpriority68 \lsdlocked0 Medium Grid 2 Accent 1;&#13;_x000a_\lsdpriority69 \lsdlocked0 Medium Grid 3 Accent 1;\lsdpriority70 \lsdlocked0 Dark List Accent 1;\lsdpriority71 \lsdlocked0 Colorful Shading Accent 1;\lsdpriority72 \lsdlocked0 Colorful List Accent 1;\lsdpriority73 \lsdlocked0 Colorful Grid Accent 1;&#13;_x000a_\lsdpriority60 \lsdlocked0 Light Shading Accent 2;\lsdpriority61 \lsdlocked0 Light List Accent 2;\lsdpriority62 \lsdlocked0 Light Grid Accent 2;\lsdpriority63 \lsdlocked0 Medium Shading 1 Accent 2;\lsdpriority64 \lsdlocked0 Medium Shading 2 Accent 2;&#13;_x000a_\lsdpriority65 \lsdlocked0 Medium List 1 Accent 2;\lsdpriority66 \lsdlocked0 Medium List 2 Accent 2;\lsdpriority67 \lsdlocked0 Medium Grid 1 Accent 2;\lsdpriority68 \lsdlocked0 Medium Grid 2 Accent 2;\lsdpriority69 \lsdlocked0 Medium Grid 3 Accent 2;&#13;_x000a_\lsdpriority70 \lsdlocked0 Dark List Accent 2;\lsdpriority71 \lsdlocked0 Colorful Shading Accent 2;\lsdpriority72 \lsdlocked0 Colorful List Accent 2;\lsdpriority73 \lsdlocked0 Colorful Grid Accent 2;\lsdpriority60 \lsdlocked0 Light Shading Accent 3;&#13;_x000a_\lsdpriority61 \lsdlocked0 Light List Accent 3;\lsdpriority62 \lsdlocked0 Light Grid Accent 3;\lsdpriority63 \lsdlocked0 Medium Shading 1 Accent 3;\lsdpriority64 \lsdlocked0 Medium Shading 2 Accent 3;\lsdpriority65 \lsdlocked0 Medium List 1 Accent 3;&#13;_x000a_\lsdpriority66 \lsdlocked0 Medium List 2 Accent 3;\lsdpriority67 \lsdlocked0 Medium Grid 1 Accent 3;\lsdpriority68 \lsdlocked0 Medium Grid 2 Accent 3;\lsdpriority69 \lsdlocked0 Medium Grid 3 Accent 3;\lsdpriority70 \lsdlocked0 Dark List Accent 3;&#13;_x000a_\lsdpriority71 \lsdlocked0 Colorful Shading Accent 3;\lsdpriority72 \lsdlocked0 Colorful List Accent 3;\lsdpriority73 \lsdlocked0 Colorful Grid Accent 3;\lsdpriority60 \lsdlocked0 Light Shading Accent 4;\lsdpriority61 \lsdlocked0 Light List Accent 4;&#13;_x000a_\lsdpriority62 \lsdlocked0 Light Grid Accent 4;\lsdpriority63 \lsdlocked0 Medium Shading 1 Accent 4;\lsdpriority64 \lsdlocked0 Medium Shading 2 Accent 4;\lsdpriority65 \lsdlocked0 Medium List 1 Accent 4;\lsdpriority66 \lsdlocked0 Medium List 2 Accent 4;&#13;_x000a_\lsdpriority67 \lsdlocked0 Medium Grid 1 Accent 4;\lsdpriority68 \lsdlocked0 Medium Grid 2 Accent 4;\lsdpriority69 \lsdlocked0 Medium Grid 3 Accent 4;\lsdpriority70 \lsdlocked0 Dark List Accent 4;\lsdpriority71 \lsdlocked0 Colorful Shading Accent 4;&#13;_x000a_\lsdpriority72 \lsdlocked0 Colorful List Accent 4;\lsdpriority73 \lsdlocked0 Colorful Grid Accent 4;\lsdpriority60 \lsdlocked0 Light Shading Accent 5;\lsdpriority61 \lsdlocked0 Light List Accent 5;\lsdpriority62 \lsdlocked0 Light Grid Accent 5;&#13;_x000a_\lsdpriority63 \lsdlocked0 Medium Shading 1 Accent 5;\lsdpriority64 \lsdlocked0 Medium Shading 2 Accent 5;\lsdpriority65 \lsdlocked0 Medium List 1 Accent 5;\lsdpriority66 \lsdlocked0 Medium List 2 Accent 5;&#13;_x000a_\lsdpriority67 \lsdlocked0 Medium Grid 1 Accent 5;\lsdpriority68 \lsdlocked0 Medium Grid 2 Accent 5;\lsdpriority69 \lsdlocked0 Medium Grid 3 Accent 5;\lsdpriority70 \lsdlocked0 Dark List Accent 5;\lsdpriority71 \lsdlocked0 Colorful Shading Accent 5;&#13;_x000a_\lsdpriority72 \lsdlocked0 Colorful List Accent 5;\lsdpriority73 \lsdlocked0 Colorful Grid Accent 5;\lsdpriority60 \lsdlocked0 Light Shading Accent 6;\lsdpriority61 \lsdlocked0 Light List Accent 6;\lsdpriority62 \lsdlocked0 Light Grid Accent 6;&#13;_x000a_\lsdpriority63 \lsdlocked0 Medium Shading 1 Accent 6;\lsdpriority64 \lsdlocked0 Medium Shading 2 Accent 6;\lsdpriority65 \lsdlocked0 Medium List 1 Accent 6;\lsdpriority66 \lsdlocked0 Medium List 2 Accent 6;&#13;_x000a_\lsdpriority67 \lsdlocked0 Medium Grid 1 Accent 6;\lsdpriority68 \lsdlocked0 Medium Grid 2 Accent 6;\lsdpriority69 \lsdlocked0 Medium Grid 3 Accent 6;\lsdpriority70 \lsdlocked0 Dark List Accent 6;\lsdpriority71 \lsdlocked0 Colorful Shading Accent 6;&#13;_x000a_\lsdpriority72 \lsdlocked0 Colorful List Accent 6;\lsdpriority73 \lsdlocked0 Colorful Grid Accent 6;\lsdqformat1 \lsdpriority19 \lsdlocked0 Subtle Emphasis;\lsdqformat1 \lsdpriority21 \lsdlocked0 Intense Emphasis;&#13;_x000a_\lsdqformat1 \lsdpriority31 \lsdlocked0 Subtle Reference;\lsdqformat1 \lsdpriority32 \lsdlocked0 Intense Reference;\lsdqformat1 \lsdpriority33 \lsdlocked0 Book Title;\lsdsemihidden1 \lsdunhideused1 \lsdpriority37 \lsdlocked0 Bibliography;&#13;_x000a_\lsdsemihidden1 \lsdunhideused1 \lsdqformat1 \lsdpriority39 \lsdlocked0 TOC Heading;\lsdpriority41 \lsdlocked0 Plain Table 1;\lsdpriority42 \lsdlocked0 Plain Table 2;\lsdpriority43 \lsdlocked0 Plain Table 3;\lsdpriority44 \lsdlocked0 Plain Table 4;&#13;_x000a_\lsdpriority45 \lsdlocked0 Plain Table 5;\lsdpriority40 \lsdlocked0 Grid Table Light;\lsdpriority46 \lsdlocked0 Grid Table 1 Light;\lsdpriority47 \lsdlocked0 Grid Table 2;\lsdpriority48 \lsdlocked0 Grid Table 3;\lsdpriority49 \lsdlocked0 Grid Table 4;&#13;_x000a_\lsdpriority50 \lsdlocked0 Grid Table 5 Dark;\lsdpriority51 \lsdlocked0 Grid Table 6 Colorful;\lsdpriority52 \lsdlocked0 Grid Table 7 Colorful;\lsdpriority46 \lsdlocked0 Grid Table 1 Light Accent 1;\lsdpriority47 \lsdlocked0 Grid Table 2 Accent 1;&#13;_x000a_\lsdpriority48 \lsdlocked0 Grid Table 3 Accent 1;\lsdpriority49 \lsdlocked0 Grid Table 4 Accent 1;\lsdpriority50 \lsdlocked0 Grid Table 5 Dark Accent 1;\lsdpriority51 \lsdlocked0 Grid Table 6 Colorful Accent 1;&#13;_x000a_\lsdpriority52 \lsdlocked0 Grid Table 7 Colorful Accent 1;\lsdpriority46 \lsdlocked0 Grid Table 1 Light Accent 2;\lsdpriority47 \lsdlocked0 Grid Table 2 Accent 2;\lsdpriority48 \lsdlocked0 Grid Table 3 Accent 2;&#13;_x000a_\lsdpriority49 \lsdlocked0 Grid Table 4 Accent 2;\lsdpriority50 \lsdlocked0 Grid Table 5 Dark Accent 2;\lsdpriority51 \lsdlocked0 Grid Table 6 Colorful Accent 2;\lsdpriority52 \lsdlocked0 Grid Table 7 Colorful Accent 2;&#13;_x000a_\lsdpriority46 \lsdlocked0 Grid Table 1 Light Accent 3;\lsdpriority47 \lsdlocked0 Grid Table 2 Accent 3;\lsdpriority48 \lsdlocked0 Grid Table 3 Accent 3;\lsdpriority49 \lsdlocked0 Grid Table 4 Accent 3;&#13;_x000a_\lsdpriority50 \lsdlocked0 Grid Table 5 Dark Accent 3;\lsdpriority51 \lsdlocked0 Grid Table 6 Colorful Accent 3;\lsdpriority52 \lsdlocked0 Grid Table 7 Colorful Accent 3;\lsdpriority46 \lsdlocked0 Grid Table 1 Light Accent 4;&#13;_x000a_\lsdpriority47 \lsdlocked0 Grid Table 2 Accent 4;\lsdpriority48 \lsdlocked0 Grid Table 3 Accent 4;\lsdpriority49 \lsdlocked0 Grid Table 4 Accent 4;\lsdpriority50 \lsdlocked0 Grid Table 5 Dark Accent 4;&#13;_x000a_\lsdpriority51 \lsdlocked0 Grid Table 6 Colorful Accent 4;\lsdpriority52 \lsdlocked0 Grid Table 7 Colorful Accent 4;\lsdpriority46 \lsdlocked0 Grid Table 1 Light Accent 5;\lsdpriority47 \lsdlocked0 Grid Table 2 Accent 5;&#13;_x000a_\lsdpriority48 \lsdlocked0 Grid Table 3 Accent 5;\lsdpriority49 \lsdlocked0 Grid Table 4 Accent 5;\lsdpriority50 \lsdlocked0 Grid Table 5 Dark Accent 5;\lsdpriority51 \lsdlocked0 Grid Table 6 Colorful Accent 5;&#13;_x000a_\lsdpriority52 \lsdlocked0 Grid Table 7 Colorful Accent 5;\lsdpriority46 \lsdlocked0 Grid Table 1 Light Accent 6;\lsdpriority47 \lsdlocked0 Grid Table 2 Accent 6;\lsdpriority48 \lsdlocked0 Grid Table 3 Accent 6;&#13;_x000a_\lsdpriority49 \lsdlocked0 Grid Table 4 Accent 6;\lsdpriority50 \lsdlocked0 Grid Table 5 Dark Accent 6;\lsdpriority51 \lsdlocked0 Grid Table 6 Colorful Accent 6;\lsdpriority52 \lsdlocked0 Grid Table 7 Colorful Accent 6;&#13;_x000a_\lsdpriority46 \lsdlocked0 List Table 1 Light;\lsdpriority47 \lsdlocked0 List Table 2;\lsdpriority48 \lsdlocked0 List Table 3;\lsdpriority49 \lsdlocked0 List Table 4;\lsdpriority50 \lsdlocked0 List Table 5 Dark;&#13;_x000a_\lsdpriority51 \lsdlocked0 List Table 6 Colorful;\lsdpriority52 \lsdlocked0 List Table 7 Colorful;\lsdpriority46 \lsdlocked0 List Table 1 Light Accent 1;\lsdpriority47 \lsdlocked0 List Table 2 Accent 1;\lsdpriority48 \lsdlocked0 List Table 3 Accent 1;&#13;_x000a_\lsdpriority49 \lsdlocked0 List Table 4 Accent 1;\lsdpriority50 \lsdlocked0 List Table 5 Dark Accent 1;\lsdpriority51 \lsdlocked0 List Table 6 Colorful Accent 1;\lsdpriority52 \lsdlocked0 List Table 7 Colorful Accent 1;&#13;_x000a_\lsdpriority46 \lsdlocked0 List Table 1 Light Accent 2;\lsdpriority47 \lsdlocked0 List Table 2 Accent 2;\lsdpriority48 \lsdlocked0 List Table 3 Accent 2;\lsdpriority49 \lsdlocked0 List Table 4 Accent 2;&#13;_x000a_\lsdpriority50 \lsdlocked0 List Table 5 Dark Accent 2;\lsdpriority51 \lsdlocked0 List Table 6 Colorful Accent 2;\lsdpriority52 \lsdlocked0 List Table 7 Colorful Accent 2;\lsdpriority46 \lsdlocked0 List Table 1 Light Accent 3;&#13;_x000a_\lsdpriority47 \lsdlocked0 List Table 2 Accent 3;\lsdpriority48 \lsdlocked0 List Table 3 Accent 3;\lsdpriority49 \lsdlocked0 List Table 4 Accent 3;\lsdpriority50 \lsdlocked0 List Table 5 Dark Accent 3;&#13;_x000a_\lsdpriority51 \lsdlocked0 List Table 6 Colorful Accent 3;\lsdpriority52 \lsdlocked0 List Table 7 Colorful Accent 3;\lsdpriority46 \lsdlocked0 List Table 1 Light Accent 4;\lsdpriority47 \lsdlocked0 List Table 2 Accent 4;&#13;_x000a_\lsdpriority48 \lsdlocked0 List Table 3 Accent 4;\lsdpriority49 \lsdlocked0 List Table 4 Accent 4;\lsdpriority50 \lsdlocked0 List Table 5 Dark Accent 4;\lsdpriority51 \lsdlocked0 List Table 6 Colorful Accent 4;&#13;_x000a_\lsdpriority52 \lsdlocked0 List Table 7 Colorful Accent 4;\lsdpriority46 \lsdlocked0 List Table 1 Light Accent 5;\lsdpriority47 \lsdlocked0 List Table 2 Accent 5;\lsdpriority48 \lsdlocked0 List Table 3 Accent 5;&#13;_x000a_\lsdpriority49 \lsdlocked0 List Table 4 Accent 5;\lsdpriority50 \lsdlocked0 List Table 5 Dark Accent 5;\lsdpriority51 \lsdlocked0 List Table 6 Colorful Accent 5;\lsdpriority52 \lsdlocked0 List Table 7 Colorful Accent 5;&#13;_x000a_\lsdpriority46 \lsdlocked0 List Table 1 Light Accent 6;\lsdpriority47 \lsdlocked0 List Table 2 Accent 6;\lsdpriority48 \lsdlocked0 List Table 3 Accent 6;\lsdpriority49 \lsdlocked0 List Table 4 Accent 6;&#13;_x000a_\lsdpriority50 \lsdlocked0 List Table 5 Dark Accent 6;\lsdpriority51 \lsdlocked0 List Table 6 Colorful Accent 6;\lsdpriority52 \lsdlocked0 List Table 7 Colorful Accent 6;}}{\*\datastore 010500000200000018000000&#13;_x000a_4d73786d6c322e534158584d4c5265616465722e362e3000000000000000000000060000&#13;_x000a_d0cf11e0a1b11ae1000000000000000000000000000000003e000300feff090006000000000000000000000001000000010000000000000000100000feffffff00000000feffffff0000000000000000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dfffffffe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52006f006f007400200045006e00740072007900000000000000000000000000000000000000000000000000000000000000000000000000000000000000000016000500ffffffffffffffffffffffff0c6ad98892f1d411a65f0040963251e50000000000000000000000006054&#13;_x000a_9504b331d501feffffff00000000000000000000000000000000000000000000000000000000000000000000000000000000000000000000000000000000000000000000000000000000000000000000000000000000ffffffffffffffffffffffff00000000000000000000000000000000000000000000000000000000&#13;_x000a_00000000000000000000000000000000000000000000000000000000000000000000000000000000000000000000000000000000000000000000000000000000000000000000000000000000000000000000000000000000ffffffffffffffffffffffff0000000000000000000000000000000000000000000000000000&#13;_x000a_000000000000000000000000000000000000000000000000000000000000000000000000000000000000000000000000000000000000000000000000000000000000000000000000000000000000000000000000000000000000ffffffffffffffffffffffff000000000000000000000000000000000000000000000000&#13;_x000a_0000000000000000000000000000000000000000000000000105000000000000}}"/>
  </w:docVars>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it-IT"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pPr>
      <w:widowControl w:val="0"/>
    </w:pPr>
    <w:rPr>
      <w:sz w:val="24"/>
      <w:szCs w:val="24"/>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paragraph" w:customStyle="1" w:styleId="LineBottom">
    <w:name w:val="LineBottom"/>
    <w:basedOn w:val="Normal"/>
    <w:next w:val="Normal"/>
    <w:pPr>
      <w:widowControl/>
      <w:pBdr>
        <w:bottom w:val="single" w:sz="4" w:space="1" w:color="000000"/>
      </w:pBdr>
      <w:spacing w:after="240"/>
      <w:jc w:val="center"/>
    </w:pPr>
    <w:rPr>
      <w:rFonts w:ascii="Arial" w:eastAsia="Arial" w:hAnsi="Arial" w:cs="Arial"/>
      <w:sz w:val="16"/>
    </w:rPr>
  </w:style>
  <w:style w:type="paragraph" w:customStyle="1" w:styleId="EPTerm">
    <w:name w:val="EPTerm"/>
    <w:basedOn w:val="Normal"/>
    <w:next w:val="Normal"/>
    <w:pPr>
      <w:widowControl/>
      <w:spacing w:after="80"/>
    </w:pPr>
    <w:rPr>
      <w:rFonts w:ascii="Arial" w:eastAsia="Arial" w:hAnsi="Arial" w:cs="Arial"/>
      <w:sz w:val="20"/>
    </w:rPr>
  </w:style>
  <w:style w:type="paragraph" w:customStyle="1" w:styleId="EPLogo">
    <w:name w:val="EPLogo"/>
    <w:basedOn w:val="Normal"/>
    <w:pPr>
      <w:widowControl/>
      <w:jc w:val="right"/>
    </w:pPr>
  </w:style>
  <w:style w:type="paragraph" w:customStyle="1" w:styleId="EPName">
    <w:name w:val="EPName"/>
    <w:basedOn w:val="Normal"/>
    <w:pPr>
      <w:widowControl/>
      <w:spacing w:before="80" w:after="80"/>
    </w:pPr>
    <w:rPr>
      <w:rFonts w:ascii="Arial Narrow" w:eastAsia="Arial" w:hAnsi="Arial Narrow" w:cs="Arial"/>
      <w:b/>
      <w:sz w:val="32"/>
    </w:rPr>
  </w:style>
  <w:style w:type="paragraph" w:customStyle="1" w:styleId="CoverNormal24a">
    <w:name w:val="CoverNormal24a"/>
    <w:basedOn w:val="Normal"/>
    <w:pPr>
      <w:widowControl/>
      <w:spacing w:after="480"/>
      <w:ind w:left="1416"/>
    </w:pPr>
  </w:style>
  <w:style w:type="paragraph" w:customStyle="1" w:styleId="CoverNormal">
    <w:name w:val="CoverNormal"/>
    <w:basedOn w:val="Normal"/>
    <w:pPr>
      <w:widowControl/>
      <w:ind w:left="1418"/>
    </w:pPr>
  </w:style>
  <w:style w:type="paragraph" w:customStyle="1" w:styleId="CoverReference">
    <w:name w:val="CoverReference"/>
    <w:basedOn w:val="Normal"/>
    <w:pPr>
      <w:widowControl/>
      <w:spacing w:before="1080"/>
      <w:jc w:val="right"/>
    </w:pPr>
    <w:rPr>
      <w:rFonts w:ascii="Arial" w:eastAsia="Arial" w:hAnsi="Arial" w:cs="Arial"/>
      <w:b/>
    </w:rPr>
  </w:style>
  <w:style w:type="paragraph" w:customStyle="1" w:styleId="CoverDocType">
    <w:name w:val="CoverDocType"/>
    <w:basedOn w:val="Normal"/>
    <w:pPr>
      <w:widowControl/>
      <w:ind w:left="1418"/>
    </w:pPr>
    <w:rPr>
      <w:rFonts w:ascii="Arial" w:hAnsi="Arial"/>
      <w:b/>
      <w:sz w:val="48"/>
    </w:rPr>
  </w:style>
  <w:style w:type="paragraph" w:customStyle="1" w:styleId="CoverDate">
    <w:name w:val="CoverDate"/>
    <w:basedOn w:val="Normal"/>
    <w:pPr>
      <w:widowControl/>
      <w:spacing w:before="240" w:after="1200"/>
    </w:pPr>
  </w:style>
  <w:style w:type="paragraph" w:customStyle="1" w:styleId="CoverDocType24a">
    <w:name w:val="CoverDocType24a"/>
    <w:basedOn w:val="Normal"/>
    <w:pPr>
      <w:widowControl/>
      <w:spacing w:after="480"/>
      <w:ind w:left="1416"/>
    </w:pPr>
    <w:rPr>
      <w:rFonts w:ascii="Arial" w:eastAsia="Arial" w:hAnsi="Arial" w:cs="Arial"/>
      <w:b/>
      <w:sz w:val="48"/>
    </w:rPr>
  </w:style>
  <w:style w:type="paragraph" w:customStyle="1" w:styleId="CoverBold">
    <w:name w:val="CoverBold"/>
    <w:basedOn w:val="Normal"/>
    <w:pPr>
      <w:widowControl/>
      <w:ind w:left="1416"/>
    </w:pPr>
    <w:rPr>
      <w:b/>
    </w:rPr>
  </w:style>
  <w:style w:type="paragraph" w:customStyle="1" w:styleId="EPBody">
    <w:name w:val="EPBody"/>
    <w:basedOn w:val="Normal"/>
    <w:pPr>
      <w:widowControl/>
      <w:jc w:val="center"/>
    </w:pPr>
    <w:rPr>
      <w:rFonts w:ascii="Arial" w:eastAsia="Arial" w:hAnsi="Arial" w:cs="Arial"/>
      <w:i/>
      <w:sz w:val="22"/>
    </w:rPr>
  </w:style>
  <w:style w:type="paragraph" w:customStyle="1" w:styleId="LineTop">
    <w:name w:val="LineTop"/>
    <w:basedOn w:val="Normal"/>
    <w:next w:val="Normal"/>
    <w:pPr>
      <w:widowControl/>
      <w:pBdr>
        <w:top w:val="single" w:sz="4" w:space="1" w:color="000000"/>
      </w:pBdr>
      <w:jc w:val="center"/>
    </w:pPr>
    <w:rPr>
      <w:rFonts w:ascii="Arial" w:eastAsia="Arial" w:hAnsi="Arial" w:cs="Arial"/>
      <w:sz w:val="16"/>
    </w:rPr>
  </w:style>
  <w:style w:type="character" w:customStyle="1" w:styleId="HideTWBExt">
    <w:name w:val="HideTWBExt"/>
    <w:rPr>
      <w:rFonts w:ascii="Arial" w:hAnsi="Arial"/>
      <w:vanish/>
      <w:color w:val="000080"/>
      <w:sz w:val="20"/>
    </w:rPr>
  </w:style>
  <w:style w:type="paragraph" w:customStyle="1" w:styleId="EPFooter2">
    <w:name w:val="EPFooter2"/>
    <w:basedOn w:val="Normal"/>
    <w:next w:val="Normal"/>
    <w:pPr>
      <w:widowControl/>
      <w:tabs>
        <w:tab w:val="center" w:pos="4534"/>
        <w:tab w:val="right" w:pos="9920"/>
      </w:tabs>
      <w:ind w:left="-840" w:right="-840"/>
    </w:pPr>
    <w:rPr>
      <w:rFonts w:ascii="Arial" w:eastAsia="Arial" w:hAnsi="Arial" w:cs="Arial"/>
      <w:b/>
      <w:sz w:val="48"/>
    </w:rPr>
  </w:style>
  <w:style w:type="character" w:customStyle="1" w:styleId="HideTWBInt">
    <w:name w:val="HideTWBInt"/>
    <w:rPr>
      <w:rFonts w:ascii="Arial" w:eastAsia="Arial" w:hAnsi="Arial" w:cs="Arial"/>
      <w:vanish/>
      <w:color w:val="808080"/>
      <w:sz w:val="20"/>
    </w:rPr>
  </w:style>
  <w:style w:type="paragraph" w:customStyle="1" w:styleId="NormalBold">
    <w:name w:val="NormalBold"/>
    <w:basedOn w:val="Normal"/>
    <w:pPr>
      <w:widowControl/>
    </w:pPr>
    <w:rPr>
      <w:b/>
    </w:rPr>
  </w:style>
  <w:style w:type="paragraph" w:customStyle="1" w:styleId="AmOrLang">
    <w:name w:val="AmOrLang"/>
    <w:basedOn w:val="Normal"/>
    <w:pPr>
      <w:widowControl/>
      <w:spacing w:before="240" w:after="240"/>
      <w:jc w:val="right"/>
    </w:pPr>
  </w:style>
  <w:style w:type="paragraph" w:customStyle="1" w:styleId="Normal6a">
    <w:name w:val="Normal6a"/>
    <w:basedOn w:val="Normal"/>
    <w:pPr>
      <w:widowControl/>
      <w:spacing w:after="120"/>
    </w:pPr>
  </w:style>
  <w:style w:type="paragraph" w:customStyle="1" w:styleId="AmColumnHeading">
    <w:name w:val="AmColumnHeading"/>
    <w:basedOn w:val="Normal"/>
    <w:pPr>
      <w:widowControl/>
      <w:spacing w:after="240"/>
      <w:jc w:val="center"/>
    </w:pPr>
    <w:rPr>
      <w:i/>
    </w:rPr>
  </w:style>
  <w:style w:type="paragraph" w:customStyle="1" w:styleId="AmNumberTabs">
    <w:name w:val="AmNumberTabs"/>
    <w:basedOn w:val="Normal"/>
    <w:pPr>
      <w:widowControl/>
      <w:tabs>
        <w:tab w:val="left" w:pos="878"/>
        <w:tab w:val="left" w:pos="936"/>
        <w:tab w:val="left" w:pos="1020"/>
        <w:tab w:val="left" w:pos="1076"/>
        <w:tab w:val="left" w:pos="1134"/>
        <w:tab w:val="left" w:pos="1190"/>
        <w:tab w:val="left" w:pos="1246"/>
        <w:tab w:val="left" w:pos="1304"/>
        <w:tab w:val="left" w:pos="1360"/>
        <w:tab w:val="left" w:pos="1418"/>
        <w:tab w:val="left" w:pos="1474"/>
        <w:tab w:val="left" w:pos="1530"/>
        <w:tab w:val="left" w:pos="1588"/>
        <w:tab w:val="left" w:pos="1644"/>
        <w:tab w:val="left" w:pos="1700"/>
        <w:tab w:val="left" w:pos="1758"/>
        <w:tab w:val="left" w:pos="1814"/>
        <w:tab w:val="left" w:pos="1870"/>
        <w:tab w:val="left" w:pos="2070"/>
        <w:tab w:val="left" w:pos="2126"/>
        <w:tab w:val="left" w:pos="3374"/>
        <w:tab w:val="left" w:pos="3430"/>
      </w:tabs>
      <w:spacing w:before="240"/>
    </w:pPr>
    <w:rPr>
      <w:b/>
    </w:rPr>
  </w:style>
  <w:style w:type="paragraph" w:customStyle="1" w:styleId="EPFooter">
    <w:name w:val="EPFooter"/>
    <w:basedOn w:val="Normal"/>
    <w:pPr>
      <w:widowControl/>
      <w:tabs>
        <w:tab w:val="center" w:pos="4534"/>
        <w:tab w:val="right" w:pos="9070"/>
      </w:tabs>
      <w:spacing w:before="240" w:after="240"/>
    </w:pPr>
    <w:rPr>
      <w:sz w:val="22"/>
    </w:rPr>
  </w:style>
  <w:style w:type="paragraph" w:customStyle="1" w:styleId="AmCrossRef">
    <w:name w:val="AmCrossRef"/>
    <w:basedOn w:val="Normal"/>
    <w:pPr>
      <w:widowControl/>
      <w:spacing w:before="240" w:after="240"/>
      <w:jc w:val="center"/>
    </w:pPr>
    <w:rPr>
      <w:i/>
    </w:rPr>
  </w:style>
  <w:style w:type="character" w:customStyle="1" w:styleId="EPFooter2Motto">
    <w:name w:val="EPFooter2Motto"/>
    <w:rPr>
      <w:rFonts w:ascii="Arial" w:hAnsi="Arial"/>
      <w:b/>
      <w:i/>
      <w:color w:val="C0C0C0"/>
      <w:sz w:val="22"/>
    </w:rPr>
  </w:style>
  <w:style w:type="paragraph" w:customStyle="1" w:styleId="EPFooterLandscape">
    <w:name w:val="EPFooterLandscape"/>
    <w:pPr>
      <w:widowControl/>
      <w:tabs>
        <w:tab w:val="center" w:pos="6800"/>
        <w:tab w:val="right" w:pos="15020"/>
      </w:tabs>
    </w:pPr>
    <w:rPr>
      <w:sz w:val="22"/>
    </w:rPr>
  </w:style>
  <w:style w:type="paragraph" w:customStyle="1" w:styleId="Normal0">
    <w:name w:val="Normal0"/>
    <w:basedOn w:val="Normal"/>
    <w:pPr>
      <w:widowControl/>
    </w:pPr>
    <w:rPr>
      <w:sz w:val="0"/>
    </w:rPr>
  </w:style>
  <w:style w:type="paragraph" w:customStyle="1" w:styleId="EPFooter2Landscape">
    <w:name w:val="EPFooter2Landscape"/>
    <w:pPr>
      <w:widowControl/>
      <w:tabs>
        <w:tab w:val="center" w:pos="4520"/>
        <w:tab w:val="center" w:pos="9920"/>
        <w:tab w:val="right" w:pos="15020"/>
      </w:tabs>
    </w:pPr>
    <w:rPr>
      <w:rFonts w:ascii="Arial" w:eastAsia="Arial" w:hAnsi="Arial" w:cs="Arial"/>
      <w:b/>
      <w:sz w:val="48"/>
    </w:rPr>
  </w:style>
  <w:style w:type="character" w:customStyle="1" w:styleId="EPFooter2Middle">
    <w:name w:val="EPFooter2Middle"/>
    <w:rPr>
      <w:rFonts w:ascii="Arial" w:hAnsi="Arial"/>
      <w:b w:val="0"/>
      <w:i/>
      <w:color w:val="AEAAAA"/>
      <w:sz w:val="22"/>
      <w:shd w:val="pct50" w:color="auto" w:fill="auto" w:themeColor="bg2" w:themeFill="bg2"/>
    </w:rPr>
  </w:style>
  <w:style w:type="paragraph" w:customStyle="1" w:styleId="PMissingStyle">
    <w:name w:val="P_MissingStyle"/>
    <w:basedOn w:val="Normal"/>
    <w:pPr>
      <w:widowControl/>
    </w:pPr>
    <w:rPr>
      <w:color w:val="FFFFFF"/>
      <w:shd w:val="clear" w:color="000000" w:fill="000000"/>
    </w:rPr>
  </w:style>
  <w:style w:type="character" w:customStyle="1" w:styleId="CMissingStyle">
    <w:name w:val="C_MissingStyle"/>
    <w:rPr>
      <w:color w:val="FFFFFF"/>
      <w:sz w:val="22"/>
      <w:shd w:val="clear" w:color="000000" w:fill="000000"/>
    </w:rPr>
  </w:style>
  <w:style w:type="paragraph" w:customStyle="1" w:styleId="Normal12a">
    <w:name w:val="Normal12a"/>
    <w:basedOn w:val="Normal"/>
    <w:pPr>
      <w:widowControl/>
      <w:spacing w:after="240"/>
    </w:pPr>
  </w:style>
  <w:style w:type="paragraph" w:customStyle="1" w:styleId="NormalBold12b">
    <w:name w:val="NormalBold12b"/>
    <w:basedOn w:val="Normal"/>
    <w:pPr>
      <w:widowControl/>
      <w:spacing w:before="240"/>
    </w:pPr>
    <w:rPr>
      <w:b/>
    </w:rPr>
  </w:style>
  <w:style w:type="paragraph" w:customStyle="1" w:styleId="AmJustTitle">
    <w:name w:val="AmJustTitle"/>
    <w:basedOn w:val="Normal"/>
    <w:next w:val="AmJustText"/>
    <w:pPr>
      <w:keepNext/>
      <w:widowControl/>
      <w:spacing w:before="240" w:after="240"/>
      <w:jc w:val="center"/>
    </w:pPr>
    <w:rPr>
      <w:i/>
    </w:rPr>
  </w:style>
  <w:style w:type="paragraph" w:customStyle="1" w:styleId="AmJustText">
    <w:name w:val="AmJustText"/>
    <w:basedOn w:val="Normal"/>
    <w:pPr>
      <w:widowControl/>
      <w:spacing w:after="240"/>
    </w:pPr>
    <w:rPr>
      <w:i/>
    </w:rPr>
  </w:style>
</w:styles>
</file>

<file path=word/webSettings.xml><?xml version="1.0" encoding="utf-8"?>
<w:webSettings xmlns:r="http://schemas.openxmlformats.org/officeDocument/2006/relationships" xmlns:w="http://schemas.openxmlformats.org/wordprocessingml/2006/main"/>
</file>

<file path=word/_rels/document.xml.rels><?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image" Target="media/image1.png" /><Relationship Id="rId5" Type="http://schemas.openxmlformats.org/officeDocument/2006/relationships/footer" Target="footer1.xml" /><Relationship Id="rId6" Type="http://schemas.openxmlformats.org/officeDocument/2006/relationships/footer" Target="footer2.xml" /><Relationship Id="rId7" Type="http://schemas.openxmlformats.org/officeDocument/2006/relationships/footer" Target="footer3.xml" /><Relationship Id="rId8" Type="http://schemas.openxmlformats.org/officeDocument/2006/relationships/theme" Target="theme/theme1.xml" /><Relationship Id="rId9" Type="http://schemas.openxmlformats.org/officeDocument/2006/relationships/styles" Target="styl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Template>
  <TotalTime>0</TotalTime>
  <Pages>70</Pages>
  <Words>17658</Words>
  <Characters>109360</Characters>
  <Application>Microsoft Office Word</Application>
  <DocSecurity>0</DocSecurity>
  <Lines>1</Lines>
  <Paragraphs>991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126151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AM_Com_NonLegReport</dc:title>
  <dc:creator>European Parliament</dc:creator>
  <cp:lastModifiedBy>European Parliament</cp:lastModifiedBy>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IT</vt:lpwstr>
  </property>
  <property fmtid="{D5CDD505-2E9C-101B-9397-08002B2CF9AE}" pid="3" name="&lt;FdR&gt;">
    <vt:lpwstr>1331809</vt:lpwstr>
  </property>
  <property fmtid="{D5CDD505-2E9C-101B-9397-08002B2CF9AE}" pid="4" name="&lt;Model&gt;">
    <vt:lpwstr>AM_Com_NonLegReport</vt:lpwstr>
  </property>
  <property fmtid="{D5CDD505-2E9C-101B-9397-08002B2CF9AE}" pid="5" name="&lt;Type&gt;">
    <vt:lpwstr>AM</vt:lpwstr>
  </property>
  <property fmtid="{D5CDD505-2E9C-101B-9397-08002B2CF9AE}" pid="6" name="dmxml.render.id">
    <vt:lpwstr>297621</vt:lpwstr>
  </property>
  <property fmtid="{D5CDD505-2E9C-101B-9397-08002B2CF9AE}" pid="7" name="dmxml.render.traceId">
    <vt:lpwstr>69298a517aa3226ae0bf3ba577403d10</vt:lpwstr>
  </property>
  <property fmtid="{D5CDD505-2E9C-101B-9397-08002B2CF9AE}" pid="8" name="FooterPath">
    <vt:lpwstr>AM\1331809IT.docx</vt:lpwstr>
  </property>
  <property fmtid="{D5CDD505-2E9C-101B-9397-08002B2CF9AE}" pid="9" name="PE Number">
    <vt:lpwstr>779.587</vt:lpwstr>
  </property>
  <property fmtid="{D5CDD505-2E9C-101B-9397-08002B2CF9AE}" pid="10" name="UID">
    <vt:lpwstr>eu.europa.europarl-DIN1-2025-0000220744_01.00-it-01.00_text-xml</vt:lpwstr>
  </property>
</Properties>
</file>