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Comisia pentru control bugetar</w:t>
      </w:r>
      <w:r>
        <w:rPr>
          <w:rStyle w:val="HideTWBExt"/>
        </w:rPr>
        <w:t>&lt;/Commission&gt;</w:t>
      </w:r>
    </w:p>
    <w:p>
      <w:pPr>
        <w:pStyle w:val="LineBottom"/>
      </w:pPr>
      <w:r>
        <w:t xml:space="preserve"> </w:t>
      </w:r>
    </w:p>
    <w:p>
      <w:pPr>
        <w:pStyle w:val="CoverReference"/>
      </w:pPr>
      <w:r>
        <w:rPr>
          <w:rStyle w:val="HideTWBExt"/>
        </w:rPr>
        <w:t>&lt;RefProc&gt;</w:t>
      </w:r>
      <w:r>
        <w:t>2025/2034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{14/11/2025}</w:t>
      </w:r>
      <w:r>
        <w:t>14.11.2025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111</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Olivier Chastel</w:t>
      </w:r>
      <w:r>
        <w:rPr>
          <w:rStyle w:val="HideTWBExt"/>
        </w:rPr>
        <w:t>&lt;/Rapporteur&gt;</w:t>
      </w:r>
    </w:p>
    <w:p>
      <w:pPr>
        <w:pStyle w:val="CoverNormal24a"/>
      </w:pPr>
      <w:r>
        <w:rPr>
          <w:rStyle w:val="HideTWBExt"/>
        </w:rPr>
        <w:t>&lt;DocRefPE&gt;</w:t>
      </w:r>
      <w:r>
        <w:t>(PE778.327v01-00)</w:t>
      </w:r>
      <w:r>
        <w:rPr>
          <w:rStyle w:val="HideTWBExt"/>
        </w:rPr>
        <w:t>&lt;/DocRefPE&gt;</w:t>
      </w:r>
    </w:p>
    <w:p>
      <w:pPr>
        <w:pStyle w:val="CoverNormal"/>
      </w:pPr>
      <w:r>
        <w:rPr>
          <w:rStyle w:val="HideTWBExt"/>
        </w:rPr>
        <w:t>&lt;Titre&gt;</w:t>
      </w:r>
      <w:r>
        <w:t>Alegerea indicatorilor de performanță pentru audit și control bugetar în contextul măsurilor de finanțare menite să sprijine realizarea competitivității europene pe viitor</w:t>
      </w:r>
      <w:r>
        <w:rPr>
          <w:rStyle w:val="HideTWBExt"/>
        </w:rPr>
        <w:t>&lt;/Titre&gt;</w:t>
      </w:r>
    </w:p>
    <w:p>
      <w:pPr>
        <w:pStyle w:val="CoverNormal24a"/>
      </w:pPr>
      <w:r>
        <w:rPr>
          <w:rStyle w:val="HideTWBExt"/>
        </w:rPr>
        <w:t>&lt;DocRef&gt;</w:t>
      </w:r>
      <w:r>
        <w:t>(2025/2034(INI))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având în vedere Tratatul privind funcționarea Uniunii Europene,</w:t>
            </w:r>
          </w:p>
        </w:tc>
        <w:tc>
          <w:tcPr>
            <w:tcW w:w="4876" w:type="dxa"/>
            <w:tcBorders>
              <w:top w:val="nil"/>
              <w:left w:val="nil"/>
              <w:bottom w:val="nil"/>
              <w:right w:val="nil"/>
            </w:tcBorders>
          </w:tcPr>
          <w:p>
            <w:pPr>
              <w:pStyle w:val="Normal6a"/>
            </w:pPr>
            <w:r>
              <w:t>–</w:t>
            </w:r>
            <w:r>
              <w:tab/>
            </w:r>
            <w:r>
              <w:t xml:space="preserve">având în vedere Tratatul privind funcționarea Uniunii Europene, </w:t>
            </w:r>
            <w:r>
              <w:rPr>
                <w:b/>
                <w:i/>
              </w:rPr>
              <w:t>în special articolul 318 și articolul 322 alineatul (1) litera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Pr>
                <w:b/>
                <w:i/>
                <w:vertAlign w:val="superscript"/>
              </w:rPr>
              <w:t>4</w:t>
            </w:r>
            <w:r>
              <w:rPr>
                <w:b/>
                <w:i/>
              </w:rPr>
              <w: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JO L 433 I, 22.12.2020, p.</w:t>
            </w:r>
            <w:r>
              <w:t xml:space="preserve"> </w:t>
            </w:r>
            <w:r>
              <w:rPr>
                <w:b/>
                <w:i/>
              </w:rPr>
              <w:t>28, ELI:</w:t>
            </w:r>
            <w:r>
              <w:t xml:space="preserve"> </w:t>
            </w:r>
            <w:r>
              <w:rPr>
                <w:b/>
                <w:i/>
              </w:rPr>
              <w:t>http://data.europa.eu/eli/agree_interinstit/2020/1222/oj.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articolul 318 din TFUE prevede obligația Comisiei de a prezenta anual Parlamentului European și Consiliului conturile exercițiului financiar precedent referitoare la execuția bugetului, precum și un raport de evaluare a finanțelor Uniunii bazat pe rezultatele obținute;</w:t>
            </w:r>
            <w:r>
              <w:t xml:space="preserve"> </w:t>
            </w:r>
            <w:r>
              <w:rPr>
                <w:b/>
                <w:i/>
              </w:rPr>
              <w:t>întrucât, în plus, în temeiul articolului 322 din TFUE, normele financiare ar trebui aplicate pentru a determina execuția bugetului și pentru a prezenta și audita conturile;</w:t>
            </w:r>
            <w:r>
              <w:t xml:space="preserve"> </w:t>
            </w:r>
            <w:r>
              <w:rPr>
                <w:b/>
                <w:i/>
              </w:rPr>
              <w:t>întrucât utilizarea unor indicatori adecvați, fiabili și transparenți cu privire la rezultatele obținute și în scopuri de audit poate îmbunătăți evaluarea execuției bugetare și procesul de comparare pe bază anuală desfășurat de Parlamentul European și de Consiliu;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în conformitate cu Regulamentul financiar, ar trebui stabilită o legătură între obiectivele fixate și indicatorii de performanță, rezultate și principiile economiei, eficienței și eficacității; întrucât progresele înregistrate în procesul de realizare a obiectivelor ar trebui monitorizate cu ajutorul unor indicatori de performanță relevanți, acceptați, credibili, simpli, solizi și bazați pe dovezi științifice recunoscute pe scară largă; întrucât ar trebui definită o metodologie eficace, transparentă și cuprinzătoare, după caz;</w:t>
            </w:r>
          </w:p>
        </w:tc>
        <w:tc>
          <w:tcPr>
            <w:tcW w:w="4876" w:type="dxa"/>
            <w:tcBorders>
              <w:top w:val="nil"/>
              <w:left w:val="nil"/>
              <w:bottom w:val="nil"/>
              <w:right w:val="nil"/>
            </w:tcBorders>
          </w:tcPr>
          <w:p>
            <w:pPr>
              <w:pStyle w:val="Normal6a"/>
            </w:pPr>
            <w:r>
              <w:t>B.</w:t>
            </w:r>
            <w:r>
              <w:tab/>
            </w:r>
            <w:r>
              <w:t xml:space="preserve">întrucât, în conformitate cu Regulamentul financiar, ar trebui stabilită o legătură între obiectivele fixate și indicatorii de performanță, rezultate și principiile economiei, eficienței și eficacității; întrucât </w:t>
            </w:r>
            <w:r>
              <w:rPr>
                <w:b/>
                <w:i/>
              </w:rPr>
              <w:t>Regulamentul financiar reformat din 2024 a consolidat temeiul juridic al cadrului de performanță și a confirmat că</w:t>
            </w:r>
            <w:r>
              <w:t xml:space="preserve"> progresele înregistrate în procesul de realizare a obiectivelor ar trebui monitorizate cu ajutorul unor indicatori de performanță </w:t>
            </w:r>
            <w:r>
              <w:rPr>
                <w:b/>
                <w:i/>
              </w:rPr>
              <w:t>care îndeplinesc criteriile RACER (</w:t>
            </w:r>
            <w:r>
              <w:t>relevanți, acceptați, credibili, simpli, solizi</w:t>
            </w:r>
            <w:r>
              <w:rPr>
                <w:b/>
                <w:i/>
              </w:rPr>
              <w:t>)</w:t>
            </w:r>
            <w:r>
              <w:t xml:space="preserve"> și bazați pe dovezi științifice recunoscute pe scară largă </w:t>
            </w:r>
            <w:r>
              <w:rPr>
                <w:b/>
                <w:i/>
              </w:rPr>
              <w:t>și, după caz, defalcați în funcție de gen și agregabili</w:t>
            </w:r>
            <w:r>
              <w:t>; întrucât ar trebui definită o metodologie eficace, transparentă și cuprinzătoare,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în conformitate cu Regulamentul financiar, ar trebui stabilită o legătură între obiectivele fixate și indicatorii de performanță, rezultate și principiile economiei, eficienței și eficacității; întrucât progresele înregistrate în procesul de realizare a obiectivelor ar trebui monitorizate cu ajutorul unor indicatori de performanță relevanți, acceptați, credibili, simpli, solizi și bazați pe dovezi științifice recunoscute pe scară largă; întrucât ar trebui definită o metodologie eficace, transparentă și cuprinzătoare, după caz;</w:t>
            </w:r>
          </w:p>
        </w:tc>
        <w:tc>
          <w:tcPr>
            <w:tcW w:w="4876" w:type="dxa"/>
            <w:tcBorders>
              <w:top w:val="nil"/>
              <w:left w:val="nil"/>
              <w:bottom w:val="nil"/>
              <w:right w:val="nil"/>
            </w:tcBorders>
          </w:tcPr>
          <w:p>
            <w:pPr>
              <w:pStyle w:val="Normal6a"/>
            </w:pPr>
            <w:r>
              <w:t>B.</w:t>
            </w:r>
            <w:r>
              <w:tab/>
            </w:r>
            <w:r>
              <w:t>întrucât, în conformitate cu Regulamentul financiar, ar trebui stabilită o legătură între obiectivele fixate și indicatorii de performanță, rezultate și principiile economiei, eficienței și eficacității; întrucât progresele înregistrate în procesul de realizare a obiectivelor ar trebui monitorizate cu ajutorul unor indicatori de performanță relevanți, acceptați, credibili, simpli, solizi și bazați pe dovezi științifice recunoscute pe scară largă</w:t>
            </w:r>
            <w:r>
              <w:rPr>
                <w:b/>
                <w:i/>
              </w:rPr>
              <w:t>, cu definiții clare și puși la dispoziție într-un format deschis și prelucrabil automat</w:t>
            </w:r>
            <w:r>
              <w:t>; întrucât ar trebui definită o metodologie eficace, transparentă și cuprinzătoare,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propunerea Comisiei de regulament al Parlamentului European și al Consiliului de instituire a unui cadru de monitorizare a cheltuielilor bugetare și de performanță a bugetului și de stabilire a altor norme orizontale pentru programele și activitățile Uniunii a pus bazele unui cadru unic de performanță a bugetului;</w:t>
            </w:r>
            <w:r>
              <w:t xml:space="preserve"> </w:t>
            </w:r>
            <w:r>
              <w:rPr>
                <w:b/>
                <w:i/>
              </w:rPr>
              <w:t>întrucât propunerea definește „indicatorul de realizare” ca fiind un indicator cantitativ de performanță care monitorizează ceea ce este produs sau sprijinit în mod direct prin punerea în aplicare a unei activități și „indicatorul de rezultat” ca reprezentând un indicator cantitativ de performanță care monitorizează efectele directe ale activităților sprijinite;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asigurarea prosperității și a competitivității sustenabile a UE </w:t>
            </w:r>
            <w:r>
              <w:rPr>
                <w:b/>
                <w:i/>
              </w:rPr>
              <w:t>face</w:t>
            </w:r>
            <w:r>
              <w:t xml:space="preserve"> parte </w:t>
            </w:r>
            <w:r>
              <w:rPr>
                <w:b/>
                <w:i/>
              </w:rPr>
              <w:t>din prioritățile</w:t>
            </w:r>
            <w:r>
              <w:t xml:space="preserve"> politice ale Comisiei pentru perioada 2024-2029;</w:t>
            </w:r>
          </w:p>
        </w:tc>
        <w:tc>
          <w:tcPr>
            <w:tcW w:w="4876" w:type="dxa"/>
            <w:tcBorders>
              <w:top w:val="nil"/>
              <w:left w:val="nil"/>
              <w:bottom w:val="nil"/>
              <w:right w:val="nil"/>
            </w:tcBorders>
          </w:tcPr>
          <w:p>
            <w:pPr>
              <w:pStyle w:val="Normal6a"/>
            </w:pPr>
            <w:r>
              <w:t>C.</w:t>
            </w:r>
            <w:r>
              <w:tab/>
            </w:r>
            <w:r>
              <w:t xml:space="preserve">întrucât asigurarea prosperității și a competitivității sustenabile a UE </w:t>
            </w:r>
            <w:r>
              <w:rPr>
                <w:b/>
                <w:i/>
              </w:rPr>
              <w:t>reprezintă o</w:t>
            </w:r>
            <w:r>
              <w:t xml:space="preserve"> parte </w:t>
            </w:r>
            <w:r>
              <w:rPr>
                <w:b/>
                <w:i/>
              </w:rPr>
              <w:t>esențială a priorităților</w:t>
            </w:r>
            <w:r>
              <w:t xml:space="preserve"> politice ale Comisiei pentru perioada 2024-2029; </w:t>
            </w:r>
            <w:r>
              <w:rPr>
                <w:b/>
                <w:i/>
              </w:rPr>
              <w:t>întrucât va fi necesar să se atragă și să se mobilizeze investiții private pentru a îndeplini în mod eficace aceste obiective, iar în acest scop finalizarea uniunii bancare și dezvoltarea uniunii economiilor și a investițiilor vor fi esențiale;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asigurarea prosperității și a competitivității sustenabile a UE face parte din prioritățile politice ale Comisiei pentru perioada 2024-2029;</w:t>
            </w:r>
          </w:p>
        </w:tc>
        <w:tc>
          <w:tcPr>
            <w:tcW w:w="4876" w:type="dxa"/>
            <w:tcBorders>
              <w:top w:val="nil"/>
              <w:left w:val="nil"/>
              <w:bottom w:val="nil"/>
              <w:right w:val="nil"/>
            </w:tcBorders>
          </w:tcPr>
          <w:p>
            <w:pPr>
              <w:pStyle w:val="Normal6a"/>
            </w:pPr>
            <w:r>
              <w:t>C.</w:t>
            </w:r>
            <w:r>
              <w:tab/>
            </w:r>
            <w:r>
              <w:t>întrucât asigurarea prosperității și a competitivității sustenabile a UE</w:t>
            </w:r>
            <w:r>
              <w:rPr>
                <w:b/>
                <w:i/>
              </w:rPr>
              <w:t>, promovând echitatea socială și consolidând coeziunea regională,</w:t>
            </w:r>
            <w:r>
              <w:t xml:space="preserve"> face parte din prioritățile politice ale Comisiei pentru perioada 2024-2029;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raportul Draghi a atras atenția asupra faptului că scăderea competitivității UE, exacerbată de mediul geopolitic din ce în ce mai instabil și cumulată cu succesiunea crizelor cu care s-a confruntat Uniunea în ultimii ani, reprezintă o amenințare existențială la adresa Uniunii; întrucât raportul estimează că UE trebuie să mobilizeze investiții publice și private suplimentare echivalente cu 4,4-4,7 % din PIB-ul UE – aproximativ 750-800 de miliarde EUR anual între 2025 și 2030 – pentru a elimina deficitul de investiții;</w:t>
            </w:r>
          </w:p>
        </w:tc>
        <w:tc>
          <w:tcPr>
            <w:tcW w:w="4876" w:type="dxa"/>
            <w:tcBorders>
              <w:top w:val="nil"/>
              <w:left w:val="nil"/>
              <w:bottom w:val="nil"/>
              <w:right w:val="nil"/>
            </w:tcBorders>
          </w:tcPr>
          <w:p>
            <w:pPr>
              <w:pStyle w:val="Normal6a"/>
            </w:pPr>
            <w:r>
              <w:t>D.</w:t>
            </w:r>
            <w:r>
              <w:tab/>
            </w:r>
            <w:r>
              <w:t xml:space="preserve">întrucât raportul Draghi a atras atenția asupra faptului că scăderea competitivității UE, exacerbată de mediul geopolitic din ce în ce mai instabil și cumulată cu succesiunea crizelor cu care s-a confruntat Uniunea în ultimii ani, reprezintă o amenințare existențială la adresa Uniunii; întrucât raportul </w:t>
            </w:r>
            <w:r>
              <w:rPr>
                <w:b/>
                <w:i/>
              </w:rPr>
              <w:t>prevede că singura modalitate de a face față acestei provocări este de a crește și de a deveni mai productivi, menținându-ne în același timp valorile echității și incluziunii sociale;</w:t>
            </w:r>
            <w:r>
              <w:t xml:space="preserve"> </w:t>
            </w:r>
            <w:r>
              <w:rPr>
                <w:b/>
                <w:i/>
              </w:rPr>
              <w:t>întrucât raportul</w:t>
            </w:r>
            <w:r>
              <w:t xml:space="preserve"> estimează că UE trebuie să mobilizeze investiții publice și private suplimentare echivalente cu 4,4-4,7 % din PIB-ul UE – aproximativ 750-800 de miliarde EUR anual între 2025 și 2030 – pentru a elimina deficitul de investiții; </w:t>
            </w:r>
            <w:r>
              <w:rPr>
                <w:b/>
                <w:i/>
              </w:rPr>
              <w:t>întrucât aceste investiții masive ar trebui canalizate în principal către dubla tranziție verde și digitală, asigurând sustenabilitatea socială și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raportul Draghi a documentat faptul că prețurile ridicate la energie din Europa, care sunt în prezent de 2-3 ori mai mari decât în SUA sau China, subminează competitivitatea Uniunii;</w:t>
            </w:r>
            <w:r>
              <w:t xml:space="preserve"> </w:t>
            </w:r>
            <w:r>
              <w:rPr>
                <w:b/>
                <w:i/>
              </w:rPr>
              <w:t>întrucât actualul sistem al UE de comercializare a certificatelor de emisii (ETS), în pofida obiectivului său legat de mediu, a contribuit în mod semnificativ la volatilitatea prețurilor și la o creștere artificială a costurilor de producție a energiei electrice;</w:t>
            </w:r>
            <w:r>
              <w:t xml:space="preserve"> </w:t>
            </w:r>
            <w:r>
              <w:rPr>
                <w:b/>
                <w:i/>
              </w:rPr>
              <w:t>întrucât modelul tarifării marginale al pieței energiei electrice din UE permite celei mai scumpe surse de energie – de obicei, producția pe bază de cărbune sau gaze – să stabilească prețul final al pieței, ceea ce duce la o supraevaluare structurală a surselor de energie electrică mai ieftine și regenerabile;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întrucât raportul Draghi a subliniat că interconectivitatea energetică insuficientă și infrastructura națională fragmentată rămân obstacole majore în calea realizării unei piețe europene integrate și reziliente a energiei, împiedicând, prin urmare, piața internă să funcționeze ca o veritabilă piață unică a energiei, în detrimentul consumatorilor și al întreprinderilor europene;</w:t>
            </w:r>
            <w:r>
              <w:t xml:space="preserve"> </w:t>
            </w:r>
            <w:r>
              <w:rPr>
                <w:b/>
                <w:i/>
              </w:rPr>
              <w:t>întrucât interconexiunile energetice transfrontaliere de mai mare anvergură – inclusiv rețelele de energie electrică, rețelele de gaze și coridoarele de hidrogen – sunt esențiale pentru reducerea costurilor energiei, îmbunătățirea securității aprovizionării, facilitarea utilizării depline a energiei din surse regenerabile și asigurarea faptului că tranziția Europei către o energie curată consolidează, mai degrabă decât slăbește, competitivitatea sa industrială;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întrucât finalizarea și modernizarea coridoarelor europene de transport – inclusiv a căilor navigabile interioare, a rețelelor feroviare și a infrastructurii rutiere – sunt esențiale pentru a consolida competitivitatea UE, a facilita conectivitatea eficientă Vest-Est și pentru a asigura accesul neîntrerupt al produselor UE la noi piețe, inclusiv în Asia;</w:t>
            </w:r>
            <w:r>
              <w:t xml:space="preserve"> </w:t>
            </w:r>
            <w:r>
              <w:rPr>
                <w:b/>
                <w:i/>
              </w:rPr>
              <w:t>întrucât coridoarele multimodale pe deplin funcționale vor reduce timpii de tranzit și amprenta de carbon, vor diminua costurile logistice, vor îmbunătăți fluxurile comerciale și vor sprijini coeziunea economică între statele membre;</w:t>
            </w:r>
            <w:r>
              <w:t xml:space="preserve"> </w:t>
            </w:r>
            <w:r>
              <w:rPr>
                <w:b/>
                <w:i/>
              </w:rPr>
              <w:t>întrucât investițiile în aceste coridoare strategice reprezintă un element-cheie al strategiei comerciale globale și al rezilienței industriale a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întrucât regiunea Mării Negre joacă un rol strategic în consolidarea conectivității Uniunii Europene cu Orientul Mijlociu și Asia, servind drept punct de acces esențial pentru rutele comerciale, aprovizionarea cu energie și accesul la materii prime critice, inclusiv gaze naturale, metale rare și alte resurse esențiale;</w:t>
            </w:r>
            <w:r>
              <w:t xml:space="preserve"> </w:t>
            </w:r>
            <w:r>
              <w:rPr>
                <w:b/>
                <w:i/>
              </w:rPr>
              <w:t>întrucât consolidarea infrastructurii de transport, energetice și digitale în bazinul Mării Negre este vitală pentru diversificarea lanțurilor de aprovizionare, asigurarea securității energetice și creșterea competitivității industriale și a rezilienței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întrucât Coridorul central, care conectează Europa cu Asia Centrală și cu Orientul Mijlociu traversând Caucazul de Sud și regiunea Mării Caspice, este o rută comercială strategică care sporește competitivitatea UE prin reducerea timpului de tranzit, reducerea costurilor logistice, diversificarea lanțurilor de aprovizionare și consolidarea rezilienței industriale;</w:t>
            </w:r>
            <w:r>
              <w:t xml:space="preserve"> </w:t>
            </w:r>
            <w:r>
              <w:rPr>
                <w:b/>
                <w:i/>
              </w:rPr>
              <w:t>întrucât investițiile specifice în infrastructura feroviară, rutieră și portuară, precum și în cablurile electrice și de date de-a lungul acestui coridor sunt esențiale pentru fluxuri comerciale sigure, eficiente și sustenabile;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întrucât Busola pentru competitivitate, care valorifică, de asemenea, conținutul raportului Draghi, stabilește calea strategică care permite Uniunii să-și restabilească competitivitatea la nivel mondial, axându-se pe trei piloni centrali – inovarea, decarbonizarea și securitatea economică –, completați de factori favorizanți orizontali, cum ar fi simplificarea, o coordonare sporită la nivelul UE și al statelor membre și o piață unică consolidată, în conformitate cu raportul Letta;</w:t>
            </w:r>
          </w:p>
        </w:tc>
        <w:tc>
          <w:tcPr>
            <w:tcW w:w="4876" w:type="dxa"/>
            <w:tcBorders>
              <w:top w:val="nil"/>
              <w:left w:val="nil"/>
              <w:bottom w:val="nil"/>
              <w:right w:val="nil"/>
            </w:tcBorders>
          </w:tcPr>
          <w:p>
            <w:pPr>
              <w:pStyle w:val="Normal6a"/>
            </w:pPr>
            <w:r>
              <w:t>E.</w:t>
            </w:r>
            <w:r>
              <w:tab/>
            </w:r>
            <w:r>
              <w:t xml:space="preserve">întrucât Busola pentru competitivitate, care valorifică, de asemenea, conținutul raportului Draghi, stabilește calea strategică care permite Uniunii să-și restabilească competitivitatea la nivel mondial, axându-se pe trei piloni centrali – inovarea, decarbonizarea și securitatea economică –, completați de factori favorizanți orizontali, cum ar fi simplificarea, </w:t>
            </w:r>
            <w:r>
              <w:rPr>
                <w:b/>
                <w:i/>
              </w:rPr>
              <w:t>promovarea competențelor și a locurilor de muncă de calitate,</w:t>
            </w:r>
            <w:r>
              <w:t xml:space="preserve"> o coordonare sporită la nivelul UE și al statelor membre și o piață unică consolidată, în conformitate cu raportul Letta; </w:t>
            </w:r>
            <w:r>
              <w:rPr>
                <w:b/>
                <w:i/>
              </w:rPr>
              <w:t>întrucât orice strategie privind competitivitatea trebuie să se bazeze pe Pilonul european al drepturilor sociale, pe obiectivele de dezvoltare durabilă ale ONU și pe principiile impozitării echitabile, coeziunii sociale și reducerii inegalităților;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CCE a constatat în mod repetat deficiențe cu privire la conceperea și punerea în aplicare a sistemelor de măsurare a performanței utilizate pentru programele de finanțare ale UE, precum și cu privire la mecanismele de garantare a responsabilității acestora și a solicitat utilizarea pe scară mai largă a indicatorilor de performanță care măsoară și monitorizează efectele pe termen mai lung ale cheltuielilor UE,</w:t>
            </w:r>
          </w:p>
        </w:tc>
        <w:tc>
          <w:tcPr>
            <w:tcW w:w="4876" w:type="dxa"/>
            <w:tcBorders>
              <w:top w:val="nil"/>
              <w:left w:val="nil"/>
              <w:bottom w:val="nil"/>
              <w:right w:val="nil"/>
            </w:tcBorders>
          </w:tcPr>
          <w:p>
            <w:pPr>
              <w:pStyle w:val="Normal6a"/>
            </w:pPr>
            <w:r>
              <w:t>F.</w:t>
            </w:r>
            <w:r>
              <w:tab/>
            </w:r>
            <w:r>
              <w:t xml:space="preserve">întrucât CCE a constatat în mod repetat deficiențe cu privire la conceperea și punerea în aplicare a sistemelor de măsurare a performanței utilizate pentru programele de finanțare ale UE, precum și cu privire la mecanismele de garantare a responsabilității acestora și a solicitat utilizarea pe scară mai largă a indicatorilor de performanță care măsoară și monitorizează efectele pe termen mai lung ale cheltuielilor UE, </w:t>
            </w:r>
            <w:r>
              <w:rPr>
                <w:b/>
                <w:i/>
              </w:rPr>
              <w:t>întrucât asigurarea fiabilității informațiilor referitoare la performanță este indispensabilă pentru protejarea intereselor financiare ale Uniunii și pentru consolidarea încrederii publicului în bugetul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în urma evaluării intermediare a programului InvestEU, s-a constatat că punerea în aplicare este foarte avansată, acest proces contribuind la realizarea obiectivelor ecologice, digitale și sociale ale UE prin promovarea inovării și evidențiind, în același timp, sarcinile administrative persistente;</w:t>
            </w:r>
            <w:r>
              <w:t xml:space="preserve"> </w:t>
            </w:r>
            <w:r>
              <w:rPr>
                <w:b/>
                <w:i/>
              </w:rPr>
              <w:t>întrucât în urma evaluării s-a constatat că, având în vedere stadiul incipient al punerii în aplicare a programului, există un număr limitat de date cuprinzătoare privind indicatorii-cheie de performanță și indicatorii-cheie de monitorizare;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sunt necesare măsuri decisive pentru a crește competitivitatea Europei în vederea sprijinirii unor niveluri mai ridicate de productivitate, ocupare a forței de muncă și prosperitate;</w:t>
            </w:r>
            <w:r>
              <w:t xml:space="preserve"> </w:t>
            </w:r>
            <w:r>
              <w:rPr>
                <w:b/>
                <w:i/>
              </w:rPr>
              <w:t>întrucât piața unică integrată rămâne coloana vertebrală a puterii economice a UE și fundamentul prosperității sale pe termen lung;</w:t>
            </w:r>
            <w:r>
              <w:t xml:space="preserve"> </w:t>
            </w:r>
            <w:r>
              <w:rPr>
                <w:b/>
                <w:i/>
              </w:rPr>
              <w:t>întrucât inovarea, dezvoltarea competențelor și libera circulație a bunurilor, serviciilor, capitalului și forței de muncă sunt factori-cheie ai competitivității și creșterii economice;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cheltuielile UE care vizează competitivitatea trebuie să fie în concordanță cu principiul de „a nu aduce prejudicii semnificative” și cu taxonomia UE și ar trebui să integreze obiectivele privind clima, biodiversitatea, aspectele sociale și egalitatea de gen, asigurându-se că indicatorii de performanță urmăresc aceste dimensiuni alături de realizările și rezultatele economice;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reamintește necesitatea de a se asigura faptul că bugetul UE îndeplinește prioritățile de politică ale Uniunii, inclusiv stimularea competitivității</w:t>
            </w:r>
            <w:r>
              <w:rPr>
                <w:b/>
                <w:i/>
              </w:rPr>
              <w:t>, promovarea prosperității sustenabile și asigurarea suveranității și independenței UE ca actor geopolitic</w:t>
            </w:r>
            <w:r>
              <w:t>;</w:t>
            </w:r>
          </w:p>
        </w:tc>
        <w:tc>
          <w:tcPr>
            <w:tcW w:w="4876" w:type="dxa"/>
            <w:tcBorders>
              <w:top w:val="nil"/>
              <w:left w:val="nil"/>
              <w:bottom w:val="nil"/>
              <w:right w:val="nil"/>
            </w:tcBorders>
          </w:tcPr>
          <w:p>
            <w:pPr>
              <w:pStyle w:val="Normal6a"/>
            </w:pPr>
            <w:r>
              <w:t>1.</w:t>
            </w:r>
            <w:r>
              <w:tab/>
            </w:r>
            <w:r>
              <w:t xml:space="preserve">reamintește necesitatea de a se asigura faptul că bugetul UE îndeplinește prioritățile de politică ale Uniunii, inclusiv stimularea </w:t>
            </w:r>
            <w:r>
              <w:rPr>
                <w:b/>
                <w:i/>
              </w:rPr>
              <w:t>creșterii economice și a</w:t>
            </w:r>
            <w:r>
              <w:t xml:space="preserve"> competitivității </w:t>
            </w:r>
            <w:r>
              <w:rPr>
                <w:b/>
                <w:i/>
              </w:rPr>
              <w:t>și generarea unei valori adăugate clare pentru cetățenii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reamintește necesitatea de a se asigura faptul că bugetul UE </w:t>
            </w:r>
            <w:r>
              <w:rPr>
                <w:b/>
                <w:i/>
              </w:rPr>
              <w:t>îndeplinește prioritățile de politică ale Uniunii, inclusiv</w:t>
            </w:r>
            <w:r>
              <w:t xml:space="preserve"> stimularea competitivității, promovarea prosperității sustenabile și asigurarea suveranității și independenței UE ca actor geopolitic;</w:t>
            </w:r>
          </w:p>
        </w:tc>
        <w:tc>
          <w:tcPr>
            <w:tcW w:w="4876" w:type="dxa"/>
            <w:tcBorders>
              <w:top w:val="nil"/>
              <w:left w:val="nil"/>
              <w:bottom w:val="nil"/>
              <w:right w:val="nil"/>
            </w:tcBorders>
          </w:tcPr>
          <w:p>
            <w:pPr>
              <w:pStyle w:val="Normal6a"/>
            </w:pPr>
            <w:r>
              <w:t>1.</w:t>
            </w:r>
            <w:r>
              <w:tab/>
            </w:r>
            <w:r>
              <w:t xml:space="preserve">reamintește necesitatea de a se asigura faptul că bugetul UE </w:t>
            </w:r>
            <w:r>
              <w:rPr>
                <w:b/>
                <w:i/>
              </w:rPr>
              <w:t>generează rezultate concrete, în conformitate cu principiile bunei gestiuni financiare, punând accentul pe indicatori măsurabili care vizează productivitatea, ocuparea forței de muncă și inovarea, obiectivele urmărite fiind</w:t>
            </w:r>
            <w:r>
              <w:t xml:space="preserve"> stimularea competitivității, promovarea prosperității sustenabile și asigurarea suveranității și independenței UE ca actor geopolitic;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reamintește necesitatea de a se asigura faptul că bugetul UE îndeplinește prioritățile de politică ale Uniunii, inclusiv stimularea competitivității, promovarea prosperității sustenabile și asigurarea suveranității și independenței UE ca actor geopolitic;</w:t>
            </w:r>
          </w:p>
        </w:tc>
        <w:tc>
          <w:tcPr>
            <w:tcW w:w="4876" w:type="dxa"/>
            <w:tcBorders>
              <w:top w:val="nil"/>
              <w:left w:val="nil"/>
              <w:bottom w:val="nil"/>
              <w:right w:val="nil"/>
            </w:tcBorders>
          </w:tcPr>
          <w:p>
            <w:pPr>
              <w:pStyle w:val="Normal6a"/>
            </w:pPr>
            <w:r>
              <w:t>1.</w:t>
            </w:r>
            <w:r>
              <w:tab/>
            </w:r>
            <w:r>
              <w:t xml:space="preserve">reamintește necesitatea de a se asigura faptul că bugetul UE îndeplinește prioritățile de politică ale Uniunii </w:t>
            </w:r>
            <w:r>
              <w:rPr>
                <w:b/>
                <w:i/>
              </w:rPr>
              <w:t>și se axează pe investiții în domenii în care acțiunea comună a Uniunii are un impact și o valoare adăugată mai mare în comparație cu acțiunile de politică naționale sau subnaționale</w:t>
            </w:r>
            <w:r>
              <w:t>, inclusiv stimularea competitivității, promovarea prosperității sustenabile și asigurarea suveranității și independenței UE ca actor geopolitic;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reamintește</w:t>
            </w:r>
            <w:r>
              <w:t xml:space="preserve"> necesitatea de a se asigura </w:t>
            </w:r>
            <w:r>
              <w:rPr>
                <w:b/>
                <w:i/>
              </w:rPr>
              <w:t>faptul</w:t>
            </w:r>
            <w:r>
              <w:t xml:space="preserve"> că bugetul UE îndeplinește </w:t>
            </w:r>
            <w:r>
              <w:rPr>
                <w:b/>
                <w:i/>
              </w:rPr>
              <w:t>prioritățile de politică</w:t>
            </w:r>
            <w:r>
              <w:t xml:space="preserve"> ale Uniunii</w:t>
            </w:r>
            <w:r>
              <w:rPr>
                <w:b/>
                <w:i/>
              </w:rPr>
              <w:t>, inclusiv</w:t>
            </w:r>
            <w:r>
              <w:t xml:space="preserve"> stimularea competitivității, promovarea prosperității sustenabile și asigurarea suveranității și independenței UE ca actor geopolitic;</w:t>
            </w:r>
          </w:p>
        </w:tc>
        <w:tc>
          <w:tcPr>
            <w:tcW w:w="4876" w:type="dxa"/>
            <w:tcBorders>
              <w:top w:val="nil"/>
              <w:left w:val="nil"/>
              <w:bottom w:val="nil"/>
              <w:right w:val="nil"/>
            </w:tcBorders>
          </w:tcPr>
          <w:p>
            <w:pPr>
              <w:pStyle w:val="Normal6a"/>
            </w:pPr>
            <w:r>
              <w:t>1.</w:t>
            </w:r>
            <w:r>
              <w:tab/>
            </w:r>
            <w:r>
              <w:rPr>
                <w:b/>
                <w:i/>
              </w:rPr>
              <w:t>subliniază</w:t>
            </w:r>
            <w:r>
              <w:t xml:space="preserve"> necesitatea de a se asigura că bugetul UE îndeplinește </w:t>
            </w:r>
            <w:r>
              <w:rPr>
                <w:b/>
                <w:i/>
              </w:rPr>
              <w:t>cele trei priorități politice centrale</w:t>
            </w:r>
            <w:r>
              <w:t xml:space="preserve"> ale Uniunii</w:t>
            </w:r>
            <w:r>
              <w:rPr>
                <w:b/>
                <w:i/>
              </w:rPr>
              <w:t>:</w:t>
            </w:r>
            <w:r>
              <w:t xml:space="preserve"> stimularea competitivității, promovarea prosperității sustenabile și asigurarea suveranității și independenței UE ca actor geopolitic; </w:t>
            </w:r>
            <w:r>
              <w:rPr>
                <w:b/>
                <w:i/>
              </w:rPr>
              <w:t>subliniază, de asemenea, că modificările în materie de reglementare sunt la fel de importante ca măsurile de finanțare pentru atingerea acestor obiective;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reamintește necesitatea de a se asigura faptul că bugetul UE îndeplinește prioritățile de politică ale Uniunii, inclusiv stimularea competitivității, promovarea prosperității sustenabile și asigurarea suveranității și independenței UE ca actor geopolitic;</w:t>
            </w:r>
          </w:p>
        </w:tc>
        <w:tc>
          <w:tcPr>
            <w:tcW w:w="4876" w:type="dxa"/>
            <w:tcBorders>
              <w:top w:val="nil"/>
              <w:left w:val="nil"/>
              <w:bottom w:val="nil"/>
              <w:right w:val="nil"/>
            </w:tcBorders>
          </w:tcPr>
          <w:p>
            <w:pPr>
              <w:pStyle w:val="Normal6a"/>
            </w:pPr>
            <w:r>
              <w:t>1.</w:t>
            </w:r>
            <w:r>
              <w:tab/>
            </w:r>
            <w:r>
              <w:t xml:space="preserve">reamintește necesitatea de a se asigura faptul că bugetul UE îndeplinește prioritățile de politică ale Uniunii, inclusiv stimularea competitivității, promovarea prosperității sustenabile și </w:t>
            </w:r>
            <w:r>
              <w:rPr>
                <w:b/>
                <w:i/>
              </w:rPr>
              <w:t>incluzive, promovarea echității sociale și</w:t>
            </w:r>
            <w:r>
              <w:t xml:space="preserve"> asigurarea suveranității și independenței UE ca actor geopolitic;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subliniază caracterul nesustenabil al competitivității căreia nu i se asociază coeziunea socială;</w:t>
            </w:r>
            <w:r>
              <w:t xml:space="preserve"> </w:t>
            </w:r>
            <w:r>
              <w:rPr>
                <w:b/>
                <w:i/>
              </w:rPr>
              <w:t>insistă asupra faptului că orice cadru de performanță trebuie să măsoare nu numai rezultatele economice, ci și bunăstarea socială, calitatea vieții, reducerea inegalităților, progresele înregistrate în ceea ce privește egalitatea de gen și crearea de locuri de muncă decente, adaptate exigențelor viitorului;</w:t>
            </w:r>
            <w:r>
              <w:t xml:space="preserve"> </w:t>
            </w:r>
            <w:r>
              <w:rPr>
                <w:b/>
                <w:i/>
              </w:rPr>
              <w:t>solicită, prin urmare, includerea unor indicatori de impact social în toate programele legate de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subliniază că obiectivul legat de competitivitatea europeană trebuie urmărit prin alocarea eficientă a resurselor și prin politici care vizează reducerea sarcinii administrative, încurajarea investițiilor private și consolidarea pieței unice;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invită Comisia să efectueze o analiză a experiențelor altor țări în ceea ce privește punerea în aplicare a sistemelor de întocmire a bugetului în funcție de performanțe, identificând lecțiile învățate;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consideră că este imperativ ca bugetul UE să se concentreze mai mult pe rezultate; reafirmă necesitatea de a stabili și de a utiliza indicatori de performanță specifici, măsurabili, realizabili, relevanți și cu termene precise (SMART), pentru a monitoriza și a evalua progresele înregistrate în direcția atingerii obiectivelor de politică ale UE;</w:t>
            </w:r>
          </w:p>
        </w:tc>
        <w:tc>
          <w:tcPr>
            <w:tcW w:w="4876" w:type="dxa"/>
            <w:tcBorders>
              <w:top w:val="nil"/>
              <w:left w:val="nil"/>
              <w:bottom w:val="nil"/>
              <w:right w:val="nil"/>
            </w:tcBorders>
          </w:tcPr>
          <w:p>
            <w:pPr>
              <w:pStyle w:val="Normal6a"/>
            </w:pPr>
            <w:r>
              <w:t>2.</w:t>
            </w:r>
            <w:r>
              <w:tab/>
            </w:r>
            <w:r>
              <w:t>consideră că este imperativ ca bugetul UE să se concentreze mai mult pe rezultate</w:t>
            </w:r>
            <w:r>
              <w:rPr>
                <w:b/>
                <w:i/>
              </w:rPr>
              <w:t> și ca fiecare euro cheltuit să aducă o valoare măsurabilă pentru cetățeni și întreprinderi</w:t>
            </w:r>
            <w:r>
              <w:t xml:space="preserve">; reafirmă necesitatea de a stabili și de a utiliza indicatori de performanță specifici, măsurabili, realizabili, relevanți și cu termene precise (SMART), </w:t>
            </w:r>
            <w:r>
              <w:rPr>
                <w:b/>
                <w:i/>
              </w:rPr>
              <w:t>asigurând faptul că resursele Uniunii sunt cheltuite în mod eficient și eficace,</w:t>
            </w:r>
            <w:r>
              <w:t xml:space="preserve"> pentru a monitoriza și a evalua progresele înregistrate în direcția atingerii obiectivelor de politică ale UE; </w:t>
            </w:r>
            <w:r>
              <w:rPr>
                <w:b/>
                <w:i/>
              </w:rPr>
              <w:t>consideră că toate tipurile de indicatori sunt esențiali pentru evaluarea performanței programelor și, prin urmare, ar trebui căutat un echilibru între indicatorii de resurse, de rezultat și de impact;</w:t>
            </w:r>
            <w:r>
              <w:t xml:space="preserve"> </w:t>
            </w:r>
            <w:r>
              <w:rPr>
                <w:b/>
                <w:i/>
              </w:rPr>
              <w:t>subliniază că alte aspecte relevante atunci când se aleg indicatorii adecvați ar trebui să fie sarcina administrativă implicată, costul colectării datelor, comparabilitatea și agregabilitatea;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Dick Erixon, 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consideră că este imperativ ca bugetul UE să se concentreze </w:t>
            </w:r>
            <w:r>
              <w:rPr>
                <w:b/>
                <w:i/>
              </w:rPr>
              <w:t>mai mult</w:t>
            </w:r>
            <w:r>
              <w:t xml:space="preserve"> pe rezultate; reafirmă necesitatea de a stabili și de a utiliza indicatori de performanță specifici, măsurabili, realizabili, relevanți și cu termene precise (SMART), pentru a monitoriza și a evalua progresele înregistrate în direcția atingerii obiectivelor de politică ale UE;</w:t>
            </w:r>
          </w:p>
        </w:tc>
        <w:tc>
          <w:tcPr>
            <w:tcW w:w="4876" w:type="dxa"/>
            <w:tcBorders>
              <w:top w:val="nil"/>
              <w:left w:val="nil"/>
              <w:bottom w:val="nil"/>
              <w:right w:val="nil"/>
            </w:tcBorders>
          </w:tcPr>
          <w:p>
            <w:pPr>
              <w:pStyle w:val="Normal6a"/>
            </w:pPr>
            <w:r>
              <w:t>2.</w:t>
            </w:r>
            <w:r>
              <w:tab/>
            </w:r>
            <w:r>
              <w:t xml:space="preserve">consideră că este imperativ ca bugetul UE să se concentreze </w:t>
            </w:r>
            <w:r>
              <w:rPr>
                <w:b/>
                <w:i/>
              </w:rPr>
              <w:t>în primul rând</w:t>
            </w:r>
            <w:r>
              <w:t xml:space="preserve"> pe rezultate; reafirmă necesitatea de a stabili și de a utiliza indicatori de performanță specifici, măsurabili, realizabili, relevanți și cu termene precise (SMART), pentru a monitoriza și a evalua progresele înregistrate în direcția atingerii obiectivelor de politică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în acest context, subliniază că obiectivele generale ale indicatorilor de performanță ai UE trebuie să includă reducerea inegalităților, asigurarea accesului la servicii publice de calitate, consolidarea sistemelor de învățământ și promovarea sustenabilității sociale și de mediu ca componente esențiale ale competitivității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subliniază că indicatorii de performanță trebuie să fie derivați în mod explicit din obiectivele fiecărui program și să surprindă realizările, rezultatele și, mai presus de toate, impactul;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observă cu îngrijorare că, în auditurile sale, CCE a constatat în mod repetat că majoritatea indicatorilor de performanță utilizați pentru programele de finanțare ale UE sunt indicatori de resurse și de realizare, care nu oferă informații relevante cu privire la progresele înregistrate în atingerea obiectivelor acțiunilor finanțate de UE; regretă, de asemenea, că, în multe cazuri, s-a constatat că datele de referință pentru indicatori lipseau, iar datele subiacente utilizate pentru indicatori nu erau nici trasabile, nici fiabile; invită Comisia să se asigure că indicatorii utilizați pentru proiectele finanțate de UE sunt măsurabili, verificabili și bazați pe surse de date fiabile, care garantează trasabilitatea datelor subiacente, cu valori de referință și definiții clare, pentru a preveni interpretările divergente;</w:t>
            </w:r>
          </w:p>
        </w:tc>
        <w:tc>
          <w:tcPr>
            <w:tcW w:w="4876" w:type="dxa"/>
            <w:tcBorders>
              <w:top w:val="nil"/>
              <w:left w:val="nil"/>
              <w:bottom w:val="nil"/>
              <w:right w:val="nil"/>
            </w:tcBorders>
          </w:tcPr>
          <w:p>
            <w:pPr>
              <w:pStyle w:val="Normal6a"/>
            </w:pPr>
            <w:r>
              <w:t>3.</w:t>
            </w:r>
            <w:r>
              <w:tab/>
            </w:r>
            <w:r>
              <w:t xml:space="preserve">observă cu îngrijorare că, în auditurile sale, CCE a constatat în mod repetat că majoritatea indicatorilor de performanță utilizați pentru programele de finanțare ale UE sunt indicatori de resurse și de realizare, care nu oferă informații relevante cu privire la progresele înregistrate în atingerea obiectivelor acțiunilor finanțate de UE; regretă, de asemenea, că, în multe cazuri, s-a constatat că datele de referință pentru indicatori lipseau, iar datele subiacente utilizate pentru indicatori nu erau nici trasabile, nici fiabile </w:t>
            </w:r>
            <w:r>
              <w:rPr>
                <w:b/>
                <w:i/>
              </w:rPr>
              <w:t>și că definițiile indicatorilor de performanță diferă de la un program de finanțare la altul</w:t>
            </w:r>
            <w:r>
              <w:t>; invită Comisia să se asigure că indicatorii utilizați pentru proiectele finanțate de UE sunt măsurabili, verificabili și bazați pe surse de date fiabile, care garantează trasabilitatea datelor subiacente, cu valori de referință și definiții clare, pentru a preveni interpretările divergente;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observă cu îngrijorare că, în auditurile sale, CCE a constatat în mod repetat că majoritatea indicatorilor de performanță utilizați pentru programele de finanțare ale UE sunt indicatori de resurse și de realizare, care nu oferă informații relevante cu privire la progresele înregistrate în atingerea obiectivelor acțiunilor finanțate de UE; regretă, de asemenea, că, în multe cazuri, s-a constatat că datele de referință pentru indicatori lipseau, iar datele subiacente utilizate pentru indicatori nu erau nici trasabile, nici fiabile; invită Comisia să se asigure că indicatorii utilizați pentru proiectele finanțate de UE sunt măsurabili, verificabili și bazați pe surse de date fiabile, </w:t>
            </w:r>
            <w:r>
              <w:rPr>
                <w:b/>
                <w:i/>
              </w:rPr>
              <w:t>care garantează trasabilitatea datelor subiacente</w:t>
            </w:r>
            <w:r>
              <w:t>, cu valori de referință și definiții clare, pentru a preveni interpretările divergente;</w:t>
            </w:r>
          </w:p>
        </w:tc>
        <w:tc>
          <w:tcPr>
            <w:tcW w:w="4876" w:type="dxa"/>
            <w:tcBorders>
              <w:top w:val="nil"/>
              <w:left w:val="nil"/>
              <w:bottom w:val="nil"/>
              <w:right w:val="nil"/>
            </w:tcBorders>
          </w:tcPr>
          <w:p>
            <w:pPr>
              <w:pStyle w:val="Normal6a"/>
            </w:pPr>
            <w:r>
              <w:t>3.</w:t>
            </w:r>
            <w:r>
              <w:tab/>
            </w:r>
            <w:r>
              <w:t>observă cu îngrijorare că, în auditurile sale, CCE a constatat în mod repetat că majoritatea indicatorilor de performanță utilizați pentru programele de finanțare ale UE sunt indicatori de resurse și de realizare, care nu oferă informații relevante cu privire la progresele înregistrate în atingerea obiectivelor acțiunilor finanțate de UE; regretă, de asemenea, că, în multe cazuri, s-a constatat că datele de referință pentru indicatori lipseau, iar datele subiacente utilizate pentru indicatori nu erau nici trasabile, nici fiabile; invită Comisia să se asigure că indicatorii utilizați pentru proiectele finanțate de UE sunt măsurabili, verificabili și bazați pe surse de date fiabile, </w:t>
            </w:r>
            <w:r>
              <w:rPr>
                <w:b/>
                <w:i/>
              </w:rPr>
              <w:t>trasabile până la nivelul contractelor și al beneficiarilor</w:t>
            </w:r>
            <w:r>
              <w:t>, cu valori de referință și definiții clare, pentru a preveni interpretările divergente;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observă cu îngrijorare că, în auditurile sale, CCE a constatat în mod repetat că majoritatea indicatorilor de performanță utilizați pentru programele de finanțare ale UE sunt indicatori de resurse și de realizare, care nu oferă informații relevante cu privire la progresele înregistrate în atingerea obiectivelor acțiunilor finanțate de UE; regretă, de asemenea, că, în multe cazuri, s-a constatat că datele de referință pentru indicatori lipseau, iar datele subiacente utilizate pentru indicatori nu erau nici trasabile, nici fiabile; invită Comisia să se asigure că indicatorii utilizați pentru proiectele finanțate de UE sunt măsurabili, verificabili și bazați pe surse de date fiabile, care garantează trasabilitatea datelor subiacente, cu valori de referință și definiții clare, pentru a preveni interpretările divergente;</w:t>
            </w:r>
          </w:p>
        </w:tc>
        <w:tc>
          <w:tcPr>
            <w:tcW w:w="4876" w:type="dxa"/>
            <w:tcBorders>
              <w:top w:val="nil"/>
              <w:left w:val="nil"/>
              <w:bottom w:val="nil"/>
              <w:right w:val="nil"/>
            </w:tcBorders>
          </w:tcPr>
          <w:p>
            <w:pPr>
              <w:pStyle w:val="Normal6a"/>
            </w:pPr>
            <w:r>
              <w:t>3.</w:t>
            </w:r>
            <w:r>
              <w:tab/>
            </w:r>
            <w:r>
              <w:t xml:space="preserve">observă cu îngrijorare că, în auditurile sale, CCE a constatat în mod repetat că majoritatea indicatorilor de performanță utilizați pentru programele de finanțare ale UE sunt indicatori de resurse și de realizare, care nu oferă informații relevante cu privire la progresele înregistrate în atingerea obiectivelor acțiunilor finanțate de UE; regretă, de asemenea, că, în multe cazuri, s-a constatat că datele de referință pentru indicatori lipseau, iar datele subiacente utilizate pentru indicatori nu erau nici trasabile, nici fiabile; invită Comisia </w:t>
            </w:r>
            <w:r>
              <w:rPr>
                <w:b/>
                <w:i/>
              </w:rPr>
              <w:t>și statele membre</w:t>
            </w:r>
            <w:r>
              <w:t xml:space="preserve"> să se asigure că indicatorii utilizați pentru proiectele finanțate de UE sunt măsurabili, verificabili și bazați pe surse de date fiabile, care garantează trasabilitatea datelor subiacente, cu valori de referință și definiții clare, pentru a preveni interpretările divergente;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constată cu preocupare că tablourile de bord privind inovarea ale Comisiei arată în mod constant că UE a rămas în urma altor actori globali în ceea ce privește indicatorii-cheie de inovare;</w:t>
            </w:r>
            <w:r>
              <w:t xml:space="preserve"> </w:t>
            </w:r>
            <w:r>
              <w:rPr>
                <w:b/>
                <w:i/>
              </w:rPr>
              <w:t>subliniază că criteriile de eligibilitate pentru finanțare ar trebui extinse cu scopul de a acoperi nu numai inovația radicală care se aliniază la cele mai avansate standarde la nivel mondial, ci și un spectru mai larg de inovații cu impact ridicat și aplicate, capabile să genereze un impact la scară industrială, locuri de muncă și difuzare tehnologică în toate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regretă caracterul excesiv de complex și fragmentat pe care continuă să îl aibă cadrul de performanță a bugetului UE pentru perioada 2021-2027; ia act de evaluarea Comisiei</w:t>
            </w:r>
            <w:r>
              <w:rPr>
                <w:vertAlign w:val="superscript"/>
              </w:rPr>
              <w:t>8</w:t>
            </w:r>
            <w:r>
              <w:t xml:space="preserve">, </w:t>
            </w:r>
            <w:r>
              <w:rPr>
                <w:b/>
                <w:i/>
              </w:rPr>
              <w:t>conform căreia</w:t>
            </w:r>
            <w:r>
              <w:t xml:space="preserve"> peste 5 000 de indicatori de performanță eterogeni și neagregabili sunt utilizați în cadrul financiar multianual (CFM) 2021-2027, </w:t>
            </w:r>
            <w:r>
              <w:rPr>
                <w:b/>
                <w:i/>
              </w:rPr>
              <w:t>iar</w:t>
            </w:r>
            <w:r>
              <w:t xml:space="preserve"> aproximativ 7 000 de jaloane și ținte au fost definite în cadrul Mecanismului de redresare și reziliență (MRR), răspunzând unor nevoi diferite, cum ar fi evaluarea performanței în contextul proiectului de buget și monitorizarea și evaluarea programelor, a planurilor statelor membre și a plăților efectuate;</w:t>
            </w:r>
          </w:p>
        </w:tc>
        <w:tc>
          <w:tcPr>
            <w:tcW w:w="4876" w:type="dxa"/>
            <w:tcBorders>
              <w:top w:val="nil"/>
              <w:left w:val="nil"/>
              <w:bottom w:val="nil"/>
              <w:right w:val="nil"/>
            </w:tcBorders>
          </w:tcPr>
          <w:p>
            <w:pPr>
              <w:pStyle w:val="Normal6a"/>
            </w:pPr>
            <w:r>
              <w:t>4.</w:t>
            </w:r>
            <w:r>
              <w:tab/>
            </w:r>
            <w:r>
              <w:t xml:space="preserve">regretă caracterul excesiv de complex și fragmentat pe care continuă să îl aibă cadrul de performanță a bugetului UE pentru perioada 2021-2027; ia act </w:t>
            </w:r>
            <w:r>
              <w:rPr>
                <w:b/>
                <w:i/>
              </w:rPr>
              <w:t>cu regret</w:t>
            </w:r>
            <w:r>
              <w:t xml:space="preserve"> de evaluarea Comisiei</w:t>
            </w:r>
            <w:r>
              <w:rPr>
                <w:vertAlign w:val="superscript"/>
              </w:rPr>
              <w:t>8</w:t>
            </w:r>
            <w:r>
              <w:t xml:space="preserve">, </w:t>
            </w:r>
            <w:r>
              <w:rPr>
                <w:b/>
                <w:i/>
              </w:rPr>
              <w:t>care a stabilit că</w:t>
            </w:r>
            <w:r>
              <w:t xml:space="preserve"> peste 5 000 de indicatori de performanță eterogeni și neagregabili sunt utilizați în cadrul financiar multianual (CFM) 2021-2027, </w:t>
            </w:r>
            <w:r>
              <w:rPr>
                <w:b/>
                <w:i/>
              </w:rPr>
              <w:t>acest lucru nepermițând, prin urmare, realizarea unei evaluări mai obiective a eficacității finanțării în cadrul CFM, și că</w:t>
            </w:r>
            <w:r>
              <w:t xml:space="preserve"> aproximativ 7 000 de jaloane și ținte au fost definite în cadrul Mecanismului de redresare și reziliență (MRR), răspunzând unor nevoi diferite, cum ar fi evaluarea performanței în contextul proiectului de buget și monitorizarea și evaluarea programelor, a planurilor statelor membre și a plăților efectuate; </w:t>
            </w:r>
            <w:r>
              <w:rPr>
                <w:b/>
                <w:i/>
              </w:rPr>
              <w:t>subliniază, în special, că modul în care a fost conceput MRR a îngreunat asigurarea unei trasabilități și a unei posibilități suficiente de auditare a utilizării fondurilor UE, precum și comparabilitatea rezultatelor cu alte instrumente de cheltuieli ale UE;</w:t>
            </w:r>
            <w:r>
              <w:t xml:space="preserve"> </w:t>
            </w:r>
            <w:r>
              <w:rPr>
                <w:b/>
                <w:i/>
              </w:rPr>
              <w:t>invită Comisia să stabilească un cadru mai cuprinzător, armonizat, transparent și verificabil de indicatori de performanță pentru viitoarele instrumente, asigurându-se că Parlamentul și Curtea de Conturi Europeană își pot exercita pe deplin responsabilitățile de supraveghere;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Raport de evaluare a impactului [SWD(2025)0590] care însoțește propunerea Comisiei de regulament de stabilire a unui cadru de monitorizare a cheltuielilor bugetare și de performanță a bugetului [COM(2025)0545].</w:t>
            </w:r>
          </w:p>
        </w:tc>
        <w:tc>
          <w:tcPr>
            <w:tcW w:w="4876" w:type="dxa"/>
            <w:tcBorders>
              <w:top w:val="nil"/>
              <w:left w:val="nil"/>
              <w:bottom w:val="nil"/>
              <w:right w:val="nil"/>
            </w:tcBorders>
          </w:tcPr>
          <w:p>
            <w:pPr>
              <w:pStyle w:val="Normal6a"/>
            </w:pPr>
            <w:r>
              <w:rPr>
                <w:vertAlign w:val="superscript"/>
              </w:rPr>
              <w:t>8</w:t>
            </w:r>
            <w:r>
              <w:t xml:space="preserve"> </w:t>
            </w:r>
            <w:r>
              <w:t>Raport de evaluare a impactului [SWD(2025)0590] care însoțește propunerea Comisiei de regulament de stabilire a unui cadru de monitorizare a cheltuielilor bugetare și de performanță a bugetului [COM(2025)0545].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regretă caracterul excesiv de complex și fragmentat pe care continuă să îl aibă cadrul de performanță a bugetului UE pentru perioada 2021-2027; ia act de evaluarea Comisiei</w:t>
            </w:r>
            <w:r>
              <w:rPr>
                <w:vertAlign w:val="superscript"/>
              </w:rPr>
              <w:t>8</w:t>
            </w:r>
            <w:r>
              <w:t>, conform căreia peste 5 000 de indicatori de performanță eterogeni și neagregabili sunt utilizați în cadrul financiar multianual (CFM) 2021-2027, iar aproximativ 7 000 de jaloane și ținte au fost definite în cadrul Mecanismului de redresare și reziliență (MRR), răspunzând unor nevoi diferite, cum ar fi evaluarea performanței în contextul proiectului de buget și monitorizarea și evaluarea programelor, a planurilor statelor membre și a plăților efectuate;</w:t>
            </w:r>
          </w:p>
        </w:tc>
        <w:tc>
          <w:tcPr>
            <w:tcW w:w="4876" w:type="dxa"/>
            <w:tcBorders>
              <w:top w:val="nil"/>
              <w:left w:val="nil"/>
              <w:bottom w:val="nil"/>
              <w:right w:val="nil"/>
            </w:tcBorders>
          </w:tcPr>
          <w:p>
            <w:pPr>
              <w:pStyle w:val="Normal6a"/>
            </w:pPr>
            <w:r>
              <w:t>4.</w:t>
            </w:r>
            <w:r>
              <w:tab/>
            </w:r>
            <w:r>
              <w:t>regretă caracterul excesiv de complex și fragmentat pe care continuă să îl aibă cadrul de performanță a bugetului UE pentru perioada 2021-2027; ia act de evaluarea Comisiei</w:t>
            </w:r>
            <w:r>
              <w:rPr>
                <w:vertAlign w:val="superscript"/>
              </w:rPr>
              <w:t>8</w:t>
            </w:r>
            <w:r>
              <w:t xml:space="preserve">, conform căreia peste 5 000 de indicatori de performanță eterogeni și neagregabili sunt utilizați în cadrul financiar multianual (CFM) 2021-2027, iar aproximativ 7 000 de jaloane și ținte au fost definite în cadrul Mecanismului de redresare și reziliență (MRR), răspunzând unor nevoi diferite, cum ar fi evaluarea performanței în contextul proiectului de buget și monitorizarea și evaluarea programelor, a planurilor statelor membre și a plăților efectuate; </w:t>
            </w:r>
            <w:r>
              <w:rPr>
                <w:b/>
                <w:i/>
              </w:rPr>
              <w:t>regretă că, astfel cum a arătat în mod repetat Curtea de Conturi Europeană, acești indicatori nu se bazează în prezent pe elemente fiabile, cuantificabile și măsurabile, care nu au un caracter interpretabil;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Raport de evaluare a impactului [SWD(2025)0590] care însoțește propunerea Comisiei de regulament de stabilire a unui cadru de monitorizare a cheltuielilor bugetare și de performanță a bugetului [COM(2025)0545].</w:t>
            </w:r>
          </w:p>
        </w:tc>
        <w:tc>
          <w:tcPr>
            <w:tcW w:w="4876" w:type="dxa"/>
            <w:tcBorders>
              <w:top w:val="nil"/>
              <w:left w:val="nil"/>
              <w:bottom w:val="nil"/>
              <w:right w:val="nil"/>
            </w:tcBorders>
          </w:tcPr>
          <w:p>
            <w:pPr>
              <w:pStyle w:val="Normal6a"/>
            </w:pPr>
            <w:r>
              <w:rPr>
                <w:vertAlign w:val="superscript"/>
              </w:rPr>
              <w:t>8</w:t>
            </w:r>
            <w:r>
              <w:t xml:space="preserve"> </w:t>
            </w:r>
            <w:r>
              <w:t>Raport de evaluare a impactului [SWD(2025)0590] care însoțește propunerea Comisiei de regulament de stabilire a unui cadru de monitorizare a cheltuielilor bugetare și de performanță a bugetului [COM(2025)0545].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constată cu îngrijorare că sarcinile administrative și de reglementare care, în comparație cu alte blocuri economice mondiale, au un caracter excesiv continuă să submineze competitivitatea întreprinderilor europene în comparație cu alte blocuri economice mondiale;</w:t>
            </w:r>
            <w:r>
              <w:t xml:space="preserve"> </w:t>
            </w:r>
            <w:r>
              <w:rPr>
                <w:b/>
                <w:i/>
              </w:rPr>
              <w:t>subliniază că astfel de sarcini cresc costurile operaționale, reduc productivitatea sectorială și creează bariere la intrarea pe piață a noilor întreprinderi, descurajând astfel concurența și inovarea;</w:t>
            </w:r>
            <w:r>
              <w:t xml:space="preserve"> </w:t>
            </w:r>
            <w:r>
              <w:rPr>
                <w:b/>
                <w:i/>
              </w:rPr>
              <w:t>remarcă, de asemenea, că aceste ineficiențe se pot traduce, de asemenea, în prețuri mai mari pentru consumatori;</w:t>
            </w:r>
            <w:r>
              <w:t xml:space="preserve"> </w:t>
            </w:r>
            <w:r>
              <w:rPr>
                <w:b/>
                <w:i/>
              </w:rPr>
              <w:t>reamintește că indicatorii internaționali, inclusiv baza de date „Doing Business” a Băncii Mondiale, sugerează că mediul de afaceri din UE rămâne mai puțin favorabil decât în alte țări;</w:t>
            </w:r>
            <w:r>
              <w:t xml:space="preserve"> </w:t>
            </w:r>
            <w:r>
              <w:rPr>
                <w:b/>
                <w:i/>
              </w:rPr>
              <w:t>subliniază că 61 % dintre întreprinderile care au participat la sondajul BEI privind investițiile din 2023 au identificat reglementarea ca fiind un obstacol major în calea investițiilor pe termen lung în UE, în timp ce 83 % dintre întreprinderile intervievate de BusinessEurope din 21 de state membre au menționat complexitatea reglementărilor și procedurile îndelungate de autorizare ca fiind factori esențiali de descurajare a investițiilor în Europa;</w:t>
            </w:r>
            <w:r>
              <w:t xml:space="preserve"> </w:t>
            </w:r>
            <w:r>
              <w:rPr>
                <w:b/>
                <w:i/>
              </w:rPr>
              <w:t>solicită, prin urmare, reducerea și simplificarea sistematică a cerințelor de reglementare și administrative, în special pentru IMM-uri, pentru a consolida mediul de afaceri și competitivitatea globală</w:t>
            </w:r>
            <w:r>
              <w:rPr>
                <w:b/>
                <w:i/>
                <w:vertAlign w:val="superscript"/>
              </w:rPr>
              <w:t>1a</w:t>
            </w:r>
            <w:r>
              <w:t xml:space="preserve"> </w:t>
            </w:r>
            <w:r>
              <w:rPr>
                <w:b/>
                <w:i/>
              </w:rPr>
              <w:t>a Europei;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https://www.eib.org/en/publications/online/all/eib-investment-survey-2023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invită Comisia și statele membre să identifice și să elimine obstacolele de reglementare care subminează funcționarea și competitivitatea pieței unice a apărării;</w:t>
            </w:r>
            <w:r>
              <w:t xml:space="preserve"> </w:t>
            </w:r>
            <w:r>
              <w:rPr>
                <w:b/>
                <w:i/>
              </w:rPr>
              <w:t>salută inițiativele menite să consolideze preferința europeană în ceea ce privește achizițiile publice în domeniul apărării, cu condiția ca astfel de măsuri să nu compromită refacerea imediată a stocurilor critice;</w:t>
            </w:r>
            <w:r>
              <w:t xml:space="preserve"> </w:t>
            </w:r>
            <w:r>
              <w:rPr>
                <w:b/>
                <w:i/>
              </w:rPr>
              <w:t>subliniază că este important să se mărească capacitatea de producție, să se promoveze inovarea și să se facă o distincție clară între cerințele urgente pe termen scurt și dezvoltarea strategică pe termen mai lung, asigurându-se, în același timp, că fondurile Uniunii sunt utilizate în mod eficient, transparent și în deplină conformitate cu cerințele aplicabile privind supravegherea financiară și cadrul de performanță;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consideră că ar trebui simplificat cadrul de performanță a bugetului UE, astfel încât să se asigure o abordare armonizată în ceea ce privește măsurarea efectelor cheltuielilor UE în toate statele membre, să se reducă sarcina administrativă globală, să se raționalizeze obligațiile de raportare și să se sporească transparența prin reducerea supraîncărcării cu informații, permițând în același timp ca efectele finanțării UE să fie reflectate pe deplin, inclusiv valoarea adăugată a intervențiilor UE, care nu ar putea fi realizată de statele membre acționând individual;</w:t>
            </w:r>
          </w:p>
        </w:tc>
        <w:tc>
          <w:tcPr>
            <w:tcW w:w="4876" w:type="dxa"/>
            <w:tcBorders>
              <w:top w:val="nil"/>
              <w:left w:val="nil"/>
              <w:bottom w:val="nil"/>
              <w:right w:val="nil"/>
            </w:tcBorders>
          </w:tcPr>
          <w:p>
            <w:pPr>
              <w:pStyle w:val="Normal6a"/>
            </w:pPr>
            <w:r>
              <w:t>6.</w:t>
            </w:r>
            <w:r>
              <w:tab/>
            </w:r>
            <w:r>
              <w:t xml:space="preserve">consideră că ar trebui simplificat cadrul de performanță a bugetului UE, astfel încât să se asigure o abordare armonizată în ceea ce privește măsurarea efectelor cheltuielilor UE în toate statele membre, să se reducă sarcina administrativă globală, să se raționalizeze obligațiile de raportare și să se sporească transparența prin reducerea supraîncărcării cu informații, permițând în același timp ca efectele finanțării UE să fie reflectate pe deplin, inclusiv valoarea adăugată a intervențiilor UE, care nu ar putea fi realizată de statele membre acționând individual; </w:t>
            </w:r>
            <w:r>
              <w:rPr>
                <w:b/>
                <w:i/>
              </w:rPr>
              <w:t>insistă că evaluarea performanței programelor finanțate de UE trebuie să rămână cu precădere o responsabilitate a statelor membre și a autorităților lor naționale de audit, pentru a garanta menținerea autonomiei democratice și a autonomiei bugetare naționale;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consideră că ar trebui simplificat cadrul de performanță a bugetului UE, astfel încât să se asigure o abordare armonizată în ceea ce privește măsurarea efectelor cheltuielilor UE în toate statele membre, să se reducă sarcina administrativă globală, să se raționalizeze obligațiile de raportare și să se sporească transparența prin reducerea supraîncărcării cu informații, permițând în același timp ca efectele finanțării UE să fie reflectate pe deplin, inclusiv valoarea adăugată a intervențiilor UE, care nu ar putea fi realizată de statele membre acționând individual;</w:t>
            </w:r>
          </w:p>
        </w:tc>
        <w:tc>
          <w:tcPr>
            <w:tcW w:w="4876" w:type="dxa"/>
            <w:tcBorders>
              <w:top w:val="nil"/>
              <w:left w:val="nil"/>
              <w:bottom w:val="nil"/>
              <w:right w:val="nil"/>
            </w:tcBorders>
          </w:tcPr>
          <w:p>
            <w:pPr>
              <w:pStyle w:val="Normal6a"/>
            </w:pPr>
            <w:r>
              <w:t>6.</w:t>
            </w:r>
            <w:r>
              <w:tab/>
            </w:r>
            <w:r>
              <w:t xml:space="preserve">consideră că ar trebui simplificat cadrul de performanță a bugetului UE, astfel încât să se asigure o abordare armonizată </w:t>
            </w:r>
            <w:r>
              <w:rPr>
                <w:b/>
                <w:i/>
              </w:rPr>
              <w:t>și proporțională</w:t>
            </w:r>
            <w:r>
              <w:t xml:space="preserve"> în ceea ce privește măsurarea</w:t>
            </w:r>
            <w:r>
              <w:rPr>
                <w:b/>
                <w:i/>
              </w:rPr>
              <w:t>, de o manieră corectă și realistă, a</w:t>
            </w:r>
            <w:r>
              <w:t xml:space="preserve"> efectelor cheltuielilor UE în toate statele membre, să se reducă sarcina administrativă globală, </w:t>
            </w:r>
            <w:r>
              <w:rPr>
                <w:b/>
                <w:i/>
              </w:rPr>
              <w:t xml:space="preserve">în special pentru IMM-uri și autoritățile locale, </w:t>
            </w:r>
            <w:r>
              <w:t xml:space="preserve"> să se raționalizeze obligațiile de raportare și să se sporească transparența prin reducerea supraîncărcării cu informații, permițând în același timp ca efectele finanțării UE să fie reflectate pe deplin, inclusiv valoarea adăugată a intervențiilor UE, care nu ar putea fi realizată de statele membre acționând individual; </w:t>
            </w:r>
            <w:r>
              <w:rPr>
                <w:b/>
                <w:i/>
              </w:rPr>
              <w:t>subliniază că simplificarea nu ar trebui să se facă în detrimentul transparenței, ci ar trebui să contribuie la raționalizarea raportării și să îmbunătățească accesibilitatea și utilitatea informațiilor privind performanța finanțării;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consideră că ar trebui simplificat cadrul de performanță a bugetului UE, astfel încât să se asigure o abordare armonizată în ceea ce privește măsurarea efectelor cheltuielilor UE în toate statele membre, să se reducă sarcina administrativă globală, să se raționalizeze obligațiile de raportare și să se sporească transparența prin reducerea supraîncărcării cu informații, permițând în același timp ca efectele finanțării UE să fie reflectate pe deplin, inclusiv valoarea adăugată a intervențiilor UE, care nu ar putea fi realizată de statele membre acționând individual;</w:t>
            </w:r>
          </w:p>
        </w:tc>
        <w:tc>
          <w:tcPr>
            <w:tcW w:w="4876" w:type="dxa"/>
            <w:tcBorders>
              <w:top w:val="nil"/>
              <w:left w:val="nil"/>
              <w:bottom w:val="nil"/>
              <w:right w:val="nil"/>
            </w:tcBorders>
          </w:tcPr>
          <w:p>
            <w:pPr>
              <w:pStyle w:val="Normal6a"/>
            </w:pPr>
            <w:r>
              <w:t>6.</w:t>
            </w:r>
            <w:r>
              <w:tab/>
            </w:r>
            <w:r>
              <w:t xml:space="preserve">consideră că ar trebui simplificat cadrul de performanță a bugetului UE, astfel încât să se asigure o abordare armonizată în ceea ce privește măsurarea efectelor cheltuielilor UE în toate statele membre, să se reducă sarcina administrativă globală, să se raționalizeze obligațiile de raportare și să se sporească transparența prin reducerea supraîncărcării cu informații, permițând în același timp ca efectele finanțării UE să fie reflectate pe deplin, inclusiv valoarea adăugată a intervențiilor UE, care nu ar putea fi realizată de statele membre acționând individual; </w:t>
            </w:r>
            <w:r>
              <w:rPr>
                <w:b/>
                <w:i/>
              </w:rPr>
              <w:t>subliniază că simplificarea nu trebuie să dilueze pistele de audit;</w:t>
            </w:r>
            <w:r>
              <w:t xml:space="preserve"> </w:t>
            </w:r>
            <w:r>
              <w:rPr>
                <w:b/>
                <w:i/>
              </w:rPr>
              <w:t>reamintește că toți indicatorii trebuie să poată fi corelați cu angajamentele, plățile și contractele subiacente, cu identificatorii beneficiarilor și cu datele privind achizițiile publice care permit analiza riscurilor;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Dick Erixon, 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consideră că ar trebui simplificat cadrul de performanță a bugetului UE, astfel încât să se asigure o abordare armonizată în ceea ce privește măsurarea efectelor cheltuielilor UE în toate statele membre, să se reducă sarcina administrativă globală, să se raționalizeze obligațiile de raportare și să se sporească transparența prin reducerea supraîncărcării cu informații, permițând în același timp ca efectele finanțării UE să fie reflectate pe deplin, inclusiv valoarea adăugată a intervențiilor UE, care nu ar putea fi realizată de statele membre acționând individual;</w:t>
            </w:r>
          </w:p>
        </w:tc>
        <w:tc>
          <w:tcPr>
            <w:tcW w:w="4876" w:type="dxa"/>
            <w:tcBorders>
              <w:top w:val="nil"/>
              <w:left w:val="nil"/>
              <w:bottom w:val="nil"/>
              <w:right w:val="nil"/>
            </w:tcBorders>
          </w:tcPr>
          <w:p>
            <w:pPr>
              <w:pStyle w:val="Normal6a"/>
            </w:pPr>
            <w:r>
              <w:t>6.</w:t>
            </w:r>
            <w:r>
              <w:tab/>
            </w:r>
            <w:r>
              <w:t xml:space="preserve">consideră că ar trebui simplificat cadrul de performanță a bugetului UE, astfel încât să se asigure o abordare armonizată în ceea ce privește măsurarea efectelor cheltuielilor UE în toate statele membre, să se reducă sarcina administrativă globală, să se raționalizeze obligațiile de raportare și să se sporească transparența prin reducerea supraîncărcării cu informații, permițând în același timp ca efectele finanțării UE să fie reflectate pe deplin, inclusiv valoarea adăugată a intervențiilor UE, care nu ar putea fi realizată de statele membre acționând individual; </w:t>
            </w:r>
            <w:r>
              <w:rPr>
                <w:b/>
                <w:i/>
              </w:rPr>
              <w:t>relevă faptul că toate cadrele de performanță ar trebui să facă obiectul unei analize cost-beneficiu, asigurând transparența și îndeplinind obiectivele de sustenabilitate fiscală;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consideră că </w:t>
            </w:r>
            <w:r>
              <w:rPr>
                <w:b/>
                <w:i/>
              </w:rPr>
              <w:t>ar trebui simplificat</w:t>
            </w:r>
            <w:r>
              <w:t xml:space="preserve"> cadrul de performanță a bugetului UE</w:t>
            </w:r>
            <w:r>
              <w:rPr>
                <w:b/>
                <w:i/>
              </w:rPr>
              <w:t>, astfel încât să se</w:t>
            </w:r>
            <w:r>
              <w:t xml:space="preserve"> asigure o abordare armonizată în ceea ce privește măsurarea efectelor cheltuielilor UE în toate statele membre, să </w:t>
            </w:r>
            <w:r>
              <w:rPr>
                <w:b/>
                <w:i/>
              </w:rPr>
              <w:t>se reducă</w:t>
            </w:r>
            <w:r>
              <w:t xml:space="preserve"> sarcina administrativă globală</w:t>
            </w:r>
            <w:r>
              <w:rPr>
                <w:b/>
                <w:i/>
              </w:rPr>
              <w:t>, să se raționalizeze</w:t>
            </w:r>
            <w:r>
              <w:t xml:space="preserve"> obligațiile de raportare și să se sporească transparența prin </w:t>
            </w:r>
            <w:r>
              <w:rPr>
                <w:b/>
                <w:i/>
              </w:rPr>
              <w:t>reducerea</w:t>
            </w:r>
            <w:r>
              <w:t xml:space="preserve"> supraîncărcării cu informații, permițând în același timp ca efectele finanțării UE să fie reflectate pe deplin, inclusiv valoarea adăugată a intervențiilor UE, care nu ar putea fi realizată de statele membre acționând individual;</w:t>
            </w:r>
          </w:p>
        </w:tc>
        <w:tc>
          <w:tcPr>
            <w:tcW w:w="4876" w:type="dxa"/>
            <w:tcBorders>
              <w:top w:val="nil"/>
              <w:left w:val="nil"/>
              <w:bottom w:val="nil"/>
              <w:right w:val="nil"/>
            </w:tcBorders>
          </w:tcPr>
          <w:p>
            <w:pPr>
              <w:pStyle w:val="Normal6a"/>
            </w:pPr>
            <w:r>
              <w:t>6.</w:t>
            </w:r>
            <w:r>
              <w:tab/>
            </w:r>
            <w:r>
              <w:t xml:space="preserve">consideră că cadrul de performanță a bugetului UE </w:t>
            </w:r>
            <w:r>
              <w:rPr>
                <w:b/>
                <w:i/>
              </w:rPr>
              <w:t>ar trebui să</w:t>
            </w:r>
            <w:r>
              <w:t xml:space="preserve"> asigure o abordare armonizată în ceea ce privește măsurarea efectelor cheltuielilor UE în toate statele membre, să </w:t>
            </w:r>
            <w:r>
              <w:rPr>
                <w:b/>
                <w:i/>
              </w:rPr>
              <w:t>raționalizeze</w:t>
            </w:r>
            <w:r>
              <w:t xml:space="preserve"> sarcina administrativă globală </w:t>
            </w:r>
            <w:r>
              <w:rPr>
                <w:b/>
                <w:i/>
              </w:rPr>
              <w:t>și</w:t>
            </w:r>
            <w:r>
              <w:t xml:space="preserve"> obligațiile de raportare și să se sporească transparența prin </w:t>
            </w:r>
            <w:r>
              <w:rPr>
                <w:b/>
                <w:i/>
              </w:rPr>
              <w:t>evitarea</w:t>
            </w:r>
            <w:r>
              <w:t xml:space="preserve"> supraîncărcării cu informații, permițând în același timp ca efectele finanțării UE să fie reflectate pe deplin, inclusiv valoarea adăugată a intervențiilor UE, care nu ar putea fi realizată de statele membre acționând individual;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subliniază că cheltuielile orientate spre competitivitate ar trebui să acorde prioritate creșterii eficienței și productivității pe termen lung, mai degrabă decât redistribuirii pe termen scurt;</w:t>
            </w:r>
            <w:r>
              <w:t xml:space="preserve"> </w:t>
            </w:r>
            <w:r>
              <w:rPr>
                <w:b/>
                <w:i/>
              </w:rPr>
              <w:t>subliniază că resursele europene ar trebui direcționate către corectarea ineficiențelor pieței, catalizarea investițiilor private și sprijinirea proiectelor cu un impact economic măsurabil și o valoare adăugată clară;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subliniază că capacitatea Uniunii de a realiza progrese în domenii-cheie de politică este adesea blocată la nivelul Consiliului, din cauza cerinței privind unanimitatea;</w:t>
            </w:r>
            <w:r>
              <w:t xml:space="preserve"> </w:t>
            </w:r>
            <w:r>
              <w:rPr>
                <w:b/>
                <w:i/>
              </w:rPr>
              <w:t>consideră că o integrare mai profundă ar trebui, prin urmare, să includă o trecere treptată la votul cu majoritate calificată, pentru a permite o acțiune eficace și în timp util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subliniază că eforturile de simplificare nu trebuie să fie în detrimentul responsabilității;</w:t>
            </w:r>
            <w:r>
              <w:t xml:space="preserve"> </w:t>
            </w:r>
            <w:r>
              <w:rPr>
                <w:b/>
                <w:i/>
              </w:rPr>
              <w:t>subliniază că reducerea numărului de indicatori ar trebui să fie însoțită de stabilirea unor legături mai clare între cheltuieli și rezultatele măsurabile ale politicilor, inclusiv de rate de eficiență din punctul de vedere al costurilor;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reamintește că abordările în materie de colectare a datelor variază de la un stat membru la altul și, totodată, în interiorul statelor membre, ceea ce face dificilă agregarea datelor privind performanța la nivelul UE; își reiterează apelul adresat Comisiei de a dezvolta o infrastructură informatică sigură și interoperabilă, valorificând, în același timp, capacitățile de inteligență artificială, învățare automată și extragere a datelor pentru a îmbunătăți punerea în aplicare a politicilor și pentru a facilita monitorizarea, raportarea și supravegherea; insistă ca datele și metodologiile referitoare la indicatori să fie puse la dispoziția publicului în timp real printr-un sistem interoperabil de monitorizare, raportare și audit, sporind astfel transparența și asigurând trasabilitatea până la nivelul proiectelor și al beneficiarilor finali;</w:t>
            </w:r>
          </w:p>
        </w:tc>
        <w:tc>
          <w:tcPr>
            <w:tcW w:w="4876" w:type="dxa"/>
            <w:tcBorders>
              <w:top w:val="nil"/>
              <w:left w:val="nil"/>
              <w:bottom w:val="nil"/>
              <w:right w:val="nil"/>
            </w:tcBorders>
          </w:tcPr>
          <w:p>
            <w:pPr>
              <w:pStyle w:val="Normal6a"/>
            </w:pPr>
            <w:r>
              <w:t>7.</w:t>
            </w:r>
            <w:r>
              <w:tab/>
            </w:r>
            <w:r>
              <w:t xml:space="preserve">reamintește că abordările în materie de colectare a datelor variază de la un stat membru la altul și, totodată, în interiorul statelor membre, ceea ce face dificilă agregarea datelor privind performanța la nivelul UE; își reiterează apelul adresat Comisiei de a dezvolta o infrastructură informatică sigură și interoperabilă, valorificând, în același timp, capacitățile de inteligență artificială, învățare automată și extragere a datelor pentru a îmbunătăți punerea în aplicare a politicilor și pentru a facilita monitorizarea, raportarea și supravegherea; </w:t>
            </w:r>
            <w:r>
              <w:rPr>
                <w:b/>
                <w:i/>
              </w:rPr>
              <w:t>subliniază că este necesar ca, în contextul utilizării inteligenței artificiale, să se garanteze respectarea unor principii stricte de utilizare etică, transparență, protecție a datelor, supraveghere umană și protecție împotriva părtinirii algoritmice sau a utilizării abuzive;</w:t>
            </w:r>
            <w:r>
              <w:t xml:space="preserve"> insistă ca datele și metodologiile referitoare la indicatori să fie puse la dispoziția publicului în timp real printr-un sistem interoperabil de monitorizare, raportare și audit, sporind astfel transparența și asigurând trasabilitatea până la nivelul proiectelor și al beneficiarilor finali; </w:t>
            </w:r>
            <w:r>
              <w:rPr>
                <w:b/>
                <w:i/>
              </w:rPr>
              <w:t>insistă, de asemenea, că aceste date trebuie să includă informații cuprinzătoare cu privire la amprenta socială și de mediu a proiectelor finanțate;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reamintește că abordările în materie de colectare a datelor variază de la un stat membru la altul și, totodată, în interiorul statelor membre, ceea ce face dificilă agregarea datelor privind performanța la nivelul UE; își reiterează apelul adresat Comisiei de a dezvolta o infrastructură informatică sigură și interoperabilă, valorificând, în același timp, capacitățile de inteligență artificială, învățare automată și extragere a datelor pentru a îmbunătăți punerea în aplicare a politicilor și pentru a facilita monitorizarea, raportarea și supravegherea; insistă ca datele și metodologiile referitoare la indicatori să fie puse la dispoziția publicului în timp real printr-un sistem interoperabil de monitorizare, raportare și audit, sporind astfel transparența și asigurând trasabilitatea până la nivelul proiectelor și al beneficiarilor finali;</w:t>
            </w:r>
          </w:p>
        </w:tc>
        <w:tc>
          <w:tcPr>
            <w:tcW w:w="4876" w:type="dxa"/>
            <w:tcBorders>
              <w:top w:val="nil"/>
              <w:left w:val="nil"/>
              <w:bottom w:val="nil"/>
              <w:right w:val="nil"/>
            </w:tcBorders>
          </w:tcPr>
          <w:p>
            <w:pPr>
              <w:pStyle w:val="Normal6a"/>
            </w:pPr>
            <w:r>
              <w:t>7.</w:t>
            </w:r>
            <w:r>
              <w:tab/>
            </w:r>
            <w:r>
              <w:t xml:space="preserve">reamintește că abordările în materie de colectare a datelor variază de la un stat membru la altul și, totodată, în interiorul statelor membre, ceea ce face dificilă agregarea datelor privind performanța la nivelul UE; își reiterează apelul adresat Comisiei de a dezvolta o infrastructură informatică sigură și interoperabilă, valorificând, în același timp, capacitățile de inteligență artificială, învățare automată și extragere a datelor pentru a îmbunătăți punerea în aplicare a politicilor și pentru a facilita monitorizarea, raportarea și supravegherea; insistă ca datele și metodologiile referitoare la indicatori să fie puse la dispoziția publicului în timp real printr-un sistem interoperabil de monitorizare, raportare și audit, sporind astfel transparența și asigurând trasabilitatea până la nivelul proiectelor și al beneficiarilor finali; </w:t>
            </w:r>
            <w:r>
              <w:rPr>
                <w:b/>
                <w:i/>
              </w:rPr>
              <w:t>subliniază că toți beneficiarii finanțării din partea Uniunii, inclusiv cei care fac obiectul gestiunii indirecte, ar trebui să poată fi identificați pentru a permite un audit eficace și prevenirea dublei finanțări;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reamintește că abordările în materie de colectare a datelor variază de la un stat membru la altul și, totodată, în interiorul statelor membre, ceea ce face dificilă agregarea datelor privind performanța la nivelul UE; își reiterează apelul adresat Comisiei de a dezvolta o infrastructură informatică sigură și interoperabilă, valorificând, în același timp, capacitățile de inteligență artificială, învățare automată și extragere a datelor pentru a îmbunătăți punerea în aplicare a politicilor și pentru a facilita monitorizarea, raportarea și supravegherea; insistă ca datele și metodologiile referitoare la indicatori să fie puse la dispoziția publicului în timp real printr-un sistem interoperabil de monitorizare, raportare și audit, sporind astfel transparența și asigurând trasabilitatea până la nivelul proiectelor și al beneficiarilor finali;</w:t>
            </w:r>
          </w:p>
        </w:tc>
        <w:tc>
          <w:tcPr>
            <w:tcW w:w="4876" w:type="dxa"/>
            <w:tcBorders>
              <w:top w:val="nil"/>
              <w:left w:val="nil"/>
              <w:bottom w:val="nil"/>
              <w:right w:val="nil"/>
            </w:tcBorders>
          </w:tcPr>
          <w:p>
            <w:pPr>
              <w:pStyle w:val="Normal6a"/>
            </w:pPr>
            <w:r>
              <w:t>7.</w:t>
            </w:r>
            <w:r>
              <w:tab/>
            </w:r>
            <w:r>
              <w:t xml:space="preserve">reamintește că abordările în materie de colectare a datelor variază de la un stat membru la altul și, totodată, în interiorul statelor membre, ceea ce face dificilă agregarea </w:t>
            </w:r>
            <w:r>
              <w:rPr>
                <w:b/>
                <w:i/>
              </w:rPr>
              <w:t>și compararea</w:t>
            </w:r>
            <w:r>
              <w:t xml:space="preserve"> datelor privind performanța la nivelul UE; își reiterează apelul adresat Comisiei de a dezvolta o infrastructură informatică sigură și interoperabilă, valorificând, în același timp, capacitățile de inteligență artificială, învățare automată și extragere a datelor pentru a îmbunătăți punerea în aplicare a politicilor și pentru a facilita monitorizarea, raportarea și supravegherea; insistă ca datele și metodologiile referitoare la indicatori să fie puse la dispoziția publicului în timp real printr-un sistem interoperabil de monitorizare, raportare și audit, </w:t>
            </w:r>
            <w:r>
              <w:rPr>
                <w:b/>
                <w:i/>
              </w:rPr>
              <w:t>garantând o securitate maximă a datelor și</w:t>
            </w:r>
            <w:r>
              <w:t xml:space="preserve"> sporind astfel transparența și asigurând trasabilitatea până la nivelul proiectelor și al beneficiarilor finali;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invită Comisia să publice rezumate clare și ușor de utilizat privind performanța și cheltuielile (inclusiv prezentări generale de o pagină și tablouri de bord interactive cu seturi de date care pot fi citite automat), în conformitate cu recomandările OCDE referitoare la consolidarea raportării privind performanța prin integrarea informațiilor financiare și legate de performanță (OECD Papers on Budgeting, nr. 2025/07);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subliniază că utilizarea sporită a inteligenței artificiale în monitorizare și prelucrarea datelor trebuie să facă obiectul unei reglementări stricte pentru a preveni discriminarea algoritmică, a asigura transparența și responsabilitatea și a garanta respectarea deplină a drepturilor fundamentale, inclusiv o supraveghere umană solidă;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consideră că este esențial să se verifice și să se asigure fiabilitatea datelor utilizate pentru stabilirea indicatorilor de performanță; constată cu îngrijorare că, din cauza introducerii și utilizării din ce în ce mai frecvente a modelelor de performanță, cum ar fi MRR, care se bazează pe finanțare nelegată de costuri – în cazul căreia plățile sunt efectuate în raport cu atingerea jaloanelor și a țintelor stabilite anterior – deficiențele în ceea ce privește fiabilitatea datelor pot afecta negativ interesele financiare ale Uniunii;</w:t>
            </w:r>
          </w:p>
        </w:tc>
        <w:tc>
          <w:tcPr>
            <w:tcW w:w="4876" w:type="dxa"/>
            <w:tcBorders>
              <w:top w:val="nil"/>
              <w:left w:val="nil"/>
              <w:bottom w:val="nil"/>
              <w:right w:val="nil"/>
            </w:tcBorders>
          </w:tcPr>
          <w:p>
            <w:pPr>
              <w:pStyle w:val="Normal6a"/>
            </w:pPr>
            <w:r>
              <w:t>8.</w:t>
            </w:r>
            <w:r>
              <w:tab/>
            </w:r>
            <w:r>
              <w:t xml:space="preserve">consideră că este esențial să se verifice și să se asigure fiabilitatea datelor utilizate pentru stabilirea indicatorilor de performanță; constată cu îngrijorare că, din cauza introducerii și utilizării din ce în ce mai frecvente a modelelor de performanță, cum ar fi MRR, care se bazează pe finanțare nelegată de costuri – în cazul căreia plățile sunt efectuate în raport cu atingerea jaloanelor și a țintelor stabilite anterior – deficiențele în ceea ce privește fiabilitatea datelor pot afecta negativ interesele financiare ale Uniunii; </w:t>
            </w:r>
            <w:r>
              <w:rPr>
                <w:b/>
                <w:i/>
              </w:rPr>
              <w:t>insistă, prin urmare, asupra unor verificări ex ante obligatorii ale fezabilității și asupra verificării ex post a jaloanelor și a țintelor, asupra sesizării sistematice a OLAF și a EPPO cu privire la cazurile în care se suspectează comiterea unor fraude sau de nereguli grave și asupra posibilității de a suspenda plățile;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consideră că este esențial să se verifice și să se asigure fiabilitatea datelor utilizate pentru stabilirea indicatorilor de performanță; constată cu îngrijorare că, din cauza introducerii și utilizării din ce în ce mai frecvente a modelelor de performanță, cum ar fi MRR, care se bazează pe finanțare nelegată de costuri – în cazul căreia plățile sunt efectuate în raport cu atingerea jaloanelor și a țintelor stabilite anterior – deficiențele în ceea ce privește fiabilitatea datelor </w:t>
            </w:r>
            <w:r>
              <w:rPr>
                <w:b/>
                <w:i/>
              </w:rPr>
              <w:t>pot afecta negativ interesele</w:t>
            </w:r>
            <w:r>
              <w:t xml:space="preserve"> financiare ale Uniunii;</w:t>
            </w:r>
          </w:p>
        </w:tc>
        <w:tc>
          <w:tcPr>
            <w:tcW w:w="4876" w:type="dxa"/>
            <w:tcBorders>
              <w:top w:val="nil"/>
              <w:left w:val="nil"/>
              <w:bottom w:val="nil"/>
              <w:right w:val="nil"/>
            </w:tcBorders>
          </w:tcPr>
          <w:p>
            <w:pPr>
              <w:pStyle w:val="Normal6a"/>
            </w:pPr>
            <w:r>
              <w:t>8.</w:t>
            </w:r>
            <w:r>
              <w:tab/>
            </w:r>
            <w:r>
              <w:t xml:space="preserve">consideră că este esențial să se verifice și să se asigure fiabilitatea datelor utilizate pentru stabilirea indicatorilor de performanță; constată cu îngrijorare că, din cauza introducerii și utilizării din ce în ce mai frecvente a modelelor de performanță, cum ar fi MRR, care se bazează pe finanțare nelegată de costuri – în cazul căreia plățile sunt efectuate în raport cu atingerea jaloanelor și a țintelor stabilite anterior – deficiențele în ceea ce privește fiabilitatea datelor </w:t>
            </w:r>
            <w:r>
              <w:rPr>
                <w:b/>
                <w:i/>
              </w:rPr>
              <w:t>fac mai dificilă protejarea intereselor</w:t>
            </w:r>
            <w:r>
              <w:t xml:space="preserve"> financiare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Șerban Dimitrie Sturdza,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invită Comisia să includă în raportarea sa privind performanța informații substanțiale privind mecanismele de asigurare a calității utilizate pentru indicatorii de performanță; solicită ca toate datele privind performanța raportate de statele membre să facă obiectul unei verificări independente, inclusiv de către organismele naționale de audit și de către CCE, și ca rezultatele să fie puse la dispoziția Parlamentului;</w:t>
            </w:r>
          </w:p>
        </w:tc>
        <w:tc>
          <w:tcPr>
            <w:tcW w:w="4876" w:type="dxa"/>
            <w:tcBorders>
              <w:top w:val="nil"/>
              <w:left w:val="nil"/>
              <w:bottom w:val="nil"/>
              <w:right w:val="nil"/>
            </w:tcBorders>
          </w:tcPr>
          <w:p>
            <w:pPr>
              <w:pStyle w:val="Normal6a"/>
            </w:pPr>
            <w:r>
              <w:t>9.</w:t>
            </w:r>
            <w:r>
              <w:tab/>
            </w:r>
            <w:r>
              <w:t>invită Comisia să includă în raportarea sa privind performanța informații substanțiale privind mecanismele de asigurare a calității utilizate pentru indicatorii de performanță</w:t>
            </w:r>
            <w:r>
              <w:rPr>
                <w:b/>
                <w:i/>
              </w:rPr>
              <w:t>;</w:t>
            </w:r>
            <w:r>
              <w:t xml:space="preserve"> </w:t>
            </w:r>
            <w:r>
              <w:rPr>
                <w:b/>
                <w:i/>
              </w:rPr>
              <w:t>subliniază că indicatorii de performanță nu ar trebui să fie afectați de nicio influență politică și că aceștia ar trebui să fie concepuți în consultare cu experți independenți, cu autoritățile naționale de audit și cu Curtea de Conturi Europeană;</w:t>
            </w:r>
            <w:r>
              <w:t xml:space="preserve"> </w:t>
            </w:r>
            <w:r>
              <w:rPr>
                <w:b/>
                <w:i/>
              </w:rPr>
              <w:t>subliniază că o revizuire periodică și transparentă a relevanței și fiabilității indicatorilor este esențială pentru a asigura credibilitatea și încrederea publicului în cheltuielile UE</w:t>
            </w:r>
            <w:r>
              <w:t>; solicită ca toate datele privind performanța raportate de statele membre să facă obiectul unei verificări independente, inclusiv de către organismele naționale de audit și de către CCE, și ca rezultatele să fie puse la dispoziția Parlamentului;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invită Comisia să includă în raportarea sa privind performanța informații substanțiale privind mecanismele de asigurare a calității utilizate pentru indicatorii de performanță; solicită ca toate datele privind performanța raportate de statele membre să facă obiectul unei verificări independente, inclusiv de către organismele naționale de audit și de către CCE, și ca rezultatele să fie puse la dispoziția Parlamentului;</w:t>
            </w:r>
          </w:p>
        </w:tc>
        <w:tc>
          <w:tcPr>
            <w:tcW w:w="4876" w:type="dxa"/>
            <w:tcBorders>
              <w:top w:val="nil"/>
              <w:left w:val="nil"/>
              <w:bottom w:val="nil"/>
              <w:right w:val="nil"/>
            </w:tcBorders>
          </w:tcPr>
          <w:p>
            <w:pPr>
              <w:pStyle w:val="Normal6a"/>
            </w:pPr>
            <w:r>
              <w:t>9.</w:t>
            </w:r>
            <w:r>
              <w:tab/>
            </w:r>
            <w:r>
              <w:t xml:space="preserve">invită Comisia să includă în raportarea sa privind performanța informații substanțiale privind mecanismele de asigurare a calității utilizate pentru indicatorii de performanță; solicită ca toate datele privind performanța raportate de statele membre să facă obiectul unei verificări independente, inclusiv de către organismele naționale de audit și de către CCE, și ca rezultatele să fie puse la dispoziția Parlamentului; </w:t>
            </w:r>
            <w:r>
              <w:rPr>
                <w:b/>
                <w:i/>
              </w:rPr>
              <w:t>solicită ca rapoartele de verificare și seturile de date să fie publicate, cu respectarea corespunzătoare a confidențialității, într-un format deschis, care să permită accesul actorilor societății civile și al cercetătorilor;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invită Comisia să includă în raportarea sa privind performanța informații substanțiale privind mecanismele de asigurare a calității utilizate pentru indicatorii de performanță; solicită ca </w:t>
            </w:r>
            <w:r>
              <w:rPr>
                <w:b/>
                <w:i/>
              </w:rPr>
              <w:t>toate</w:t>
            </w:r>
            <w:r>
              <w:t xml:space="preserve"> datele privind performanța raportate de statele membre să facă obiectul unei verificări independente, inclusiv de către organismele naționale de audit și de către CCE, și ca rezultatele să fie puse la dispoziția Parlamentului;</w:t>
            </w:r>
          </w:p>
        </w:tc>
        <w:tc>
          <w:tcPr>
            <w:tcW w:w="4876" w:type="dxa"/>
            <w:tcBorders>
              <w:top w:val="nil"/>
              <w:left w:val="nil"/>
              <w:bottom w:val="nil"/>
              <w:right w:val="nil"/>
            </w:tcBorders>
          </w:tcPr>
          <w:p>
            <w:pPr>
              <w:pStyle w:val="Normal6a"/>
            </w:pPr>
            <w:r>
              <w:t>9.</w:t>
            </w:r>
            <w:r>
              <w:tab/>
            </w:r>
            <w:r>
              <w:t>invită Comisia să includă în raportarea sa privind performanța informații substanțiale privind mecanismele de asigurare a calității utilizate pentru indicatorii de performanță; solicită ca datele privind performanța raportate de statele membre să facă obiectul unei verificări independente, inclusiv de către organismele naționale de audit și de către CCE, și ca rezultatele să fie puse la dispoziția Parlamentului;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consideră că statul de drept este o condiție prealabilă esențială pentru consolidarea competitivității UE;</w:t>
            </w:r>
            <w:r>
              <w:t xml:space="preserve"> </w:t>
            </w:r>
            <w:r>
              <w:rPr>
                <w:b/>
                <w:i/>
              </w:rPr>
              <w:t>subliniază că provocările la adresa statului de drept au un impact negativ asupra încrederii investitorilor, a încrederii consumatorilor și a integrității pieței unice, astfel cum se menționează în Raportul din 2025 al Comisiei privind statul de drept;</w:t>
            </w:r>
            <w:r>
              <w:t xml:space="preserve"> </w:t>
            </w:r>
            <w:r>
              <w:rPr>
                <w:b/>
                <w:i/>
              </w:rPr>
              <w:t>consideră, prin urmare, că cadrul de performanță pentru bugetul UE ar trebui să cuprindă și indicatori referitori la statul de drept, cum ar fi funcționarea sistemului de justiție, combaterea corupției și un sistem eficace de control și echilibru, care să contribuie la securitatea juridică și la un mediu previzibil în care întreprinderile să își desfășoare activitatea;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îndeamnă Comisia să reevalueze periodic continuarea programelor în cazul cărora Curtea de Conturi Europeană a identificat o eficacitate insuficientă sau deficiențe grave în raportarea impactului;</w:t>
            </w:r>
            <w:r>
              <w:t xml:space="preserve"> </w:t>
            </w:r>
            <w:r>
              <w:rPr>
                <w:b/>
                <w:i/>
              </w:rPr>
              <w:t>solicită ca fondurile să fie realocate unor măsuri mai eficiente sau returnate cetățenilor prin reducerea sarcinilor fiscale,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subliniază că gestionarea eficace a performanței presupune respectarea statului de drept și protejarea intereselor financiare ale UE;</w:t>
            </w:r>
            <w:r>
              <w:t xml:space="preserve"> </w:t>
            </w:r>
            <w:r>
              <w:rPr>
                <w:b/>
                <w:i/>
              </w:rPr>
              <w:t>reamintește că, în cazul în care persistă deficiențe grave în sistemele de control, plățile trebuie suspendate și trebuie aplicate corecții financiare;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reamintește că raportul Draghi îndeamnă UE să implementeze în continuare reforme profunde pentru a stimula competitivitatea</w:t>
            </w:r>
            <w:r>
              <w:rPr>
                <w:b/>
                <w:i/>
              </w:rPr>
              <w:t>, punând accentul pe inovare, decarbonizare și apărare, și solicită să se realizeze investiții masive în sectoare strategice, cum ar fi energia verde, infrastructura digitală și producția avansată, care</w:t>
            </w:r>
            <w:r>
              <w:t xml:space="preserve"> să fie </w:t>
            </w:r>
            <w:r>
              <w:rPr>
                <w:b/>
                <w:i/>
              </w:rPr>
              <w:t>sprijinite de simplificarea reglementărilor</w:t>
            </w:r>
            <w:r>
              <w:t xml:space="preserve"> și de </w:t>
            </w:r>
            <w:r>
              <w:rPr>
                <w:b/>
                <w:i/>
              </w:rPr>
              <w:t>o coordonare mai strânsă la nivelul UE;</w:t>
            </w:r>
            <w:r>
              <w:t xml:space="preserve"> </w:t>
            </w:r>
            <w:r>
              <w:rPr>
                <w:b/>
                <w:i/>
              </w:rPr>
              <w:t>consideră, în acest sens, că un cadru de performanță solid este esențial pentru urmărirea progreselor și măsurarea impactului</w:t>
            </w:r>
            <w:r>
              <w:t>;</w:t>
            </w:r>
          </w:p>
        </w:tc>
        <w:tc>
          <w:tcPr>
            <w:tcW w:w="4876" w:type="dxa"/>
            <w:tcBorders>
              <w:top w:val="nil"/>
              <w:left w:val="nil"/>
              <w:bottom w:val="nil"/>
              <w:right w:val="nil"/>
            </w:tcBorders>
          </w:tcPr>
          <w:p>
            <w:pPr>
              <w:pStyle w:val="Normal6a"/>
            </w:pPr>
            <w:r>
              <w:t>10.</w:t>
            </w:r>
            <w:r>
              <w:tab/>
            </w:r>
            <w:r>
              <w:t xml:space="preserve">reamintește că raportul Draghi îndeamnă UE să implementeze în continuare reforme profunde pentru a stimula competitivitatea </w:t>
            </w:r>
            <w:r>
              <w:rPr>
                <w:b/>
                <w:i/>
              </w:rPr>
              <w:t>și că punerea în aplicare trebuie să acorde prioritate eficacității cheltuielilor și măsurării rezultatelor;</w:t>
            </w:r>
            <w:r>
              <w:t xml:space="preserve"> </w:t>
            </w:r>
            <w:r>
              <w:rPr>
                <w:b/>
                <w:i/>
              </w:rPr>
              <w:t>reamintește că fiecare euro cheltuit trebuie cheltuit în mod eficace;</w:t>
            </w:r>
            <w:r>
              <w:t xml:space="preserve"> </w:t>
            </w:r>
            <w:r>
              <w:rPr>
                <w:b/>
                <w:i/>
              </w:rPr>
              <w:t>subliniază că proiectele finanțate de UE trebuie</w:t>
            </w:r>
            <w:r>
              <w:t xml:space="preserve"> să fie </w:t>
            </w:r>
            <w:r>
              <w:rPr>
                <w:b/>
                <w:i/>
              </w:rPr>
              <w:t>selectate strict în funcție de rentabilitatea preconizată</w:t>
            </w:r>
            <w:r>
              <w:t xml:space="preserve"> și de </w:t>
            </w:r>
            <w:r>
              <w:rPr>
                <w:b/>
                <w:i/>
              </w:rPr>
              <w:t>impactul măsurabil, în conformitate cu principiile economiei, eficienței și eficacității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reamintește că raportul Draghi îndeamnă UE să implementeze în continuare reforme profunde pentru a stimula competitivitatea, punând accentul pe inovare, decarbonizare și apărare, și solicită să se realizeze investiții masive în sectoare strategice, cum ar fi energia verde, infrastructura digitală și producția avansată, care să fie sprijinite de simplificarea reglementărilor și de o coordonare mai strânsă la nivelul UE; consideră, în acest sens, că un cadru de performanță solid este esențial pentru urmărirea progreselor și măsurarea impactului;</w:t>
            </w:r>
          </w:p>
        </w:tc>
        <w:tc>
          <w:tcPr>
            <w:tcW w:w="4876" w:type="dxa"/>
            <w:tcBorders>
              <w:top w:val="nil"/>
              <w:left w:val="nil"/>
              <w:bottom w:val="nil"/>
              <w:right w:val="nil"/>
            </w:tcBorders>
          </w:tcPr>
          <w:p>
            <w:pPr>
              <w:pStyle w:val="Normal6a"/>
            </w:pPr>
            <w:r>
              <w:t>10.</w:t>
            </w:r>
            <w:r>
              <w:tab/>
            </w:r>
            <w:r>
              <w:t xml:space="preserve">reamintește că raportul Draghi îndeamnă UE să implementeze în continuare reforme profunde pentru a stimula competitivitatea, punând accentul pe inovare, decarbonizare și apărare, și solicită să se realizeze investiții masive în sectoare strategice, cum ar fi energia verde, infrastructura digitală și producția avansată, care să fie sprijinite de simplificarea reglementărilor și de o coordonare mai strânsă la nivelul UE; consideră, în acest sens, că un cadru de performanță solid este esențial pentru urmărirea progreselor și măsurarea impactului; </w:t>
            </w:r>
            <w:r>
              <w:rPr>
                <w:b/>
                <w:i/>
              </w:rPr>
              <w:t>subliniază că indicatorii de performanță trebuie să fie obiectivi, măsurabili și lipsiți de prejudecăți politice și ideologice, astfel încât evaluarea programelor UE să se bazeze pe dovezi verificabile și să nu fie influențată de agende politice specifice;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reamintește că raportul Draghi îndeamnă UE să implementeze în continuare reforme profunde pentru a stimula competitivitatea, punând accentul pe inovare</w:t>
            </w:r>
            <w:r>
              <w:rPr>
                <w:b/>
                <w:i/>
              </w:rPr>
              <w:t>, decarbonizare</w:t>
            </w:r>
            <w:r>
              <w:t xml:space="preserve"> și apărare, și solicită să se realizeze investiții masive în sectoare strategice, cum ar fi </w:t>
            </w:r>
            <w:r>
              <w:rPr>
                <w:b/>
                <w:i/>
              </w:rPr>
              <w:t>energia verde,</w:t>
            </w:r>
            <w:r>
              <w:t xml:space="preserve"> infrastructura digitală și producția avansată, care să fie sprijinite de simplificarea reglementărilor și de o coordonare mai strânsă la nivelul UE; consideră, în acest sens, că un cadru de performanță solid este esențial pentru urmărirea progreselor și măsurarea impactului;</w:t>
            </w:r>
          </w:p>
        </w:tc>
        <w:tc>
          <w:tcPr>
            <w:tcW w:w="4876" w:type="dxa"/>
            <w:tcBorders>
              <w:top w:val="nil"/>
              <w:left w:val="nil"/>
              <w:bottom w:val="nil"/>
              <w:right w:val="nil"/>
            </w:tcBorders>
          </w:tcPr>
          <w:p>
            <w:pPr>
              <w:pStyle w:val="Normal6a"/>
            </w:pPr>
            <w:r>
              <w:t>10.</w:t>
            </w:r>
            <w:r>
              <w:tab/>
            </w:r>
            <w:r>
              <w:t>reamintește că raportul Draghi îndeamnă UE să implementeze în continuare reforme profunde pentru a stimula competitivitatea, punând accentul pe inovare și apărare, și solicită să se realizeze investiții masive în sectoare strategice, cum ar fi infrastructura digitală și producția avansată, care să fie sprijinite de simplificarea reglementărilor și de o coordonare mai strânsă la nivelul UE; consideră, în acest sens, că un cadru de performanță solid este esențial pentru urmărirea progreselor și măsurarea impactului;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reamintește că raportul Draghi îndeamnă UE să implementeze în continuare reforme profunde pentru a stimula competitivitatea, punând accentul pe inovare</w:t>
            </w:r>
            <w:r>
              <w:rPr>
                <w:b/>
                <w:i/>
              </w:rPr>
              <w:t>,</w:t>
            </w:r>
            <w:r>
              <w:t xml:space="preserve"> decarbonizare </w:t>
            </w:r>
            <w:r>
              <w:rPr>
                <w:b/>
                <w:i/>
              </w:rPr>
              <w:t>și apărare</w:t>
            </w:r>
            <w:r>
              <w:t>, și solicită să se realizeze investiții masive în sectoare strategice, cum ar fi energia verde, infrastructura digitală și producția avansată, care să fie sprijinite de simplificarea reglementărilor și de o coordonare mai strânsă la nivelul UE; consideră, în acest sens, că un cadru de performanță solid este esențial pentru urmărirea progreselor și măsurarea impactului;</w:t>
            </w:r>
          </w:p>
        </w:tc>
        <w:tc>
          <w:tcPr>
            <w:tcW w:w="4876" w:type="dxa"/>
            <w:tcBorders>
              <w:top w:val="nil"/>
              <w:left w:val="nil"/>
              <w:bottom w:val="nil"/>
              <w:right w:val="nil"/>
            </w:tcBorders>
          </w:tcPr>
          <w:p>
            <w:pPr>
              <w:pStyle w:val="Normal6a"/>
            </w:pPr>
            <w:r>
              <w:t>10.</w:t>
            </w:r>
            <w:r>
              <w:tab/>
            </w:r>
            <w:r>
              <w:t xml:space="preserve">reamintește că raportul Draghi îndeamnă UE să implementeze în continuare reforme profunde pentru a stimula competitivitatea, punând accentul pe inovare </w:t>
            </w:r>
            <w:r>
              <w:rPr>
                <w:b/>
                <w:i/>
              </w:rPr>
              <w:t>și</w:t>
            </w:r>
            <w:r>
              <w:t xml:space="preserve"> decarbonizare, și solicită să se realizeze investiții masive în sectoare strategice, cum ar fi energia verde, infrastructura digitală și producția avansată, care să fie sprijinite de simplificarea reglementărilor și de o coordonare mai strânsă la nivelul UE; consideră, în acest sens, că un cadru de performanță solid este esențial pentru urmărirea progreselor și măsurarea impactului;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reamintește că raportul Draghi îndeamnă UE să implementeze în continuare reforme profunde pentru a stimula competitivitatea, punând accentul pe inovare, decarbonizare și apărare, și solicită să se realizeze investiții masive în sectoare strategice, cum ar fi energia verde, infrastructura digitală și producția avansată, care să fie sprijinite de simplificarea reglementărilor și de o coordonare mai strânsă la nivelul UE; consideră, în acest sens, că un cadru de performanță solid </w:t>
            </w:r>
            <w:r>
              <w:rPr>
                <w:b/>
                <w:i/>
              </w:rPr>
              <w:t>este esențial</w:t>
            </w:r>
            <w:r>
              <w:t xml:space="preserve"> pentru urmărirea progreselor și măsurarea impactului;</w:t>
            </w:r>
          </w:p>
        </w:tc>
        <w:tc>
          <w:tcPr>
            <w:tcW w:w="4876" w:type="dxa"/>
            <w:tcBorders>
              <w:top w:val="nil"/>
              <w:left w:val="nil"/>
              <w:bottom w:val="nil"/>
              <w:right w:val="nil"/>
            </w:tcBorders>
          </w:tcPr>
          <w:p>
            <w:pPr>
              <w:pStyle w:val="Normal6a"/>
            </w:pPr>
            <w:r>
              <w:t>10.</w:t>
            </w:r>
            <w:r>
              <w:tab/>
            </w:r>
            <w:r>
              <w:t xml:space="preserve">reamintește că raportul Draghi îndeamnă UE să implementeze în continuare reforme profunde pentru a stimula competitivitatea, punând accentul pe inovare, decarbonizare și apărare, și solicită să se realizeze investiții masive în sectoare strategice, cum ar fi energia verde, infrastructura digitală și producția avansată, care să fie sprijinite de simplificarea reglementărilor și de o coordonare mai strânsă la nivelul UE; consideră, în acest sens, că un cadru de performanță solid </w:t>
            </w:r>
            <w:r>
              <w:rPr>
                <w:b/>
                <w:i/>
              </w:rPr>
              <w:t>și un sistem robust de indicatori sunt esențiale</w:t>
            </w:r>
            <w:r>
              <w:t xml:space="preserve"> pentru urmărirea progreselor și măsurarea impactului</w:t>
            </w:r>
            <w:r>
              <w:rPr>
                <w:b/>
                <w:i/>
              </w:rPr>
              <w:t>, corelând în mod direct performanța cu puterea economică a Uniunii Europene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reamintește că raportul Draghi subliniază că excelența în cercetare și inovare este fundamentală pentru competitivitatea UE și că, în cadrul sistemului de cercetare și inovare al UE, inclusiv al programului Orizont Europa, ar trebui să existe un singur criteriu de selecție, și anume excelența;</w:t>
            </w:r>
            <w:r>
              <w:t xml:space="preserve"> </w:t>
            </w:r>
            <w:r>
              <w:rPr>
                <w:b/>
                <w:i/>
              </w:rPr>
              <w:t>își reiterează, în acest sens, poziția potrivit căreia finanțarea pentru cercetare și inovare ar trebui să fie determinată în continuare de principiul excelenței și ar trebui să rămână bazată pe merite;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punerea în aplicare a recomandărilor raportului Draghi ar trebui monitorizată folosind indicatori de performanță relevanți care să reflecte progresele UE în procesul de îmbunătățire a competitivității sale; subliniază că indicatorii trebuie concepuți cu atenție și ar trebui să reflecte nu numai realizările (de exemplu, numărul de proiecte finanțate), ci și rezultatele și impactul (de exemplu, creșterea productivității, reducerea emisiilor, crearea de locuri de muncă, efectul de pârghie al programelor UE, în special în ceea ce privește mobilizarea investițiilor private), cu scopul de a măsura eficiența și eficacitatea cheltuielilor UE;</w:t>
            </w:r>
          </w:p>
        </w:tc>
        <w:tc>
          <w:tcPr>
            <w:tcW w:w="4876" w:type="dxa"/>
            <w:tcBorders>
              <w:top w:val="nil"/>
              <w:left w:val="nil"/>
              <w:bottom w:val="nil"/>
              <w:right w:val="nil"/>
            </w:tcBorders>
          </w:tcPr>
          <w:p>
            <w:pPr>
              <w:pStyle w:val="Normal6a"/>
            </w:pPr>
            <w:r>
              <w:t>11.</w:t>
            </w:r>
            <w:r>
              <w:tab/>
            </w:r>
            <w:r>
              <w:t xml:space="preserve">subliniază că punerea în aplicare a recomandărilor raportului Draghi ar trebui monitorizată folosind indicatori de performanță relevanți care să reflecte progresele UE în procesul de îmbunătățire a competitivității sale; subliniază că indicatorii trebuie concepuți cu atenție și ar trebui să reflecte nu numai realizările (de exemplu, numărul de proiecte finanțate), ci și rezultatele și impactul (de exemplu, creșterea productivității, reducerea emisiilor, crearea de locuri de muncă, efectul de pârghie al programelor UE, în special în ceea ce privește mobilizarea investițiilor private), cu scopul de a măsura eficiența și eficacitatea cheltuielilor UE; </w:t>
            </w:r>
            <w:r>
              <w:rPr>
                <w:b/>
                <w:i/>
              </w:rPr>
              <w:t>subliniază că indicatorii bazați pe rezultate ar trebui să se concentreze mai degrabă pe câștigurile în materie de competitivitate pe termen lung, inclusiv pe creșterea productivității, consolidarea poziției de lider tehnologic, diversificarea exporturilor și crearea de locuri de muncă sustenabile, decât pe indicatori pe termen scurt privind plățile sau pe obiective de etapă definite politic;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punerea în aplicare a recomandărilor raportului Draghi ar trebui monitorizată folosind indicatori de performanță relevanți care să reflecte progresele UE în procesul de îmbunătățire a competitivității sale; subliniază că indicatorii trebuie concepuți cu atenție și ar trebui să reflecte nu numai realizările (de exemplu, numărul de proiecte finanțate), ci și rezultatele și impactul (de exemplu, creșterea productivității, reducerea emisiilor, crearea de locuri de muncă, efectul de pârghie al programelor UE, în special în ceea ce privește mobilizarea investițiilor private), cu scopul de a măsura eficiența și eficacitatea cheltuielilor UE;</w:t>
            </w:r>
          </w:p>
        </w:tc>
        <w:tc>
          <w:tcPr>
            <w:tcW w:w="4876" w:type="dxa"/>
            <w:tcBorders>
              <w:top w:val="nil"/>
              <w:left w:val="nil"/>
              <w:bottom w:val="nil"/>
              <w:right w:val="nil"/>
            </w:tcBorders>
          </w:tcPr>
          <w:p>
            <w:pPr>
              <w:pStyle w:val="Normal6a"/>
            </w:pPr>
            <w:r>
              <w:t>11.</w:t>
            </w:r>
            <w:r>
              <w:tab/>
            </w:r>
            <w:r>
              <w:t xml:space="preserve">subliniază că punerea în aplicare a recomandărilor raportului Draghi ar trebui monitorizată folosind indicatori de performanță relevanți care să reflecte progresele UE în procesul de îmbunătățire a competitivității sale; subliniază că indicatorii trebuie concepuți cu atenție și ar trebui să reflecte nu numai realizările (de exemplu, numărul de proiecte finanțate), ci și rezultatele și impactul (de exemplu, creșterea productivității, reducerea emisiilor, crearea de locuri de muncă, efectul de pârghie al programelor UE, în special în ceea ce privește mobilizarea investițiilor private), cu scopul de a măsura eficiența și eficacitatea cheltuielilor UE; </w:t>
            </w:r>
            <w:r>
              <w:rPr>
                <w:b/>
                <w:i/>
              </w:rPr>
              <w:t>subliniază că, în definirea indicatorilor de performanță, trebuie să se evite criteriile politice sau subiective, punând accentul în schimb pe rezultate măsurabile în materie de competitivitate, cum ar fi productivitatea, balanța comercială și efectul de levier al investițiilor;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Dick Erixon, 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punerea în aplicare a recomandărilor raportului Draghi ar trebui monitorizată folosind indicatori de performanță relevanți care să reflecte progresele UE în procesul de îmbunătățire a competitivității sale; subliniază că indicatorii trebuie concepuți cu atenție și ar trebui să reflecte nu numai realizările (de exemplu, numărul de proiecte finanțate), ci și rezultatele și impactul (de exemplu, creșterea productivității, reducerea emisiilor, crearea de locuri de muncă, efectul de pârghie al programelor UE, în special în ceea ce privește mobilizarea investițiilor private), cu scopul de a măsura eficiența și eficacitatea cheltuielilor UE;</w:t>
            </w:r>
          </w:p>
        </w:tc>
        <w:tc>
          <w:tcPr>
            <w:tcW w:w="4876" w:type="dxa"/>
            <w:tcBorders>
              <w:top w:val="nil"/>
              <w:left w:val="nil"/>
              <w:bottom w:val="nil"/>
              <w:right w:val="nil"/>
            </w:tcBorders>
          </w:tcPr>
          <w:p>
            <w:pPr>
              <w:pStyle w:val="Normal6a"/>
            </w:pPr>
            <w:r>
              <w:t>11.</w:t>
            </w:r>
            <w:r>
              <w:tab/>
            </w:r>
            <w:r>
              <w:t xml:space="preserve">subliniază că punerea în aplicare a recomandărilor raportului Draghi ar trebui monitorizată folosind indicatori de performanță relevanți care să reflecte progresele UE în procesul de îmbunătățire a competitivității sale </w:t>
            </w:r>
            <w:r>
              <w:rPr>
                <w:b/>
                <w:i/>
              </w:rPr>
              <w:t>care au un impact pozitiv asupra creșterii economice în statele membre</w:t>
            </w:r>
            <w:r>
              <w:t xml:space="preserve">; subliniază că indicatorii trebuie concepuți cu atenție și ar trebui să reflecte nu numai realizările (de exemplu, numărul de proiecte finanțate), ci și rezultatele și impactul (de exemplu, creșterea productivității, reducerea emisiilor, crearea de locuri de muncă, efectul de pârghie al programelor UE, în special în ceea ce privește mobilizarea investițiilor private), cu scopul de a măsura eficiența și eficacitatea cheltuielilor UE; </w:t>
            </w:r>
            <w:r>
              <w:rPr>
                <w:b/>
                <w:i/>
              </w:rPr>
              <w:t>reamintește că reformele structurale sunt esențiale pentru atingerea obiectivelor în materie de competitivitate și trebuie să se reflecte în cadrele de măsurare a performanței;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că punerea în aplicare a recomandărilor raportului Draghi ar trebui monitorizată folosind indicatori de performanță relevanți care să reflecte progresele UE în procesul de îmbunătățire a competitivității </w:t>
            </w:r>
            <w:r>
              <w:rPr>
                <w:b/>
                <w:i/>
              </w:rPr>
              <w:t>sale</w:t>
            </w:r>
            <w:r>
              <w:t>; subliniază că indicatorii trebuie concepuți cu atenție și ar trebui să reflecte nu numai realizările (de exemplu, numărul de proiecte finanțate), ci și rezultatele și impactul (de exemplu, creșterea productivității, reducerea emisiilor, crearea de locuri de muncă, efectul de pârghie al programelor UE, în special în ceea ce privește mobilizarea investițiilor private), cu scopul de a măsura eficiența și eficacitatea cheltuielilor UE;</w:t>
            </w:r>
          </w:p>
        </w:tc>
        <w:tc>
          <w:tcPr>
            <w:tcW w:w="4876" w:type="dxa"/>
            <w:tcBorders>
              <w:top w:val="nil"/>
              <w:left w:val="nil"/>
              <w:bottom w:val="nil"/>
              <w:right w:val="nil"/>
            </w:tcBorders>
          </w:tcPr>
          <w:p>
            <w:pPr>
              <w:pStyle w:val="Normal6a"/>
            </w:pPr>
            <w:r>
              <w:t>11.</w:t>
            </w:r>
            <w:r>
              <w:tab/>
            </w:r>
            <w:r>
              <w:t xml:space="preserve">subliniază că punerea în aplicare a recomandărilor raportului Draghi </w:t>
            </w:r>
            <w:r>
              <w:rPr>
                <w:b/>
                <w:i/>
              </w:rPr>
              <w:t>și a Busolei pentru competitivitate</w:t>
            </w:r>
            <w:r>
              <w:t xml:space="preserve"> ar trebui monitorizată folosind indicatori de performanță relevanți care să reflecte progresele UE în procesul de îmbunătățire a competitivității </w:t>
            </w:r>
            <w:r>
              <w:rPr>
                <w:b/>
                <w:i/>
              </w:rPr>
              <w:t>și de stimulare a creșterii sale economice prin inovare, poziția de lider tehnologic și reziliența industrială</w:t>
            </w:r>
            <w:r>
              <w:t>; subliniază că indicatorii trebuie concepuți cu atenție și ar trebui să reflecte nu numai realizările (de exemplu, numărul de proiecte finanțate), ci și rezultatele și impactul (de exemplu, creșterea productivității, reducerea emisiilor, crearea de locuri de muncă, efectul de pârghie al programelor UE, în special în ceea ce privește mobilizarea investițiilor private), cu scopul de a măsura eficiența și eficacitatea cheltuielilor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subliniază că punerea în aplicare a recomandărilor raportului Draghi ar trebui monitorizată folosind indicatori de performanță relevanți care să reflecte progresele UE în procesul de îmbunătățire a competitivității sale; subliniază că indicatorii trebuie concepuți cu atenție și ar trebui să reflecte nu numai realizările (de exemplu, numărul de proiecte finanțate), ci și rezultatele și impactul (de exemplu, creșterea productivității, reducerea emisiilor, crearea de locuri de muncă, efectul de pârghie al programelor UE, în special în ceea ce privește mobilizarea investițiilor private), cu scopul de a măsura eficiența și eficacitatea cheltuielilor UE;</w:t>
            </w:r>
          </w:p>
        </w:tc>
        <w:tc>
          <w:tcPr>
            <w:tcW w:w="4876" w:type="dxa"/>
            <w:tcBorders>
              <w:top w:val="nil"/>
              <w:left w:val="nil"/>
              <w:bottom w:val="nil"/>
              <w:right w:val="nil"/>
            </w:tcBorders>
          </w:tcPr>
          <w:p>
            <w:pPr>
              <w:pStyle w:val="Normal6a"/>
            </w:pPr>
            <w:r>
              <w:t>11.</w:t>
            </w:r>
            <w:r>
              <w:tab/>
            </w:r>
            <w:r>
              <w:t>subliniază că punerea în aplicare a recomandărilor raportului Draghi ar trebui monitorizată folosind indicatori de performanță relevanți care să reflecte progresele UE în procesul de îmbunătățire a competitivității sale</w:t>
            </w:r>
            <w:r>
              <w:rPr>
                <w:b/>
                <w:i/>
              </w:rPr>
              <w:t>, asigurând totodată echitatea socială</w:t>
            </w:r>
            <w:r>
              <w:t xml:space="preserve">; subliniază că indicatorii trebuie concepuți cu atenție și ar trebui să reflecte nu numai realizările (de exemplu, numărul de proiecte finanțate), ci și rezultatele și impactul (de exemplu, creșterea productivității, reducerea emisiilor, crearea de locuri de muncă </w:t>
            </w:r>
            <w:r>
              <w:rPr>
                <w:b/>
                <w:i/>
              </w:rPr>
              <w:t>sustenabile și sigure, îmbunătățirile în ceea ce privește coeziunea socială și teritorială, egalitatea de gen</w:t>
            </w:r>
            <w:r>
              <w:t>, efectul de pârghie al programelor UE, în special în ceea ce privește mobilizarea investițiilor private), cu scopul de a măsura eficiența și eficacitatea cheltuielilor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că punerea în aplicare a recomandărilor raportului Draghi ar trebui monitorizată folosind indicatori de performanță relevanți care să reflecte progresele UE în procesul de îmbunătățire a competitivității sale; subliniază că indicatorii trebuie concepuți cu atenție și ar trebui să reflecte nu numai realizările (de exemplu, numărul de proiecte finanțate), ci și rezultatele și impactul (de exemplu, creșterea productivității, </w:t>
            </w:r>
            <w:r>
              <w:rPr>
                <w:b/>
                <w:i/>
              </w:rPr>
              <w:t>reducerea emisiilor,</w:t>
            </w:r>
            <w:r>
              <w:t xml:space="preserve"> crearea de locuri de muncă, efectul de pârghie al programelor UE, în special în ceea ce privește mobilizarea investițiilor private), cu scopul de a măsura eficiența și eficacitatea cheltuielilor UE;</w:t>
            </w:r>
          </w:p>
        </w:tc>
        <w:tc>
          <w:tcPr>
            <w:tcW w:w="4876" w:type="dxa"/>
            <w:tcBorders>
              <w:top w:val="nil"/>
              <w:left w:val="nil"/>
              <w:bottom w:val="nil"/>
              <w:right w:val="nil"/>
            </w:tcBorders>
          </w:tcPr>
          <w:p>
            <w:pPr>
              <w:pStyle w:val="Normal6a"/>
            </w:pPr>
            <w:r>
              <w:t>11.</w:t>
            </w:r>
            <w:r>
              <w:tab/>
            </w:r>
            <w:r>
              <w:t>subliniază că punerea în aplicare a recomandărilor raportului Draghi ar trebui monitorizată folosind indicatori de performanță relevanți care să reflecte progresele UE în procesul de îmbunătățire a competitivității sale; subliniază că indicatorii trebuie concepuți cu atenție și ar trebui să reflecte nu numai realizările (de exemplu, numărul de proiecte finanțate), ci și rezultatele și impactul (de exemplu, creșterea productivității, crearea de locuri de muncă, efectul de pârghie al programelor UE, în special în ceea ce privește mobilizarea investițiilor private), cu scopul de a măsura eficiența și eficacitatea cheltuielilor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remarcă faptul că utilizarea indicatorilor pe termen scurt privind plățile, care măsoară în principal absorbția fondurilor sau rata de execuție bugetară, oferă informații cu privire la progresele administrative, mai degrabă decât cu privire la impactul economic sau societal real al cheltuielilor UE;</w:t>
            </w:r>
            <w:r>
              <w:t xml:space="preserve"> </w:t>
            </w:r>
            <w:r>
              <w:rPr>
                <w:b/>
                <w:i/>
              </w:rPr>
              <w:t>subliniază că astfel de indicatori pot crea o percepție înșelătoare asupra succesului atunci când fondurile sunt cheltuite integral, dar nu reușesc să genereze îmbunătățiri măsurabile în ceea ce privește inovarea, investițiile sau ocuparea forței de muncă;</w:t>
            </w:r>
            <w:r>
              <w:t xml:space="preserve"> </w:t>
            </w:r>
            <w:r>
              <w:rPr>
                <w:b/>
                <w:i/>
              </w:rPr>
              <w:t>reamintește că Curtea de Conturi Europeană a criticat în repetate rânduri dependența excesivă de ratele de cheltuieli și de jaloanele privind plățile din cadrul de performanță al UE și solicită trecerea la indicatori de rezultat și de impact care să reflecte câștiguri reale în materie de competitivitate și un bun raport calitate-preț;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avertizează că cotele minime orizontale pentru prioritățile selectate nu îmbunătățesc în mod automat rezultatele;</w:t>
            </w:r>
            <w:r>
              <w:t xml:space="preserve"> </w:t>
            </w:r>
            <w:r>
              <w:rPr>
                <w:b/>
                <w:i/>
              </w:rPr>
              <w:t>ia act de faptul că, în propunerea sa din 16 iulie 2025 privind CFM 2028-2034, Comisia sugerează un obiectiv de cheltuieli pentru climă și mediu de 35 % (peste 700 de miliarde EUR), care trebuie să rămână subordonat eficacității măsurabile și raportării transparente a impactului;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subliniază că </w:t>
            </w:r>
            <w:r>
              <w:rPr>
                <w:b/>
                <w:i/>
              </w:rPr>
              <w:t>este necesar ca</w:t>
            </w:r>
            <w:r>
              <w:t xml:space="preserve"> datele la nivel de proiect </w:t>
            </w:r>
            <w:r>
              <w:rPr>
                <w:b/>
                <w:i/>
              </w:rPr>
              <w:t>să fie incluse în raportarea îmbunătățită</w:t>
            </w:r>
            <w:r>
              <w:t xml:space="preserve"> cu privire la performanță care vizează instrumentele financiare implementate în cadrul gestiunii indirecte, cum ar fi InvestEU; recunoaște că, având în vedere natura bazată pe piață și pe cerere a instrumentelor financiare, performanța unor astfel de programe depinde de măsura în care ele sunt adoptate de piață, ceea ce limitează capacitatea Comisiei de a stabili obiective de etapă și ținte predefinite;</w:t>
            </w:r>
          </w:p>
        </w:tc>
        <w:tc>
          <w:tcPr>
            <w:tcW w:w="4876" w:type="dxa"/>
            <w:tcBorders>
              <w:top w:val="nil"/>
              <w:left w:val="nil"/>
              <w:bottom w:val="nil"/>
              <w:right w:val="nil"/>
            </w:tcBorders>
          </w:tcPr>
          <w:p>
            <w:pPr>
              <w:pStyle w:val="Normal6a"/>
            </w:pPr>
            <w:r>
              <w:t>12.</w:t>
            </w:r>
            <w:r>
              <w:tab/>
            </w:r>
            <w:r>
              <w:t xml:space="preserve">subliniază că datele la nivel de proiect </w:t>
            </w:r>
            <w:r>
              <w:rPr>
                <w:b/>
                <w:i/>
              </w:rPr>
              <w:t>ar trebui să constituie baza raportării îmbunătățite</w:t>
            </w:r>
            <w:r>
              <w:t xml:space="preserve"> cu privire la performanță care vizează instrumentele financiare implementate în cadrul gestiunii indirecte, cum ar fi InvestEU</w:t>
            </w:r>
            <w:r>
              <w:rPr>
                <w:b/>
                <w:i/>
              </w:rPr>
              <w:t>; remarcă, totuși, că acestea ar trebui să fie prezentate într-un format standardizat și să se limiteze la informațiile esențiale necesare pentru măsurarea succesului programului, cum ar fi mobilizarea investițiilor private care nu ar fi putut avea loc fără program</w:t>
            </w:r>
            <w:r>
              <w:t>; recunoaște că, având în vedere natura bazată pe piață și pe cerere a instrumentelor financiare, performanța unor astfel de programe depinde de măsura în care ele sunt adoptate de piață, ceea ce limitează capacitatea Comisiei de a stabili obiective de etapă și ținte predefinite;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subliniază că este necesar ca datele la nivel de proiect să fie incluse în raportarea îmbunătățită cu privire la performanță care vizează instrumentele financiare implementate în cadrul gestiunii indirecte, cum ar fi InvestEU; recunoaște că, având în vedere natura bazată pe piață și pe cerere a instrumentelor financiare, performanța unor astfel de programe depinde de măsura în care ele sunt adoptate de piață, ceea ce limitează capacitatea Comisiei de a stabili obiective de etapă și ținte predefinite;</w:t>
            </w:r>
          </w:p>
        </w:tc>
        <w:tc>
          <w:tcPr>
            <w:tcW w:w="4876" w:type="dxa"/>
            <w:tcBorders>
              <w:top w:val="nil"/>
              <w:left w:val="nil"/>
              <w:bottom w:val="nil"/>
              <w:right w:val="nil"/>
            </w:tcBorders>
          </w:tcPr>
          <w:p>
            <w:pPr>
              <w:pStyle w:val="Normal6a"/>
            </w:pPr>
            <w:r>
              <w:t>12.</w:t>
            </w:r>
            <w:r>
              <w:tab/>
            </w:r>
            <w:r>
              <w:t xml:space="preserve">subliniază că este necesar ca datele la nivel de proiect să fie incluse în raportarea îmbunătățită cu privire la performanță care vizează instrumentele financiare implementate în cadrul gestiunii indirecte, cum ar fi InvestEU; recunoaște că, având în vedere natura bazată pe piață și pe cerere a instrumentelor financiare, performanța unor astfel de programe depinde de măsura în care ele sunt adoptate de piață, ceea ce limitează capacitatea Comisiei de a stabili obiective de etapă și ținte predefinite; </w:t>
            </w:r>
            <w:r>
              <w:rPr>
                <w:b/>
                <w:i/>
              </w:rPr>
              <w:t>subliniază că, pentru sprijinul acordat IMM-urilor și întreprinderilor în curs de extindere, principalii indicatori ai succesului ar trebui să fie productivitatea și creșterea valorii adăugate brute, rezultatele în materie de export și inovare și crearea de locuri de muncă de calitate, în timp ce numărul beneficiarilor ar trebui să fie secundar și utilizat pentru a explica rezultatele, mai degrabă decât pentru a le înlocui;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subliniază că raportul Draghi corelează succesul strategiei europene privind competitivitatea cu instituirea unui cadru de performanță solid și transparent, capabil să monitorizeze progresele nu numai în ceea ce privește realizările, ci și rezultatele și impactul pe termen lung;</w:t>
            </w:r>
            <w:r>
              <w:t xml:space="preserve"> </w:t>
            </w:r>
            <w:r>
              <w:rPr>
                <w:b/>
                <w:i/>
              </w:rPr>
              <w:t>subliniază necesitatea unor indicatori de performanță care să surprindă în mod cuprinzător rezultatele măsurilor finanțate de UE, inclusiv realizările (cum ar fi numărul de proiecte finanțate), rezultatele (cum ar fi creșterea productivității, crearea de locuri de muncă și investițiile private mobilizate) și impactul (cum ar fi autonomia strategică consolidată);</w:t>
            </w:r>
            <w:r>
              <w:t xml:space="preserve"> </w:t>
            </w:r>
            <w:r>
              <w:rPr>
                <w:b/>
                <w:i/>
              </w:rPr>
              <w:t>solicită ca acești indicatori să fie publici și armonizați în toate programele UE și să facă obiectul unei raportări transparente și al unui audit independent, asigurând responsabilitatea și comparabilitatea în utilizarea fondurilor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consideră că este necesar să se stabilească un cadru cuprinzător de evaluare ex ante a riscurilor, în special pentru proiectele caracterizate de un profil de risc ridicat și cu randament ridicat, pentru a asigura o evaluare echilibrată a valorii adăugate, a costurilor și a beneficiilor acestora;</w:t>
            </w:r>
            <w:r>
              <w:t xml:space="preserve"> </w:t>
            </w:r>
            <w:r>
              <w:rPr>
                <w:b/>
                <w:i/>
              </w:rPr>
              <w:t>subliniază că realizarea obiectivelor de politică ale Uniunii în materie de competitivitate necesită un sistem solid de audit și control, susținut de o metodologie coerentă de evaluare a riscurilor;</w:t>
            </w:r>
            <w:r>
              <w:t xml:space="preserve"> </w:t>
            </w:r>
            <w:r>
              <w:rPr>
                <w:b/>
                <w:i/>
              </w:rPr>
              <w:t>subliniază că o astfel de metodologie ar trebui să permită niveluri proporționale de risc esențiale pentru promovarea inovării, asigurând, în același timp, garanții adecvate pentru protecția bugetului UE, în special împotriva fraudei și a riscurilor nefinanciare;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sugerează că, pentru a evalua mai bine impactul finanțării UE asupra competitivității, ar trebui utilizată o modelare macroeconomică mai aprofundată, care să integreze cele mai recente progrese în cercetarea economică;</w:t>
            </w:r>
            <w:r>
              <w:t xml:space="preserve"> </w:t>
            </w:r>
            <w:r>
              <w:rPr>
                <w:b/>
                <w:i/>
              </w:rPr>
              <w:t>constată că modelele care surprind eterogenitatea gospodăriilor și a întreprinderilor și efectele distributive permit o evaluare ex ante mai cuprinzătoare a impactului finanțării UE asupra productivității, a comportamentului investițional și a competitivității regionale;</w:t>
            </w:r>
            <w:r>
              <w:t xml:space="preserve"> </w:t>
            </w:r>
            <w:r>
              <w:rPr>
                <w:b/>
                <w:i/>
              </w:rPr>
              <w:t>sugerează ca această abordare să fie completată de utilizarea microdatelor și a indicatorilor de performanță regionali pentru a îmbunătăți baza de dovezi pentru elaborarea politicilor și direcționarea fondurilor;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invită Comisia și statele membre să stabilească și să utilizeze în mod consecvent un set armonizat de indicatori de bază, axați pe promovarea competitivității în toate statele membre, cu scopul de a face posibile comparabilitatea, analiza comparativă și agregarea datelor la nivelul UE, permițând, în același timp, utilizarea unor indicatori adaptați la nevoile naționale sau regionale, după caz; subliniază că asociațiile de întreprinderi, instituțiile de cercetare și societatea civilă ar trebui să fie consultate în definirea și revizuirea indicatorilor, pentru a se asigura că acestea reflectă nevoile reale în materie de competitivitate;</w:t>
            </w:r>
          </w:p>
        </w:tc>
        <w:tc>
          <w:tcPr>
            <w:tcW w:w="4876" w:type="dxa"/>
            <w:tcBorders>
              <w:top w:val="nil"/>
              <w:left w:val="nil"/>
              <w:bottom w:val="nil"/>
              <w:right w:val="nil"/>
            </w:tcBorders>
          </w:tcPr>
          <w:p>
            <w:pPr>
              <w:pStyle w:val="Normal6a"/>
            </w:pPr>
            <w:r>
              <w:t>13.</w:t>
            </w:r>
            <w:r>
              <w:tab/>
            </w:r>
            <w:r>
              <w:t xml:space="preserve">invită Comisia și statele membre să stabilească și să utilizeze în mod consecvent un set armonizat de indicatori de bază, axați pe promovarea competitivității în toate statele membre, cu scopul de a face posibile comparabilitatea, analiza comparativă și agregarea datelor la nivelul UE, permițând, în același timp, utilizarea unor indicatori adaptați la nevoile naționale sau regionale, după caz; subliniază că asociațiile de întreprinderi, instituțiile de cercetare și societatea civilă ar trebui să fie consultate în definirea și revizuirea indicatorilor, pentru a se asigura că acestea reflectă nevoile reale în materie de competitivitate; </w:t>
            </w:r>
            <w:r>
              <w:rPr>
                <w:b/>
                <w:i/>
              </w:rPr>
              <w:t>subliniază că introducerea unor cadre de performanță suplimentare nu trebuie să conducă la creșterea sarcinii administrative, la obligații de raportare suplimentare sau la dublarea mecanismelor de control existente pentru statele membre;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invită Comisia și statele membre să stabilească și să utilizeze în mod consecvent un set armonizat de indicatori de bază, axați pe promovarea competitivității în toate statele membre, cu scopul de a face posibile comparabilitatea, analiza comparativă și agregarea datelor la nivelul UE, permițând, în același timp, utilizarea unor indicatori adaptați la nevoile naționale sau regionale, după caz; subliniază că asociațiile de întreprinderi, instituțiile de cercetare și societatea civilă ar trebui să fie consultate în definirea și revizuirea indicatorilor, pentru a se asigura că acestea reflectă nevoile reale în materie de competitivitate;</w:t>
            </w:r>
          </w:p>
        </w:tc>
        <w:tc>
          <w:tcPr>
            <w:tcW w:w="4876" w:type="dxa"/>
            <w:tcBorders>
              <w:top w:val="nil"/>
              <w:left w:val="nil"/>
              <w:bottom w:val="nil"/>
              <w:right w:val="nil"/>
            </w:tcBorders>
          </w:tcPr>
          <w:p>
            <w:pPr>
              <w:pStyle w:val="Normal6a"/>
            </w:pPr>
            <w:r>
              <w:t>13.</w:t>
            </w:r>
            <w:r>
              <w:tab/>
            </w:r>
            <w:r>
              <w:t xml:space="preserve">invită Comisia și statele membre să stabilească și să utilizeze în mod consecvent un set armonizat de indicatori de bază, axați pe promovarea competitivității în toate statele membre, cu scopul de a face posibile comparabilitatea, analiza comparativă și agregarea datelor la nivelul UE, permițând, în același timp, utilizarea unor indicatori adaptați la nevoile naționale sau regionale, după caz; subliniază că asociațiile de întreprinderi, </w:t>
            </w:r>
            <w:r>
              <w:rPr>
                <w:b/>
                <w:i/>
              </w:rPr>
              <w:t>sindicatele, partenerii sociali,</w:t>
            </w:r>
            <w:r>
              <w:t xml:space="preserve"> instituțiile de cercetare și societatea civilă ar trebui să fie consultate în definirea și revizuirea indicatorilor, pentru a se asigura că acestea reflectă nevoile reale în materie de competitivitate </w:t>
            </w:r>
            <w:r>
              <w:rPr>
                <w:b/>
                <w:i/>
              </w:rPr>
              <w:t>și garantează respectarea unor standarde ridicate în domeniul social și al muncii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invită Comisia și statele membre să stabilească și să utilizeze în mod consecvent un set armonizat de indicatori de bază, axați pe promovarea competitivității în toate statele membre, cu scopul de a face posibile comparabilitatea, analiza comparativă și agregarea datelor la nivelul UE, permițând, în același timp, utilizarea unor indicatori adaptați la nevoile naționale sau regionale, după caz; subliniază că asociațiile de întreprinderi, instituțiile de cercetare și societatea civilă ar trebui să fie consultate în definirea și revizuirea indicatorilor, pentru a se asigura că acestea reflectă nevoile reale în materie de competitivitate;</w:t>
            </w:r>
          </w:p>
        </w:tc>
        <w:tc>
          <w:tcPr>
            <w:tcW w:w="4876" w:type="dxa"/>
            <w:tcBorders>
              <w:top w:val="nil"/>
              <w:left w:val="nil"/>
              <w:bottom w:val="nil"/>
              <w:right w:val="nil"/>
            </w:tcBorders>
          </w:tcPr>
          <w:p>
            <w:pPr>
              <w:pStyle w:val="Normal6a"/>
            </w:pPr>
            <w:r>
              <w:t>13.</w:t>
            </w:r>
            <w:r>
              <w:tab/>
            </w:r>
            <w:r>
              <w:t>invită Comisia și statele membre să stabilească și să utilizeze în mod consecvent</w:t>
            </w:r>
            <w:r>
              <w:rPr>
                <w:b/>
                <w:i/>
              </w:rPr>
              <w:t>, pe durata următorului CFM,</w:t>
            </w:r>
            <w:r>
              <w:t xml:space="preserve"> un set armonizat de indicatori de bază</w:t>
            </w:r>
            <w:r>
              <w:rPr>
                <w:b/>
                <w:i/>
              </w:rPr>
              <w:t>, cum ar fi cei care sunt deja incluși în tabloul de bord european privind inovarea</w:t>
            </w:r>
            <w:r>
              <w:t>, axați pe promovarea competitivității în toate statele membre, cu scopul de a face posibile comparabilitatea, analiza comparativă și agregarea datelor la nivelul UE, permițând, în același timp, utilizarea unor indicatori adaptați la nevoile naționale sau regionale, după caz; subliniază că asociațiile de întreprinderi, instituțiile de cercetare și societatea civilă ar trebui să fie consultate în definirea și revizuirea indicatorilor, pentru a se asigura că acestea reflectă nevoile reale în materie de competitivitate;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subliniază că educația, formarea și disponibilitatea unei forțe de muncă calificate sunt factori determinanți esențiali ai competitivității UE;</w:t>
            </w:r>
            <w:r>
              <w:t xml:space="preserve"> </w:t>
            </w:r>
            <w:r>
              <w:rPr>
                <w:b/>
                <w:i/>
              </w:rPr>
              <w:t>solicită, prin urmare, includerea unor indicatori legați de accesul la o educație de calitate, participarea la formarea profesională și învățarea pe tot parcursul vieții, dezvoltarea competențelor și incluziunea pe piața forței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consideră că, în cazul proiectelor care promovează inovarea și sprijină tehnologiile strategice, </w:t>
            </w:r>
            <w:r>
              <w:rPr>
                <w:b/>
                <w:i/>
              </w:rPr>
              <w:t>ar putea fi utilizați următorii indicatori de realizare</w:t>
            </w:r>
            <w:r>
              <w:t xml:space="preserve">: </w:t>
            </w:r>
            <w:r>
              <w:rPr>
                <w:b/>
                <w:i/>
              </w:rPr>
              <w:t>volumul finanțării mobilizate,</w:t>
            </w:r>
            <w:r>
              <w:t xml:space="preserve"> randamentul investițiilor, numărul de proiecte finanțate per sector </w:t>
            </w:r>
            <w:r>
              <w:rPr>
                <w:b/>
                <w:i/>
              </w:rPr>
              <w:t>(și anume, inteligența artificială, tehnologiile cuantice, biotehnologiile)</w:t>
            </w:r>
            <w:r>
              <w:t xml:space="preserve"> și numărul de întreprinderi nou-înființate și de întreprinderi în curs de extindere create sau extinse în UE</w:t>
            </w:r>
            <w:r>
              <w:rPr>
                <w:b/>
                <w:i/>
              </w:rPr>
              <w:t>;</w:t>
            </w:r>
            <w:r>
              <w:t xml:space="preserve"> </w:t>
            </w:r>
            <w:r>
              <w:rPr>
                <w:b/>
                <w:i/>
              </w:rPr>
              <w:t>consideră că ar putea fi</w:t>
            </w:r>
            <w:r>
              <w:t xml:space="preserve"> utilizați </w:t>
            </w:r>
            <w:r>
              <w:rPr>
                <w:b/>
                <w:i/>
              </w:rPr>
              <w:t>și indicatori de rezultat, cum ar fi numărul de brevete depuse de proiectele finanțate de UE și rata de supraviețuire a întreprinderilor finanțate de UE după trei ani</w:t>
            </w:r>
            <w:r>
              <w:t>;</w:t>
            </w:r>
          </w:p>
        </w:tc>
        <w:tc>
          <w:tcPr>
            <w:tcW w:w="4876" w:type="dxa"/>
            <w:tcBorders>
              <w:top w:val="nil"/>
              <w:left w:val="nil"/>
              <w:bottom w:val="nil"/>
              <w:right w:val="nil"/>
            </w:tcBorders>
          </w:tcPr>
          <w:p>
            <w:pPr>
              <w:pStyle w:val="Normal6a"/>
            </w:pPr>
            <w:r>
              <w:t>14.</w:t>
            </w:r>
            <w:r>
              <w:tab/>
            </w:r>
            <w:r>
              <w:t xml:space="preserve">consideră că, în cazul proiectelor care promovează inovarea și sprijină tehnologiile strategice, </w:t>
            </w:r>
            <w:r>
              <w:rPr>
                <w:b/>
                <w:i/>
              </w:rPr>
              <w:t>măsurarea performanței ar trebui să se bazeze pe impact</w:t>
            </w:r>
            <w:r>
              <w:t>: randamentul investițiilor</w:t>
            </w:r>
            <w:r>
              <w:rPr>
                <w:b/>
                <w:i/>
              </w:rPr>
              <w:t>, adoptarea pe piață și creșterea veniturilor care pot fi atribuite inovațiilor finanțate de UE;</w:t>
            </w:r>
            <w:r>
              <w:t xml:space="preserve"> </w:t>
            </w:r>
            <w:r>
              <w:rPr>
                <w:b/>
                <w:i/>
              </w:rPr>
              <w:t>consideră că indicatorii de realizare, cum ar fi finanțarea mobilizată</w:t>
            </w:r>
            <w:r>
              <w:t>, numărul de proiecte finanțate per sector și numărul de întreprinderi nou-înființate și de întreprinderi în curs de extindere create sau extinse în UE</w:t>
            </w:r>
            <w:r>
              <w:rPr>
                <w:b/>
                <w:i/>
              </w:rPr>
              <w:t>, ar trebui să fie secundari și</w:t>
            </w:r>
            <w:r>
              <w:t xml:space="preserve"> utilizați </w:t>
            </w:r>
            <w:r>
              <w:rPr>
                <w:b/>
                <w:i/>
              </w:rPr>
              <w:t>pentru a explica rezultatele, mai degrabă decât pentru a le înlocui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consideră că, în cazul proiectelor care promovează inovarea și sprijină tehnologiile strategice, ar putea fi utilizați următorii indicatori de realizare: volumul finanțării mobilizate, randamentul investițiilor, numărul de proiecte finanțate per sector (și anume, inteligența artificială, tehnologiile cuantice, biotehnologiile) și numărul de întreprinderi nou-înființate și de întreprinderi în curs de extindere create sau extinse în UE; consideră că ar putea fi utilizați și indicatori de rezultat, cum ar fi numărul de brevete depuse de proiectele finanțate de UE și rata de supraviețuire a întreprinderilor finanțate de UE după trei ani;</w:t>
            </w:r>
          </w:p>
        </w:tc>
        <w:tc>
          <w:tcPr>
            <w:tcW w:w="4876" w:type="dxa"/>
            <w:tcBorders>
              <w:top w:val="nil"/>
              <w:left w:val="nil"/>
              <w:bottom w:val="nil"/>
              <w:right w:val="nil"/>
            </w:tcBorders>
          </w:tcPr>
          <w:p>
            <w:pPr>
              <w:pStyle w:val="Normal6a"/>
            </w:pPr>
            <w:r>
              <w:t>14.</w:t>
            </w:r>
            <w:r>
              <w:tab/>
            </w:r>
            <w:r>
              <w:t xml:space="preserve">consideră că, în cazul proiectelor care promovează inovarea și sprijină tehnologiile strategice, ar putea fi utilizați următorii indicatori de realizare: volumul finanțării </w:t>
            </w:r>
            <w:r>
              <w:rPr>
                <w:b/>
                <w:i/>
              </w:rPr>
              <w:t>UE și al finanțării private autentice</w:t>
            </w:r>
            <w:r>
              <w:t xml:space="preserve"> mobilizate, randamentul investițiilor, numărul de proiecte finanțate per sector (și anume, inteligența artificială, tehnologiile cuantice, biotehnologiile) și numărul de </w:t>
            </w:r>
            <w:r>
              <w:rPr>
                <w:b/>
                <w:i/>
              </w:rPr>
              <w:t>unicorni, de</w:t>
            </w:r>
            <w:r>
              <w:t xml:space="preserve"> întreprinderi nou-înființate și de întreprinderi în curs de extindere create sau extinse în </w:t>
            </w:r>
            <w:r>
              <w:rPr>
                <w:b/>
                <w:i/>
              </w:rPr>
              <w:t>UE care au primit finanțare din partea</w:t>
            </w:r>
            <w:r>
              <w:t xml:space="preserve"> UE; consideră că ar putea fi utilizați și indicatori de rezultat, cum ar fi numărul de brevete depuse de proiectele finanțate de UE</w:t>
            </w:r>
            <w:r>
              <w:rPr>
                <w:b/>
                <w:i/>
              </w:rPr>
              <w:t>, randamentul investițiilor UE pentru fiecare sector în parte</w:t>
            </w:r>
            <w:r>
              <w:t xml:space="preserve"> și rata de supraviețuire a întreprinderilor finanțate de UE după trei ani; </w:t>
            </w:r>
            <w:r>
              <w:rPr>
                <w:b/>
                <w:i/>
              </w:rPr>
              <w:t>consideră că ar putea fi utilizați, de asemenea, indicatori de impact precum creșterea numărului de întreprinderi care ating o intensitate digitală ridicată, creșterea capacității de producție (mai precis, producție pe an) a tehnologiilor profunde și digitale (de exemplu, tipuri specifice de echipamente), creșterea volumului capitalului de risc investit în Europa, creșterea capitalizării bursiere a întreprinderilor europene, creșterea numărului de oferte publice inițiale europene și a numărului de întreprinderi exportatoare;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consideră că, în cazul proiectelor care promovează inovarea și sprijină tehnologiile strategice, ar putea fi utilizați următorii indicatori de realizare: volumul finanțării mobilizate, randamentul investițiilor, numărul de proiecte finanțate per sector (și anume, inteligența artificială, tehnologiile cuantice, biotehnologiile) și numărul de întreprinderi nou-înființate și de întreprinderi în curs de extindere create sau extinse în UE; consideră că ar putea fi utilizați și indicatori de rezultat, cum ar fi numărul de brevete depuse de proiectele finanțate de UE și rata de supraviețuire a întreprinderilor finanțate de UE după trei ani;</w:t>
            </w:r>
          </w:p>
        </w:tc>
        <w:tc>
          <w:tcPr>
            <w:tcW w:w="4876" w:type="dxa"/>
            <w:tcBorders>
              <w:top w:val="nil"/>
              <w:left w:val="nil"/>
              <w:bottom w:val="nil"/>
              <w:right w:val="nil"/>
            </w:tcBorders>
          </w:tcPr>
          <w:p>
            <w:pPr>
              <w:pStyle w:val="Normal6a"/>
            </w:pPr>
            <w:r>
              <w:t>14.</w:t>
            </w:r>
            <w:r>
              <w:tab/>
            </w:r>
            <w:r>
              <w:t>consideră că, în cazul proiectelor care promovează inovarea și sprijină tehnologiile strategice, ar putea fi utilizați următorii indicatori de realizare: volumul finanțării mobilizate, randamentul investițiilor, numărul de proiecte finanțate per sector (și anume, inteligența artificială, tehnologiile cuantice, biotehnologiile) și numărul de întreprinderi nou-înființate și de întreprinderi în curs de extindere create sau extinse în UE</w:t>
            </w:r>
            <w:r>
              <w:rPr>
                <w:b/>
                <w:i/>
              </w:rPr>
              <w:t>, procentul de întreprinderi nou-înființate conduse de femei care au beneficiat de finanțare și impactul asupra ocupării forței de muncă din perspectiva creării sau a desființării de locuri de muncă</w:t>
            </w:r>
            <w:r>
              <w:t>; consideră că ar putea fi utilizați și indicatori de rezultat, cum ar fi numărul de brevete depuse de proiectele finanțate de UE și rata de supraviețuire a întreprinderilor finanțate de UE după trei 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consideră că relocarea industrială către UE ar trebui sprijinită pentru a reduce dependențele strategice ale UE</w:t>
            </w:r>
            <w:r>
              <w:rPr>
                <w:b/>
                <w:i/>
              </w:rPr>
              <w:t>;</w:t>
            </w:r>
            <w:r>
              <w:t xml:space="preserve"> </w:t>
            </w:r>
            <w:r>
              <w:rPr>
                <w:b/>
                <w:i/>
              </w:rPr>
              <w:t>propune ca progresele să poată fi măsurate cu ajutorul unor indicatori</w:t>
            </w:r>
            <w:r>
              <w:t xml:space="preserve"> de realizare, cum ar fi numărul de proiecte </w:t>
            </w:r>
            <w:r>
              <w:rPr>
                <w:b/>
                <w:i/>
              </w:rPr>
              <w:t>și de întreprinderi mici și mijlocii care au fost relocate în UE</w:t>
            </w:r>
            <w:r>
              <w:t xml:space="preserve">, </w:t>
            </w:r>
            <w:r>
              <w:rPr>
                <w:b/>
                <w:i/>
              </w:rPr>
              <w:t>numărul</w:t>
            </w:r>
            <w:r>
              <w:t xml:space="preserve"> de întreprinderi nou-înființate și în curs de extindere create sau extinse </w:t>
            </w:r>
            <w:r>
              <w:rPr>
                <w:b/>
                <w:i/>
              </w:rPr>
              <w:t>și crearea de locuri</w:t>
            </w:r>
            <w:r>
              <w:t xml:space="preserve"> de muncă </w:t>
            </w:r>
            <w:r>
              <w:rPr>
                <w:b/>
                <w:i/>
              </w:rPr>
              <w:t>industriale</w:t>
            </w:r>
            <w:r>
              <w:t xml:space="preserve"> în regiunile vizate</w:t>
            </w:r>
            <w:r>
              <w:rPr>
                <w:b/>
                <w:i/>
              </w:rPr>
              <w:t>;</w:t>
            </w:r>
            <w:r>
              <w:t xml:space="preserve"> </w:t>
            </w:r>
            <w:r>
              <w:rPr>
                <w:b/>
                <w:i/>
              </w:rPr>
              <w:t>consideră că ar putea fi</w:t>
            </w:r>
            <w:r>
              <w:t xml:space="preserve"> utilizați</w:t>
            </w:r>
            <w:r>
              <w:rPr>
                <w:b/>
                <w:i/>
              </w:rPr>
              <w:t>, de asemenea, indicatori de rezultat, cum ar fi reducerea importurilor, ca o consecință a scăderii dependenței strategice de materiile prime critice importate</w:t>
            </w:r>
            <w:r>
              <w:t>;</w:t>
            </w:r>
          </w:p>
        </w:tc>
        <w:tc>
          <w:tcPr>
            <w:tcW w:w="4876" w:type="dxa"/>
            <w:tcBorders>
              <w:top w:val="nil"/>
              <w:left w:val="nil"/>
              <w:bottom w:val="nil"/>
              <w:right w:val="nil"/>
            </w:tcBorders>
          </w:tcPr>
          <w:p>
            <w:pPr>
              <w:pStyle w:val="Normal6a"/>
            </w:pPr>
            <w:r>
              <w:t>15.</w:t>
            </w:r>
            <w:r>
              <w:tab/>
            </w:r>
            <w:r>
              <w:t>consideră că relocarea industrială către UE ar trebui sprijinită pentru a reduce dependențele strategice ale UE</w:t>
            </w:r>
            <w:r>
              <w:rPr>
                <w:b/>
                <w:i/>
              </w:rPr>
              <w:t> după o analiză cost-beneficiu independentă și o evaluare a subsidiarității și proporționalității;</w:t>
            </w:r>
            <w:r>
              <w:t xml:space="preserve"> </w:t>
            </w:r>
            <w:r>
              <w:rPr>
                <w:b/>
                <w:i/>
              </w:rPr>
              <w:t>subliniază că măsurarea performanței ar trebui să aibă la bază impactul:</w:t>
            </w:r>
            <w:r>
              <w:t xml:space="preserve"> </w:t>
            </w:r>
            <w:r>
              <w:rPr>
                <w:b/>
                <w:i/>
              </w:rPr>
              <w:t>reduceri demonstrabile ale dependenței strategice de factorii de producție identificați (de exemplu, materii prime/componente critice) în raport cu un scenariu de referință/contrafactual definit, o productivitate și o valoare adăugată brută mai mari în lanțurile valorice vizate, o mai mare reziliență a aprovizionării și o performanță comercială îmbunătățită;</w:t>
            </w:r>
            <w:r>
              <w:t xml:space="preserve"> </w:t>
            </w:r>
            <w:r>
              <w:rPr>
                <w:b/>
                <w:i/>
              </w:rPr>
              <w:t>consideră că indicatorii</w:t>
            </w:r>
            <w:r>
              <w:t xml:space="preserve"> de realizare, cum ar fi numărul de proiecte</w:t>
            </w:r>
            <w:r>
              <w:rPr>
                <w:b/>
                <w:i/>
              </w:rPr>
              <w:t>, de IMM-uri care se mută</w:t>
            </w:r>
            <w:r>
              <w:t>, de întreprinderi nou-înființate și în curs de extindere create sau extinse</w:t>
            </w:r>
            <w:r>
              <w:rPr>
                <w:b/>
                <w:i/>
              </w:rPr>
              <w:t>, capitalul investit și locurile</w:t>
            </w:r>
            <w:r>
              <w:t xml:space="preserve"> de muncă în </w:t>
            </w:r>
            <w:r>
              <w:rPr>
                <w:b/>
                <w:i/>
              </w:rPr>
              <w:t>sectorul industrial din</w:t>
            </w:r>
            <w:r>
              <w:t xml:space="preserve"> regiunile vizate </w:t>
            </w:r>
            <w:r>
              <w:rPr>
                <w:b/>
                <w:i/>
              </w:rPr>
              <w:t>ar trebui să fie secundari și</w:t>
            </w:r>
            <w:r>
              <w:t xml:space="preserve"> utilizați </w:t>
            </w:r>
            <w:r>
              <w:rPr>
                <w:b/>
                <w:i/>
              </w:rPr>
              <w:t>pentru a explica rezultatele, mai degrabă decât pentru a le înlocui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consideră că relocarea industrială </w:t>
            </w:r>
            <w:r>
              <w:rPr>
                <w:b/>
                <w:i/>
              </w:rPr>
              <w:t>către UE</w:t>
            </w:r>
            <w:r>
              <w:t xml:space="preserve"> ar trebui </w:t>
            </w:r>
            <w:r>
              <w:rPr>
                <w:b/>
                <w:i/>
              </w:rPr>
              <w:t>sprijinită</w:t>
            </w:r>
            <w:r>
              <w:t xml:space="preserve"> pentru a reduce dependențele strategice ale UE; propune ca progresele să poată fi măsurate cu ajutorul unor indicatori de realizare, cum ar fi numărul de proiecte și de întreprinderi mici și mijlocii care au fost relocate în UE, numărul de întreprinderi nou-înființate și în curs de extindere create sau extinse și crearea de locuri de muncă industriale în regiunile vizate; consideră că ar putea fi utilizați, de asemenea, indicatori de rezultat, cum ar fi </w:t>
            </w:r>
            <w:r>
              <w:rPr>
                <w:b/>
                <w:i/>
              </w:rPr>
              <w:t>reducerea importurilor, ca o consecință a scăderii dependenței strategice de materiile</w:t>
            </w:r>
            <w:r>
              <w:t xml:space="preserve"> prime critice importate;</w:t>
            </w:r>
          </w:p>
        </w:tc>
        <w:tc>
          <w:tcPr>
            <w:tcW w:w="4876" w:type="dxa"/>
            <w:tcBorders>
              <w:top w:val="nil"/>
              <w:left w:val="nil"/>
              <w:bottom w:val="nil"/>
              <w:right w:val="nil"/>
            </w:tcBorders>
          </w:tcPr>
          <w:p>
            <w:pPr>
              <w:pStyle w:val="Normal6a"/>
            </w:pPr>
            <w:r>
              <w:t>15.</w:t>
            </w:r>
            <w:r>
              <w:tab/>
            </w:r>
            <w:r>
              <w:t xml:space="preserve">consideră că relocarea industrială </w:t>
            </w:r>
            <w:r>
              <w:rPr>
                <w:b/>
                <w:i/>
              </w:rPr>
              <w:t>și autonomia în ceea ce privește materiile prime critice</w:t>
            </w:r>
            <w:r>
              <w:t xml:space="preserve"> ar trebui </w:t>
            </w:r>
            <w:r>
              <w:rPr>
                <w:b/>
                <w:i/>
              </w:rPr>
              <w:t>sprijinite</w:t>
            </w:r>
            <w:r>
              <w:t xml:space="preserve"> pentru a reduce dependențele strategice ale UE; propune ca progresele să poată fi măsurate cu ajutorul unor indicatori de realizare, cum ar fi numărul de proiecte și de întreprinderi mici și mijlocii care au fost relocate în </w:t>
            </w:r>
            <w:r>
              <w:rPr>
                <w:b/>
                <w:i/>
              </w:rPr>
              <w:t>UE ca rezultat al finanțării</w:t>
            </w:r>
            <w:r>
              <w:t xml:space="preserve"> UE, numărul de întreprinderi nou-înființate și în curs de extindere create sau extinse și crearea de locuri de muncă industriale în regiunile vizate; consideră că ar putea fi utilizați, de asemenea, indicatori de rezultat, cum ar fi </w:t>
            </w:r>
            <w:r>
              <w:rPr>
                <w:b/>
                <w:i/>
              </w:rPr>
              <w:t>creșterea ponderii materiilor</w:t>
            </w:r>
            <w:r>
              <w:t xml:space="preserve"> prime critice importate </w:t>
            </w:r>
            <w:r>
              <w:rPr>
                <w:b/>
                <w:i/>
              </w:rPr>
              <w:t>de la noi parteneri strategici sau obținute din UE și creșterea volumelor (în tone) de materii prime critice reciclate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consideră că relocarea industrială către UE ar trebui sprijinită pentru a reduce dependențele strategice ale UE; propune ca progresele să poată fi măsurate cu ajutorul unor indicatori de realizare, cum ar fi numărul de proiecte și de întreprinderi mici și mijlocii care au fost relocate în UE, numărul de întreprinderi nou-înființate și în curs de extindere create sau extinse și crearea de locuri de muncă </w:t>
            </w:r>
            <w:r>
              <w:rPr>
                <w:b/>
                <w:i/>
              </w:rPr>
              <w:t>industriale</w:t>
            </w:r>
            <w:r>
              <w:t xml:space="preserve"> în regiunile vizate; consideră că ar putea fi utilizați, de asemenea, indicatori de rezultat, cum ar fi reducerea importurilor, ca o consecință a scăderii dependenței strategice de materiile prime critice importate;</w:t>
            </w:r>
          </w:p>
        </w:tc>
        <w:tc>
          <w:tcPr>
            <w:tcW w:w="4876" w:type="dxa"/>
            <w:tcBorders>
              <w:top w:val="nil"/>
              <w:left w:val="nil"/>
              <w:bottom w:val="nil"/>
              <w:right w:val="nil"/>
            </w:tcBorders>
          </w:tcPr>
          <w:p>
            <w:pPr>
              <w:pStyle w:val="Normal6a"/>
            </w:pPr>
            <w:r>
              <w:t>15.</w:t>
            </w:r>
            <w:r>
              <w:tab/>
            </w:r>
            <w:r>
              <w:t>consideră că relocarea industrială către UE ar trebui sprijinită pentru a reduce dependențele strategice ale UE; propune ca progresele să poată fi măsurate cu ajutorul unor indicatori de realizare, cum ar fi numărul de proiecte și de întreprinderi mici și mijlocii care au fost relocate în UE, numărul de întreprinderi nou-înființate și în curs de extindere create sau extinse</w:t>
            </w:r>
            <w:r>
              <w:rPr>
                <w:b/>
                <w:i/>
              </w:rPr>
              <w:t>, procentul de întreprinderi nou-înființate conduse de femei care au fost finanțate</w:t>
            </w:r>
            <w:r>
              <w:t xml:space="preserve"> și crearea de locuri de muncă </w:t>
            </w:r>
            <w:r>
              <w:rPr>
                <w:b/>
                <w:i/>
              </w:rPr>
              <w:t>în sectorul industrial</w:t>
            </w:r>
            <w:r>
              <w:t xml:space="preserve"> în regiunile vizate</w:t>
            </w:r>
            <w:r>
              <w:rPr>
                <w:b/>
                <w:i/>
              </w:rPr>
              <w:t>, inclusiv acoperirea negocierilor colective</w:t>
            </w:r>
            <w:r>
              <w:t xml:space="preserve">; consideră că ar putea fi utilizați, de asemenea, indicatori de rezultat, cum ar fi </w:t>
            </w:r>
            <w:r>
              <w:rPr>
                <w:b/>
                <w:i/>
              </w:rPr>
              <w:t>reducerea amprentei de carbon și</w:t>
            </w:r>
            <w:r>
              <w:t xml:space="preserve"> reducerea importurilor, ca o consecință a scăderii dependenței strategice de materiile prime critice importate;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consideră că ar trebui sprijinite achizițiile industriale comune de energie pentru a reduce costurile energiei și a asigura continuitatea aprovizionării; propune ca progresele să poată fi măsurate cu ajutorul unor indicatori de realizare, cum ar fi numărul de întreprinderi participante și ponderea energiei din surse regenerabile în contractele comune; consideră că ar putea fi utilizați, de asemenea, indicatori de rezultat, cum ar fi modificarea prețurilor medii la energie în industriile vizate </w:t>
            </w:r>
            <w:r>
              <w:rPr>
                <w:b/>
                <w:i/>
              </w:rPr>
              <w:t>și</w:t>
            </w:r>
            <w:r>
              <w:t xml:space="preserve"> reducerea întreruperilor </w:t>
            </w:r>
            <w:r>
              <w:rPr>
                <w:b/>
                <w:i/>
              </w:rPr>
              <w:t>aprovizionării</w:t>
            </w:r>
            <w:r>
              <w:t>;</w:t>
            </w:r>
          </w:p>
        </w:tc>
        <w:tc>
          <w:tcPr>
            <w:tcW w:w="4876" w:type="dxa"/>
            <w:tcBorders>
              <w:top w:val="nil"/>
              <w:left w:val="nil"/>
              <w:bottom w:val="nil"/>
              <w:right w:val="nil"/>
            </w:tcBorders>
          </w:tcPr>
          <w:p>
            <w:pPr>
              <w:pStyle w:val="Normal6a"/>
            </w:pPr>
            <w:r>
              <w:t>16.</w:t>
            </w:r>
            <w:r>
              <w:tab/>
            </w:r>
            <w:r>
              <w:t>consideră că ar trebui sprijinite achizițiile industriale comune de energie pentru a reduce costurile energiei și a asigura continuitatea aprovizionării; propune ca progresele să poată fi măsurate cu ajutorul unor indicatori de realizare, cum ar fi numărul de întreprinderi participante</w:t>
            </w:r>
            <w:r>
              <w:rPr>
                <w:b/>
                <w:i/>
              </w:rPr>
              <w:t>, volumul achizițiilor de energie, precum</w:t>
            </w:r>
            <w:r>
              <w:t xml:space="preserve"> și ponderea energiei din surse regenerabile în contractele comune; consideră că ar putea fi utilizați, de asemenea, indicatori de rezultat, cum ar fi modificarea prețurilor medii la energie în industriile vizate</w:t>
            </w:r>
            <w:r>
              <w:rPr>
                <w:b/>
                <w:i/>
              </w:rPr>
              <w:t>,</w:t>
            </w:r>
            <w:r>
              <w:t xml:space="preserve"> reducerea </w:t>
            </w:r>
            <w:r>
              <w:rPr>
                <w:b/>
                <w:i/>
              </w:rPr>
              <w:t>aprovizionării, a</w:t>
            </w:r>
            <w:r>
              <w:t xml:space="preserve"> întreruperilor </w:t>
            </w:r>
            <w:r>
              <w:rPr>
                <w:b/>
                <w:i/>
              </w:rPr>
              <w:t>și o utilizare mai mare a energiei din surse regenerabile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consideră că ar trebui sprijinite</w:t>
            </w:r>
            <w:r>
              <w:t xml:space="preserve"> achizițiile industriale comune de energie </w:t>
            </w:r>
            <w:r>
              <w:rPr>
                <w:b/>
                <w:i/>
              </w:rPr>
              <w:t>pentru</w:t>
            </w:r>
            <w:r>
              <w:t xml:space="preserve"> a reduce costurile </w:t>
            </w:r>
            <w:r>
              <w:rPr>
                <w:b/>
                <w:i/>
              </w:rPr>
              <w:t>energiei și a asigura continuitatea aprovizionării;</w:t>
            </w:r>
            <w:r>
              <w:t xml:space="preserve"> </w:t>
            </w:r>
            <w:r>
              <w:rPr>
                <w:b/>
                <w:i/>
              </w:rPr>
              <w:t>propune ca</w:t>
            </w:r>
            <w:r>
              <w:t xml:space="preserve"> progresele </w:t>
            </w:r>
            <w:r>
              <w:rPr>
                <w:b/>
                <w:i/>
              </w:rPr>
              <w:t>să poată fi măsurate cu ajutorul unor indicatori de realizare</w:t>
            </w:r>
            <w:r>
              <w:t xml:space="preserve">, cum ar fi </w:t>
            </w:r>
            <w:r>
              <w:rPr>
                <w:b/>
                <w:i/>
              </w:rPr>
              <w:t>numărul de întreprinderi participante și ponderea energiei din surse regenerabile în contractele comune;</w:t>
            </w:r>
            <w:r>
              <w:t xml:space="preserve"> </w:t>
            </w:r>
            <w:r>
              <w:rPr>
                <w:b/>
                <w:i/>
              </w:rPr>
              <w:t>consideră că ar putea fi utilizați, de asemenea, indicatori de rezultat, cum ar fi modificarea</w:t>
            </w:r>
            <w:r>
              <w:t xml:space="preserve"> prețurilor </w:t>
            </w:r>
            <w:r>
              <w:rPr>
                <w:b/>
                <w:i/>
              </w:rPr>
              <w:t>medii</w:t>
            </w:r>
            <w:r>
              <w:t xml:space="preserve"> la energie </w:t>
            </w:r>
            <w:r>
              <w:rPr>
                <w:b/>
                <w:i/>
              </w:rPr>
              <w:t>în industriile vizate și reducerea întreruperilor</w:t>
            </w:r>
            <w:r>
              <w:t xml:space="preserve"> aprovizionării;</w:t>
            </w:r>
          </w:p>
        </w:tc>
        <w:tc>
          <w:tcPr>
            <w:tcW w:w="4876" w:type="dxa"/>
            <w:tcBorders>
              <w:top w:val="nil"/>
              <w:left w:val="nil"/>
              <w:bottom w:val="nil"/>
              <w:right w:val="nil"/>
            </w:tcBorders>
          </w:tcPr>
          <w:p>
            <w:pPr>
              <w:pStyle w:val="Normal6a"/>
            </w:pPr>
            <w:r>
              <w:t>16.</w:t>
            </w:r>
            <w:r>
              <w:tab/>
            </w:r>
            <w:r>
              <w:rPr>
                <w:b/>
                <w:i/>
              </w:rPr>
              <w:t>subliniază că</w:t>
            </w:r>
            <w:r>
              <w:t xml:space="preserve"> achizițiile industriale comune de energie </w:t>
            </w:r>
            <w:r>
              <w:rPr>
                <w:b/>
                <w:i/>
              </w:rPr>
              <w:t>au potențialul de</w:t>
            </w:r>
            <w:r>
              <w:t xml:space="preserve"> a reduce costurile </w:t>
            </w:r>
            <w:r>
              <w:rPr>
                <w:b/>
                <w:i/>
              </w:rPr>
              <w:t>și de a consolida securitatea energetică a Europei, cu condiția să rămână determinate de piață și voluntare;</w:t>
            </w:r>
            <w:r>
              <w:t xml:space="preserve"> </w:t>
            </w:r>
            <w:r>
              <w:rPr>
                <w:b/>
                <w:i/>
              </w:rPr>
              <w:t>subliniază că</w:t>
            </w:r>
            <w:r>
              <w:t xml:space="preserve"> progresele </w:t>
            </w:r>
            <w:r>
              <w:rPr>
                <w:b/>
                <w:i/>
              </w:rPr>
              <w:t>ar trebui evaluate prin rezultate concrete</w:t>
            </w:r>
            <w:r>
              <w:t xml:space="preserve">, cum ar fi </w:t>
            </w:r>
            <w:r>
              <w:rPr>
                <w:b/>
                <w:i/>
              </w:rPr>
              <w:t>reducerea</w:t>
            </w:r>
            <w:r>
              <w:t xml:space="preserve"> prețurilor la energie </w:t>
            </w:r>
            <w:r>
              <w:rPr>
                <w:b/>
                <w:i/>
              </w:rPr>
              <w:t>și îmbunătățirea fiabilității</w:t>
            </w:r>
            <w:r>
              <w:t xml:space="preserve"> aprovizionării;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consideră că </w:t>
            </w:r>
            <w:r>
              <w:rPr>
                <w:b/>
                <w:i/>
              </w:rPr>
              <w:t>ar trebui sprijinite achizițiile industriale comune de energie</w:t>
            </w:r>
            <w:r>
              <w:t xml:space="preserve"> pentru a reduce costurile energiei și a asigura </w:t>
            </w:r>
            <w:r>
              <w:rPr>
                <w:b/>
                <w:i/>
              </w:rPr>
              <w:t>continuitatea aprovizionării</w:t>
            </w:r>
            <w:r>
              <w:t>; propune ca progresele să poată fi măsurate cu ajutorul unor indicatori de realizare, cum ar fi numărul de întreprinderi participante și ponderea energiei din surse regenerabile în contractele comune; consideră că ar putea fi utilizați</w:t>
            </w:r>
            <w:r>
              <w:rPr>
                <w:b/>
                <w:i/>
              </w:rPr>
              <w:t>, de asemenea,</w:t>
            </w:r>
            <w:r>
              <w:t xml:space="preserve"> indicatori de rezultat, cum ar fi </w:t>
            </w:r>
            <w:r>
              <w:rPr>
                <w:b/>
                <w:i/>
              </w:rPr>
              <w:t>modificarea</w:t>
            </w:r>
            <w:r>
              <w:t xml:space="preserve"> prețurilor medii la energie în industriile vizate </w:t>
            </w:r>
            <w:r>
              <w:rPr>
                <w:b/>
                <w:i/>
              </w:rPr>
              <w:t>și</w:t>
            </w:r>
            <w:r>
              <w:t xml:space="preserve"> reducerea întreruperilor aprovizionării;</w:t>
            </w:r>
          </w:p>
        </w:tc>
        <w:tc>
          <w:tcPr>
            <w:tcW w:w="4876" w:type="dxa"/>
            <w:tcBorders>
              <w:top w:val="nil"/>
              <w:left w:val="nil"/>
              <w:bottom w:val="nil"/>
              <w:right w:val="nil"/>
            </w:tcBorders>
          </w:tcPr>
          <w:p>
            <w:pPr>
              <w:pStyle w:val="Normal6a"/>
            </w:pPr>
            <w:r>
              <w:t>16.</w:t>
            </w:r>
            <w:r>
              <w:tab/>
            </w:r>
            <w:r>
              <w:t>consideră că</w:t>
            </w:r>
            <w:r>
              <w:rPr>
                <w:b/>
                <w:i/>
              </w:rPr>
              <w:t>,</w:t>
            </w:r>
            <w:r>
              <w:t xml:space="preserve"> pentru a reduce costurile energiei și a asigura </w:t>
            </w:r>
            <w:r>
              <w:rPr>
                <w:b/>
                <w:i/>
              </w:rPr>
              <w:t>aprovizionarea, ar trebui luate măsuri care să vizeze achiziționarea în comun de energie industrială și decarbonizarea industrială, fără a avea un impact nejustificat asupra securității energetice a statelor membre</w:t>
            </w:r>
            <w:r>
              <w:t xml:space="preserve">; propune ca progresele să poată fi măsurate cu ajutorul unor indicatori de realizare, cum ar fi numărul de întreprinderi participante și ponderea energiei din surse regenerabile în contractele comune; consideră că ar putea fi utilizați indicatori de rezultat, cum ar fi </w:t>
            </w:r>
            <w:r>
              <w:rPr>
                <w:b/>
                <w:i/>
              </w:rPr>
              <w:t>capacitatea energetică suplimentară instalată în producția de energie electrică (MW);</w:t>
            </w:r>
            <w:r>
              <w:t xml:space="preserve"> </w:t>
            </w:r>
            <w:r>
              <w:rPr>
                <w:b/>
                <w:i/>
              </w:rPr>
              <w:t>consideră, de asemenea, că ar putea fi utilizați și indicatori de impact, cum ar fi modificările</w:t>
            </w:r>
            <w:r>
              <w:t xml:space="preserve"> prețurilor medii la energie în industriile vizate</w:t>
            </w:r>
            <w:r>
              <w:rPr>
                <w:b/>
                <w:i/>
              </w:rPr>
              <w:t>,</w:t>
            </w:r>
            <w:r>
              <w:t xml:space="preserve"> reducerea întreruperilor aprovizionării </w:t>
            </w:r>
            <w:r>
              <w:rPr>
                <w:b/>
                <w:i/>
              </w:rPr>
              <w:t>și reducerea emisiilor de gaze cu efect de seră (GES) (tone de CO</w:t>
            </w:r>
            <w:r>
              <w:rPr>
                <w:b/>
                <w:i/>
                <w:vertAlign w:val="subscript"/>
              </w:rPr>
              <w:t>2</w:t>
            </w:r>
            <w:r>
              <w:t xml:space="preserve"> </w:t>
            </w:r>
            <w:r>
              <w:rPr>
                <w:b/>
                <w:i/>
              </w:rPr>
              <w:t>echivalent) obținute datorită tehnologiilor de captare a carbonului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consideră că ar trebui sprijinite achizițiile industriale comune de energie pentru a reduce costurile energiei și a asigura continuitatea aprovizionării; propune ca progresele să poată fi măsurate cu ajutorul unor indicatori de realizare, cum ar fi numărul de întreprinderi participante și ponderea energiei din surse regenerabile în contractele comune; consideră că ar putea fi utilizați, de asemenea, indicatori de rezultat, cum ar fi modificarea prețurilor medii la energie în industriile vizate și reducerea întreruperilor aprovizionării;</w:t>
            </w:r>
          </w:p>
        </w:tc>
        <w:tc>
          <w:tcPr>
            <w:tcW w:w="4876" w:type="dxa"/>
            <w:tcBorders>
              <w:top w:val="nil"/>
              <w:left w:val="nil"/>
              <w:bottom w:val="nil"/>
              <w:right w:val="nil"/>
            </w:tcBorders>
          </w:tcPr>
          <w:p>
            <w:pPr>
              <w:pStyle w:val="Normal6a"/>
            </w:pPr>
            <w:r>
              <w:t>16.</w:t>
            </w:r>
            <w:r>
              <w:tab/>
            </w:r>
            <w:r>
              <w:t xml:space="preserve">consideră că ar trebui sprijinite achizițiile industriale comune de energie pentru a reduce costurile energiei și a asigura continuitatea aprovizionării; propune ca progresele să poată fi măsurate cu ajutorul unor indicatori de realizare, cum ar fi numărul de întreprinderi participante și ponderea energiei din surse regenerabile </w:t>
            </w:r>
            <w:r>
              <w:rPr>
                <w:b/>
                <w:i/>
              </w:rPr>
              <w:t>și cu emisii scăzute de CO</w:t>
            </w:r>
            <w:r>
              <w:rPr>
                <w:b/>
                <w:i/>
                <w:vertAlign w:val="subscript"/>
              </w:rPr>
              <w:t>2</w:t>
            </w:r>
            <w:r>
              <w:t xml:space="preserve"> în contractele comune; consideră că ar putea fi utilizați, de asemenea, indicatori de rezultat, cum ar fi modificarea prețurilor medii la energie în industriile vizate și reducerea întreruperilor aprovizionării;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invită Comisia Europeană să accelereze măsurile menite să reducă costurile energiei și să consolideze securitatea energetică în întreaga Uniune, inclusiv prin promovarea finalizării interconexiunilor transfrontaliere de energie electrică și gaze, prin sprijinirea integrării surselor regenerabile de energie, prin revizuirea mecanismului de stabilire a prețurilor marginale pe piețele angro de energie electrică și prin asigurarea funcționării eficiente a sistemului UE de comercializare a certificatelor de emisii;</w:t>
            </w:r>
            <w:r>
              <w:t xml:space="preserve"> </w:t>
            </w:r>
            <w:r>
              <w:rPr>
                <w:b/>
                <w:i/>
              </w:rPr>
              <w:t>subliniază necesitatea de a investi în rețele inteligente, în stocarea energiei și în coridoarele de hidrogen pentru a facilita un sistem energetic rezilient și competitiv;</w:t>
            </w:r>
            <w:r>
              <w:t xml:space="preserve"> </w:t>
            </w:r>
            <w:r>
              <w:rPr>
                <w:b/>
                <w:i/>
              </w:rPr>
              <w:t>subliniază că aceste acțiuni sunt esențiale pentru a reduce volatilitatea prețurilor la energie, a consolida competitivitatea industrială și pentru a asigura tranziția Europei către o economie durabilă, cu emisii scăzute de dioxid de carbon;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subliniază că competitivitatea depinde de un set coerent de condiții favorizante, inclusiv de o forță de muncă calificată și sănătoasă, de o infrastructură strategică eficientă, de un sector financiar solid, capabil să ofere finanțare adaptată pentru inovare, precum și de instituții și piețe funcționale care recompensează performanța și antreprenoriatul;</w:t>
            </w:r>
            <w:r>
              <w:t xml:space="preserve"> </w:t>
            </w:r>
            <w:r>
              <w:rPr>
                <w:b/>
                <w:i/>
              </w:rPr>
              <w:t>invită Comisia să elaboreze indicatori de performanță specifici care să reflecte acești factori structurali și contribuția lor la productivitate și creștere;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invită Comisia Europeană să acorde prioritate investițiilor în principalele coridoare europene de transport, inclusiv în căile navigabile interioare, cum ar fi Dunărea, rețelele feroviare și infrastructura rutieră, pentru a îmbunătăți conectivitatea Vest-Est, a reduce costurile logistice, a scurta timpul de tranzit și a facilita accesul la piețele mondiale;</w:t>
            </w:r>
            <w:r>
              <w:t xml:space="preserve"> </w:t>
            </w:r>
            <w:r>
              <w:rPr>
                <w:b/>
                <w:i/>
              </w:rPr>
              <w:t>subliniază că coridoarele multimodale moderne și pe deplin funcționale sunt esențiale pentru a consolida competitivitatea industrială, coeziunea economică și reziliența comercială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consideră că UE ar trebui să investească</w:t>
            </w:r>
            <w:r>
              <w:t xml:space="preserve"> în talente în sectoarele critice, </w:t>
            </w:r>
            <w:r>
              <w:rPr>
                <w:b/>
                <w:i/>
              </w:rPr>
              <w:t>pentru a spori competitivitatea pe termen lung a UE prin intermediul unei forțe de muncă capabile;</w:t>
            </w:r>
            <w:r>
              <w:t xml:space="preserve"> </w:t>
            </w:r>
            <w:r>
              <w:rPr>
                <w:b/>
                <w:i/>
              </w:rPr>
              <w:t>sugerează că progresele ar putea fi măsurate cu ajutorul unor indicatori de realizare, cum ar fi numărul de tineri formați anual (cu un accent special pe echilibrul de gen), rata de participare la programele de învățare pentru adulți și de învățare pe tot parcursul vieții și rata de satisfacție a întreprinderilor partenere;</w:t>
            </w:r>
            <w:r>
              <w:t xml:space="preserve"> </w:t>
            </w:r>
            <w:r>
              <w:rPr>
                <w:b/>
                <w:i/>
              </w:rPr>
              <w:t>consideră că ar putea fi utilizați și indicatori de rezultat, cum ar fi modificarea ratei de ocupare a forței</w:t>
            </w:r>
            <w:r>
              <w:t xml:space="preserve"> de muncă în sectoarele vizate;</w:t>
            </w:r>
          </w:p>
        </w:tc>
        <w:tc>
          <w:tcPr>
            <w:tcW w:w="4876" w:type="dxa"/>
            <w:tcBorders>
              <w:top w:val="nil"/>
              <w:left w:val="nil"/>
              <w:bottom w:val="nil"/>
              <w:right w:val="nil"/>
            </w:tcBorders>
          </w:tcPr>
          <w:p>
            <w:pPr>
              <w:pStyle w:val="Normal6a"/>
            </w:pPr>
            <w:r>
              <w:t>17.</w:t>
            </w:r>
            <w:r>
              <w:tab/>
            </w:r>
            <w:r>
              <w:rPr>
                <w:b/>
                <w:i/>
              </w:rPr>
              <w:t>subliniază că investițiile în capitalul uman, competențe și talente țin de competența statelor membre și că, dacă UE investește</w:t>
            </w:r>
            <w:r>
              <w:t xml:space="preserve"> în talente în sectoarele critice, </w:t>
            </w:r>
            <w:r>
              <w:rPr>
                <w:b/>
                <w:i/>
              </w:rPr>
              <w:t>impactul trebuie evaluat mai întâi în ceea ce privește reducerea șomajului, scurtarea perioadelor de șomaj, creșterea salariilor și sustenabilitatea locurilor</w:t>
            </w:r>
            <w:r>
              <w:t xml:space="preserve"> de muncă în sectoarele vizate; </w:t>
            </w:r>
            <w:r>
              <w:rPr>
                <w:b/>
                <w:i/>
              </w:rPr>
              <w:t>consideră că numărul beneficiarilor poate servi drept indicator secundar, deoarece obiectivul programelor finanțate de contribuabili este obținerea unor rezultate mai bune pe piața forței de muncă și la nivel social, nu de a maximiza numărul beneficiarilor;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consideră că UE ar trebui să investească în talente în sectoarele critice, pentru a spori competitivitatea pe termen lung a UE prin intermediul unei forțe de muncă capabile; sugerează că progresele ar putea fi măsurate cu ajutorul unor indicatori de realizare, cum ar fi numărul de tineri formați anual (cu un accent special pe echilibrul de gen), rata de participare la programele de învățare pentru adulți și de învățare pe tot parcursul vieții și rata de satisfacție a întreprinderilor partenere; consideră că ar putea fi utilizați și indicatori de rezultat, </w:t>
            </w:r>
            <w:r>
              <w:rPr>
                <w:b/>
                <w:i/>
              </w:rPr>
              <w:t>cum ar fi modificarea ratei</w:t>
            </w:r>
            <w:r>
              <w:t xml:space="preserve"> de ocupare a forței de muncă în sectoarele vizate;</w:t>
            </w:r>
          </w:p>
        </w:tc>
        <w:tc>
          <w:tcPr>
            <w:tcW w:w="4876" w:type="dxa"/>
            <w:tcBorders>
              <w:top w:val="nil"/>
              <w:left w:val="nil"/>
              <w:bottom w:val="nil"/>
              <w:right w:val="nil"/>
            </w:tcBorders>
          </w:tcPr>
          <w:p>
            <w:pPr>
              <w:pStyle w:val="Normal6a"/>
            </w:pPr>
            <w:r>
              <w:t>17.</w:t>
            </w:r>
            <w:r>
              <w:tab/>
            </w:r>
            <w:r>
              <w:t xml:space="preserve">consideră că UE ar trebui să investească în talente în sectoarele critice, pentru a spori competitivitatea pe termen lung a UE prin intermediul unei forțe de muncă capabile; sugerează că progresele ar putea fi măsurate cu ajutorul unor indicatori de realizare, cum ar fi numărul de tineri formați anual (cu un accent special pe echilibrul de gen </w:t>
            </w:r>
            <w:r>
              <w:rPr>
                <w:b/>
                <w:i/>
              </w:rPr>
              <w:t>și pe grupurile subreprezentate</w:t>
            </w:r>
            <w:r>
              <w:t xml:space="preserve">), rata de participare la programele de învățare pentru adulți și de învățare pe tot parcursul vieții și rata de satisfacție a întreprinderilor partenere; consideră că ar putea fi utilizați și indicatori de rezultat, </w:t>
            </w:r>
            <w:r>
              <w:rPr>
                <w:b/>
                <w:i/>
              </w:rPr>
              <w:t>inclusiv rata</w:t>
            </w:r>
            <w:r>
              <w:t xml:space="preserve"> de ocupare a forței de muncă</w:t>
            </w:r>
            <w:r>
              <w:rPr>
                <w:b/>
                <w:i/>
              </w:rPr>
              <w:t>, evoluția salariilor și menținerea locurilor de muncă</w:t>
            </w:r>
            <w:r>
              <w:t xml:space="preserve"> în sectoarele </w:t>
            </w:r>
            <w:r>
              <w:rPr>
                <w:b/>
                <w:i/>
              </w:rPr>
              <w:t>verzi și digitale</w:t>
            </w:r>
            <w:r>
              <w:t xml:space="preserve"> vizate;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consideră că UE ar trebui să investească în talente în sectoarele critice, pentru a spori competitivitatea pe termen lung a UE prin intermediul unei forțe de muncă capabile; sugerează că progresele ar putea fi măsurate cu ajutorul unor indicatori de realizare, cum ar fi numărul de tineri formați anual (cu un accent special pe echilibrul de gen), rata de participare la programele de învățare pentru adulți și de învățare pe tot parcursul vieții și rata de satisfacție a întreprinderilor partenere; consideră că ar putea fi utilizați și indicatori de rezultat, cum ar fi modificarea ratei de ocupare a forței de muncă în sectoarele vizate;</w:t>
            </w:r>
          </w:p>
        </w:tc>
        <w:tc>
          <w:tcPr>
            <w:tcW w:w="4876" w:type="dxa"/>
            <w:tcBorders>
              <w:top w:val="nil"/>
              <w:left w:val="nil"/>
              <w:bottom w:val="nil"/>
              <w:right w:val="nil"/>
            </w:tcBorders>
          </w:tcPr>
          <w:p>
            <w:pPr>
              <w:pStyle w:val="Normal6a"/>
            </w:pPr>
            <w:r>
              <w:t>17.</w:t>
            </w:r>
            <w:r>
              <w:tab/>
            </w:r>
            <w:r>
              <w:t xml:space="preserve">consideră că UE ar trebui să investească în talente în sectoarele critice, pentru a spori competitivitatea pe termen lung a UE prin intermediul unei forțe de muncă capabile; sugerează că progresele ar putea fi măsurate cu ajutorul unor indicatori de realizare, cum ar fi numărul de tineri formați anual (cu un accent special pe echilibrul de gen </w:t>
            </w:r>
            <w:r>
              <w:rPr>
                <w:b/>
                <w:i/>
              </w:rPr>
              <w:t>și incluziunea socială</w:t>
            </w:r>
            <w:r>
              <w:t xml:space="preserve">), rata de participare la programele de învățare pentru adulți și de învățare pe tot parcursul vieții și rata de satisfacție a întreprinderilor partenere </w:t>
            </w:r>
            <w:r>
              <w:rPr>
                <w:b/>
                <w:i/>
              </w:rPr>
              <w:t>și a partenerilor sociali</w:t>
            </w:r>
            <w:r>
              <w:t xml:space="preserve">; consideră că ar putea fi utilizați și indicatori de rezultat, cum ar fi modificarea ratei de ocupare a forței de muncă </w:t>
            </w:r>
            <w:r>
              <w:rPr>
                <w:b/>
                <w:i/>
              </w:rPr>
              <w:t>și a ratei de tranziție de la formare sau locuri de muncă temporare la locuri de muncă permanente</w:t>
            </w:r>
            <w:r>
              <w:t xml:space="preserve"> în sectoarele vizate;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consideră că UE ar trebui să investească în talente în sectoarele critice, pentru a spori competitivitatea pe termen lung a UE prin intermediul unei forțe de muncă capabile; sugerează că progresele ar putea fi măsurate cu ajutorul unor indicatori de realizare, cum ar fi numărul de </w:t>
            </w:r>
            <w:r>
              <w:rPr>
                <w:b/>
                <w:i/>
              </w:rPr>
              <w:t>tineri formați</w:t>
            </w:r>
            <w:r>
              <w:t xml:space="preserve"> anual (cu un accent special pe echilibrul de gen), rata de participare la programele de învățare pentru adulți și de învățare pe tot parcursul vieții și rata de satisfacție a întreprinderilor partenere; consideră că ar putea fi utilizați și indicatori de rezultat, cum ar fi modificarea ratei de ocupare a forței de muncă în sectoarele vizate;</w:t>
            </w:r>
          </w:p>
        </w:tc>
        <w:tc>
          <w:tcPr>
            <w:tcW w:w="4876" w:type="dxa"/>
            <w:tcBorders>
              <w:top w:val="nil"/>
              <w:left w:val="nil"/>
              <w:bottom w:val="nil"/>
              <w:right w:val="nil"/>
            </w:tcBorders>
          </w:tcPr>
          <w:p>
            <w:pPr>
              <w:pStyle w:val="Normal6a"/>
            </w:pPr>
            <w:r>
              <w:t>17.</w:t>
            </w:r>
            <w:r>
              <w:tab/>
            </w:r>
            <w:r>
              <w:t xml:space="preserve">consideră că UE ar trebui să investească în talente în sectoarele </w:t>
            </w:r>
            <w:r>
              <w:rPr>
                <w:b/>
                <w:i/>
              </w:rPr>
              <w:t>strategice și</w:t>
            </w:r>
            <w:r>
              <w:t xml:space="preserve"> critice, pentru a spori competitivitatea pe termen lung a UE prin intermediul unei forțe de muncă capabile; sugerează că progresele ar putea fi măsurate cu ajutorul unor indicatori de realizare, cum ar fi numărul de </w:t>
            </w:r>
            <w:r>
              <w:rPr>
                <w:b/>
                <w:i/>
              </w:rPr>
              <w:t>persoane formate</w:t>
            </w:r>
            <w:r>
              <w:t xml:space="preserve"> anual (cu un accent special pe echilibrul de gen)</w:t>
            </w:r>
            <w:r>
              <w:rPr>
                <w:b/>
                <w:i/>
              </w:rPr>
              <w:t>, numărul de persoane care au obținut diplome în domeniul științei, tehnologiei, ingineriei sau matematicii (STEM) în urma absolvirii studiilor universitare sau a finalizării unor cursuri și programe de formare profesională</w:t>
            </w:r>
            <w:r>
              <w:t>, rata de participare la programele de învățare pentru adulți și de învățare pe tot parcursul vieții și rata de satisfacție a întreprinderilor partenere; consideră că ar putea fi utilizați și indicatori de rezultat, cum ar fi modificarea ratei de ocupare a forței de muncă în sectoarele vizate;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consideră că UE ar trebui să investească în talente în sectoarele critice, pentru a spori competitivitatea pe termen lung a UE prin intermediul unei forțe de muncă capabile; sugerează că progresele ar putea fi măsurate cu ajutorul unor indicatori de realizare, cum ar fi numărul de tineri formați anual </w:t>
            </w:r>
            <w:r>
              <w:rPr>
                <w:b/>
                <w:i/>
              </w:rPr>
              <w:t>(cu un accent special pe echilibrul de gen)</w:t>
            </w:r>
            <w:r>
              <w:t>, rata de participare la programele de învățare pentru adulți și de învățare pe tot parcursul vieții și rata de satisfacție a întreprinderilor partenere; consideră că ar putea fi utilizați și indicatori de rezultat, cum ar fi modificarea ratei de ocupare a forței de muncă în sectoarele vizate;</w:t>
            </w:r>
          </w:p>
        </w:tc>
        <w:tc>
          <w:tcPr>
            <w:tcW w:w="4876" w:type="dxa"/>
            <w:tcBorders>
              <w:top w:val="nil"/>
              <w:left w:val="nil"/>
              <w:bottom w:val="nil"/>
              <w:right w:val="nil"/>
            </w:tcBorders>
          </w:tcPr>
          <w:p>
            <w:pPr>
              <w:pStyle w:val="Normal6a"/>
            </w:pPr>
            <w:r>
              <w:t>17.</w:t>
            </w:r>
            <w:r>
              <w:tab/>
            </w:r>
            <w:r>
              <w:t xml:space="preserve">consideră că UE ar trebui să investească în talente în sectoarele critice, pentru a spori competitivitatea pe termen lung a UE prin intermediul unei forțe de muncă capabile; sugerează că progresele ar putea fi măsurate cu ajutorul unor indicatori de realizare, cum ar fi numărul de tineri formați anual </w:t>
            </w:r>
            <w:r>
              <w:rPr>
                <w:b/>
                <w:i/>
              </w:rPr>
              <w:t>care obțin, la finalizarea studiilor, un loc de muncă în domeniul corespunzător filierei alese de aceștia</w:t>
            </w:r>
            <w:r>
              <w:t>, rata de participare la programele de învățare pentru adulți și de învățare pe tot parcursul vieții și rata de satisfacție a întreprinderilor partenere; consideră că ar putea fi utilizați și indicatori de rezultat, cum ar fi modificarea ratei de ocupare a forței de muncă în sectoarele vizate;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consideră că UE ar trebui să investească în talente în sectoarele critice, pentru a spori competitivitatea pe termen lung a UE prin intermediul unei forțe de muncă capabile; sugerează că progresele ar putea fi măsurate cu ajutorul unor indicatori de realizare, cum ar fi numărul de tineri formați anual </w:t>
            </w:r>
            <w:r>
              <w:rPr>
                <w:b/>
                <w:i/>
              </w:rPr>
              <w:t>(cu un accent special pe echilibrul de gen)</w:t>
            </w:r>
            <w:r>
              <w:t>, rata de participare la programele de învățare pentru adulți și de învățare pe tot parcursul vieții și rata de satisfacție a întreprinderilor partenere; consideră că ar putea fi utilizați și indicatori de rezultat, cum ar fi modificarea ratei de ocupare a forței de muncă în sectoarele vizate;</w:t>
            </w:r>
          </w:p>
        </w:tc>
        <w:tc>
          <w:tcPr>
            <w:tcW w:w="4876" w:type="dxa"/>
            <w:tcBorders>
              <w:top w:val="nil"/>
              <w:left w:val="nil"/>
              <w:bottom w:val="nil"/>
              <w:right w:val="nil"/>
            </w:tcBorders>
          </w:tcPr>
          <w:p>
            <w:pPr>
              <w:pStyle w:val="Normal6a"/>
            </w:pPr>
            <w:r>
              <w:t>17.</w:t>
            </w:r>
            <w:r>
              <w:tab/>
            </w:r>
            <w:r>
              <w:t>consideră că UE ar trebui să investească în talente în sectoarele critice, pentru a spori competitivitatea pe termen lung a UE prin intermediul unei forțe de muncă capabile; sugerează că progresele ar putea fi măsurate cu ajutorul unor indicatori de realizare, cum ar fi numărul de tineri formați anual, rata de participare la programele de învățare pentru adulți și de învățare pe tot parcursul vieții și rata de satisfacție a întreprinderilor partenere; consideră că ar putea fi utilizați și indicatori de rezultat, cum ar fi modificarea ratei de ocupare a forței de muncă în sectoarele vizate;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Subliniază că succesul proiectelor europene în materie de competitivitate depinde de mobilizarea capitalului privat;</w:t>
            </w:r>
            <w:r>
              <w:t xml:space="preserve"> </w:t>
            </w:r>
            <w:r>
              <w:rPr>
                <w:b/>
                <w:i/>
              </w:rPr>
              <w:t>invită Comisia să introducă indicatori specifici pentru a măsura efectul de levier al fondurilor UE în mobilizarea investițiilor private, raportul dintre finanțarea publică și cea privată și randamentul obținut în urma investițiilor;</w:t>
            </w:r>
            <w:r>
              <w:t xml:space="preserve"> </w:t>
            </w:r>
            <w:r>
              <w:rPr>
                <w:b/>
                <w:i/>
              </w:rPr>
              <w:t>subliniază că succesul programelor UE ar trebui evaluat în funcție de capacitatea lor de a atrage și de a susține creșterea sectorului privat;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Dick Erixon, 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consideră că, pentru a accelera </w:t>
            </w:r>
            <w:r>
              <w:rPr>
                <w:b/>
                <w:i/>
              </w:rPr>
              <w:t>proiectele industriale verzi și digitale</w:t>
            </w:r>
            <w:r>
              <w:t>, ar trebui să se acorde o atenție deosebită întreprinderilor mici și mijlocii inovatoare, urmărind, în același timp, simplificarea; sugerează că progresele ar putea fi măsurate cu ajutorul unor indicatori precum numărul de proiecte aprobate anual, ponderea căilor de atac sau a litigiilor legate de proceduri și timpul necesar pentru accesarea finanțării UE – de la cerere la plată;</w:t>
            </w:r>
          </w:p>
        </w:tc>
        <w:tc>
          <w:tcPr>
            <w:tcW w:w="4876" w:type="dxa"/>
            <w:tcBorders>
              <w:top w:val="nil"/>
              <w:left w:val="nil"/>
              <w:bottom w:val="nil"/>
              <w:right w:val="nil"/>
            </w:tcBorders>
          </w:tcPr>
          <w:p>
            <w:pPr>
              <w:pStyle w:val="Normal6a"/>
            </w:pPr>
            <w:r>
              <w:t>18.</w:t>
            </w:r>
            <w:r>
              <w:tab/>
            </w:r>
            <w:r>
              <w:t xml:space="preserve">consideră că, pentru a accelera </w:t>
            </w:r>
            <w:r>
              <w:rPr>
                <w:b/>
                <w:i/>
              </w:rPr>
              <w:t>competitivitatea și creșterea economică</w:t>
            </w:r>
            <w:r>
              <w:t xml:space="preserve">, ar trebui să se acorde o atenție deosebită întreprinderilor mici și mijlocii inovatoare, </w:t>
            </w:r>
            <w:r>
              <w:rPr>
                <w:b/>
                <w:i/>
              </w:rPr>
              <w:t>inclusiv prin reducerea birocrației care împiedică accesul la finanțare și</w:t>
            </w:r>
            <w:r>
              <w:t xml:space="preserve"> urmărind, în același timp, simplificarea</w:t>
            </w:r>
            <w:r>
              <w:rPr>
                <w:b/>
                <w:i/>
              </w:rPr>
              <w:t>;</w:t>
            </w:r>
            <w:r>
              <w:t xml:space="preserve"> </w:t>
            </w:r>
            <w:r>
              <w:rPr>
                <w:b/>
                <w:i/>
              </w:rPr>
              <w:t>solicită o evaluare aprofundată și raționalizarea cerințelor de raportare cu privire la performanță pentru a asigura doar sarcini administrative adecvate</w:t>
            </w:r>
            <w:r>
              <w:t xml:space="preserve">; sugerează că progresele ar putea fi măsurate cu ajutorul unor indicatori precum numărul de proiecte aprobate anual, ponderea căilor de atac sau a litigiilor legate de proceduri și timpul necesar pentru accesarea finanțării UE – de la cerere la plată; </w:t>
            </w:r>
            <w:r>
              <w:rPr>
                <w:b/>
                <w:i/>
              </w:rPr>
              <w:t>solicită să se realizeze o revizuire structurată la jumătatea perioadei și ex post pentru a întrerupe sau a redefini intervențiile neperformante identificate de Curtea de Conturi Europeană, fondurile urmând să fie realocate unor măsuri mai eficace sau returnate cetățenilor,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consideră că, pentru a accelera proiectele industriale </w:t>
            </w:r>
            <w:r>
              <w:rPr>
                <w:b/>
                <w:i/>
              </w:rPr>
              <w:t>verzi și digitale</w:t>
            </w:r>
            <w:r>
              <w:t xml:space="preserve">, ar trebui să se acorde o atenție deosebită întreprinderilor mici și mijlocii inovatoare, </w:t>
            </w:r>
            <w:r>
              <w:rPr>
                <w:b/>
                <w:i/>
              </w:rPr>
              <w:t>urmărind</w:t>
            </w:r>
            <w:r>
              <w:t xml:space="preserve">, în același timp, simplificarea; sugerează că progresele ar putea fi măsurate </w:t>
            </w:r>
            <w:r>
              <w:rPr>
                <w:b/>
                <w:i/>
              </w:rPr>
              <w:t>cu ajutorul</w:t>
            </w:r>
            <w:r>
              <w:t xml:space="preserve"> unor indicatori precum numărul de proiecte aprobate anual, ponderea căilor de atac sau a litigiilor legate de proceduri și timpul necesar pentru accesarea finanțării UE – de la cerere la plată;</w:t>
            </w:r>
          </w:p>
        </w:tc>
        <w:tc>
          <w:tcPr>
            <w:tcW w:w="4876" w:type="dxa"/>
            <w:tcBorders>
              <w:top w:val="nil"/>
              <w:left w:val="nil"/>
              <w:bottom w:val="nil"/>
              <w:right w:val="nil"/>
            </w:tcBorders>
          </w:tcPr>
          <w:p>
            <w:pPr>
              <w:pStyle w:val="Normal6a"/>
            </w:pPr>
            <w:r>
              <w:t>18.</w:t>
            </w:r>
            <w:r>
              <w:tab/>
            </w:r>
            <w:r>
              <w:t xml:space="preserve">consideră că, pentru a accelera proiectele industriale </w:t>
            </w:r>
            <w:r>
              <w:rPr>
                <w:b/>
                <w:i/>
              </w:rPr>
              <w:t>care consolidează competitivitatea și reziliența industriei europene</w:t>
            </w:r>
            <w:r>
              <w:t xml:space="preserve">, ar trebui să se acorde o atenție deosebită întreprinderilor mici și mijlocii inovatoare, </w:t>
            </w:r>
            <w:r>
              <w:rPr>
                <w:b/>
                <w:i/>
              </w:rPr>
              <w:t>asigurând</w:t>
            </w:r>
            <w:r>
              <w:t xml:space="preserve">, în același timp, simplificarea </w:t>
            </w:r>
            <w:r>
              <w:rPr>
                <w:b/>
                <w:i/>
              </w:rPr>
              <w:t>procedurilor administrative</w:t>
            </w:r>
            <w:r>
              <w:t xml:space="preserve">; sugerează că progresele </w:t>
            </w:r>
            <w:r>
              <w:rPr>
                <w:b/>
                <w:i/>
              </w:rPr>
              <w:t>în acest context</w:t>
            </w:r>
            <w:r>
              <w:t xml:space="preserve"> ar putea fi măsurate </w:t>
            </w:r>
            <w:r>
              <w:rPr>
                <w:b/>
                <w:i/>
              </w:rPr>
              <w:t>prin intermediul</w:t>
            </w:r>
            <w:r>
              <w:t xml:space="preserve"> unor indicatori precum numărul de proiecte aprobate anual, ponderea căilor de atac sau a litigiilor legate de proceduri și timpul necesar pentru accesarea finanțării UE – de la cerere la plată;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Carla Tavares,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consideră că, pentru a accelera proiectele industriale verzi și digitale, ar trebui să se acorde o atenție deosebită întreprinderilor mici și mijlocii inovatoare, urmărind, în același timp, simplificarea; sugerează că progresele ar putea fi măsurate cu ajutorul unor indicatori precum numărul de proiecte aprobate anual, ponderea căilor de atac sau a litigiilor legate de proceduri și timpul necesar pentru accesarea finanțării UE – de la cerere la plată;</w:t>
            </w:r>
          </w:p>
        </w:tc>
        <w:tc>
          <w:tcPr>
            <w:tcW w:w="4876" w:type="dxa"/>
            <w:tcBorders>
              <w:top w:val="nil"/>
              <w:left w:val="nil"/>
              <w:bottom w:val="nil"/>
              <w:right w:val="nil"/>
            </w:tcBorders>
          </w:tcPr>
          <w:p>
            <w:pPr>
              <w:pStyle w:val="Normal6a"/>
            </w:pPr>
            <w:r>
              <w:t>18.</w:t>
            </w:r>
            <w:r>
              <w:tab/>
            </w:r>
            <w:r>
              <w:t>consideră că, pentru a accelera proiectele industriale verzi și digitale, ar trebui să se acorde o atenție deosebită întreprinderilor mici și mijlocii inovatoare, urmărind, în același timp, simplificarea</w:t>
            </w:r>
            <w:r>
              <w:rPr>
                <w:b/>
                <w:i/>
              </w:rPr>
              <w:t xml:space="preserve">, reflectată într-o raportare și în proceduri mai simple; </w:t>
            </w:r>
            <w:r>
              <w:t xml:space="preserve"> </w:t>
            </w:r>
            <w:r>
              <w:rPr>
                <w:b/>
                <w:i/>
              </w:rPr>
              <w:t>subliniază că simplificarea nu trebuie să conducă la dereglementare care subminează standardele de mediu, sociale sau în domeniul muncii și trebuie realizată într-un mod care să garanteze securitatea în materie de reglementare, precum și o analiză, o consultare și o evaluare corespunzătoare a impactului</w:t>
            </w:r>
            <w:r>
              <w:t>; sugerează că progresele ar putea fi măsurate cu ajutorul unor indicatori precum numărul de proiecte aprobate anual, ponderea căilor de atac sau a litigiilor legate de proceduri și timpul necesar pentru accesarea finanțării UE – de la cerere la plată;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consideră că, pentru a accelera </w:t>
            </w:r>
            <w:r>
              <w:rPr>
                <w:b/>
                <w:i/>
              </w:rPr>
              <w:t>proiectele industriale verzi și digitale</w:t>
            </w:r>
            <w:r>
              <w:t xml:space="preserve">, ar trebui să se acorde o atenție deosebită întreprinderilor mici și mijlocii inovatoare, </w:t>
            </w:r>
            <w:r>
              <w:rPr>
                <w:b/>
                <w:i/>
              </w:rPr>
              <w:t>urmărind, în același timp,</w:t>
            </w:r>
            <w:r>
              <w:t xml:space="preserve"> simplificarea; sugerează că progresele ar putea fi măsurate cu ajutorul unor indicatori precum numărul de proiecte aprobate anual</w:t>
            </w:r>
            <w:r>
              <w:rPr>
                <w:b/>
                <w:i/>
              </w:rPr>
              <w:t>, ponderea</w:t>
            </w:r>
            <w:r>
              <w:t xml:space="preserve"> căilor de atac sau a litigiilor legate de </w:t>
            </w:r>
            <w:r>
              <w:rPr>
                <w:b/>
                <w:i/>
              </w:rPr>
              <w:t>proceduri și timpul</w:t>
            </w:r>
            <w:r>
              <w:t xml:space="preserve"> necesar pentru accesarea finanțării UE – de la cerere la plată;</w:t>
            </w:r>
          </w:p>
        </w:tc>
        <w:tc>
          <w:tcPr>
            <w:tcW w:w="4876" w:type="dxa"/>
            <w:tcBorders>
              <w:top w:val="nil"/>
              <w:left w:val="nil"/>
              <w:bottom w:val="nil"/>
              <w:right w:val="nil"/>
            </w:tcBorders>
          </w:tcPr>
          <w:p>
            <w:pPr>
              <w:pStyle w:val="Normal6a"/>
            </w:pPr>
            <w:r>
              <w:t>18.</w:t>
            </w:r>
            <w:r>
              <w:tab/>
            </w:r>
            <w:r>
              <w:t xml:space="preserve">consideră că, pentru a accelera </w:t>
            </w:r>
            <w:r>
              <w:rPr>
                <w:b/>
                <w:i/>
              </w:rPr>
              <w:t>tranziția verde și digitală</w:t>
            </w:r>
            <w:r>
              <w:t xml:space="preserve">, ar trebui să se acorde o atenție deosebită întreprinderilor mici și mijlocii inovatoare, </w:t>
            </w:r>
            <w:r>
              <w:rPr>
                <w:b/>
                <w:i/>
              </w:rPr>
              <w:t>în cazul cărora</w:t>
            </w:r>
            <w:r>
              <w:t xml:space="preserve"> simplificarea </w:t>
            </w:r>
            <w:r>
              <w:rPr>
                <w:b/>
                <w:i/>
              </w:rPr>
              <w:t>are o importanță critică</w:t>
            </w:r>
            <w:r>
              <w:t xml:space="preserve">; sugerează că progresele </w:t>
            </w:r>
            <w:r>
              <w:rPr>
                <w:b/>
                <w:i/>
              </w:rPr>
              <w:t>în ceea ce privește reducerea sarcinii administrative</w:t>
            </w:r>
            <w:r>
              <w:t xml:space="preserve"> ar putea fi măsurate cu ajutorul unor indicatori precum numărul de proiecte aprobate </w:t>
            </w:r>
            <w:r>
              <w:rPr>
                <w:b/>
                <w:i/>
              </w:rPr>
              <w:t>și finalizate</w:t>
            </w:r>
            <w:r>
              <w:t xml:space="preserve"> anual </w:t>
            </w:r>
            <w:r>
              <w:rPr>
                <w:b/>
                <w:i/>
              </w:rPr>
              <w:t>la care participă IMM-urile, scăderea ponderii</w:t>
            </w:r>
            <w:r>
              <w:t xml:space="preserve"> căilor de atac sau a litigiilor legate de </w:t>
            </w:r>
            <w:r>
              <w:rPr>
                <w:b/>
                <w:i/>
              </w:rPr>
              <w:t>aplicarea procedurilor și reducerea timpului</w:t>
            </w:r>
            <w:r>
              <w:t xml:space="preserve"> necesar pentru accesarea finanțării UE – de la cerere la plată;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Cristian Terheș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invită Comisia Europeană să consolideze diplomația economică a UE și să pună pe deplin în aplicare strategia Global Gateway pentru a securiza coridoarele strategice de transport, inclusiv Coridorul central care leagă Europa de Asia Centrală și de Orientul Mijlociu, pentru a îmbunătăți conectivitatea cu piețele mondiale și a asigura un acces fiabil la materii prime și resurse energetice;</w:t>
            </w:r>
            <w:r>
              <w:t xml:space="preserve"> </w:t>
            </w:r>
            <w:r>
              <w:rPr>
                <w:b/>
                <w:i/>
              </w:rPr>
              <w:t>subliniază că investițiile precis orientate și implicarea diplomatică sunt esențiale pentru a deschide noi rute comerciale, a reduce dependența de furnizori unici și a consolida competitivitatea industrială, reziliența și influența globală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Dick Erixon, 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subliniază că trecerea de la raportarea bazată pe resurse și activități la raportarea axată pe rezultate și impact ar trebui să reducă sarcina administrativă atât pentru auditori, cât și pentru beneficiari, punând accentul pe pragul de semnificație și proporționalitate;</w:t>
            </w:r>
            <w:r>
              <w:t xml:space="preserve"> </w:t>
            </w:r>
            <w:r>
              <w:rPr>
                <w:b/>
                <w:i/>
              </w:rPr>
              <w:t>invită Comisia să raționalizeze indicatorii, să simplifice modelele, să evite duplicarea cererilor de date și să aplice principiul înregistrării unice, astfel încât beneficiarii să poată petrece mai mult timp pentru a obține rezultate și mai puțin timp pentru bifarea unor căsuțe;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Șerban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subliniază că restabilirea competitivității Europei necesită o trecere de la gestionarea crizelor pe termen scurt la o strategie pe termen lung bazată pe inovare, eficiență și deschidere globală;</w:t>
            </w:r>
            <w:r>
              <w:t xml:space="preserve"> </w:t>
            </w:r>
            <w:r>
              <w:rPr>
                <w:b/>
                <w:i/>
              </w:rPr>
              <w:t>solicită un angajament reînnoit față de obiectivele legate de consolidarea pieței unice, reducerea fragmentării în materie de reglementare și asigurarea faptului că programele UE sprijină economia reală, nu extinderea birocratică;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subliniază că Fondul european pentru competitivitate și toate instrumentele viitoare ar trebui să includă audituri obligatorii la jumătatea perioadei privind performanța, care să fie efectuate de Curtea de Conturi Europeană, asigurându-se faptul că sunt introduse fără întârziere măsuri corective în cazul în care rezultatele nu corespund obiectivelor stabilite;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779.587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70</w:t>
    </w:r>
    <w:r>
      <w:fldChar w:fldCharType="end"/>
    </w:r>
    <w:r>
      <w:tab/>
    </w:r>
    <w:r>
      <w:rPr>
        <w:rStyle w:val="HideTWBExt"/>
      </w:rPr>
      <w:t>&lt;PathFdR&gt;</w:t>
    </w:r>
    <w:r>
      <w:t>AM\1331809RO.docx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AM\1331809RO.docx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70</w:t>
    </w:r>
    <w:r>
      <w:fldChar w:fldCharType="end"/>
    </w:r>
    <w:r>
      <w:tab/>
    </w:r>
    <w:r>
      <w:t>PE</w:t>
    </w:r>
    <w:r>
      <w:rPr>
        <w:rStyle w:val="HideTWBExt"/>
      </w:rPr>
      <w:t>&lt;NoPE&gt;</w:t>
    </w:r>
    <w:r>
      <w:t>779.587</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AM\1331809RO.docx</w:t>
    </w:r>
    <w:r>
      <w:rPr>
        <w:rStyle w:val="HideTWBExt"/>
      </w:rPr>
      <w:t>&lt;/PathFdR&gt;</w:t>
    </w:r>
    <w:r>
      <w:tab/>
    </w:r>
    <w:r>
      <w:tab/>
    </w:r>
    <w:r>
      <w:t>PE</w:t>
    </w:r>
    <w:r>
      <w:rPr>
        <w:rStyle w:val="HideTWBExt"/>
      </w:rPr>
      <w:t>&lt;NoPE&gt;</w:t>
    </w:r>
    <w:r>
      <w:t>779.587</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70</Pages>
  <Words>17906</Words>
  <Characters>108327</Characters>
  <Application>Microsoft Office Word</Application>
  <DocSecurity>0</DocSecurity>
  <Lines>1</Lines>
  <Paragraphs>991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1331809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297502</vt:lpwstr>
  </property>
  <property fmtid="{D5CDD505-2E9C-101B-9397-08002B2CF9AE}" pid="7" name="dmxml.render.traceId">
    <vt:lpwstr>69298078b1a13ca215bfd282eb261072</vt:lpwstr>
  </property>
  <property fmtid="{D5CDD505-2E9C-101B-9397-08002B2CF9AE}" pid="8" name="FooterPath">
    <vt:lpwstr>AM\1331809RO.docx</vt:lpwstr>
  </property>
  <property fmtid="{D5CDD505-2E9C-101B-9397-08002B2CF9AE}" pid="9" name="PE Number">
    <vt:lpwstr>779.587</vt:lpwstr>
  </property>
  <property fmtid="{D5CDD505-2E9C-101B-9397-08002B2CF9AE}" pid="10" name="UID">
    <vt:lpwstr>eu.europa.europarl-DIN1-2025-0000220744_01.00-ro-02.00_text-xml</vt:lpwstr>
  </property>
</Properties>
</file>