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Odbor za proračunski nadzor</w:t>
      </w:r>
      <w:r>
        <w:rPr>
          <w:rStyle w:val="HideTWBExt"/>
        </w:rPr>
        <w:t>&lt;/Commission&gt;</w:t>
      </w:r>
    </w:p>
    <w:p>
      <w:pPr>
        <w:pStyle w:val="LineBottom"/>
      </w:pPr>
      <w:r>
        <w:t xml:space="preserve"> </w:t>
      </w:r>
    </w:p>
    <w:p>
      <w:pPr>
        <w:pStyle w:val="CoverReference"/>
      </w:pPr>
      <w:r>
        <w:rPr>
          <w:rStyle w:val="HideTWBExt"/>
        </w:rPr>
        <w:t>&lt;RefProc&gt;</w:t>
      </w:r>
      <w:r>
        <w:t>2025/2157</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AMANDMANI</w:t>
      </w:r>
      <w:r>
        <w:rPr>
          <w:rStyle w:val="HideTWBExt"/>
        </w:rPr>
        <w:t>&lt;/TypeAM&gt;</w:t>
      </w:r>
    </w:p>
    <w:p>
      <w:pPr>
        <w:pStyle w:val="CoverDocType24a"/>
      </w:pPr>
      <w:r>
        <w:rPr>
          <w:rStyle w:val="HideTWBExt"/>
        </w:rPr>
        <w:t>&lt;RangeAM&gt;</w:t>
      </w:r>
      <w:r>
        <w:t>1</w:t>
      </w:r>
      <w:r>
        <w:t xml:space="preserve"> - </w:t>
      </w:r>
      <w:r>
        <w:t>52</w:t>
      </w:r>
      <w:r>
        <w:rPr>
          <w:rStyle w:val="HideTWBExt"/>
        </w:rPr>
        <w:t>&lt;/RangeAM&gt;</w:t>
      </w:r>
    </w:p>
    <w:p>
      <w:pPr>
        <w:pStyle w:val="CoverBold"/>
      </w:pPr>
      <w:r>
        <w:rPr>
          <w:rStyle w:val="HideTWBExt"/>
        </w:rPr>
        <w:t>&lt;TitreType&gt;</w:t>
      </w:r>
      <w:r>
        <w:t>Nacrt izvješća</w:t>
      </w:r>
      <w:r>
        <w:rPr>
          <w:rStyle w:val="HideTWBExt"/>
        </w:rPr>
        <w:t>&lt;/TitreType&gt;</w:t>
      </w:r>
    </w:p>
    <w:p>
      <w:pPr>
        <w:pStyle w:val="CoverBold"/>
      </w:pPr>
      <w:r>
        <w:rPr>
          <w:rStyle w:val="HideTWBExt"/>
        </w:rPr>
        <w:t>&lt;Rapporteur&gt;</w:t>
      </w:r>
      <w:r>
        <w:t>Csaba Molnár</w:t>
      </w:r>
      <w:r>
        <w:rPr>
          <w:rStyle w:val="HideTWBExt"/>
        </w:rPr>
        <w:t>&lt;/Rapporteur&gt;</w:t>
      </w:r>
    </w:p>
    <w:p>
      <w:pPr>
        <w:pStyle w:val="CoverNormal24a"/>
      </w:pPr>
      <w:r>
        <w:rPr>
          <w:rStyle w:val="HideTWBExt"/>
        </w:rPr>
        <w:t>&lt;DocRefPE&gt;</w:t>
      </w:r>
      <w:r>
        <w:t>(PE778.122v01-00)</w:t>
      </w:r>
      <w:r>
        <w:rPr>
          <w:rStyle w:val="HideTWBExt"/>
        </w:rPr>
        <w:t>&lt;/DocRefPE&gt;</w:t>
      </w:r>
    </w:p>
    <w:p>
      <w:pPr>
        <w:pStyle w:val="CoverNormal"/>
      </w:pPr>
      <w:r>
        <w:rPr>
          <w:rStyle w:val="HideTWBExt"/>
        </w:rPr>
        <w:t>&lt;Titre&gt;</w:t>
      </w:r>
      <w:r>
        <w:t>Razrješnica za 2024.: Opći proračun EU-a – zajednička poduzeća</w:t>
      </w:r>
      <w:r>
        <w:rPr>
          <w:rStyle w:val="HideTWBExt"/>
        </w:rPr>
        <w:t>&lt;/Titre&gt;</w:t>
      </w:r>
    </w:p>
    <w:p>
      <w:pPr>
        <w:pStyle w:val="CoverNormal24a"/>
      </w:pPr>
      <w:r>
        <w:rPr>
          <w:rStyle w:val="HideTWBExt"/>
        </w:rPr>
        <w:t>&lt;DocRef&gt;</w:t>
      </w:r>
      <w:r>
        <w:t>(2025/2157(DEC))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Amandman</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napominje da bi uloga</w:t>
            </w:r>
            <w:r>
              <w:t xml:space="preserve"> zajedničkih poduzeća </w:t>
            </w:r>
            <w:r>
              <w:rPr>
                <w:b/>
                <w:i/>
              </w:rPr>
              <w:t>trebala biti pružanje</w:t>
            </w:r>
            <w:r>
              <w:t xml:space="preserve"> podrške u kontekstu istraživačkih i inovacijskih aktivnosti u područjima prometa, energetike, zdravstva, kružnih bioindustrija, ključnih elektroničkih komponenti, umjetne inteligencije i superračunalstva, kibernetičke sigurnosti i mrežnih sustava; potiče zajednička poduzeća da olakšaju pretvaranje znanstvenih spoznaja u inovacije spremne za tržište i da uspostave mehanizme koji osiguravaju da njihove aktivnosti doprinose jačanju globalne strateške autonomije, održivosti, sigurnosti i konkurentnosti Europe;</w:t>
            </w:r>
          </w:p>
        </w:tc>
        <w:tc>
          <w:tcPr>
            <w:tcW w:w="4876" w:type="dxa"/>
            <w:tcBorders>
              <w:top w:val="nil"/>
              <w:left w:val="nil"/>
              <w:bottom w:val="nil"/>
              <w:right w:val="nil"/>
            </w:tcBorders>
          </w:tcPr>
          <w:p>
            <w:pPr>
              <w:pStyle w:val="Normal6a"/>
            </w:pPr>
            <w:r>
              <w:t>1.</w:t>
            </w:r>
            <w:r>
              <w:tab/>
            </w:r>
            <w:r>
              <w:rPr>
                <w:b/>
                <w:i/>
              </w:rPr>
              <w:t>pozdravlja ulogu</w:t>
            </w:r>
            <w:r>
              <w:t xml:space="preserve"> zajedničkih poduzeća </w:t>
            </w:r>
            <w:r>
              <w:rPr>
                <w:b/>
                <w:i/>
              </w:rPr>
              <w:t>u pružanju</w:t>
            </w:r>
            <w:r>
              <w:t xml:space="preserve"> podrške u kontekstu istraživačkih i inovacijskih aktivnosti u područjima prometa, energetike, zdravstva, kružnih bioindustrija, ključnih elektroničkih komponenti, umjetne inteligencije i superračunalstva, kibernetičke sigurnosti i mrežnih sustava; potiče zajednička poduzeća da olakšaju pretvaranje znanstvenih spoznaja u inovacije spremne za tržište i da uspostave mehanizme koji osiguravaju da njihove aktivnosti doprinose jačanju globalne strateške autonomije, održivosti, sigurnosti i konkurentnosti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primjećuje da se zajednička poduzeća temelje na javno-privatnim partnerstvima koja usmjeravaju ulaganja i prikupljaju javna i privatna sredstva za financiranje zajedničkih ciljeva; u tom pogledu podsjeća da doprinosi privatnih članova moraju ispuniti utvrđene ciljeve kako bi takva partnerstva i dalje bila uzajamno korisna; poziva zajednička poduzeća </w:t>
            </w:r>
            <w:r>
              <w:rPr>
                <w:b/>
                <w:i/>
              </w:rPr>
              <w:t>koja dopuštaju</w:t>
            </w:r>
            <w:r>
              <w:t xml:space="preserve"> doprinose u naravi za dodatne aktivnosti </w:t>
            </w:r>
            <w:r>
              <w:rPr>
                <w:b/>
                <w:i/>
              </w:rPr>
              <w:t>da, gdje je to moguće, izbjegnu prekomjerno oslanjanje na takve doprinose</w:t>
            </w:r>
            <w:r>
              <w:t xml:space="preserve"> kako bi se postigli </w:t>
            </w:r>
            <w:r>
              <w:rPr>
                <w:b/>
                <w:i/>
              </w:rPr>
              <w:t>utvrđeni</w:t>
            </w:r>
            <w:r>
              <w:t xml:space="preserve"> ciljevi;</w:t>
            </w:r>
          </w:p>
        </w:tc>
        <w:tc>
          <w:tcPr>
            <w:tcW w:w="4876" w:type="dxa"/>
            <w:tcBorders>
              <w:top w:val="nil"/>
              <w:left w:val="nil"/>
              <w:bottom w:val="nil"/>
              <w:right w:val="nil"/>
            </w:tcBorders>
          </w:tcPr>
          <w:p>
            <w:pPr>
              <w:pStyle w:val="Normal6a"/>
            </w:pPr>
            <w:r>
              <w:t>4.</w:t>
            </w:r>
            <w:r>
              <w:tab/>
            </w:r>
            <w:r>
              <w:t xml:space="preserve">primjećuje da se zajednička poduzeća temelje na javno-privatnim partnerstvima koja usmjeravaju ulaganja i prikupljaju javna i privatna sredstva za financiranje zajedničkih ciljeva; u tom pogledu podsjeća da doprinosi privatnih članova moraju ispuniti utvrđene ciljeve kako bi takva partnerstva i dalje bila uzajamno korisna; poziva zajednička poduzeća </w:t>
            </w:r>
            <w:r>
              <w:rPr>
                <w:b/>
                <w:i/>
              </w:rPr>
              <w:t>i Komisiju da smanje strukturno oslanjanje na</w:t>
            </w:r>
            <w:r>
              <w:t xml:space="preserve"> doprinose u naravi za dodatne aktivnosti kako bi se postigli ciljevi</w:t>
            </w:r>
            <w:r>
              <w:rPr>
                <w:b/>
                <w:i/>
              </w:rPr>
              <w:t>, s obzirom na to da takve aktivnosti ne spadaju u programe rada i proračune zajedničkih poduzeća te ih ne revidira Revizorski sud</w:t>
            </w:r>
            <w:r>
              <w:t xml:space="preserve">; </w:t>
            </w:r>
            <w:r>
              <w:rPr>
                <w:b/>
                <w:i/>
              </w:rPr>
              <w:t>stoga potiče na veću transparentnost i Komisijin nadzor nad metodologijama izvješćivanja i potvrđivanja DNOA-a te na davanje prednosti doprinosima povezanima s mjerama koje se financiraju konkurentnim sredstvima zajedničkih poduzeća;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skreće pozornost na inherentne rizike mehanizama javno-privatnog partnerstva, posebno na tendenciju da se rizici nerazmjerno snose iz proračuna EU-a, dok znatan dio financijske dobiti ostvaruju privatni ulagači kao što su sektorski članovi i udruženja;</w:t>
            </w:r>
            <w:r>
              <w:t xml:space="preserve"> </w:t>
            </w:r>
            <w:r>
              <w:rPr>
                <w:b/>
                <w:i/>
              </w:rPr>
              <w:t>naglašava da takva neravnoteža ugrožava načelo dobrog financijskog upravljanja i poziva na snažnije zaštitne mjere kako bi se osigurala pravedna i transparentna raspodjela rizika i koristi između javnog i privatnog sektora;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preporučuje da Komisija ocijeni prijedlog Europskog revizorskog suda o reviziji cilja za privatne članove u okviru programa Obzor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poziva zajednička poduzeća da promiču redovito osposobljavanje u području kibersigurnosti kako bi se ojačala otpornost na kiberprijetnje i zaštitila ključna istraživanja, podaci i infrastruktura;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napominje da bi uloga zajedničkih poduzeća trebala biti pružanje podrške u kontekstu istraživačkih i inovacijskih aktivnosti u strateškim sektorima kao što su promet, energetika, zdravstvo, kružne bioindustrije, ključne elektroničke komponente, umjetna inteligencija, superračunalstvo, kibernetička sigurnost i mrežni sustavi;</w:t>
            </w:r>
            <w:r>
              <w:t xml:space="preserve"> </w:t>
            </w:r>
            <w:r>
              <w:rPr>
                <w:b/>
                <w:i/>
              </w:rPr>
              <w:t>potiče zajednička poduzeća da osiguraju da njihove aktivnosti doprinose strateškoj autonomiji, sigurnosti, održivosti i konkurentnosti Europe te smanjenju ovisnosti o trećim zemljama, među ostalim u pogledu ključnih tehnologija;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Michal Wiezik,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poziva zajednička poduzeća da izvješćuju o svojem doprinosu horizontalnim prioritetima proračuna Europske unije, među ostalim o uključivanju klimatskih pitanja;</w:t>
            </w:r>
            <w:r>
              <w:t xml:space="preserve"> </w:t>
            </w:r>
            <w:r>
              <w:rPr>
                <w:b/>
                <w:i/>
              </w:rPr>
              <w:t>naglašava potrebu da zajednička poduzeća doprinose okolišnoj održivosti u svojim projektima i usklade svoje aktivnosti i strategije ulaganja s okolišnim i klimatskim ciljevima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traži da se procijeni kako i zašto partneri nisu isporučili obećana sredstva te ugrožava li to na bilo koji način postizanje općih ciljeva programa zajedničkih poduzeća;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izražava zabrinutost, na temelju godišnjeg izvješća Europskog revizorskog suda o istraživačkim partnerstvima, zbog toga što doprinosi privatnog sektora u nekim slučajevima nisu dovoljni;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ističe da su neka zajednička poduzeća daleko ispod ciljne vrijednosti, pri čemu članovi privatnog partnerstva u nekim slučajevima doprinose u naravi u iznosu od samo oko 5 % obećanih iznosa do kraja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a</w:t>
            </w:r>
            <w:r>
              <w:tab/>
            </w:r>
            <w:r>
              <w:rPr>
                <w:b/>
                <w:i/>
              </w:rPr>
              <w:t>ističe da se zbog niskih doprinosa privatnih članova neka zajednička poduzeća trenutačno suočavaju s golemim financijskim poteškoćama u postizanju svojih ciljeva te da postoji potreba za sustavnom evaluacijom razloga zbog kojih neka zajednička poduzeća nisu mogla privući dovoljno partnera iz privatnog sektora koji daju doprinos;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 – točka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podsjeća da je javno zdravlje, u skladu s člankom 168. UFEU-a, i dalje prvenstveno u nadležnosti država članica;</w:t>
            </w:r>
            <w:r>
              <w:t xml:space="preserve"> </w:t>
            </w:r>
            <w:r>
              <w:rPr>
                <w:b/>
                <w:i/>
              </w:rPr>
              <w:t>ističe da bi zajednička poduzeća trebala podupirati, a ne zamijeniti nacionalne inicijative i politike;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ukupni raspoloživi proračun za 2024. za Zajedničko poduzeće za čisto zrakoplovstvo iznosio je 172,0 milijuna EUR u odobrenim sredstvima za obveze, u usporedbi s 269 milijuna EUR u 2023., i 302,6 milijuna EUR u odobrenim sredstvima za plaćanje, u usporedbi s 486,0 milijuna EUR u 2023.; nadalje, shvaća da je, prema izvješću o proračunskom i financijskom upravljanju Zajedničkim poduzećem za čisto zrakoplovstvo, njegova ukupna stopa izvršenja proračuna za financijsku godinu 2024. dosegnula 99,9 % za odobrena sredstva za preuzimanje obveza i 84,4 % za odobrena sredstva za plaćanje, što upućuje na to da nije bilo ozbiljnih problema povezanih s tempom izvršenja proračuna; napominje da Zajedničko poduzeće za čisto zrakoplovstvo upravlja novim proračunskim, računovodstvenim i financijskim sustavom Europske komisije (SUMMA) koji još nije u potpunosti operativan; u tom smislu poziva Zajedničko poduzeće da osigura pouzdanost podataka odgovarajućom ručnom obradom i dodatnim kontrolama provjere ako je to potrebno;</w:t>
            </w:r>
          </w:p>
        </w:tc>
        <w:tc>
          <w:tcPr>
            <w:tcW w:w="4876" w:type="dxa"/>
            <w:tcBorders>
              <w:top w:val="nil"/>
              <w:left w:val="nil"/>
              <w:bottom w:val="nil"/>
              <w:right w:val="nil"/>
            </w:tcBorders>
          </w:tcPr>
          <w:p>
            <w:pPr>
              <w:pStyle w:val="Normal6a"/>
            </w:pPr>
            <w:r>
              <w:t>(b)</w:t>
            </w:r>
            <w:r>
              <w:tab/>
            </w:r>
            <w:r>
              <w:t xml:space="preserve">ukupni raspoloživi proračun za 2024. za Zajedničko poduzeće za čisto zrakoplovstvo iznosio je 172,0 milijuna EUR u odobrenim sredstvima za obveze, u usporedbi s 269 milijuna EUR u 2023., i 302,6 milijuna EUR u odobrenim sredstvima za plaćanje, u usporedbi s 486,0 milijuna EUR u 2023.; nadalje, shvaća da je, prema izvješću o proračunskom i financijskom upravljanju Zajedničkim poduzećem za čisto zrakoplovstvo, njegova ukupna stopa izvršenja proračuna za financijsku godinu 2024. dosegnula 99,9 % za odobrena sredstva za preuzimanje obveza i 84,4 % za odobrena sredstva za plaćanje, što upućuje na to da nije bilo ozbiljnih problema povezanih s tempom izvršenja proračuna; </w:t>
            </w:r>
            <w:r>
              <w:rPr>
                <w:b/>
                <w:i/>
              </w:rPr>
              <w:t>međutim, naglašava nisku stopu izvršenja odobrenih sredstava za plaćanje namijenjenih infrastrukturnim i operativnim rashodima te proračunu za plaćanja u okviru programa Obzor Europa, koja je 2024. dosegnula samo 67 % odnosno 52 %;</w:t>
            </w:r>
            <w:r>
              <w:t xml:space="preserve"> napominje da Zajedničko poduzeće za čisto zrakoplovstvo upravlja novim proračunskim, računovodstvenim i financijskim sustavom Europske komisije (SUMMA) koji još nije u potpunosti operativan; u tom smislu poziva Zajedničko poduzeće da osigura pouzdanost podataka odgovarajućom ručnom obradom i dodatnim kontrolama provjere ako je to potrebno;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 – točka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ukupni raspoloživi proračun za 2024. za Zajedničko poduzeće za globalno zdravlje EDCTP3 iznosio je 224,6 milijuna EUR u odobrenim sredstvima za preuzimanje obveza, u usporedbi s 136,4 milijuna EUR u 2023., i 80,3 milijuna EUR u odobrenim sredstvima za plaćanje, u usporedbi s 2,2 milijuna EUR u 2023.; shvaća da je, prema izvješću o proračunskom i financijskom upravljanju Zajedničkim poduzećem za globalno zdravlje EDCTP3, njegova ukupna stopa izvršenja proračuna za financijsku godinu 2024. dosegnula 98 % za odobrena sredstva za preuzimanje obveza i 96 % za odobrena sredstva za plaćanje, što upućuje na to da nije bilo ozbiljnih problema povezanih s tempom izvršenja proračuna; međutim primjećuje nisku stopu odobrenih sredstava za plaćanja za dio njegovog administrativnog proračuna, točnije, za infrastrukturne i operativne troškove, koja je dosegnula samo 37 %; prima na znanje objašnjenje Zajedničkog poduzeća i poziva ga da osigura pravilnu provedbu svih dijelova svojeg administrativnog proračuna;</w:t>
            </w:r>
          </w:p>
        </w:tc>
        <w:tc>
          <w:tcPr>
            <w:tcW w:w="4876" w:type="dxa"/>
            <w:tcBorders>
              <w:top w:val="nil"/>
              <w:left w:val="nil"/>
              <w:bottom w:val="nil"/>
              <w:right w:val="nil"/>
            </w:tcBorders>
          </w:tcPr>
          <w:p>
            <w:pPr>
              <w:pStyle w:val="Normal6a"/>
            </w:pPr>
            <w:r>
              <w:t>(j)</w:t>
            </w:r>
            <w:r>
              <w:tab/>
            </w:r>
            <w:r>
              <w:t xml:space="preserve">ukupni raspoloživi proračun za 2024. za Zajedničko poduzeće za globalno zdravlje EDCTP3 iznosio je 224,6 milijuna EUR u odobrenim sredstvima za preuzimanje obveza, u usporedbi s 136,4 milijuna EUR u 2023., i 80,3 milijuna EUR u odobrenim sredstvima za plaćanje, u usporedbi s 2,2 milijuna EUR u 2023.; shvaća da je, prema izvješću o proračunskom i financijskom upravljanju Zajedničkim poduzećem za globalno zdravlje EDCTP3, njegova ukupna stopa izvršenja proračuna za financijsku godinu 2024. dosegnula 98 % za odobrena sredstva za preuzimanje obveza i 96 % za odobrena sredstva za plaćanje, što upućuje na to da nije bilo ozbiljnih problema povezanih s tempom izvršenja proračuna; međutim primjećuje nisku stopu odobrenih sredstava za plaćanja za dio njegovog administrativnog proračuna, točnije, za infrastrukturne i operativne troškove, koja je dosegnula samo 37 %; prima na znanje objašnjenje Zajedničkog poduzeća i poziva ga da osigura pravilnu provedbu svih dijelova svojeg administrativnog proračuna </w:t>
            </w:r>
            <w:r>
              <w:rPr>
                <w:b/>
                <w:i/>
              </w:rPr>
              <w:t>pri planiranju svojeg proračuna za administrativna plaćanja za 2027., među ostalim proaktivnim uzimanjem u obzir količine neiskorištenih administrativnih odobrenih sredstava koja su već akumulirana do kraja 2024.</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 – točka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ukupni raspoloživi proračun za 2024. za Europsko zajedničko poduzeće za ITER i razvoj energije fuzije iznosio je 811,8 milijuna EUR u odobrenim sredstvima za obveze, u usporedbi s 807 milijuna EUR u </w:t>
            </w:r>
            <w:r>
              <w:rPr>
                <w:b/>
                <w:i/>
              </w:rPr>
              <w:t>2024</w:t>
            </w:r>
            <w:r>
              <w:t>., i 693,7 milijuna EUR u odobrenim sredstvima za plaćanje, u usporedbi s 631,5 milijuna EUR u 2023.; nadalje, shvaća da je, prema izvješću o proračunskom i financijskom upravljanju Europskim zajedničkim poduzećem za ITER i razvoj energije fuzije, njegova ukupna stopa izvršenja proračuna za financijsku godinu 2024. dosegnula 92 % za odobrena sredstva za preuzimanje obveza i 93 % za odobrena sredstva za plaćanje, što upućuje na to da nije bilo ozbiljnih problema povezanih s tempom izvršenja proračuna; primjećuje poboljšanje stope izvršenja operativnih rashoda koja je dosegla 92 % za odobrena sredstva za preuzete obveze i 93 % za odobrena sredstva za plaćanja u usporedbi s 2023. godinom kada je stopa izvršenja odobrenih sredstava za preuzimanje obveza namijenjenih operativnim rashodima iznosila 70 %;</w:t>
            </w:r>
          </w:p>
        </w:tc>
        <w:tc>
          <w:tcPr>
            <w:tcW w:w="4876" w:type="dxa"/>
            <w:tcBorders>
              <w:top w:val="nil"/>
              <w:left w:val="nil"/>
              <w:bottom w:val="nil"/>
              <w:right w:val="nil"/>
            </w:tcBorders>
          </w:tcPr>
          <w:p>
            <w:pPr>
              <w:pStyle w:val="Normal6a"/>
            </w:pPr>
            <w:r>
              <w:t>(l)</w:t>
            </w:r>
            <w:r>
              <w:tab/>
            </w:r>
            <w:r>
              <w:t xml:space="preserve">ukupni raspoloživi proračun za 2024. za Europsko zajedničko poduzeće za ITER i razvoj energije fuzije iznosio je 811,8 milijuna EUR u odobrenim sredstvima za obveze, u usporedbi s 807 milijuna EUR u </w:t>
            </w:r>
            <w:r>
              <w:rPr>
                <w:b/>
                <w:i/>
              </w:rPr>
              <w:t>2023</w:t>
            </w:r>
            <w:r>
              <w:t xml:space="preserve">., i 693,7 milijuna EUR u odobrenim sredstvima za plaćanje, u usporedbi s 631,5 milijuna EUR u 2023.; nadalje, shvaća da je, prema izvješću o proračunskom i financijskom upravljanju Europskim zajedničkim poduzećem za ITER i razvoj energije fuzije, njegova ukupna stopa izvršenja proračuna za financijsku godinu 2024. dosegnula 92 % za odobrena sredstva za preuzimanje obveza i 93 % za odobrena sredstva za plaćanje, što upućuje na to da nije </w:t>
            </w:r>
            <w:r>
              <w:rPr>
                <w:b/>
                <w:i/>
              </w:rPr>
              <w:t>više</w:t>
            </w:r>
            <w:r>
              <w:t xml:space="preserve"> bilo ozbiljnih problema povezanih s tempom izvršenja proračuna </w:t>
            </w:r>
            <w:r>
              <w:rPr>
                <w:b/>
                <w:i/>
              </w:rPr>
              <w:t>u usporedbi sa stopom izvršenja od 73 % u 2023. za odobrena sredstva za preuzimanje obveza</w:t>
            </w:r>
            <w:r>
              <w:t>; primjećuje poboljšanje stope izvršenja operativnih rashoda koja je dosegla 92 % za odobrena sredstva za preuzete obveze i 93 % za odobrena sredstva za plaćanja u usporedbi s 2023. godinom kada je stopa izvršenja odobrenih sredstava za preuzimanje obveza namijenjenih operativnim rashodima iznosila 70 %;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smatra da stalno rastući gotovinski viškovi odražavaju strukturne slabosti realnosti proračuna i kapaciteta za provedbu programa;</w:t>
            </w:r>
            <w:r>
              <w:t xml:space="preserve"> </w:t>
            </w:r>
            <w:r>
              <w:rPr>
                <w:b/>
                <w:i/>
              </w:rPr>
              <w:t>poziva Komisiju da postroži disciplinu u pogledu zahtjeva za gotovinskim sredstvima i da zahtijeva transparentan godišnji plan za smanjenje viškova za zajednička poduzeća s trajnim viškovima, uključujući mjerljive ključne etape i jasnu poveznicu s pokretačima zakašnjele provedbe (npr. odgođena ulaganja u okviru programa Digitalna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situacija Zajedničkog poduzeća za europsko računalstvo visokih performansi, koja se nije poboljšala u odnosu na prošlu godinu i za koju su doprinosi privatnih članova u okviru programa Obzor Europa i Digitalna Europa na kraju 2024. ostali nepromijenjeni te iznosili 0,3 % cilja višegodišnjeg financijskog okvira za razdoblje 2021. – 2027. od 900 milijuna EUR; ponovno naglašava da bi postizanje ciljeva doprinosa trebalo smatrati dužnošću Zajedničkog poduzeća;</w:t>
            </w:r>
          </w:p>
        </w:tc>
        <w:tc>
          <w:tcPr>
            <w:tcW w:w="4876" w:type="dxa"/>
            <w:tcBorders>
              <w:top w:val="nil"/>
              <w:left w:val="nil"/>
              <w:bottom w:val="nil"/>
              <w:right w:val="nil"/>
            </w:tcBorders>
          </w:tcPr>
          <w:p>
            <w:pPr>
              <w:pStyle w:val="Normal6a"/>
            </w:pPr>
            <w:r>
              <w:t>(c)</w:t>
            </w:r>
            <w:r>
              <w:tab/>
            </w:r>
            <w:r>
              <w:t xml:space="preserve">situacija Zajedničkog poduzeća za europsko računalstvo visokih performansi, koja se nije poboljšala u odnosu na prošlu godinu i za koju su doprinosi privatnih članova u okviru programa Obzor Europa i Digitalna Europa na kraju 2024. ostali nepromijenjeni te iznosili 0,3 % cilja višegodišnjeg financijskog okvira za razdoblje 2021. – 2027. od 900 milijuna EUR; ponovno naglašava da bi postizanje ciljeva doprinosa trebalo smatrati dužnošću Zajedničkog poduzeća; </w:t>
            </w:r>
            <w:r>
              <w:rPr>
                <w:b/>
                <w:i/>
              </w:rPr>
              <w:t>ponavlja prošlogodišnju preporuku da bi Zajedničko poduzeće za europsko računalstvo visokih performansi trebalo podržati Komisijinu ponovnu procjenu trenutačnog cilja kako bi se osiguralo da može ostvariti svoju ciljnu vrijednost doprinosa za privatne članove u okviru programa Obzor Europa i Digitalna Europa te pozdravlja postupak koji je u tijeku u tom pogledu;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Podnaslov 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Uspješnost i praćenje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napominje da zajednička poduzeća za razdoblje 2021. - 2027. imaju na raspolaganju 38,1 milijardu EUR, što je više nego dvostruko više u usporedbi s prethodnim razdobljem;</w:t>
            </w:r>
            <w:r>
              <w:t xml:space="preserve"> </w:t>
            </w:r>
            <w:r>
              <w:rPr>
                <w:b/>
                <w:i/>
              </w:rPr>
              <w:t>međutim, sa žaljenjem napominje da se u tematskom godišnjem izvješću Europskog revizorskog suda o zajedničkim poduzećima za 2024. prvenstveno ispituje financijska pravilnost, usklađenost s proračunskim pravilima i doprinosi partnera, ali se ne ocjenjuje jesu li programi ostvarili svoje ciljeve;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ističe sustavni problem koji je Europski revizorski sud utvrdio u svojem tematskom izvješću o umjetnoj inteligenciji (08/2024), u kojem se navodi da se „rezultati projekata umjetne inteligencije koje financira EU ne prate sustavno</w:t>
            </w:r>
            <w:r>
              <w:rPr>
                <w:b/>
                <w:i/>
                <w:vertAlign w:val="superscript"/>
              </w:rPr>
              <w:t>1a</w:t>
            </w:r>
            <w:r>
              <w:rPr>
                <w:b/>
                <w:i/>
              </w:rPr>
              <w:t>”;</w:t>
            </w:r>
            <w:r>
              <w:t xml:space="preserve"> </w:t>
            </w:r>
            <w:r>
              <w:rPr>
                <w:b/>
                <w:i/>
              </w:rPr>
              <w:t>naglašava da bez takvih parametara nije moguće procijeniti ostvaruje li EU vrijednost za uloženi novac;</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https://www.eca.europa.eu/ECAPublications/SAR-JUS-2024/SAR-JUS-2024_HR.pdf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24.c</w:t>
            </w:r>
            <w:r>
              <w:tab/>
            </w:r>
            <w:r>
              <w:rPr>
                <w:b/>
                <w:i/>
              </w:rPr>
              <w:t>stoga poziva zajednička poduzeća da uvedu i primjenjuju zajednički okvir za mjerenje uspješnosti i učinaka programa, čime bi se Parlamentu i poreznim obveznicima omogućilo da vide konkretne rezultate u pogledu potrošenih sredstava;</w:t>
            </w:r>
            <w:r>
              <w:t xml:space="preserve"> </w:t>
            </w:r>
            <w:r>
              <w:rPr>
                <w:b/>
                <w:i/>
              </w:rPr>
              <w:t>zahtijeva da buduća izvješća zajedničkih poduzeća obuhvaćaju više od usklađenosti s financijskim pravilima EU-a i prikazuju konkretne rezultate ostvarene za europske građane;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napominje da Sud u svojem izvješću za 2024. godinu nije ukazao na specifična pitanja vezana uz javnu nabavu i javne natječaje; ipak naglašava važnost javne nabave kao alata </w:t>
            </w:r>
            <w:r>
              <w:rPr>
                <w:b/>
                <w:i/>
              </w:rPr>
              <w:t>za unapređenje ciljeva politika kao što su strateška autonomija, inovacije te okolišni i socijalni programi;</w:t>
            </w:r>
            <w:r>
              <w:t xml:space="preserve"> </w:t>
            </w:r>
            <w:r>
              <w:rPr>
                <w:b/>
                <w:i/>
              </w:rPr>
              <w:t>poziva</w:t>
            </w:r>
            <w:r>
              <w:t xml:space="preserve"> zajednička poduzeća da u okviru svojih javnih nabava </w:t>
            </w:r>
            <w:r>
              <w:rPr>
                <w:b/>
                <w:i/>
              </w:rPr>
              <w:t>ojačaju uključivost strateških kriterija o društvenoj odgovornosti, održivosti</w:t>
            </w:r>
            <w:r>
              <w:t xml:space="preserve"> životnog ciklusa, </w:t>
            </w:r>
            <w:r>
              <w:rPr>
                <w:b/>
                <w:i/>
              </w:rPr>
              <w:t>robusnosti kibernetičke sigurnosti, otpornosti</w:t>
            </w:r>
            <w:r>
              <w:t xml:space="preserve"> opskrbe </w:t>
            </w:r>
            <w:r>
              <w:rPr>
                <w:b/>
                <w:i/>
              </w:rPr>
              <w:t>itd.</w:t>
            </w:r>
            <w:r>
              <w:t>; čestita određenim zajedničkim poduzećima koja već provode takve prakse (npr. Europskom zajedničkom poduzeću za ITER i razvoj energije fuzije koje je 2024. uključilo zahtjeve u pogledu održivosti u više od 50 % svojih javnih nabava);</w:t>
            </w:r>
          </w:p>
        </w:tc>
        <w:tc>
          <w:tcPr>
            <w:tcW w:w="4876" w:type="dxa"/>
            <w:tcBorders>
              <w:top w:val="nil"/>
              <w:left w:val="nil"/>
              <w:bottom w:val="nil"/>
              <w:right w:val="nil"/>
            </w:tcBorders>
          </w:tcPr>
          <w:p>
            <w:pPr>
              <w:pStyle w:val="Normal6a"/>
            </w:pPr>
            <w:r>
              <w:t>25.</w:t>
            </w:r>
            <w:r>
              <w:tab/>
            </w:r>
            <w:r>
              <w:t xml:space="preserve">napominje da Sud u svojem izvješću za 2024. godinu nije ukazao na specifična pitanja vezana uz javnu nabavu i javne natječaje; ipak naglašava važnost javne nabave kao alata </w:t>
            </w:r>
            <w:r>
              <w:rPr>
                <w:b/>
                <w:i/>
              </w:rPr>
              <w:t>kojim se osigurava najbolja vrijednost za novac, tržišno natjecanje i pravna sigurnost;</w:t>
            </w:r>
            <w:r>
              <w:t xml:space="preserve"> </w:t>
            </w:r>
            <w:r>
              <w:rPr>
                <w:b/>
                <w:i/>
              </w:rPr>
              <w:t>potiče</w:t>
            </w:r>
            <w:r>
              <w:t xml:space="preserve"> zajednička poduzeća da u okviru svojih javnih nabava </w:t>
            </w:r>
            <w:r>
              <w:rPr>
                <w:b/>
                <w:i/>
              </w:rPr>
              <w:t>uključe strateška pitanja kao što su održivost</w:t>
            </w:r>
            <w:r>
              <w:t xml:space="preserve"> životnog ciklusa, </w:t>
            </w:r>
            <w:r>
              <w:rPr>
                <w:b/>
                <w:i/>
              </w:rPr>
              <w:t>sigurnost</w:t>
            </w:r>
            <w:r>
              <w:t xml:space="preserve"> opskrbe</w:t>
            </w:r>
            <w:r>
              <w:rPr>
                <w:b/>
                <w:i/>
              </w:rPr>
              <w:t>, otpornost i inovacijski kapacitet</w:t>
            </w:r>
            <w:r>
              <w:t>; čestita određenim zajedničkim poduzećima koja već provode takve prakse (npr. Europskom zajedničkom poduzeću za ITER i razvoj energije fuzije koje je 2024. uključilo zahtjeve u pogledu održivosti u više od 50 % svojih javnih nabava);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poziva sva zajednička poduzeća da aktivno rade na transparentnosti u svojim administrativnim, proračunskim i komunikacijskim aktivnostima;</w:t>
            </w:r>
            <w:r>
              <w:t xml:space="preserve"> </w:t>
            </w:r>
            <w:r>
              <w:rPr>
                <w:b/>
                <w:i/>
              </w:rPr>
              <w:t>naglašava važnost pravodobnog, jasnog i potpunog pristupa informacijama o pozivima na podnošenje prijedloga, dodjeli sredstava, rezultatima projekata te mjerama praćenja i evaluacije;</w:t>
            </w:r>
            <w:r>
              <w:t xml:space="preserve"> </w:t>
            </w:r>
            <w:r>
              <w:rPr>
                <w:b/>
                <w:i/>
              </w:rPr>
              <w:t>smatra da je transparentnost ključan uvjet za dobro upravljanje sredstvima Europske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27.</w:t>
            </w:r>
            <w:r>
              <w:tab/>
            </w:r>
            <w:r>
              <w:rPr>
                <w:b/>
                <w:i/>
              </w:rPr>
              <w:t>potiče sva zajednička poduzeća da osnaže svoje djelovanje s ciljem promicanja rodne ravnopravnosti na svim razinama, da uključe rodnu ravnotežu u sve aktivnosti povezane s javnom nabavom, bespovratnim sredstvima i natječajima te da opravdaju svaki neuspjeh u postizanju rodne ravnoteže;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rPr>
                <w:b/>
                <w:i/>
              </w:rPr>
              <w:t>potiče</w:t>
            </w:r>
            <w:r>
              <w:t xml:space="preserve"> sva zajednička poduzeća da osnaže svoje djelovanje s ciljem promicanja rodne ravnopravnosti </w:t>
            </w:r>
            <w:r>
              <w:rPr>
                <w:b/>
                <w:i/>
              </w:rPr>
              <w:t>na svim razinama, da uključe rodnu ravnotežu u sve aktivnosti povezane s javnom nabavom, bespovratnim sredstvima i natječajima te da opravdaju svaki neuspjeh u postizanju rodne ravnoteže</w:t>
            </w:r>
            <w:r>
              <w:t>;</w:t>
            </w:r>
          </w:p>
        </w:tc>
        <w:tc>
          <w:tcPr>
            <w:tcW w:w="4876" w:type="dxa"/>
            <w:tcBorders>
              <w:top w:val="nil"/>
              <w:left w:val="nil"/>
              <w:bottom w:val="nil"/>
              <w:right w:val="nil"/>
            </w:tcBorders>
          </w:tcPr>
          <w:p>
            <w:pPr>
              <w:pStyle w:val="Normal6a"/>
            </w:pPr>
            <w:r>
              <w:t>27.</w:t>
            </w:r>
            <w:r>
              <w:tab/>
            </w:r>
            <w:r>
              <w:rPr>
                <w:b/>
                <w:i/>
              </w:rPr>
              <w:t>poziva</w:t>
            </w:r>
            <w:r>
              <w:t xml:space="preserve"> sva zajednička poduzeća da osnaže svoje djelovanje s ciljem promicanja rodne ravnopravnosti </w:t>
            </w:r>
            <w:r>
              <w:rPr>
                <w:b/>
                <w:i/>
              </w:rPr>
              <w:t>u skladu s načelima zasluga, izvrsnosti i jednakih mogućnosti, istodobno osiguravajući da se odluke o odabiru i financiranju i dalje temelje na uspješnosti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potiče sva zajednička poduzeća da u sve postupke javne nabave i dodjele bespovratnih sredstava uključe geografsku uravnoteženost te da propisno obrazlože slučajeve u kojima nije osigurana odgovarajuća zemljopisna raspoređenost;</w:t>
            </w:r>
          </w:p>
        </w:tc>
        <w:tc>
          <w:tcPr>
            <w:tcW w:w="4876" w:type="dxa"/>
            <w:tcBorders>
              <w:top w:val="nil"/>
              <w:left w:val="nil"/>
              <w:bottom w:val="nil"/>
              <w:right w:val="nil"/>
            </w:tcBorders>
          </w:tcPr>
          <w:p>
            <w:pPr>
              <w:pStyle w:val="Normal6a"/>
            </w:pPr>
            <w:r>
              <w:t>28.</w:t>
            </w:r>
            <w:r>
              <w:tab/>
            </w:r>
            <w:r>
              <w:t>potiče sva zajednička poduzeća da u sve postupke javne nabave i dodjele bespovratnih sredstava uključe geografsku uravnoteženost</w:t>
            </w:r>
            <w:r>
              <w:rPr>
                <w:b/>
                <w:i/>
              </w:rPr>
              <w:t>, bez ugrožavanja tržišnog natjecanja, kvalitete ili izvrsnosti,</w:t>
            </w:r>
            <w:r>
              <w:t xml:space="preserve"> te da propisno obrazlože slučajeve u kojima nije osigurana odgovarajuća zemljopisna raspoređenost;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poziva na to da se pri planiranju i provedbi zajedničkih poduzeća uzmu u obzir različita početna stajališta država članica koja proizlaze iz povijesnih, strukturnih i gospodarskih okolnosti;</w:t>
            </w:r>
            <w:r>
              <w:t xml:space="preserve"> </w:t>
            </w:r>
            <w:r>
              <w:rPr>
                <w:b/>
                <w:i/>
              </w:rPr>
              <w:t>posebno poziva na to da se posebna pozornost posveti državama članicama čiji su prihodi i dalje ispod prosjeka Europske unije kako bi se osiguralo da zajednička poduzeća doprinose pružanju potpore tim državama članicama, smanjenju nejednakosti u razvoju unutar Unije te osiguravanju poštene i pravedne provedbe tehnološke i energetske tranzicije;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naglašava potrebu za pravednom i ravnopravnom zemljopisnom raspoređenošću sredstava Zajedničkog poduzeća, s posebnim naglaskom na regije s nižim inovacijskim kapacitetom i MSP-ove;</w:t>
            </w:r>
          </w:p>
        </w:tc>
        <w:tc>
          <w:tcPr>
            <w:tcW w:w="4876" w:type="dxa"/>
            <w:tcBorders>
              <w:top w:val="nil"/>
              <w:left w:val="nil"/>
              <w:bottom w:val="nil"/>
              <w:right w:val="nil"/>
            </w:tcBorders>
          </w:tcPr>
          <w:p>
            <w:pPr>
              <w:pStyle w:val="Normal6a"/>
            </w:pPr>
            <w:r>
              <w:t>29.</w:t>
            </w:r>
            <w:r>
              <w:tab/>
            </w:r>
            <w:r>
              <w:t>naglašava potrebu za pravednom i ravnopravnom zemljopisnom raspoređenošću sredstava Zajedničkog poduzeća, s posebnim naglaskom na regije s nižim inovacijskim kapacitetom i MSP-ove</w:t>
            </w:r>
            <w:r>
              <w:rPr>
                <w:b/>
                <w:i/>
              </w:rPr>
              <w:t>, uz istodobno očuvanje otvorenog tržišnog natjecanja i osiguravanje da se financiranim projektima ostvaruje jasna europska dodana vrijednost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rPr>
                <w:b/>
                <w:i/>
              </w:rPr>
              <w:t>izražava ozbiljnu zabrinutost zbog razine percepcije</w:t>
            </w:r>
            <w:r>
              <w:t xml:space="preserve"> nezadovoljstva među osobljem Europskog zajedničkog poduzeća za ITER i razvoj energije fuzije, koja je otkrivena u nedavnoj anketi osoblja; </w:t>
            </w:r>
            <w:r>
              <w:rPr>
                <w:b/>
                <w:i/>
              </w:rPr>
              <w:t>sa žaljenjem primjećuje sustavno i snažno oslanjanje Zajedničkog poduzeća na vanjske pružatelje usluga</w:t>
            </w:r>
            <w:r>
              <w:t>; poziva Zajedničko poduzeće da što prije poduzme mjere za rješavanje obaju problema;</w:t>
            </w:r>
          </w:p>
        </w:tc>
        <w:tc>
          <w:tcPr>
            <w:tcW w:w="4876" w:type="dxa"/>
            <w:tcBorders>
              <w:top w:val="nil"/>
              <w:left w:val="nil"/>
              <w:bottom w:val="nil"/>
              <w:right w:val="nil"/>
            </w:tcBorders>
          </w:tcPr>
          <w:p>
            <w:pPr>
              <w:pStyle w:val="Normal6a"/>
            </w:pPr>
            <w:r>
              <w:t>31.</w:t>
            </w:r>
            <w:r>
              <w:tab/>
            </w:r>
            <w:r>
              <w:rPr>
                <w:b/>
                <w:i/>
              </w:rPr>
              <w:t>prima na znanje percepciju</w:t>
            </w:r>
            <w:r>
              <w:t xml:space="preserve"> nezadovoljstva među osobljem Europskog zajedničkog poduzeća za ITER i razvoj energije fuzije, koja je otkrivena u nedavnoj anketi osoblja; </w:t>
            </w:r>
            <w:r>
              <w:rPr>
                <w:b/>
                <w:i/>
              </w:rPr>
              <w:t>naglašava da bi osoblju trebalo biti omogućeno da radi u fizički i psihički sigurnom okruženju;</w:t>
            </w:r>
            <w:r>
              <w:t xml:space="preserve"> </w:t>
            </w:r>
            <w:r>
              <w:rPr>
                <w:b/>
                <w:i/>
              </w:rPr>
              <w:t>nadalje naglašava važnost zadržavanja institucijskog znanja</w:t>
            </w:r>
            <w:r>
              <w:t>; poziva Zajedničko poduzeće da što prije poduzme mjere za rješavanje obaju problema;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ponovno poziva na provođenje koherentne i pravedne politiku zapošljavanja u svim zajedničkim poduzećima, uz osiguravanje uključivih uvjeta rada, razvoja karijere, ravnoteže između poslovnog i privatnog života te podrške mentalnom zdravlju; </w:t>
            </w:r>
            <w:r>
              <w:rPr>
                <w:b/>
                <w:i/>
              </w:rPr>
              <w:t>potiče donošenje mjera za ograničavanje privremenih i nesigurnih ugovora te</w:t>
            </w:r>
            <w:r>
              <w:t xml:space="preserve"> promicanje transparentnog unutarnjeg napredovanja u karijeri;</w:t>
            </w:r>
          </w:p>
        </w:tc>
        <w:tc>
          <w:tcPr>
            <w:tcW w:w="4876" w:type="dxa"/>
            <w:tcBorders>
              <w:top w:val="nil"/>
              <w:left w:val="nil"/>
              <w:bottom w:val="nil"/>
              <w:right w:val="nil"/>
            </w:tcBorders>
          </w:tcPr>
          <w:p>
            <w:pPr>
              <w:pStyle w:val="Normal6a"/>
            </w:pPr>
            <w:r>
              <w:t>32.</w:t>
            </w:r>
            <w:r>
              <w:tab/>
            </w:r>
            <w:r>
              <w:t xml:space="preserve">ponovno poziva na provođenje koherentne i pravedne politiku zapošljavanja u svim zajedničkim poduzećima, uz osiguravanje uključivih uvjeta rada, razvoja karijere, ravnoteže između poslovnog i privatnog života te podrške mentalnom zdravlju; </w:t>
            </w:r>
            <w:r>
              <w:rPr>
                <w:b/>
                <w:i/>
              </w:rPr>
              <w:t>pozdravlja upotrebu fleksibilnih radnih uvjeta kako bi se osigurala organizacijska fleksibilnost i sposobnost privlačenja visokospecijaliziranih talenata uz istodobno</w:t>
            </w:r>
            <w:r>
              <w:t xml:space="preserve"> promicanje transparentnog unutarnjeg napredovanja u karijeri;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ponovno poziva na provođenje koherentne i pravedne </w:t>
            </w:r>
            <w:r>
              <w:rPr>
                <w:b/>
                <w:i/>
              </w:rPr>
              <w:t>politiku</w:t>
            </w:r>
            <w:r>
              <w:t xml:space="preserve"> zapošljavanja u svim zajedničkim poduzećima, uz osiguravanje uključivih uvjeta rada, razvoja karijere, ravnoteže između poslovnog i privatnog života te podrške mentalnom zdravlju; potiče donošenje mjera za ograničavanje privremenih i nesigurnih ugovora te promicanje transparentnog unutarnjeg napredovanja u karijeri;</w:t>
            </w:r>
          </w:p>
        </w:tc>
        <w:tc>
          <w:tcPr>
            <w:tcW w:w="4876" w:type="dxa"/>
            <w:tcBorders>
              <w:top w:val="nil"/>
              <w:left w:val="nil"/>
              <w:bottom w:val="nil"/>
              <w:right w:val="nil"/>
            </w:tcBorders>
          </w:tcPr>
          <w:p>
            <w:pPr>
              <w:pStyle w:val="Normal6a"/>
            </w:pPr>
            <w:r>
              <w:t>32.</w:t>
            </w:r>
            <w:r>
              <w:tab/>
            </w:r>
            <w:r>
              <w:t>ponovno poziva na provođenje koherentne</w:t>
            </w:r>
            <w:r>
              <w:rPr>
                <w:b/>
                <w:i/>
              </w:rPr>
              <w:t>, transparentne</w:t>
            </w:r>
            <w:r>
              <w:t xml:space="preserve"> i pravedne </w:t>
            </w:r>
            <w:r>
              <w:rPr>
                <w:b/>
                <w:i/>
              </w:rPr>
              <w:t>politike</w:t>
            </w:r>
            <w:r>
              <w:t xml:space="preserve"> zapošljavanja u svim zajedničkim poduzećima, uz osiguravanje uključivih uvjeta rada, razvoja karijere, ravnoteže između poslovnog i privatnog života te podrške mentalnom zdravlju; potiče donošenje mjera za ograničavanje privremenih i nesigurnih ugovora te promicanje transparentnog unutarnjeg napredovanja u karijeri;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pozdravlja napredak zajedničkih poduzeća u pogledu poboljšanja kvalitete i dostupnosti podataka o rodnoj ravnoteži i geografskoj raspoređenosti među osobljem i upravljačkim strukturama;</w:t>
            </w:r>
            <w:r>
              <w:t xml:space="preserve"> </w:t>
            </w:r>
            <w:r>
              <w:rPr>
                <w:b/>
                <w:i/>
              </w:rPr>
              <w:t>naglašava da poboljšani podaci jačaju odgovornost i omogućuju usredotočenije djelovanje u cilju poticanja raznolikosti, osiguravanja pravedne zastupljenosti članova i pružanja podrške stvaranju zdravog i produktivnog radnog okruženja u zajedničkim poduzećima;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poziva sva zajednička poduzeća da donesu konkretne mjere za poboljšanje rodne ravnoteže na vodećim položajima i položajima na kojima se donose odluke, uključujući postavljanje ciljnih vrijednosti za rodnu ravnotežu i redovito praćenje napretka;</w:t>
            </w:r>
            <w:r>
              <w:t xml:space="preserve"> </w:t>
            </w:r>
            <w:r>
              <w:rPr>
                <w:b/>
                <w:i/>
              </w:rPr>
              <w:t>naglašava potrebu za borbom protiv rodno uvjetovanih razlika u plaćama i osiguravanjem jednakih mogućnosti za napredovanje u karijeri;</w:t>
            </w:r>
            <w:r>
              <w:t xml:space="preserve"> </w:t>
            </w:r>
            <w:r>
              <w:rPr>
                <w:b/>
                <w:i/>
              </w:rPr>
              <w:t>u tom smislu ističe pozitivan razvoj događaja u Zajedničkom poduzeću za europsko računalstvo visokih performansi, u kojem je zaposleno 72,5 % ženska i 27,5 % muškaraca, dok je u proširenom upravljačkom timu rodna ravnoteža zastupljena s 40 % muških i 60 % ženskih zaposlenika;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poziva sva zajednička poduzeća da </w:t>
            </w:r>
            <w:r>
              <w:rPr>
                <w:b/>
                <w:i/>
              </w:rPr>
              <w:t>donesu konkretne mjere za poboljšanje rodne ravnoteže</w:t>
            </w:r>
            <w:r>
              <w:t xml:space="preserve"> na vodećim položajima i položajima na kojima se donose odluke, </w:t>
            </w:r>
            <w:r>
              <w:rPr>
                <w:b/>
                <w:i/>
              </w:rPr>
              <w:t>uključujući postavljanje ciljnih vrijednosti za rodnu ravnotežu i redovito praćenje napretka</w:t>
            </w:r>
            <w:r>
              <w:t>; naglašava potrebu za borbom protiv rodno uvjetovanih razlika u plaćama i osiguravanjem jednakih mogućnosti za napredovanje u karijeri; u tom smislu ističe pozitivan razvoj događaja u Zajedničkom poduzeću za europsko računalstvo visokih performansi, u kojem je zaposleno 72,5 % ženska i 27,5 % muškaraca, dok je u proširenom upravljačkom timu rodna ravnoteža zastupljena s 40 % muških i 60 % ženskih zaposlenika;</w:t>
            </w:r>
          </w:p>
        </w:tc>
        <w:tc>
          <w:tcPr>
            <w:tcW w:w="4876" w:type="dxa"/>
            <w:tcBorders>
              <w:top w:val="nil"/>
              <w:left w:val="nil"/>
              <w:bottom w:val="nil"/>
              <w:right w:val="nil"/>
            </w:tcBorders>
          </w:tcPr>
          <w:p>
            <w:pPr>
              <w:pStyle w:val="Normal6a"/>
            </w:pPr>
            <w:r>
              <w:t>34.</w:t>
            </w:r>
            <w:r>
              <w:tab/>
            </w:r>
            <w:r>
              <w:t xml:space="preserve">poziva sva zajednička poduzeća da </w:t>
            </w:r>
            <w:r>
              <w:rPr>
                <w:b/>
                <w:i/>
              </w:rPr>
              <w:t>potiču uravnoteženu zastupljenost</w:t>
            </w:r>
            <w:r>
              <w:t xml:space="preserve"> na vodećim položajima i položajima na kojima se donose odluke, </w:t>
            </w:r>
            <w:r>
              <w:rPr>
                <w:b/>
                <w:i/>
              </w:rPr>
              <w:t>uz potpuno poštovanje postupaka odabira koji se temelje na kompetencijama, te da prate napredak na razmjeran i transparentan način</w:t>
            </w:r>
            <w:r>
              <w:t>; naglašava potrebu za borbom protiv rodno uvjetovanih razlika u plaćama i osiguravanjem jednakih mogućnosti za napredovanje u karijeri; u tom smislu ističe pozitivan razvoj događaja u Zajedničkom poduzeću za europsko računalstvo visokih performansi, u kojem je zaposleno 72,5 % ženska i 27,5 % muškaraca, dok je u proširenom upravljačkom timu rodna ravnoteža zastupljena s 40 % muških i 60 % ženskih zaposlenika;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naglašava</w:t>
            </w:r>
            <w:r>
              <w:t xml:space="preserve"> da zajednička poduzeća osiguravaju da financirani projekti doprinose </w:t>
            </w:r>
            <w:r>
              <w:rPr>
                <w:b/>
                <w:i/>
              </w:rPr>
              <w:t>socijalnoj dobrobiti i uključivosti, da se u njihovu okviru poštuju prava radnika i radni uvjeti te da su usklađeni s načelima pravednog prelaska na održive tehnologije</w:t>
            </w:r>
            <w:r>
              <w:t>;</w:t>
            </w:r>
          </w:p>
        </w:tc>
        <w:tc>
          <w:tcPr>
            <w:tcW w:w="4876" w:type="dxa"/>
            <w:tcBorders>
              <w:top w:val="nil"/>
              <w:left w:val="nil"/>
              <w:bottom w:val="nil"/>
              <w:right w:val="nil"/>
            </w:tcBorders>
          </w:tcPr>
          <w:p>
            <w:pPr>
              <w:pStyle w:val="Normal6a"/>
            </w:pPr>
            <w:r>
              <w:t>35.</w:t>
            </w:r>
            <w:r>
              <w:tab/>
            </w:r>
            <w:r>
              <w:rPr>
                <w:b/>
                <w:i/>
              </w:rPr>
              <w:t>Ističe</w:t>
            </w:r>
            <w:r>
              <w:t xml:space="preserve"> da zajednička poduzeća osiguravaju da </w:t>
            </w:r>
            <w:r>
              <w:rPr>
                <w:b/>
                <w:i/>
              </w:rPr>
              <w:t>su</w:t>
            </w:r>
            <w:r>
              <w:t xml:space="preserve"> financirani projekti </w:t>
            </w:r>
            <w:r>
              <w:rPr>
                <w:b/>
                <w:i/>
              </w:rPr>
              <w:t>u skladu s primjenjivim socijalnim i radnim standardima te da</w:t>
            </w:r>
            <w:r>
              <w:t xml:space="preserve"> doprinose </w:t>
            </w:r>
            <w:r>
              <w:rPr>
                <w:b/>
                <w:i/>
              </w:rPr>
              <w:t>održivom gospodarskom rastu, inovacijama, konkurentnosti i visokokvalitetnom zapošljavanju u Uniji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potiče zajednička poduzeća da razviju strukturiranu suradnju s europskim sveučilištima u cilju boljeg informiranja mladih diplomanata i jačanja njihovih budućih kapaciteta za zapošljavanje;</w:t>
            </w:r>
          </w:p>
        </w:tc>
        <w:tc>
          <w:tcPr>
            <w:tcW w:w="4876" w:type="dxa"/>
            <w:tcBorders>
              <w:top w:val="nil"/>
              <w:left w:val="nil"/>
              <w:bottom w:val="nil"/>
              <w:right w:val="nil"/>
            </w:tcBorders>
          </w:tcPr>
          <w:p>
            <w:pPr>
              <w:pStyle w:val="Normal6a"/>
            </w:pPr>
            <w:r>
              <w:t>36.</w:t>
            </w:r>
            <w:r>
              <w:tab/>
            </w:r>
            <w:r>
              <w:t xml:space="preserve">potiče zajednička poduzeća da razviju strukturiranu suradnju s europskim sveučilištima u cilju boljeg informiranja mladih diplomanata i jačanja njihovih budućih kapaciteta za zapošljavanje; </w:t>
            </w:r>
            <w:r>
              <w:rPr>
                <w:b/>
                <w:i/>
              </w:rPr>
              <w:t>potiče zajednička poduzeća da promiču sveučilišnu, istraživačku i profesionalnu mobilnost;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poziva na to da se pri uspostavi zajedničkih poduzeća u najvećoj mogućoj mjeri uzmu u obzir mjere usmjerene na razvoj ljudskog kapitala, posebno mladih radnika, inženjera i istraživača;</w:t>
            </w:r>
            <w:r>
              <w:t xml:space="preserve"> </w:t>
            </w:r>
            <w:r>
              <w:rPr>
                <w:b/>
                <w:i/>
              </w:rPr>
              <w:t>naglašava da je integracija investicijskih projekata s programima obrazovanja, osposobljavanja i učenja kroz rad ključna s obzirom na hitnu potrebu za izgradnjom održivih inovacijskih kapaciteta unutar Unije, osiguravanjem kontinuiteta radne snage i zaštitom dugoročne konkurentnosti europskog gospodarstva;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Joachim Stanisław Brudziński, 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pozdravlja rad Suda na ispitivanju operativnih rashoda zajedničkih poduzeća za istraživanje i inovacije, koji je obuhvaćao uzorak od 33 nasumično odabrane transakcije iz sporazuma o dodjeli bespovratnih sredstava iz 2024. (međuplaćanja ili konačna plaćanja i obračuni predujmova) na razini krajnjih korisnika; zabrinut je zbog rezultata tog ispitivanja koji su pokazali da su postojale trajne sustavne pogreške, posebno u pogledu prijavljenih troškova osoblja; poziva na ispravljanje sustavnih pogrešaka;</w:t>
            </w:r>
          </w:p>
        </w:tc>
        <w:tc>
          <w:tcPr>
            <w:tcW w:w="4876" w:type="dxa"/>
            <w:tcBorders>
              <w:top w:val="nil"/>
              <w:left w:val="nil"/>
              <w:bottom w:val="nil"/>
              <w:right w:val="nil"/>
            </w:tcBorders>
          </w:tcPr>
          <w:p>
            <w:pPr>
              <w:pStyle w:val="Normal6a"/>
            </w:pPr>
            <w:r>
              <w:t>37.</w:t>
            </w:r>
            <w:r>
              <w:tab/>
            </w:r>
            <w:r>
              <w:t xml:space="preserve">pozdravlja rad Suda na ispitivanju operativnih rashoda zajedničkih poduzeća za istraživanje i inovacije, koji je obuhvaćao uzorak od 33 nasumično odabrane transakcije iz sporazuma o dodjeli bespovratnih sredstava iz 2024. (međuplaćanja ili konačna plaćanja i obračuni predujmova) na razini krajnjih korisnika; zabrinut je zbog rezultata tog ispitivanja koji su pokazali da su postojale trajne sustavne pogreške, posebno u pogledu prijavljenih troškova osoblja; </w:t>
            </w:r>
            <w:r>
              <w:rPr>
                <w:b/>
                <w:i/>
              </w:rPr>
              <w:t>napominje da se te pogreške uglavnom odnose na netočne prijave troškova za osoblje u okviru transakcija povezanih s bespovratnim sredstvima od strane korisnika zajedničkih poduzeća, uključujući netočan izračun satnica ili dnevnica, uključivanje neizravnih troškova u izračun satnica ili dnevnica na temelju jediničnih troškova, netočno izvješćivanje o troškovima osoblja, prijavu troškova podugovaranja kao troškova osoblja te uključivanje neprihvatljivih troškova opreme;</w:t>
            </w:r>
            <w:r>
              <w:t xml:space="preserve"> poziva na </w:t>
            </w:r>
            <w:r>
              <w:rPr>
                <w:b/>
                <w:i/>
              </w:rPr>
              <w:t>hitno</w:t>
            </w:r>
            <w:r>
              <w:t xml:space="preserve"> ispravljanje sustavnih pogrešaka;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pozdravlja rad Suda na ispitivanju operativnih rashoda zajedničkih poduzeća za istraživanje i inovacije, koji je obuhvaćao uzorak od 33 nasumično odabrane transakcije iz sporazuma o dodjeli bespovratnih sredstava iz 2024. (međuplaćanja ili konačna plaćanja i obračuni predujmova) na razini krajnjih korisnika; zabrinut je zbog rezultata tog ispitivanja koji su pokazali da su postojale trajne sustavne pogreške, posebno u pogledu prijavljenih troškova osoblja; poziva na ispravljanje sustavnih pogrešaka;</w:t>
            </w:r>
          </w:p>
        </w:tc>
        <w:tc>
          <w:tcPr>
            <w:tcW w:w="4876" w:type="dxa"/>
            <w:tcBorders>
              <w:top w:val="nil"/>
              <w:left w:val="nil"/>
              <w:bottom w:val="nil"/>
              <w:right w:val="nil"/>
            </w:tcBorders>
          </w:tcPr>
          <w:p>
            <w:pPr>
              <w:pStyle w:val="Normal6a"/>
            </w:pPr>
            <w:r>
              <w:t>37.</w:t>
            </w:r>
            <w:r>
              <w:tab/>
            </w:r>
            <w:r>
              <w:t xml:space="preserve">pozdravlja rad Suda na ispitivanju operativnih rashoda zajedničkih poduzeća za istraživanje i inovacije, koji je obuhvaćao uzorak od 33 nasumično odabrane transakcije iz sporazuma o dodjeli bespovratnih sredstava iz 2024. (međuplaćanja ili konačna plaćanja i obračuni predujmova) na razini krajnjih korisnika; zabrinut je zbog rezultata tog ispitivanja koji su pokazali da su postojale trajne sustavne pogreške, posebno u pogledu prijavljenih troškova osoblja; poziva na ispravljanje sustavnih pogrešaka; </w:t>
            </w:r>
            <w:r>
              <w:rPr>
                <w:b/>
                <w:i/>
              </w:rPr>
              <w:t>poziva Komisiju i Zajedničku službu za reviziju da tijelu nadležnom za davanje razrješnice dostave konsolidiranu analizu temeljnih uzroka opetovanih pogrešaka u troškovima osoblja u zajedničkim poduzećima te da osiguraju usklađene preventivne smjernice, ciljane ex ante provjere za visokorizične korisnike i sustavne financijske ispravke ako se otkriju slične pogreške;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pozdravlja rad Suda na ispitivanju rashoda Europskog zajedničkog poduzeća za ITER i razvoj energije fuzije, koji je obuhvaćao uzorak od 30 nasumičnih transakcija; napominje da je Sud pronašao samo jednu pogrešku u pogledu financijskog učinka koja je proizašla iz značajne izmjene ugovora u vezi s nekretninama bez novog postupka javne nabave; poziva Zajedničko poduzeće da osigura usklađenost s primjenjivim pravnim okvirom o javnoj nabavi kako bi se osigurala transparentnost i najbolja vrijednost za novac;</w:t>
            </w:r>
          </w:p>
        </w:tc>
        <w:tc>
          <w:tcPr>
            <w:tcW w:w="4876" w:type="dxa"/>
            <w:tcBorders>
              <w:top w:val="nil"/>
              <w:left w:val="nil"/>
              <w:bottom w:val="nil"/>
              <w:right w:val="nil"/>
            </w:tcBorders>
          </w:tcPr>
          <w:p>
            <w:pPr>
              <w:pStyle w:val="Normal6a"/>
            </w:pPr>
            <w:r>
              <w:t>38.</w:t>
            </w:r>
            <w:r>
              <w:tab/>
            </w:r>
            <w:r>
              <w:t xml:space="preserve">pozdravlja rad Suda na ispitivanju rashoda Europskog zajedničkog poduzeća za ITER i razvoj energije fuzije, koji je obuhvaćao uzorak od 30 nasumičnih transakcija; napominje da je Sud pronašao samo jednu pogrešku u pogledu financijskog učinka koja je proizašla iz značajne izmjene ugovora u vezi s nekretninama bez novog postupka javne nabave; poziva Zajedničko poduzeće da osigura usklađenost s primjenjivim pravnim okvirom o javnoj nabavi kako bi se osigurala transparentnost i najbolja vrijednost za novac; </w:t>
            </w:r>
            <w:r>
              <w:rPr>
                <w:b/>
                <w:i/>
              </w:rPr>
              <w:t>napominje da je Revizorski sud utvrdio slučaj u kojem znatna izmjena dvaju ugovora u vezi s nekretninama nije riješena novim postupkom javne nabave;</w:t>
            </w:r>
            <w:r>
              <w:t xml:space="preserve"> </w:t>
            </w:r>
            <w:r>
              <w:rPr>
                <w:b/>
                <w:i/>
              </w:rPr>
              <w:t>naglašava da se takvim praksama proračun Unije izlaže rizicima u pogledu vrijednosti za novac i integriteta;</w:t>
            </w:r>
            <w:r>
              <w:t xml:space="preserve"> </w:t>
            </w:r>
            <w:r>
              <w:rPr>
                <w:b/>
                <w:i/>
              </w:rPr>
              <w:t>poziva Zajedničko poduzeće F4E da osigura da se značajnim izmjenama ugovora sustavno pokreće ponovna procjena nabave, uključujući pravnu reviziju i objavu jasnog obrazloženja, te da tijelo nadležno za davanje razrješnice izvijesti o poduzetim korektivnim mjerama;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izražava zabrinutost zbog nalaza Suda prema kojem su do prosinca 2024. samo četiri zajednička poduzeća (Zajedničko poduzeće za europsku željeznicu, Zajedničko poduzeće za čisto zrakoplovstvo, Zajedničko poduzeće za inicijativu za inovativno zdravlje i Zajedničko poduzeće za čipove) dovršila okvir za kontrolu koji se temelji na riziku za isplate bespovratnih sredstava iz programa Obzor Europa, unatoč očekivanom povećanju takvih sredstava; podsjeća da je pouzdan, sustavan i centraliziran okvir za kontrole na temelju riziku ključan za osiguravanje ex ante kontrola visokorizičnih korisnika, učinkovito praćenje nalaza revizije i pouzdane izjave direktora o jamstvu; poziva ostala zajednička poduzeća da što prije usvoje ili dovrše provedbu okvira unutarnje kontrole;</w:t>
            </w:r>
          </w:p>
        </w:tc>
        <w:tc>
          <w:tcPr>
            <w:tcW w:w="4876" w:type="dxa"/>
            <w:tcBorders>
              <w:top w:val="nil"/>
              <w:left w:val="nil"/>
              <w:bottom w:val="nil"/>
              <w:right w:val="nil"/>
            </w:tcBorders>
          </w:tcPr>
          <w:p>
            <w:pPr>
              <w:pStyle w:val="Normal6a"/>
            </w:pPr>
            <w:r>
              <w:t>39.</w:t>
            </w:r>
            <w:r>
              <w:tab/>
            </w:r>
            <w:r>
              <w:t xml:space="preserve">izražava zabrinutost zbog nalaza Suda prema kojem su do prosinca 2024. samo četiri zajednička poduzeća (Zajedničko poduzeće za europsku željeznicu, Zajedničko poduzeće za čisto zrakoplovstvo, Zajedničko poduzeće za inicijativu za inovativno zdravlje i Zajedničko poduzeće za čipove) dovršila okvir za kontrolu koji se temelji na riziku za isplate bespovratnih sredstava iz programa Obzor Europa, unatoč očekivanom povećanju takvih sredstava; podsjeća da je pouzdan, sustavan i centraliziran okvir za kontrole na temelju riziku ključan za osiguravanje ex ante kontrola visokorizičnih korisnika, učinkovito praćenje nalaza revizije i pouzdane izjave direktora o jamstvu; </w:t>
            </w:r>
            <w:r>
              <w:rPr>
                <w:b/>
                <w:i/>
              </w:rPr>
              <w:t>naglašava da bi se rad na reviziji i kontroli trebao usredotočiti na područja većeg financijskog rizika i rizika u pogledu uspješnosti, dok bi niskorizične ponavljajuće transakcije trebale imati koristi od pojednostavljenih metoda provjere;</w:t>
            </w:r>
            <w:r>
              <w:t xml:space="preserve"> </w:t>
            </w:r>
            <w:r>
              <w:rPr>
                <w:b/>
                <w:i/>
              </w:rPr>
              <w:t>ističe da se takvim pristupom može poboljšati jamstvo i znatno smanjiti administrativno opterećenje za korisnike i države sudionice;</w:t>
            </w:r>
            <w:r>
              <w:t xml:space="preserve"> poziva ostala zajednička poduzeća da što prije usvoje ili dovrše provedbu okvira unutarnje kontrole;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izražava zabrinutost zbog nalaza Suda prema kojem su do prosinca 2024. samo četiri zajednička poduzeća (Zajedničko poduzeće za europsku željeznicu, Zajedničko poduzeće za čisto zrakoplovstvo, Zajedničko poduzeće za inicijativu za inovativno zdravlje i Zajedničko poduzeće za čipove) dovršila okvir za kontrolu koji se temelji na riziku za isplate bespovratnih sredstava iz programa Obzor Europa, unatoč očekivanom povećanju takvih sredstava; podsjeća da je pouzdan, sustavan i centraliziran okvir za kontrole na temelju riziku ključan za osiguravanje ex ante kontrola visokorizičnih korisnika, učinkovito praćenje nalaza revizije i pouzdane izjave direktora o jamstvu; poziva </w:t>
            </w:r>
            <w:r>
              <w:rPr>
                <w:b/>
                <w:i/>
              </w:rPr>
              <w:t>ostala</w:t>
            </w:r>
            <w:r>
              <w:t xml:space="preserve"> zajednička poduzeća da </w:t>
            </w:r>
            <w:r>
              <w:rPr>
                <w:b/>
                <w:i/>
              </w:rPr>
              <w:t>što prije usvoje ili</w:t>
            </w:r>
            <w:r>
              <w:t xml:space="preserve"> dovrše </w:t>
            </w:r>
            <w:r>
              <w:rPr>
                <w:b/>
                <w:i/>
              </w:rPr>
              <w:t>provedbu okvira unutarnje</w:t>
            </w:r>
            <w:r>
              <w:t xml:space="preserve"> kontrole;</w:t>
            </w:r>
          </w:p>
        </w:tc>
        <w:tc>
          <w:tcPr>
            <w:tcW w:w="4876" w:type="dxa"/>
            <w:tcBorders>
              <w:top w:val="nil"/>
              <w:left w:val="nil"/>
              <w:bottom w:val="nil"/>
              <w:right w:val="nil"/>
            </w:tcBorders>
          </w:tcPr>
          <w:p>
            <w:pPr>
              <w:pStyle w:val="Normal6a"/>
            </w:pPr>
            <w:r>
              <w:t>39.</w:t>
            </w:r>
            <w:r>
              <w:tab/>
            </w:r>
            <w:r>
              <w:t xml:space="preserve">izražava zabrinutost zbog nalaza Suda prema kojem su do prosinca 2024. samo četiri zajednička poduzeća (Zajedničko poduzeće za europsku željeznicu, Zajedničko poduzeće za čisto zrakoplovstvo, Zajedničko poduzeće za inicijativu za inovativno zdravlje i Zajedničko poduzeće za čipove) dovršila okvir za kontrolu koji se temelji na riziku za isplate bespovratnih sredstava iz programa Obzor Europa, unatoč očekivanom povećanju takvih sredstava; podsjeća da je pouzdan, sustavan i centraliziran okvir za kontrole na temelju riziku ključan za osiguravanje ex ante kontrola visokorizičnih korisnika, učinkovito praćenje nalaza revizije i pouzdane izjave direktora o jamstvu; poziva </w:t>
            </w:r>
            <w:r>
              <w:rPr>
                <w:b/>
                <w:i/>
              </w:rPr>
              <w:t>sva preostala</w:t>
            </w:r>
            <w:r>
              <w:t xml:space="preserve"> zajednička poduzeća da </w:t>
            </w:r>
            <w:r>
              <w:rPr>
                <w:b/>
                <w:i/>
              </w:rPr>
              <w:t>najkasnije do kraja 2026.</w:t>
            </w:r>
            <w:r>
              <w:t xml:space="preserve"> dovrše </w:t>
            </w:r>
            <w:r>
              <w:rPr>
                <w:b/>
                <w:i/>
              </w:rPr>
              <w:t>i provedu kontrolni okvir za isplate bespovratnih sredstava u okviru programa Obzor Europa/Digitalna Europa koji se temelji na riziku, uključujući: i. jasno ocjenjivanje rizika korisnika i projekata, ii. pojačane ex ante</w:t>
            </w:r>
            <w:r>
              <w:t xml:space="preserve"> kontrole </w:t>
            </w:r>
            <w:r>
              <w:rPr>
                <w:b/>
                <w:i/>
              </w:rPr>
              <w:t>za visokorizične slučajeve, iii. sustavne povratne informacije o rezultatima ex post revizija u budućem planiranju kontrola i iv. dosljedno izvješćivanje u izjavi o jamstvu izvršnog direktora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 xml:space="preserve">izražava zabrinutost da sustav upravljanja rizicima Europskog zajedničkog poduzeća za ITER i razvoj energije fuzije ne odražava u dovoljnoj mjeri stvarne rizike koji proizlaze iz revizije polaznih vrijednosti ITER-a iz 2024. niti horizontalne posljedice za ljudske resurse koje proizlaze iz novih polaznih vrijednosti; </w:t>
            </w:r>
            <w:r>
              <w:rPr>
                <w:b/>
                <w:i/>
              </w:rPr>
              <w:t>nadalje napominje da informatički alat Zajedničkog poduzeća za upravljanje rizicima nema potpune i ažurne informacije o ključnim rizicima (učestalost, vjerojatnost i financijski učinak), čime se potkopava sposobnost</w:t>
            </w:r>
            <w:r>
              <w:t xml:space="preserve"> uprave </w:t>
            </w:r>
            <w:r>
              <w:rPr>
                <w:b/>
                <w:i/>
              </w:rPr>
              <w:t>da kvantificira izloženost i da odredi prioritete</w:t>
            </w:r>
            <w:r>
              <w:t xml:space="preserve"> ublažavanja; poziva Zajedničko poduzeće da riješi navedene probleme pravovremenom provedbom odgovarajućih mjera;</w:t>
            </w:r>
          </w:p>
        </w:tc>
        <w:tc>
          <w:tcPr>
            <w:tcW w:w="4876" w:type="dxa"/>
            <w:tcBorders>
              <w:top w:val="nil"/>
              <w:left w:val="nil"/>
              <w:bottom w:val="nil"/>
              <w:right w:val="nil"/>
            </w:tcBorders>
          </w:tcPr>
          <w:p>
            <w:pPr>
              <w:pStyle w:val="Normal6a"/>
            </w:pPr>
            <w:r>
              <w:t>40.</w:t>
            </w:r>
            <w:r>
              <w:tab/>
            </w:r>
            <w:r>
              <w:t xml:space="preserve">izražava zabrinutost da sustav upravljanja rizicima Europskog zajedničkog poduzeća za ITER i razvoj energije fuzije ne odražava u dovoljnoj mjeri stvarne rizike koji proizlaze iz revizije polaznih vrijednosti ITER-a iz 2024. niti horizontalne posljedice za ljudske resurse koje proizlaze iz novih polaznih vrijednosti; </w:t>
            </w:r>
            <w:r>
              <w:rPr>
                <w:b/>
                <w:i/>
              </w:rPr>
              <w:t>naglašava da bi utvrđivanje i procjenu rizika trebalo dodatno ojačati kako bi se poduprli postupci donošenja odluka</w:t>
            </w:r>
            <w:r>
              <w:t xml:space="preserve"> uprave </w:t>
            </w:r>
            <w:r>
              <w:rPr>
                <w:b/>
                <w:i/>
              </w:rPr>
              <w:t>i učinkovite mjere</w:t>
            </w:r>
            <w:r>
              <w:t xml:space="preserve"> ublažavanja; poziva Zajedničko poduzeće da riješi navedene probleme pravovremenom provedbom odgovarajućih mjera;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 xml:space="preserve">poziva sva zajednička poduzeća da ojačaju svoje okvire transparentnosti, posebno u pogledu sprječavanja sukoba interesa; potiče ih da osiguraju sustavno objavljivanje izjava o interesima za članove upravnih tijela, koje obuhvaćaju sve financijske, profesionalne ili osobne veze sa subjektima koji koriste financijska sredstva određenog zajedničkog poduzeća; poziva na uvođenje </w:t>
            </w:r>
            <w:r>
              <w:rPr>
                <w:b/>
                <w:i/>
              </w:rPr>
              <w:t>obveznog</w:t>
            </w:r>
            <w:r>
              <w:t xml:space="preserve"> razdoblja „mirovanja” za više osoblje zajedničkih poduzeća prije nego što se zaposle na novim pozicijama u organizacijama koje primaju potporu od tih zajedničkih poduzeća; nadalje poziva zajednička poduzeća da osiguraju da članovi znanstvenih odbora, neovisni stručnjaci ili članovi odbora za evaluaciju propisno potpišu izjave o nepostojanju sukoba interesa;</w:t>
            </w:r>
          </w:p>
        </w:tc>
        <w:tc>
          <w:tcPr>
            <w:tcW w:w="4876" w:type="dxa"/>
            <w:tcBorders>
              <w:top w:val="nil"/>
              <w:left w:val="nil"/>
              <w:bottom w:val="nil"/>
              <w:right w:val="nil"/>
            </w:tcBorders>
          </w:tcPr>
          <w:p>
            <w:pPr>
              <w:pStyle w:val="Normal6a"/>
            </w:pPr>
            <w:r>
              <w:t>43.</w:t>
            </w:r>
            <w:r>
              <w:tab/>
            </w:r>
            <w:r>
              <w:t>poziva sva zajednička poduzeća da ojačaju svoje okvire transparentnosti, posebno u pogledu sprječavanja sukoba interesa; potiče ih da osiguraju sustavno objavljivanje izjava o interesima za članove upravnih tijela, koje obuhvaćaju sve financijske, profesionalne ili osobne veze sa subjektima koji koriste financijska sredstva određenog zajedničkog poduzeća; poziva na uvođenje razdoblja „mirovanja” za više osoblje zajedničkih poduzeća prije nego što se zaposle na novim pozicijama u organizacijama koje primaju potporu od tih zajedničkih poduzeća; nadalje poziva zajednička poduzeća da osiguraju da članovi znanstvenih odbora, neovisni stručnjaci ili članovi odbora za evaluaciju propisno potpišu izjave o nepostojanju sukoba interesa;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naglašava da je u lipnju 2024. Organizacija za ITER podnijela Vijeću ITER-a revidirani plan projekta, u kojem se uvode nove polazne vrijednosti koje zamjenjuju one odobrene 2016. i kojim se kraj faze sastavljanja pomiče s 2025. (prva plazma) na 2035. (početak istraživačkih operacija) te kojim se krajnji završetak projekta prenosi s 2042. na 2059. godinu; napominje da se obveze Zajedničkog poduzeća za ITER u pogledu isporuke stoga povećavaju s 21,6 milijardi EUR na 25,8 milijardi EUR u vrijednostima za 2024., što podrazumijeva dodatnih 4,2 milijarde EUR doprinosa Euratoma i Francuske operativnom proračunu predmetnog Zajedničkog poduzeća; sa zabrinutošću primjećuje da Vijeće ITER-a još nije službeno usvojilo procijenjeno povećanje troškova koje proizlazi iz revidiranih polaznih vrijednosti ITER-a koje je ITER IO predložio u srpnju 2024.;</w:t>
            </w:r>
          </w:p>
        </w:tc>
        <w:tc>
          <w:tcPr>
            <w:tcW w:w="4876" w:type="dxa"/>
            <w:tcBorders>
              <w:top w:val="nil"/>
              <w:left w:val="nil"/>
              <w:bottom w:val="nil"/>
              <w:right w:val="nil"/>
            </w:tcBorders>
          </w:tcPr>
          <w:p>
            <w:pPr>
              <w:pStyle w:val="Normal6a"/>
            </w:pPr>
            <w:r>
              <w:t>45.</w:t>
            </w:r>
            <w:r>
              <w:tab/>
            </w:r>
            <w:r>
              <w:t xml:space="preserve">naglašava da je u lipnju 2024. Organizacija za ITER podnijela Vijeću ITER-a revidirani plan projekta, u kojem se uvode nove polazne vrijednosti koje zamjenjuju one odobrene 2016. i kojim se kraj faze sastavljanja pomiče s 2025. (prva plazma) na 2035. (početak istraživačkih operacija) te kojim se krajnji završetak projekta prenosi s 2042. na 2059. godinu; napominje da se obveze Zajedničkog poduzeća za ITER u pogledu isporuke stoga povećavaju s 21,6 milijardi EUR na 25,8 milijardi EUR u vrijednostima za 2024., što podrazumijeva dodatnih 4,2 milijarde EUR doprinosa Euratoma i Francuske operativnom proračunu predmetnog Zajedničkog poduzeća; sa zabrinutošću primjećuje da Vijeće ITER-a još nije službeno usvojilo procijenjeno povećanje troškova koje proizlazi iz revidiranih polaznih vrijednosti ITER-a koje je ITER IO predložio u srpnju 2024.; </w:t>
            </w:r>
            <w:r>
              <w:rPr>
                <w:b/>
                <w:i/>
              </w:rPr>
              <w:t>naglašava da Parlament ne može revidirane polazne vrijednosti smatrati pukim tehničkim ažuriranjem s obzirom na razmjer povećanja troškova i odstupanja u rasporedu;</w:t>
            </w:r>
            <w:r>
              <w:t xml:space="preserve"> </w:t>
            </w:r>
            <w:r>
              <w:rPr>
                <w:b/>
                <w:i/>
              </w:rPr>
              <w:t>poziva Komisiju i F4E da tijelu nadležnom za davanje razrješnice predstave jasan, javni plan za ublažavanje rizika i cjenovnu pristupačnost, uključujući scenarije za buduće učinke VFO-a, prije preuzimanja bilo kakvih daljnjih velikih financijskih obveza;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 xml:space="preserve">dijeli zabrinutost koju je izrazio Revizorski sud u </w:t>
            </w:r>
            <w:r>
              <w:rPr>
                <w:b/>
                <w:i/>
              </w:rPr>
              <w:t>vezi s tim da revidirane polazne</w:t>
            </w:r>
            <w:r>
              <w:t xml:space="preserve"> vrijednosti </w:t>
            </w:r>
            <w:r>
              <w:rPr>
                <w:b/>
                <w:i/>
              </w:rPr>
              <w:t>koje je predložio ITER-IO</w:t>
            </w:r>
            <w:r>
              <w:t xml:space="preserve"> znatno </w:t>
            </w:r>
            <w:r>
              <w:rPr>
                <w:b/>
                <w:i/>
              </w:rPr>
              <w:t>povećavaju</w:t>
            </w:r>
            <w:r>
              <w:t xml:space="preserve"> izloženost Europskog zajedničkog poduzeća za ITER i razvoj energije fuzije </w:t>
            </w:r>
            <w:r>
              <w:rPr>
                <w:b/>
                <w:i/>
              </w:rPr>
              <w:t>raznim</w:t>
            </w:r>
            <w:r>
              <w:t xml:space="preserve"> rizicima; napominje da dugoročnu održivost projekta mogu narušiti kontinuirana kašnjenja u ključnim prekretnicama </w:t>
            </w:r>
            <w:r>
              <w:rPr>
                <w:b/>
                <w:i/>
              </w:rPr>
              <w:t>i jačanje konkurentnosti fuzijskih inicijativa u trećim zemljama</w:t>
            </w:r>
            <w:r>
              <w:t xml:space="preserve">, što zajedno </w:t>
            </w:r>
            <w:r>
              <w:rPr>
                <w:b/>
                <w:i/>
              </w:rPr>
              <w:t>dovodi do nastanka rizika od narušavanja relevantnosti i vodećeg položaja</w:t>
            </w:r>
            <w:r>
              <w:t xml:space="preserve"> ITER-a; naglašava da istovremeno i dalje postoje značajne pravne nesigurnosti, posebno mogućnost da članice odbiju odobriti produljenje Sporazuma o ITER-u nakon 2042. ili da bi francuski dekret o pružanju prostora mogla isteći prije početka rada reaktora; sa zabrinutošću primjećuje da bi opseg tehničkih preinaka koje se sada predviđaju mogao imati dalekosežne posljedice za inovativni kapacitet i gospodarsku održivost projekta; vjeruje da su te zabrinutosti pogoršane rastućim financijskim pritiscima, s obzirom na to da veći doprinosi koji su zatraženi od Unije i Francuske izazivaju sumnje u to može li se takvo financiranje održati u okviru budućih VFO-a ili od strane države domaćina</w:t>
            </w:r>
            <w:r>
              <w:rPr>
                <w:b/>
                <w:i/>
              </w:rPr>
              <w:t>.</w:t>
            </w:r>
          </w:p>
        </w:tc>
        <w:tc>
          <w:tcPr>
            <w:tcW w:w="4876" w:type="dxa"/>
            <w:tcBorders>
              <w:top w:val="nil"/>
              <w:left w:val="nil"/>
              <w:bottom w:val="nil"/>
              <w:right w:val="nil"/>
            </w:tcBorders>
          </w:tcPr>
          <w:p>
            <w:pPr>
              <w:pStyle w:val="Normal6a"/>
            </w:pPr>
            <w:r>
              <w:t>46.</w:t>
            </w:r>
            <w:r>
              <w:tab/>
            </w:r>
            <w:r>
              <w:t xml:space="preserve">dijeli zabrinutost koju je izrazio Revizorski sud u </w:t>
            </w:r>
            <w:r>
              <w:rPr>
                <w:b/>
                <w:i/>
              </w:rPr>
              <w:t>pogledu predloženih revidiranih polaznih</w:t>
            </w:r>
            <w:r>
              <w:t xml:space="preserve"> vrijednosti </w:t>
            </w:r>
            <w:r>
              <w:rPr>
                <w:b/>
                <w:i/>
              </w:rPr>
              <w:t>ITER-a kojima se</w:t>
            </w:r>
            <w:r>
              <w:t xml:space="preserve"> znatno </w:t>
            </w:r>
            <w:r>
              <w:rPr>
                <w:b/>
                <w:i/>
              </w:rPr>
              <w:t>povećava</w:t>
            </w:r>
            <w:r>
              <w:t xml:space="preserve"> izloženost Europskog zajedničkog poduzeća za ITER i razvoj energije fuzije </w:t>
            </w:r>
            <w:r>
              <w:rPr>
                <w:b/>
                <w:i/>
              </w:rPr>
              <w:t>tehničkim, pravnim i financijskim</w:t>
            </w:r>
            <w:r>
              <w:t xml:space="preserve"> rizicima; napominje da dugoročnu održivost projekta mogu narušiti kontinuirana kašnjenja u ključnim prekretnicama </w:t>
            </w:r>
            <w:r>
              <w:rPr>
                <w:b/>
                <w:i/>
              </w:rPr>
              <w:t>te da povećanje troškova predstavlja izazov za dugoročnu održivost projekta</w:t>
            </w:r>
            <w:r>
              <w:t xml:space="preserve">, što zajedno </w:t>
            </w:r>
            <w:r>
              <w:rPr>
                <w:b/>
                <w:i/>
              </w:rPr>
              <w:t>može narušiti relevantnost i vodeći položaj</w:t>
            </w:r>
            <w:r>
              <w:t xml:space="preserve"> ITER-a; naglašava da istovremeno i dalje postoje značajne pravne </w:t>
            </w:r>
            <w:r>
              <w:rPr>
                <w:b/>
                <w:i/>
              </w:rPr>
              <w:t>i upravljačke</w:t>
            </w:r>
            <w:r>
              <w:t xml:space="preserve"> nesigurnosti, posebno mogućnost da članice odbiju odobriti produljenje Sporazuma o ITER-u nakon 2042. ili da bi francuski dekret o pružanju prostora mogla isteći prije početka rada reaktora</w:t>
            </w:r>
            <w:r>
              <w:rPr>
                <w:b/>
                <w:i/>
              </w:rPr>
              <w:t>, čime bi se riskirala pravna jasnoća i odgovornost</w:t>
            </w:r>
            <w:r>
              <w:t>; sa zabrinutošću primjećuje da bi opseg tehničkih preinaka koje se sada predviđaju mogao imati dalekosežne posljedice za inovativni kapacitet i gospodarsku održivost projekta</w:t>
            </w:r>
            <w:r>
              <w:rPr>
                <w:b/>
                <w:i/>
              </w:rPr>
              <w:t>, što zahtijeva strogi nadzor i jasne parametre uspješnosti kako bi se osigurala vrijednost za novac poreznih obveznika</w:t>
            </w:r>
            <w:r>
              <w:t>; vjeruje da su te zabrinutosti pogoršane rastućim financijskim pritiscima, s obzirom na to da veći doprinosi koji su zatraženi od Unije i Francuske izazivaju sumnje u to može li se takvo financiranje održati u okviru budućih VFO-a ili od strane države domaćina</w:t>
            </w:r>
            <w:r>
              <w:rPr>
                <w:b/>
                <w:i/>
              </w:rPr>
              <w:t>;</w:t>
            </w:r>
            <w:r>
              <w:t xml:space="preserve"> </w:t>
            </w:r>
            <w:r>
              <w:rPr>
                <w:b/>
                <w:i/>
              </w:rPr>
              <w:t>ističe hitnu potrebu za snažnim financijskim planiranjem, transparentnom potrošnjom i ponovnom procjenom prioriteta kako bi se zajamčila konkretna europska dodana vrijednost i strateška autonomija;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46.a</w:t>
            </w:r>
            <w:r>
              <w:tab/>
            </w:r>
            <w:r>
              <w:rPr>
                <w:b/>
                <w:i/>
              </w:rPr>
              <w:t>potvrđuje da je ITER projekt dosad nezabilježenih razmjera i ambicija u kojem sudjeluje 35 međunarodnih partnera i u kojem Europska unija, kao domaćin i najveći donator, ima središnju ulogu u promicanju dugoročne energetske vizije i znanstvenog vodstva Europe;</w:t>
            </w:r>
            <w:r>
              <w:t xml:space="preserve"> </w:t>
            </w:r>
            <w:r>
              <w:rPr>
                <w:b/>
                <w:i/>
              </w:rPr>
              <w:t>prima na znanje donošenje revidiranog temeljnog plana projekta u studenome 2024. u kojem se prednost daje ranim znanstvenim operacijama i ubrzanom okupljanju te pozdravlja konkretna poboljšanja u provedbi projekta, koja su zabilježena od njegova uvođenja;</w:t>
            </w:r>
            <w:r>
              <w:t xml:space="preserve"> </w:t>
            </w:r>
            <w:r>
              <w:rPr>
                <w:b/>
                <w:i/>
              </w:rPr>
              <w:t>posebno napominje da su za 2024. i 2025. indeksi uspješnosti u pogledu rasporeda i troškova bili iznad 1,0, što upućuje na to da je program malo ispred rokova i da su rashodi i dalje ispod razina predviđenih u osnovnom scenariju za 2024.;</w:t>
            </w:r>
            <w:r>
              <w:t xml:space="preserve"> </w:t>
            </w:r>
            <w:r>
              <w:rPr>
                <w:b/>
                <w:i/>
              </w:rPr>
              <w:t>naglašava da su, kako bi se održao taj pozitivan zamah i zadržalo vodstvo Europske unije u istraživanju fuzije, ključni snažni i dosljedni mehanizmi upravljanja i kontrole, uključujući pravodobnu i potpunu formalizaciju i provedbu revidiranog temeljnog plana ITER-a, pojačano upravljanje rizicima i stalna poboljšanja odgovornosti između Zajedničkog poduzeća, Organizacije ITER i proračunskog tijela Europske unije;</w:t>
            </w:r>
            <w:r>
              <w:t xml:space="preserve"> </w:t>
            </w:r>
            <w:r>
              <w:rPr>
                <w:b/>
                <w:i/>
              </w:rPr>
              <w:t>ističe potrebu za daljnjim jačanjem kontrole troškova, financiranja na temelju ključnih etapa i neovisnog nadzora uspješnosti te za rješavanjem pravnih nesigurnosti uz pomoć snažnih obveza u pogledu okvira za razdoblje nakon 2042. i obveza države domaćina;</w:t>
            </w:r>
            <w:r>
              <w:t xml:space="preserve"> </w:t>
            </w:r>
            <w:r>
              <w:rPr>
                <w:b/>
                <w:i/>
              </w:rPr>
              <w:t>istodobno ističe važnost strateškog upravljanja kako bi se osiguralo da ITER ostane znanstveno i gospodarski relevantan tako što će se sustavno uspoređivati napredak u odnosu na globalne konkurente i čuvati inovacijski kapacitet u okviru održivog modela dugoročnog financiranja;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46.a</w:t>
            </w:r>
            <w:r>
              <w:tab/>
            </w:r>
            <w:r>
              <w:rPr>
                <w:b/>
                <w:i/>
              </w:rPr>
              <w:t>snažno naglašava da su za održavanje vodstva Europske unije u istraživanju fuzije potrebni snažniji mehanizmi upravljanja i kontrole, uključujući brzu formalizaciju revidiranih polaznih vrijednosti ITER-a, pojačano upravljanje rizicima i jasniju odgovornost između Zajedničkog poduzeća, Organizacije ITER i proračunskog tijela Europske unije;</w:t>
            </w:r>
            <w:r>
              <w:t xml:space="preserve"> </w:t>
            </w:r>
            <w:r>
              <w:rPr>
                <w:b/>
                <w:i/>
              </w:rPr>
              <w:t>naglašava potrebu za jačanjem kontrole troškova, financiranja na temelju ključnih etapa i neovisnog nadzora uspješnosti te za hitnim rješavanjem pravnih nesigurnosti uz pomoć snažnih obveza u pogledu okvira za razdoblje nakon 2042. i obveza države domaćina;</w:t>
            </w:r>
            <w:r>
              <w:t xml:space="preserve"> </w:t>
            </w:r>
            <w:r>
              <w:rPr>
                <w:b/>
                <w:i/>
              </w:rPr>
              <w:t>istodobno ističe potrebu za strateškim upravljanjem kako bi se osiguralo da ITER ostane znanstveno i gospodarski relevantan tako što će se sustavno uspoređivati napredak u odnosu na globalne konkurente i čuvati inovacijski kapacitet u okviru održivog modela dugoročnog financiranja;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46.a</w:t>
            </w:r>
            <w:r>
              <w:tab/>
            </w:r>
            <w:r>
              <w:rPr>
                <w:b/>
                <w:i/>
              </w:rPr>
              <w:t>naglašava da se, s obzirom na razmjer, trajanje i povećanje troškova projekta ITER, kontinuirano financiranje Unije mora ocijeniti ne samo u odnosu na tehničke ključne etape, već i u odnosu na oportunitetne troškove i klimatsku dodatnost;</w:t>
            </w:r>
            <w:r>
              <w:t xml:space="preserve"> </w:t>
            </w:r>
            <w:r>
              <w:rPr>
                <w:b/>
                <w:i/>
              </w:rPr>
              <w:t>poziva Komisiju i Fuziju za energiju da tijelu nadležnom za davanje razrješnice prije preuzimanja daljnjih dugoročnih financijskih obveza dostave usporednu analizu očekivanog doprinosa ITER-a klimatskim i energetskim ciljevima Unije u odnosu na alternativne, razvijenije niskougljične tehnologije i ulaganja u energetski sustav, uključujući rokove za potencijalni učinak;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rPr>
                <w:b/>
                <w:i/>
              </w:rPr>
              <w:t>izražava žaljenje</w:t>
            </w:r>
            <w:r>
              <w:t xml:space="preserve"> zbog kontinuiranog sudjelovanja Rusije u projektu ITER; poziva Europsko zajedničko poduzeće za ITER i razvoj energije fuzije da osigura potpunu provedbu sankcija Unije protiv Rusije, uključujući ograničenja nabave komponenti za europsku opskrbu ITER-a; potiče Europsko zajedničko poduzeće za ITER i razvoj energije fuzije da smanji ovisnost o Rusiji i da </w:t>
            </w:r>
            <w:r>
              <w:rPr>
                <w:b/>
                <w:i/>
              </w:rPr>
              <w:t>izbjegava</w:t>
            </w:r>
            <w:r>
              <w:t xml:space="preserve"> sve bilateralne kontakte i </w:t>
            </w:r>
            <w:r>
              <w:rPr>
                <w:b/>
                <w:i/>
              </w:rPr>
              <w:t>suradnje s njom</w:t>
            </w:r>
            <w:r>
              <w:t>; sa zadovoljstvom primjećuje činjenicu da Rusija nije preuzela predsjedanje Vijećem ITER-a posljednje dvije godine, kada je do toga trebalo doći u skladu s načelom rotacije predsjedanja; sa zadovoljstvom primjećuje da pravila o intelektualnom vlasništvu u Sporazumu o ITER-u jamče da projekt ima sve intelektualne resurse potrebne za uspješan razvoj i rad, čime se osigurava potpuna neovisnost od ruskih prava intelektualnog vlasništva; primjećuje da je Rusija ispunila sve svoje doprinose u naravi u skladu sa Sporazumom o ITER-u</w:t>
            </w:r>
            <w:r>
              <w:rPr>
                <w:b/>
                <w:i/>
              </w:rPr>
              <w:t>, čime je smanjena ovisnost o Rusiji u tom pogledu</w:t>
            </w:r>
            <w:r>
              <w:t>;</w:t>
            </w:r>
          </w:p>
        </w:tc>
        <w:tc>
          <w:tcPr>
            <w:tcW w:w="4876" w:type="dxa"/>
            <w:tcBorders>
              <w:top w:val="nil"/>
              <w:left w:val="nil"/>
              <w:bottom w:val="nil"/>
              <w:right w:val="nil"/>
            </w:tcBorders>
          </w:tcPr>
          <w:p>
            <w:pPr>
              <w:pStyle w:val="Normal6a"/>
            </w:pPr>
            <w:r>
              <w:t>48.</w:t>
            </w:r>
            <w:r>
              <w:tab/>
            </w:r>
            <w:r>
              <w:rPr>
                <w:b/>
                <w:i/>
              </w:rPr>
              <w:t>ponavlja svoju zabrinutost</w:t>
            </w:r>
            <w:r>
              <w:t xml:space="preserve"> zbog kontinuiranog sudjelovanja Rusije u projektu ITER; poziva Europsko zajedničko poduzeće za ITER i razvoj energije fuzije da osigura </w:t>
            </w:r>
            <w:r>
              <w:rPr>
                <w:b/>
                <w:i/>
              </w:rPr>
              <w:t>strogu i</w:t>
            </w:r>
            <w:r>
              <w:t xml:space="preserve"> potpunu provedbu sankcija Unije protiv Rusije, uključujući ograničenja nabave komponenti za europsku opskrbu ITER-a</w:t>
            </w:r>
            <w:r>
              <w:rPr>
                <w:b/>
                <w:i/>
              </w:rPr>
              <w:t>, te da proaktivno ukloni sve potencijalne nedostatke</w:t>
            </w:r>
            <w:r>
              <w:t xml:space="preserve">; potiče Europsko zajedničko poduzeće za ITER i razvoj energije fuzije da smanji </w:t>
            </w:r>
            <w:r>
              <w:rPr>
                <w:b/>
                <w:i/>
              </w:rPr>
              <w:t>svu preostalu</w:t>
            </w:r>
            <w:r>
              <w:t xml:space="preserve"> ovisnost o Rusiji i da </w:t>
            </w:r>
            <w:r>
              <w:rPr>
                <w:b/>
                <w:i/>
              </w:rPr>
              <w:t>izbjegne</w:t>
            </w:r>
            <w:r>
              <w:t xml:space="preserve"> sve bilateralne kontakte i </w:t>
            </w:r>
            <w:r>
              <w:rPr>
                <w:b/>
                <w:i/>
              </w:rPr>
              <w:t>suradnju s njim koji bi mogli ugroziti strateške interese i vrijednosti Unije</w:t>
            </w:r>
            <w:r>
              <w:t>; sa zadovoljstvom primjećuje činjenicu da Rusija nije preuzela predsjedanje Vijećem ITER-a posljednje dvije godine, kada je do toga trebalo doći u skladu s načelom rotacije predsjedanja; sa zadovoljstvom primjećuje da pravila o intelektualnom vlasništvu u Sporazumu o ITER-u jamče da projekt ima sve intelektualne resurse potrebne za uspješan razvoj i rad, čime se osigurava potpuna neovisnost od ruskih prava intelektualnog vlasništva; primjećuje da je Rusija ispunila sve svoje doprinose u naravi u skladu sa Sporazumom o ITER-u</w:t>
            </w:r>
            <w:r>
              <w:rPr>
                <w:b/>
                <w:i/>
              </w:rPr>
              <w:t>;</w:t>
            </w:r>
            <w:r>
              <w:t xml:space="preserve"> </w:t>
            </w:r>
            <w:r>
              <w:rPr>
                <w:b/>
                <w:i/>
              </w:rPr>
              <w:t>naglašava da Unija mora nastaviti davati prednost diversifikaciji lanaca opskrbe kako bi se postigla potpuna tehnološka suverenost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 xml:space="preserve">naglašava preporuku Suda da bi Europsko zajedničko poduzeće za ITER i razvoj energije fuzije trebalo </w:t>
            </w:r>
            <w:r>
              <w:rPr>
                <w:b/>
                <w:i/>
              </w:rPr>
              <w:t>ojačati svoj sustav</w:t>
            </w:r>
            <w:r>
              <w:t xml:space="preserve"> upravljanja rizicima, uzimajući pritom u obzir sve horizontalne rizike koji proizlaze iz polaznih vrijednosti za 2024.;</w:t>
            </w:r>
          </w:p>
        </w:tc>
        <w:tc>
          <w:tcPr>
            <w:tcW w:w="4876" w:type="dxa"/>
            <w:tcBorders>
              <w:top w:val="nil"/>
              <w:left w:val="nil"/>
              <w:bottom w:val="nil"/>
              <w:right w:val="nil"/>
            </w:tcBorders>
          </w:tcPr>
          <w:p>
            <w:pPr>
              <w:pStyle w:val="Normal6a"/>
            </w:pPr>
            <w:r>
              <w:t>49.</w:t>
            </w:r>
            <w:r>
              <w:tab/>
            </w:r>
            <w:r>
              <w:t xml:space="preserve">naglašava preporuku Suda da bi Europsko zajedničko poduzeće za ITER i razvoj energije fuzije trebalo </w:t>
            </w:r>
            <w:r>
              <w:rPr>
                <w:b/>
                <w:i/>
              </w:rPr>
              <w:t>poboljšati učinkovitost svojeg sustava</w:t>
            </w:r>
            <w:r>
              <w:t xml:space="preserve"> upravljanja rizicima, uzimajući pritom u obzir sve horizontalne rizike koji proizlaze iz polaznih vrijednosti za 2024.</w:t>
            </w:r>
            <w:r>
              <w:rPr>
                <w:b/>
                <w:i/>
              </w:rPr>
              <w:t>, kao što su potreba za restrukturiranjem zajedničkih poduzeća i preraspodjelom ljudskih resursa, nerazmjerna upotreba vanjskih pružatelja usluga, planiranje resursa i upravljanje njima te neusklađenost s Pravilnikom o osoblju Europske unije ili etičkim okvirom Zajedničkog poduzeća</w:t>
            </w:r>
            <w:r>
              <w:t xml:space="preserve">; </w:t>
            </w:r>
            <w:r>
              <w:rPr>
                <w:b/>
                <w:i/>
              </w:rPr>
              <w:t>nadalje naglašava da bi Europsko zajedničko poduzeće za ITER i razvoj energije fuzije trebalo poboljšati svoj informatički alat za upravljanje rizicima kako bi imalo potpune informacije o relevantnim ključnim rizicima;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57.a</w:t>
            </w:r>
            <w:r>
              <w:tab/>
            </w:r>
            <w:r>
              <w:rPr>
                <w:b/>
                <w:i/>
              </w:rPr>
              <w:t>naglašava da je svrha postupka davanja razrješnice osigurati pravodoban demokratski nadzor nad izvršenjem proračuna Unije;</w:t>
            </w:r>
            <w:r>
              <w:t xml:space="preserve"> </w:t>
            </w:r>
            <w:r>
              <w:rPr>
                <w:b/>
                <w:i/>
              </w:rPr>
              <w:t>podsjeća da bi se odluka o razrješnici u pravilu trebala donijeti u godini koja slijedi nakon predmetne financijske godine (N+ 1) te ističe da sustavna kašnjenja koja dovode do razrješnice N+ 2 oslabljuju parlamentarnu odgovornost;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782.491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34</w:t>
    </w:r>
    <w:r>
      <w:fldChar w:fldCharType="end"/>
    </w:r>
    <w:r>
      <w:t>/</w:t>
    </w:r>
    <w:r>
      <w:fldChar w:fldCharType="begin"/>
    </w:r>
    <w:r>
      <w:instrText xml:space="preserve"> NUMPAGES </w:instrText>
    </w:r>
    <w:r>
      <w:fldChar w:fldCharType="separate"/>
    </w:r>
    <w:r>
      <w:t>34</w:t>
    </w:r>
    <w:r>
      <w:fldChar w:fldCharType="end"/>
    </w:r>
    <w:r>
      <w:tab/>
    </w:r>
    <w:r>
      <w:rPr>
        <w:rStyle w:val="HideTWBExt"/>
      </w:rPr>
      <w:t>&lt;PathFdR&gt;</w:t>
    </w:r>
    <w:r>
      <w:t>AM\1336064HR.docx</w:t>
    </w:r>
    <w:r>
      <w:rPr>
        <w:rStyle w:val="HideTWBExt"/>
      </w:rPr>
      <w:t>&lt;/PathFdR&gt;</w:t>
    </w:r>
  </w:p>
  <w:p>
    <w:pPr>
      <w:pStyle w:val="EPFooter2"/>
    </w:pPr>
    <w:r>
      <w:t>HR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AM\1336064HR.docx</w:t>
    </w:r>
    <w:r>
      <w:rPr>
        <w:rStyle w:val="HideTWBExt"/>
      </w:rPr>
      <w:t>&lt;/PathFdR&gt;</w:t>
    </w:r>
    <w:r>
      <w:tab/>
    </w:r>
    <w:r>
      <w:fldChar w:fldCharType="begin"/>
    </w:r>
    <w:r>
      <w:instrText xml:space="preserve"> PAGE </w:instrText>
    </w:r>
    <w:r>
      <w:fldChar w:fldCharType="separate"/>
    </w:r>
    <w:r>
      <w:t>33</w:t>
    </w:r>
    <w:r>
      <w:fldChar w:fldCharType="end"/>
    </w:r>
    <w:r>
      <w:t>/</w:t>
    </w:r>
    <w:r>
      <w:fldChar w:fldCharType="begin"/>
    </w:r>
    <w:r>
      <w:instrText xml:space="preserve"> NUMPAGES </w:instrText>
    </w:r>
    <w:r>
      <w:fldChar w:fldCharType="separate"/>
    </w:r>
    <w:r>
      <w:t>34</w:t>
    </w:r>
    <w:r>
      <w:fldChar w:fldCharType="end"/>
    </w:r>
    <w:r>
      <w:tab/>
    </w:r>
    <w:r>
      <w:t>PE</w:t>
    </w:r>
    <w:r>
      <w:rPr>
        <w:rStyle w:val="HideTWBExt"/>
      </w:rPr>
      <w:t>&lt;NoPE&gt;</w:t>
    </w:r>
    <w:r>
      <w:t>782.491</w:t>
    </w:r>
    <w:r>
      <w:rPr>
        <w:rStyle w:val="HideTWBExt"/>
      </w:rPr>
      <w:t>&lt;/NoPE&gt;</w:t>
    </w:r>
    <w:r>
      <w:rPr>
        <w:rStyle w:val="HideTWBExt"/>
      </w:rPr>
      <w:t>&lt;Version&gt;</w:t>
    </w:r>
    <w:r>
      <w:t>v01-00</w:t>
    </w:r>
    <w:r>
      <w:rPr>
        <w:rStyle w:val="HideTWBExt"/>
      </w:rPr>
      <w:t>&lt;/Version&gt;</w:t>
    </w:r>
  </w:p>
  <w:p>
    <w:pPr>
      <w:pStyle w:val="EPFooter2"/>
    </w:pPr>
    <w:r>
      <w:tab/>
    </w:r>
    <w:r>
      <w:tab/>
    </w:r>
    <w:r>
      <w:t>HR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AM\1336064HR.docx</w:t>
    </w:r>
    <w:r>
      <w:rPr>
        <w:rStyle w:val="HideTWBExt"/>
      </w:rPr>
      <w:t>&lt;/PathFdR&gt;</w:t>
    </w:r>
    <w:r>
      <w:tab/>
    </w:r>
    <w:r>
      <w:tab/>
    </w:r>
    <w:r>
      <w:t>PE</w:t>
    </w:r>
    <w:r>
      <w:rPr>
        <w:rStyle w:val="HideTWBExt"/>
      </w:rPr>
      <w:t>&lt;NoPE&gt;</w:t>
    </w:r>
    <w:r>
      <w:t>782.491</w:t>
    </w:r>
    <w:r>
      <w:rPr>
        <w:rStyle w:val="HideTWBExt"/>
      </w:rPr>
      <w:t>&lt;/NoPE&gt;</w:t>
    </w:r>
    <w:r>
      <w:rPr>
        <w:rStyle w:val="HideTWBExt"/>
      </w:rPr>
      <w:t>&lt;Version&gt;</w:t>
    </w:r>
    <w:r>
      <w:t>v01-00</w:t>
    </w:r>
    <w:r>
      <w:rPr>
        <w:rStyle w:val="HideTWBExt"/>
      </w:rPr>
      <w:t>&lt;/Version&gt;</w:t>
    </w:r>
  </w:p>
  <w:p>
    <w:pPr>
      <w:pStyle w:val="EPFooter2"/>
    </w:pPr>
    <w:r>
      <w:t>HR</w:t>
    </w:r>
    <w:r>
      <w:tab/>
    </w:r>
    <w:r>
      <w:rPr>
        <w:rStyle w:val="EPFooter2Motto"/>
      </w:rPr>
      <w:t>Ujedinjena u raznolikosti</w:t>
    </w:r>
    <w:r>
      <w:tab/>
    </w:r>
    <w:r>
      <w:t>HR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34</Pages>
  <Words>7528</Words>
  <Characters>47390</Characters>
  <Application>Microsoft Office Word</Application>
  <DocSecurity>0</DocSecurity>
  <Lines>1</Lines>
  <Paragraphs>467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1336064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374471</vt:lpwstr>
  </property>
  <property fmtid="{D5CDD505-2E9C-101B-9397-08002B2CF9AE}" pid="7" name="dmxml.render.traceId">
    <vt:lpwstr>698c5503af28812b2a847d7bb6da292e</vt:lpwstr>
  </property>
  <property fmtid="{D5CDD505-2E9C-101B-9397-08002B2CF9AE}" pid="8" name="FooterPath">
    <vt:lpwstr>AM\1336064HR.docx</vt:lpwstr>
  </property>
  <property fmtid="{D5CDD505-2E9C-101B-9397-08002B2CF9AE}" pid="9" name="PE Number">
    <vt:lpwstr>782.491</vt:lpwstr>
  </property>
  <property fmtid="{D5CDD505-2E9C-101B-9397-08002B2CF9AE}" pid="10" name="UID">
    <vt:lpwstr>eu.europa.europarl-DIN1-2026-0000016629_01.00-hr-01.00_text-xml</vt:lpwstr>
  </property>
</Properties>
</file>