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2025/2154</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28. 1. 2026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22</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(PE778.066v01-00)</w:t>
      </w:r>
      <w:r>
        <w:rPr>
          <w:rStyle w:val="HideTWBExt"/>
        </w:rPr>
        <w:t>&lt;/DocRefPE&gt;</w:t>
      </w:r>
    </w:p>
    <w:p>
      <w:pPr>
        <w:pStyle w:val="CoverNormal"/>
      </w:pPr>
      <w:r>
        <w:rPr>
          <w:rStyle w:val="HideTWBExt"/>
        </w:rPr>
        <w:t>&lt;Titre&gt;</w:t>
      </w:r>
      <w:r>
        <w:t>Udělení absolutoria za rok 2024: souhrnný rozpočet EU – evropský inspektor ochrany údajů</w:t>
      </w:r>
      <w:r>
        <w:rPr>
          <w:rStyle w:val="HideTWBExt"/>
        </w:rPr>
        <w:t>&lt;/Titre&gt;</w:t>
      </w:r>
    </w:p>
    <w:p>
      <w:pPr>
        <w:pStyle w:val="CoverNormal24a"/>
      </w:pPr>
      <w:r>
        <w:rPr>
          <w:rStyle w:val="HideTWBExt"/>
        </w:rPr>
        <w:t>&lt;DocRef&gt;</w:t>
      </w:r>
      <w:r>
        <w:t>(2025/2154(DEC))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na základě dotazníku konstatuje, že celkový rozpočet EIOÚ na služební cesty se snížil o 17,86 % z </w:t>
            </w:r>
            <w:r>
              <w:rPr>
                <w:b/>
                <w:i/>
              </w:rPr>
              <w:t>323 421</w:t>
            </w:r>
            <w:r>
              <w:t xml:space="preserve"> EUR v roce 2023 na </w:t>
            </w:r>
            <w:r>
              <w:rPr>
                <w:b/>
                <w:i/>
              </w:rPr>
              <w:t>265 630</w:t>
            </w:r>
            <w:r>
              <w:t xml:space="preserve"> EUR v roce 2024 v důsledku poklesu cestovních a souvisejících nákladů, který byl způsoben větší účastí na schůzích na dálku / hybridních schůzích; na základě výroční zprávy konstatuje, že se snížil také počet služebních cest zaměstnanců, a to z 246 v roce 2023 na 218 v roce 2024; konstatuje, že v rámci tohoto rozpočtu byla na 23 služebních cest inspektora v roce 2024 vyčleněna částka </w:t>
            </w:r>
            <w:r>
              <w:rPr>
                <w:b/>
                <w:i/>
              </w:rPr>
              <w:t>38 418</w:t>
            </w:r>
            <w:r>
              <w:t xml:space="preserve"> EUR, což představuje nárůst oproti částce </w:t>
            </w:r>
            <w:r>
              <w:rPr>
                <w:b/>
                <w:i/>
              </w:rPr>
              <w:t>33 000</w:t>
            </w:r>
            <w:r>
              <w:t xml:space="preserve"> EUR na 24 služebních cest v roce 2023, který byl způsoben zejména místem konání důležitých schůzí a akcí, jichž se inspektor musel zúčastnit, včetně několika služebních cest v roce 2024 do Spojených států a Mexika; konstatuje, že pokud jde o služební cesty do země původu vysoce postavených úředníků, uskutečnil inspektor v roce 2024 pouze tři služební cesty do Polska (z celkového počtu 23) a generální tajemník EIOÚ uskutečnil v roce </w:t>
            </w:r>
            <w:r>
              <w:rPr>
                <w:b/>
                <w:i/>
              </w:rPr>
              <w:t>2024 15</w:t>
            </w:r>
            <w:r>
              <w:t xml:space="preserve"> služebních cest</w:t>
            </w:r>
            <w:r>
              <w:rPr>
                <w:b/>
                <w:i/>
              </w:rPr>
              <w:t>, z toho devět</w:t>
            </w:r>
            <w:r>
              <w:t xml:space="preserve"> do Španělska;</w:t>
            </w:r>
          </w:p>
        </w:tc>
        <w:tc>
          <w:tcPr>
            <w:tcW w:w="4876" w:type="dxa"/>
            <w:tcBorders>
              <w:top w:val="nil"/>
              <w:left w:val="nil"/>
              <w:bottom w:val="nil"/>
              <w:right w:val="nil"/>
            </w:tcBorders>
          </w:tcPr>
          <w:p>
            <w:pPr>
              <w:pStyle w:val="Normal6a"/>
            </w:pPr>
            <w:r>
              <w:t>8.</w:t>
            </w:r>
            <w:r>
              <w:tab/>
            </w:r>
            <w:r>
              <w:t>na základě dotazníku konstatuje, že celkový rozpočet EIOÚ na služební cesty se snížil o 17,86 % z </w:t>
            </w:r>
            <w:r>
              <w:rPr>
                <w:b/>
                <w:i/>
              </w:rPr>
              <w:t>323 421</w:t>
            </w:r>
            <w:r>
              <w:t xml:space="preserve"> EUR v roce 2023 na </w:t>
            </w:r>
            <w:r>
              <w:rPr>
                <w:b/>
                <w:i/>
              </w:rPr>
              <w:t>265 630</w:t>
            </w:r>
            <w:r>
              <w:t xml:space="preserve"> EUR v roce 2024 v důsledku poklesu cestovních a souvisejících nákladů, který byl způsoben větší účastí na schůzích na dálku / hybridních schůzích; na základě výroční zprávy konstatuje, že se snížil také počet služebních cest zaměstnanců, a to z 246 v roce 2023 na 218 v roce 2024; konstatuje, že v rámci tohoto rozpočtu byla na 23 služebních cest inspektora v roce 2024 vyčleněna částka </w:t>
            </w:r>
            <w:r>
              <w:rPr>
                <w:b/>
                <w:i/>
              </w:rPr>
              <w:t>38 418</w:t>
            </w:r>
            <w:r>
              <w:t xml:space="preserve"> EUR, což představuje nárůst oproti částce </w:t>
            </w:r>
            <w:r>
              <w:rPr>
                <w:b/>
                <w:i/>
              </w:rPr>
              <w:t>33 000</w:t>
            </w:r>
            <w:r>
              <w:t xml:space="preserve"> EUR na 24 služebních cest v roce 2023, který byl způsoben zejména místem konání důležitých schůzí a akcí, jichž se inspektor musel zúčastnit, včetně několika služebních cest v roce 2024 do Spojených států a Mexika; </w:t>
            </w:r>
            <w:r>
              <w:rPr>
                <w:b/>
                <w:i/>
              </w:rPr>
              <w:t>se znepokojením</w:t>
            </w:r>
            <w:r>
              <w:t xml:space="preserve"> konstatuje, že pokud jde o služební cesty do země původu vysoce postavených úředníků, uskutečnil inspektor v roce 2024 pouze tři služební cesty do Polska (z celkového počtu 23) a generální tajemník EIOÚ uskutečnil v roce </w:t>
            </w:r>
            <w:r>
              <w:rPr>
                <w:b/>
                <w:i/>
              </w:rPr>
              <w:t>2024 devět</w:t>
            </w:r>
            <w:r>
              <w:t xml:space="preserve"> služebních cest do Španělska </w:t>
            </w:r>
            <w:r>
              <w:rPr>
                <w:b/>
                <w:i/>
              </w:rPr>
              <w:t>(z celkových 15)</w:t>
            </w:r>
            <w:r>
              <w:t xml:space="preserve">; </w:t>
            </w:r>
            <w:r>
              <w:rPr>
                <w:b/>
                <w:i/>
              </w:rPr>
              <w:t>poukazuje na to, že EIOÚ nadále neposkytuje informace o počtu služebních cest financovaných pořadateli nebo jinými třetími stranami, což snižuje transparentnost, pokud jde o výdaje na služební cesty EIOÚ;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 základě dotazníku konstatuje, že v souvislosti s ruskou útočnou válkou proti Ukrajině se EIOÚ zabýval inflačními tlaky na zakázky a služby tím, že v průběhu roku revidoval odhady nákladů a přerozdělil zdroje prostřednictvím převodů provedených v souladu s čl. 29 odst. 1 a 4 finančního nařízení, stanovil rozpětí pro nepředvídané události a přehodnotil priority, aby zajistil obsluhu hlavních procesů EIOÚ; vyzývá EIOÚ, aby pokračoval v provádění pravidelných přezkumů s cílem zjistit oblasti, kde se nedostatečně čerpá, a v případě potřeby v průběhu roku přerozděloval finanční prostředky; uznává, že je třeba, aby všechny orgány Unie zlepšily své rozpočtové řízení tím, že při uzavírání smluv s poskytovateli služeb budou zohledňovat také kolísání cen, zejména v odvětví energetiky;</w:t>
            </w:r>
          </w:p>
        </w:tc>
        <w:tc>
          <w:tcPr>
            <w:tcW w:w="4876" w:type="dxa"/>
            <w:tcBorders>
              <w:top w:val="nil"/>
              <w:left w:val="nil"/>
              <w:bottom w:val="nil"/>
              <w:right w:val="nil"/>
            </w:tcBorders>
          </w:tcPr>
          <w:p>
            <w:pPr>
              <w:pStyle w:val="Normal6a"/>
            </w:pPr>
            <w:r>
              <w:t>9.</w:t>
            </w:r>
            <w:r>
              <w:tab/>
            </w:r>
            <w:r>
              <w:t xml:space="preserve">na základě dotazníku konstatuje, že v souvislosti s </w:t>
            </w:r>
            <w:r>
              <w:rPr>
                <w:b/>
                <w:i/>
              </w:rPr>
              <w:t>protiprávní</w:t>
            </w:r>
            <w:r>
              <w:t xml:space="preserve"> ruskou útočnou válkou proti Ukrajině se EIOÚ zabýval inflačními tlaky na zakázky a služby tím, že v průběhu roku revidoval odhady nákladů a přerozdělil zdroje prostřednictvím převodů provedených v souladu s čl. 29 odst. 1 a 4 finančního nařízení, stanovil rozpětí pro nepředvídané události a přehodnotil priority, aby zajistil obsluhu hlavních procesů EIOÚ; vyzývá EIOÚ, aby pokračoval v provádění pravidelných přezkumů s cílem zjistit oblasti, kde se nedostatečně čerpá, a v případě potřeby v průběhu roku přerozděloval finanční prostředky; uznává, že je třeba, aby všechny orgány Unie zlepšily své rozpočtové řízení tím, že při uzavírání smluv s poskytovateli služeb budou zohledňovat také kolísání cen, zejména v odvětví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konstatuje, že dne 1. října 2024 zřídil EIOÚ za účelem plnění svých nových úkolů v oblasti dohledu oddělení umělé inteligence, které v roce 2024 tvořili dva interně přeřazení zaměstnanci; na základě dotazníku konstatuje, že od roku 2025 má EIOÚ pro toto oddělení rozpočet, který pokrývá dvě stálá pracovní místa a pět míst pro smluvní zaměstnance, na která již proběhla výběrová řízení; na základě dotazníku však bere na vědomí názor EIOÚ, že tyto zdroje jsou stále nedostatečné k pokrytí těchto nových úkolů, zejména dohledu nad systémy umělé inteligence v oblasti ochrany hranic, migrace, spravedlnosti a vymáhání práva nebo zřízení regulačního sandboxu pro AI pro orgány, instituce nebo jiné subjekty Unie, jak je stanoveno v čl. 57 odst. 3 nařízení (EU) 2024/1689; na základě zprávy EIOÚ navazující na usnesení Parlamentu o plnění rozpočtu EIOÚ na rok 2022 (dále jen „návazná zpráva“) dále konstatuje, že EIOÚ nemohl v roce 2024 zahájit studii proveditelnosti týkající se umělé inteligence, a to rovněž z důvodu rozpočtových omezení;</w:t>
            </w:r>
          </w:p>
        </w:tc>
        <w:tc>
          <w:tcPr>
            <w:tcW w:w="4876" w:type="dxa"/>
            <w:tcBorders>
              <w:top w:val="nil"/>
              <w:left w:val="nil"/>
              <w:bottom w:val="nil"/>
              <w:right w:val="nil"/>
            </w:tcBorders>
          </w:tcPr>
          <w:p>
            <w:pPr>
              <w:pStyle w:val="Normal6a"/>
            </w:pPr>
            <w:r>
              <w:t>13.</w:t>
            </w:r>
            <w:r>
              <w:tab/>
            </w:r>
            <w:r>
              <w:t xml:space="preserve">konstatuje, že dne 1. října 2024 zřídil EIOÚ za účelem plnění svých nových úkolů v oblasti dohledu oddělení umělé inteligence, které v roce 2024 tvořili dva interně přeřazení zaměstnanci; na základě dotazníku konstatuje, že od roku 2025 má EIOÚ pro toto oddělení rozpočet, který pokrývá dvě stálá pracovní místa a pět míst pro smluvní zaměstnance, na která již proběhla výběrová řízení; na základě dotazníku však bere na vědomí názor EIOÚ, že tyto zdroje jsou stále nedostatečné k pokrytí těchto nových úkolů, zejména dohledu nad systémy umělé inteligence v oblasti ochrany hranic, migrace, spravedlnosti a vymáhání práva nebo zřízení regulačního sandboxu pro AI pro orgány, instituce nebo jiné subjekty Unie, jak je stanoveno v čl. 57 odst. 3 nařízení (EU) 2024/1689; na základě zprávy EIOÚ navazující na usnesení Parlamentu o plnění rozpočtu EIOÚ na rok 2022 (dále jen „návazná zpráva“) dále konstatuje, že EIOÚ nemohl v roce 2024 zahájit studii proveditelnosti týkající se umělé inteligence, a to rovněž z důvodu rozpočtových omezení; </w:t>
            </w:r>
            <w:r>
              <w:rPr>
                <w:b/>
                <w:i/>
              </w:rPr>
              <w:t>opakuje proto svou výzvu adresovanou EIOÚ, aby dodržoval pravomoci, které má podle svého mandátu, a jednal s evropskými institucemi a agenturu v duchu spolupráce, neboť se musí vyvarovat právních kroků, které by mohly být později shledány zjevně nepřípustnými, což by mělo negativní důsledky pro řízení zdrojů, a které by úřadu EIOÚ znemožňovaly vykonávat jeho činnost jakožto instituci;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konstatuje, že dne 1. října 2024 zřídil EIOÚ za účelem plnění svých nových úkolů v oblasti dohledu oddělení umělé inteligence, které v roce 2024 tvořili dva interně přeřazení zaměstnanci; na základě dotazníku konstatuje, že od roku 2025 má EIOÚ pro toto oddělení rozpočet, který pokrývá dvě stálá pracovní místa a pět míst pro smluvní zaměstnance, na která již proběhla výběrová řízení; na základě dotazníku však bere na vědomí názor EIOÚ, že tyto zdroje jsou stále nedostatečné k pokrytí těchto nových úkolů, zejména dohledu nad systémy umělé inteligence v oblasti ochrany hranic, migrace, spravedlnosti a vymáhání práva nebo zřízení regulačního sandboxu pro AI pro orgány, instituce nebo jiné subjekty Unie, jak je stanoveno v čl. 57 odst. 3 nařízení (EU) 2024/1689; na základě zprávy EIOÚ navazující na usnesení Parlamentu o plnění rozpočtu EIOÚ na rok 2022 (dále jen „návazná zpráva“) dále konstatuje, že EIOÚ nemohl v roce 2024 zahájit studii proveditelnosti týkající se umělé inteligence, a to rovněž z důvodu rozpočtových omezení;</w:t>
            </w:r>
          </w:p>
        </w:tc>
        <w:tc>
          <w:tcPr>
            <w:tcW w:w="4876" w:type="dxa"/>
            <w:tcBorders>
              <w:top w:val="nil"/>
              <w:left w:val="nil"/>
              <w:bottom w:val="nil"/>
              <w:right w:val="nil"/>
            </w:tcBorders>
          </w:tcPr>
          <w:p>
            <w:pPr>
              <w:pStyle w:val="Normal6a"/>
            </w:pPr>
            <w:r>
              <w:t>13.</w:t>
            </w:r>
            <w:r>
              <w:tab/>
            </w:r>
            <w:r>
              <w:t xml:space="preserve">konstatuje, že dne 1. října 2024 zřídil EIOÚ za účelem plnění svých nových úkolů v oblasti dohledu oddělení umělé inteligence, které v roce 2024 tvořili dva interně přeřazení zaměstnanci; na základě dotazníku konstatuje, že od roku 2025 má EIOÚ pro toto oddělení rozpočet, který pokrývá dvě stálá pracovní místa a pět míst pro smluvní zaměstnance, na která již proběhla výběrová řízení; na základě dotazníku však bere na vědomí názor EIOÚ, že tyto zdroje jsou stále nedostatečné k pokrytí těchto nových úkolů, zejména dohledu nad systémy umělé inteligence v oblasti ochrany hranic, migrace, spravedlnosti a vymáhání práva nebo zřízení regulačního sandboxu pro AI pro orgány, instituce nebo jiné subjekty Unie, jak je stanoveno v čl. 57 odst. 3 nařízení (EU) 2024/1689; na základě zprávy EIOÚ navazující na usnesení Parlamentu o plnění rozpočtu EIOÚ na rok 2022 (dále jen „návazná zpráva“) dále konstatuje, že EIOÚ nemohl v roce 2024 zahájit studii proveditelnosti týkající se umělé inteligence, a to rovněž z důvodu rozpočtových omezení; </w:t>
            </w:r>
            <w:r>
              <w:rPr>
                <w:b/>
                <w:i/>
              </w:rPr>
              <w:t>připomíná, že Parlament již ve svém usnesení o udělení absolutoria za rok 2023 varoval, že postupné rozšiřování mandátu EIOÚ by mohlo přesáhnout dostupné zdroje;</w:t>
            </w:r>
            <w:r>
              <w:t xml:space="preserve"> </w:t>
            </w:r>
            <w:r>
              <w:rPr>
                <w:b/>
                <w:i/>
              </w:rPr>
              <w:t>zdůrazňuje, že tento strukturální problém bude třeba řešit v budoucím rozpočtovém plánování;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konstatuje, že dne 1. října 2024 zřídil EIOÚ za účelem plnění svých nových úkolů v oblasti dohledu oddělení umělé inteligence, které v roce 2024 tvořili dva interně přeřazení zaměstnanci; na základě dotazníku konstatuje, že od roku 2025 má EIOÚ pro toto oddělení rozpočet, který pokrývá dvě stálá pracovní místa a pět míst pro smluvní zaměstnance, na která již proběhla výběrová řízení; na základě dotazníku však bere na vědomí názor EIOÚ, že tyto zdroje jsou stále nedostatečné k pokrytí těchto nových úkolů, zejména dohledu nad systémy umělé inteligence v oblasti ochrany hranic, migrace, spravedlnosti a vymáhání práva nebo zřízení regulačního sandboxu pro AI pro orgány, instituce nebo jiné subjekty Unie, jak je stanoveno v čl. 57 odst. 3 nařízení (EU) 2024/1689; na základě zprávy EIOÚ navazující na usnesení Parlamentu o plnění rozpočtu EIOÚ na rok 2022 (dále jen „návazná zpráva“) dále konstatuje, že EIOÚ nemohl v roce 2024 zahájit studii proveditelnosti týkající se umělé inteligence, a to rovněž z důvodu rozpočtových omezení;</w:t>
            </w:r>
          </w:p>
        </w:tc>
        <w:tc>
          <w:tcPr>
            <w:tcW w:w="4876" w:type="dxa"/>
            <w:tcBorders>
              <w:top w:val="nil"/>
              <w:left w:val="nil"/>
              <w:bottom w:val="nil"/>
              <w:right w:val="nil"/>
            </w:tcBorders>
          </w:tcPr>
          <w:p>
            <w:pPr>
              <w:pStyle w:val="Normal6a"/>
            </w:pPr>
            <w:r>
              <w:t>13.</w:t>
            </w:r>
            <w:r>
              <w:tab/>
            </w:r>
            <w:r>
              <w:t xml:space="preserve">konstatuje, že dne 1. října 2024 zřídil EIOÚ za účelem plnění svých nových úkolů v oblasti dohledu oddělení umělé inteligence, které v roce 2024 tvořili dva interně přeřazení zaměstnanci; na základě dotazníku konstatuje, že od roku 2025 má EIOÚ pro toto oddělení rozpočet, který pokrývá dvě stálá pracovní místa a pět míst pro smluvní zaměstnance, na která již proběhla výběrová řízení; na základě dotazníku však bere na vědomí názor EIOÚ, že tyto zdroje jsou stále nedostatečné k pokrytí těchto nových úkolů, zejména dohledu nad systémy umělé inteligence v oblasti ochrany hranic, migrace, spravedlnosti a vymáhání práva nebo zřízení regulačního sandboxu pro AI pro orgány, instituce nebo jiné subjekty Unie, jak je stanoveno v čl. 57 odst. 3 nařízení (EU) 2024/1689; na základě zprávy EIOÚ navazující na usnesení Parlamentu o plnění rozpočtu EIOÚ na rok 2022 (dále jen „návazná zpráva“) dále konstatuje, že EIOÚ nemohl v roce 2024 zahájit studii proveditelnosti týkající se umělé inteligence, a to rovněž z důvodu rozpočtových omezení; </w:t>
            </w:r>
            <w:r>
              <w:rPr>
                <w:b/>
                <w:i/>
              </w:rPr>
              <w:t>zdůrazňuje, že EIOÚ by měl mít k dispozici odpovídající finanční a lidské zdroje, aby mohl účinně dohlížet na systémy umělé inteligence ve významných oblastech a zajistit, aby nedostatek zdrojů neohrozil dohled nad dodržování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konstatuje, že občané a veřejné orgány se i nadále potýkají s tím, že pravidla ochrany údajů jsou v jednotlivých členských státech uplatňována nestejným způsobem;</w:t>
            </w:r>
            <w:r>
              <w:t xml:space="preserve"> </w:t>
            </w:r>
            <w:r>
              <w:rPr>
                <w:b/>
                <w:i/>
              </w:rPr>
              <w:t>vyjadřuje politování nad tím, že z důvodu roztříštěné koordinace a rozdílnosti postupů prosazování mezi příslušnými orgány se oslabuje právní jistota, ochrana základních práv je nedůsledná a veřejnost ztrácí důvěru v rámec Unie pro ochranu údajů;</w:t>
            </w:r>
            <w:r>
              <w:t xml:space="preserve"> </w:t>
            </w:r>
            <w:r>
              <w:rPr>
                <w:b/>
                <w:i/>
              </w:rPr>
              <w:t>zdůrazňuje význam posílené koordinace, sbližování výkladu a účinné spolupráce s cílem zajistit jednotné uplatňování právních předpisů Unie v oblasti ochrany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na základě výroční zprávy a návazné zprávy konstatuje, že EIOÚ věnoval zvláštní pozornost zpracování údajů o dětech, zejména v souvislosti s vymáháním práva; konstatuje, že jeden z auditů, jež EIOÚ provedl v roce 2024, se týkal zpracování osobních údajů dětí v rámci výzkumných projektů řízených Společným výzkumným střediskem Komise ve Španělsku, zejména pokud jde o interakci dětí s roboty; s uspokojením konstatuje, že se EIOÚ v říjnu 2024 zúčastnil kulatého stolu úřadů pro ochranu osobních údajů skupiny G7 v Římě, při jehož příležitosti vydaly tyto úřady pro ochranu osobních údajů „Prohlášení o umělé inteligenci a dětech“, v němž naléhavě vyzývají k přijetí opatření na ochranu soukromí dětí a zajištění toho, aby umělá inteligence posilovala důvěru a zároveň chránila nejzranitelnější osoby; připomíná, že EIOÚ </w:t>
            </w:r>
            <w:r>
              <w:rPr>
                <w:b/>
                <w:i/>
              </w:rPr>
              <w:t>provedl každoroční</w:t>
            </w:r>
            <w:r>
              <w:t xml:space="preserve"> kontrolu zpracování údajů Europolem o nezletilých osobách mladších 15 let označených jako podezřelé; konstatuje, že ve zprávě o kontrole žádá EIOÚ Europol, aby </w:t>
            </w:r>
            <w:r>
              <w:rPr>
                <w:b/>
                <w:i/>
              </w:rPr>
              <w:t>provedl</w:t>
            </w:r>
            <w:r>
              <w:t xml:space="preserve"> vlastní </w:t>
            </w:r>
            <w:r>
              <w:rPr>
                <w:b/>
                <w:i/>
              </w:rPr>
              <w:t>posouzení</w:t>
            </w:r>
            <w:r>
              <w:t xml:space="preserve"> zákonnosti přijímaných údajů, a </w:t>
            </w:r>
            <w:r>
              <w:rPr>
                <w:b/>
                <w:i/>
              </w:rPr>
              <w:t>vyjadřuje obavy, zda</w:t>
            </w:r>
            <w:r>
              <w:t xml:space="preserve"> Europol </w:t>
            </w:r>
            <w:r>
              <w:rPr>
                <w:b/>
                <w:i/>
              </w:rPr>
              <w:t>splňuje požadavek „přísné proporcionality“</w:t>
            </w:r>
            <w:r>
              <w:t xml:space="preserve"> při zpracování údajů o nezletilých osobách podezřelých z </w:t>
            </w:r>
            <w:r>
              <w:rPr>
                <w:b/>
                <w:i/>
              </w:rPr>
              <w:t>méně závažných deliktů</w:t>
            </w:r>
            <w:r>
              <w:t>;</w:t>
            </w:r>
          </w:p>
        </w:tc>
        <w:tc>
          <w:tcPr>
            <w:tcW w:w="4876" w:type="dxa"/>
            <w:tcBorders>
              <w:top w:val="nil"/>
              <w:left w:val="nil"/>
              <w:bottom w:val="nil"/>
              <w:right w:val="nil"/>
            </w:tcBorders>
          </w:tcPr>
          <w:p>
            <w:pPr>
              <w:pStyle w:val="Normal6a"/>
            </w:pPr>
            <w:r>
              <w:t>19.</w:t>
            </w:r>
            <w:r>
              <w:tab/>
            </w:r>
            <w:r>
              <w:t xml:space="preserve">na základě výroční zprávy a návazné zprávy konstatuje, že EIOÚ věnoval zvláštní pozornost zpracování údajů o dětech, zejména v souvislosti s vymáháním práva; konstatuje, že jeden z auditů, jež EIOÚ provedl v roce 2024, se týkal zpracování osobních údajů dětí v rámci výzkumných projektů řízených Společným výzkumným střediskem Komise ve Španělsku, zejména pokud jde o interakci dětí s roboty; s uspokojením konstatuje, že se EIOÚ v říjnu 2024 zúčastnil kulatého stolu úřadů pro ochranu osobních údajů skupiny G7 v Římě, při jehož příležitosti vydaly tyto úřady pro ochranu osobních údajů „Prohlášení o umělé inteligenci a dětech“, v němž naléhavě vyzývají k přijetí opatření na ochranu soukromí dětí a zajištění toho, aby umělá inteligence posilovala důvěru a zároveň chránila nejzranitelnější osoby; připomíná, že EIOÚ </w:t>
            </w:r>
            <w:r>
              <w:rPr>
                <w:b/>
                <w:i/>
              </w:rPr>
              <w:t>každý rok prováděl zvláštní</w:t>
            </w:r>
            <w:r>
              <w:t xml:space="preserve"> kontrolu zpracování údajů Europolem o nezletilých osobách mladších 15 let označených jako podezřelé; </w:t>
            </w:r>
            <w:r>
              <w:rPr>
                <w:b/>
                <w:i/>
              </w:rPr>
              <w:t>oceňuje, že evropský inspektor ochrany údajů dospěl k závěru, že obecný postup posuzování informací poskytovaných partnery o nezletilých osobách (včetně nezletilých do 15 let) je jednoznačný a dobře propracovaný;</w:t>
            </w:r>
            <w:r>
              <w:t xml:space="preserve"> konstatuje, že ve zprávě o kontrole žádá EIOÚ Europol, aby </w:t>
            </w:r>
            <w:r>
              <w:rPr>
                <w:b/>
                <w:i/>
              </w:rPr>
              <w:t>nadále prováděl</w:t>
            </w:r>
            <w:r>
              <w:t xml:space="preserve"> vlastní </w:t>
            </w:r>
            <w:r>
              <w:rPr>
                <w:b/>
                <w:i/>
              </w:rPr>
              <w:t>posuzování</w:t>
            </w:r>
            <w:r>
              <w:t xml:space="preserve"> zákonnosti přijímaných údajů, a </w:t>
            </w:r>
            <w:r>
              <w:rPr>
                <w:b/>
                <w:i/>
              </w:rPr>
              <w:t>zdůrazňuje, že</w:t>
            </w:r>
            <w:r>
              <w:t xml:space="preserve"> Europol </w:t>
            </w:r>
            <w:r>
              <w:rPr>
                <w:b/>
                <w:i/>
              </w:rPr>
              <w:t>musí posuzovat, zda je</w:t>
            </w:r>
            <w:r>
              <w:t xml:space="preserve"> při zpracování údajů o nezletilých osobách podezřelých z </w:t>
            </w:r>
            <w:r>
              <w:rPr>
                <w:b/>
                <w:i/>
              </w:rPr>
              <w:t>trestných činů splněn požadavek „naprosté nezbytnosti“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připomíná, že v roce 2024 vydal evropský inspektor ochrany údajů rozhodnutí ohledně tří stížností, které se týkaly online testů v rámci výběrových řízení, jež v roce 2023 pořádal Evropský úřad pro výběr personálu (EPSO) prostřednictvím externího dodavatele;</w:t>
            </w:r>
            <w:r>
              <w:t xml:space="preserve"> </w:t>
            </w:r>
            <w:r>
              <w:rPr>
                <w:b/>
                <w:i/>
              </w:rPr>
              <w:t>konstatuje, že EIOÚ zjistil, že úřad EPSO porušil několik ustanovení nařízení (EU) 2018/1725;</w:t>
            </w:r>
            <w:r>
              <w:t xml:space="preserve"> </w:t>
            </w:r>
            <w:r>
              <w:rPr>
                <w:b/>
                <w:i/>
              </w:rPr>
              <w:t>zdůrazňuje, že při přijímacích řízeních je velmi důležité, aby byly dodrženy veškeré požadavky právních předpisů Unie na ochranu údajů, zejména pokud se používají nové digitální prostředky a nástroje pro hodnocení na dálku;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připomíná, že evropský inspektor ochrany údajů vydal rozhodnutí o stížnosti, které se týkala cílené reklamní kampaně vedené Evropskou komisí na platformě X;</w:t>
            </w:r>
            <w:r>
              <w:t xml:space="preserve"> </w:t>
            </w:r>
            <w:r>
              <w:rPr>
                <w:b/>
                <w:i/>
              </w:rPr>
              <w:t>připomíná, že EIOÚ dospěl k závěru, že Komise porušila několik ustanovení nařízení (EU) 2018/1725, neboť bez opory v zákoně protiprávně zpracovávala určité osobní údaje, včetně zvláštních kategorií údajů, jako jsou politické názory a náboženské přesvědčení;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připomíná, že v roce 2022 podal EIOÚ u Soudního dvora Evropské unie (SDEU) žalobu na neplatnost dvou ustanovení pozměněného nařízení Evropského parlamentu a Rady (EU) 2016/794</w:t>
            </w:r>
            <w:r>
              <w:rPr>
                <w:vertAlign w:val="superscript"/>
              </w:rPr>
              <w:t>2</w:t>
            </w:r>
            <w:r>
              <w:t xml:space="preserve">, kterou SDEU později zamítl, </w:t>
            </w:r>
            <w:r>
              <w:rPr>
                <w:b/>
                <w:i/>
              </w:rPr>
              <w:t>ale poté</w:t>
            </w:r>
            <w:r>
              <w:t xml:space="preserve"> se EIOÚ </w:t>
            </w:r>
            <w:r>
              <w:rPr>
                <w:b/>
                <w:i/>
              </w:rPr>
              <w:t>odvolal u</w:t>
            </w:r>
            <w:r>
              <w:t xml:space="preserve"> Tribunálu </w:t>
            </w:r>
            <w:r>
              <w:rPr>
                <w:b/>
                <w:i/>
              </w:rPr>
              <w:t>v rozhodnutí</w:t>
            </w:r>
            <w:r>
              <w:t xml:space="preserve"> ve věci T-578/22</w:t>
            </w:r>
            <w:r>
              <w:rPr>
                <w:vertAlign w:val="superscript"/>
              </w:rPr>
              <w:t>3</w:t>
            </w:r>
            <w:r>
              <w:rPr>
                <w:b/>
                <w:i/>
              </w:rPr>
              <w:t>, neboť byl</w:t>
            </w:r>
            <w:r>
              <w:t xml:space="preserve"> přesvědčen, že vznesené otázky by měly být řešeny na nejvyšší úrovni; na základě návazné zprávy konstatuje, že se EIOÚ zdržuje vyjádření k tomuto odvolání, neboť toto řízení stále probíhá; </w:t>
            </w:r>
            <w:r>
              <w:rPr>
                <w:b/>
                <w:i/>
              </w:rPr>
              <w:t>připomíná, že předkládání právních otázek Soudnímu dvoru EU</w:t>
            </w:r>
            <w:r>
              <w:t xml:space="preserve"> ze strany </w:t>
            </w:r>
            <w:r>
              <w:rPr>
                <w:b/>
                <w:i/>
              </w:rPr>
              <w:t>EIOÚ v rámci jeho dohledové funkce by nemělo být vnímáno tak, že ohrožuje loajální spolupráci a dobré vztahy mezi EIOÚ a subjekty, nad nimiž vykonává dohled</w:t>
            </w:r>
            <w:r>
              <w:t>;</w:t>
            </w:r>
          </w:p>
        </w:tc>
        <w:tc>
          <w:tcPr>
            <w:tcW w:w="4876" w:type="dxa"/>
            <w:tcBorders>
              <w:top w:val="nil"/>
              <w:left w:val="nil"/>
              <w:bottom w:val="nil"/>
              <w:right w:val="nil"/>
            </w:tcBorders>
          </w:tcPr>
          <w:p>
            <w:pPr>
              <w:pStyle w:val="Normal6a"/>
            </w:pPr>
            <w:r>
              <w:t>22.</w:t>
            </w:r>
            <w:r>
              <w:tab/>
            </w:r>
            <w:r>
              <w:t>připomíná, že v roce 2022 podal EIOÚ u Soudního dvora Evropské unie (SDEU) žalobu na neplatnost dvou ustanovení pozměněného nařízení Evropského parlamentu a Rady (EU) 2016/794</w:t>
            </w:r>
            <w:r>
              <w:rPr>
                <w:vertAlign w:val="superscript"/>
              </w:rPr>
              <w:t>2</w:t>
            </w:r>
            <w:r>
              <w:t>, kterou SDEU později zamítl, </w:t>
            </w:r>
            <w:r>
              <w:rPr>
                <w:b/>
                <w:i/>
              </w:rPr>
              <w:t>kterou Tribunál prohlásil za nepřípustnou;</w:t>
            </w:r>
            <w:r>
              <w:t xml:space="preserve"> </w:t>
            </w:r>
            <w:r>
              <w:rPr>
                <w:b/>
                <w:i/>
              </w:rPr>
              <w:t>konstatuje, že</w:t>
            </w:r>
            <w:r>
              <w:t xml:space="preserve"> se EIOÚ </w:t>
            </w:r>
            <w:r>
              <w:rPr>
                <w:b/>
                <w:i/>
              </w:rPr>
              <w:t>rozhodl proti usnesení</w:t>
            </w:r>
            <w:r>
              <w:t xml:space="preserve"> Tribunálu ve věci T-578/22</w:t>
            </w:r>
            <w:r>
              <w:rPr>
                <w:vertAlign w:val="superscript"/>
              </w:rPr>
              <w:t>3</w:t>
            </w:r>
            <w:r>
              <w:t xml:space="preserve"> </w:t>
            </w:r>
            <w:r>
              <w:rPr>
                <w:b/>
                <w:i/>
              </w:rPr>
              <w:t>odvolat, a je</w:t>
            </w:r>
            <w:r>
              <w:t xml:space="preserve"> přesvědčen, že vznesené otázky by měly být řešeny na nejvyšší úrovni; na základě návazné zprávy konstatuje, že se EIOÚ zdržuje vyjádření k tomuto odvolání, neboť toto řízení stále probíhá; </w:t>
            </w:r>
            <w:r>
              <w:rPr>
                <w:b/>
                <w:i/>
              </w:rPr>
              <w:t>opakuje své politování nad tím, že si EIOÚ neuvědomil zjevnou nepřípustnost své činnosti, a znovu jej vyzývá, aby před zahájením soudního řízení spolupracoval s orgány a agenturami Unie, což brání plnění jeho mandátu a využívání jeho zdrojů k účelům, k nimž byly původně určeny;</w:t>
            </w:r>
            <w:r>
              <w:t xml:space="preserve"> </w:t>
            </w:r>
            <w:r>
              <w:rPr>
                <w:b/>
                <w:i/>
              </w:rPr>
              <w:t>dále konstatuje, že EIOÚ rovněž provedl kroky navazující na provádění svého usnesení ze dne 3. ledna 2022, včetně kontrol podávání zpráv</w:t>
            </w:r>
            <w:r>
              <w:t xml:space="preserve"> ze strany </w:t>
            </w:r>
            <w:r>
              <w:rPr>
                <w:b/>
                <w:i/>
              </w:rPr>
              <w:t>Europolu;</w:t>
            </w:r>
            <w:r>
              <w:t xml:space="preserve"> </w:t>
            </w:r>
            <w:r>
              <w:rPr>
                <w:b/>
                <w:i/>
              </w:rPr>
              <w:t>vyjadřuje politování nad tím, že závěrečnou zprávu o této záležitosti předložil EIOÚ až 22. července 2024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 xml:space="preserve">Nařízení Evropského parlamentu a Rady (EU) 2016/794 ze dne 11. května 2016 o Agentuře Evropské unie pro spolupráci v oblasti prosazování práva (Europol) a o zrušení a nahrazení rozhodnutí 2009/371/SVV, 2009/934/SVV, 2009/935/SVV, 2009/936/SVV a 2009/968/SVV (Úř. věst. L </w:t>
            </w:r>
            <w:r>
              <w:rPr>
                <w:b/>
                <w:i/>
              </w:rPr>
              <w:t>135, 24.5.2016, s.</w:t>
            </w:r>
            <w:r>
              <w:t xml:space="preserve"> </w:t>
            </w:r>
            <w:r>
              <w:rPr>
                <w:b/>
                <w:i/>
              </w:rPr>
              <w:t>53, ELI: http://data.europa</w:t>
            </w:r>
            <w:r>
              <w:t>.</w:t>
            </w:r>
            <w:r>
              <w:rPr>
                <w:b/>
                <w:i/>
              </w:rPr>
              <w:t>eu/eli/reg/2016/794/oj)</w:t>
            </w:r>
            <w:r>
              <w:t>.</w:t>
            </w:r>
          </w:p>
        </w:tc>
        <w:tc>
          <w:tcPr>
            <w:tcW w:w="4876" w:type="dxa"/>
            <w:tcBorders>
              <w:top w:val="nil"/>
              <w:left w:val="nil"/>
              <w:bottom w:val="nil"/>
              <w:right w:val="nil"/>
            </w:tcBorders>
          </w:tcPr>
          <w:p>
            <w:pPr>
              <w:pStyle w:val="Normal6a"/>
            </w:pPr>
            <w:r>
              <w:rPr>
                <w:vertAlign w:val="superscript"/>
              </w:rPr>
              <w:t>2</w:t>
            </w:r>
            <w:r>
              <w:t xml:space="preserve"> </w:t>
            </w:r>
            <w:r>
              <w:t xml:space="preserve">Nařízení Evropského parlamentu a Rady (EU) 2016/794 ze dne 11. května 2016 o Agentuře Evropské unie pro spolupráci v oblasti prosazování práva (Europol) a o zrušení a nahrazení rozhodnutí 2009/371/SVV, 2009/934/SVV, 2009/935/SVV, 2009/936/SVV a 2009/968/SVV (Úř. věst. L </w:t>
            </w:r>
            <w:r>
              <w:rPr>
                <w:b/>
                <w:i/>
              </w:rPr>
              <w:t>295, 21.11.2018, s. </w:t>
            </w:r>
            <w:r>
              <w:t xml:space="preserve"> </w:t>
            </w:r>
            <w:r>
              <w:rPr>
                <w:b/>
                <w:i/>
              </w:rPr>
              <w:t>39, ELI: https://eur-lex.europa</w:t>
            </w:r>
            <w:r>
              <w:t>.</w:t>
            </w:r>
            <w:r>
              <w:rPr>
                <w:b/>
                <w:i/>
              </w:rPr>
              <w:t>eu/eli/reg/2018/1725/oj?locale=cs)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Usnesení Tribunálu ze dne 6. září 2023, EIOÚ v. Parlament a Rada, T-578/22, ECLI:EU:T:2023:522.</w:t>
            </w:r>
          </w:p>
        </w:tc>
        <w:tc>
          <w:tcPr>
            <w:tcW w:w="4876" w:type="dxa"/>
            <w:tcBorders>
              <w:top w:val="nil"/>
              <w:left w:val="nil"/>
              <w:bottom w:val="nil"/>
              <w:right w:val="nil"/>
            </w:tcBorders>
          </w:tcPr>
          <w:p>
            <w:pPr>
              <w:pStyle w:val="Normal6a"/>
            </w:pPr>
            <w:r>
              <w:rPr>
                <w:vertAlign w:val="superscript"/>
              </w:rPr>
              <w:t>3</w:t>
            </w:r>
            <w:r>
              <w:t xml:space="preserve"> </w:t>
            </w:r>
            <w:r>
              <w:t>Usnesení Tribunálu ze dne 6. září 2023, EIOÚ v. Parlament a Rada, T-578/22, ECLI:EU:T:2023:522.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připomíná, že v roce 2022 podal EIOÚ u Soudního dvora Evropské unie (SDEU) žalobu na neplatnost dvou ustanovení pozměněného nařízení Evropského parlamentu a Rady (EU) 2016/794</w:t>
            </w:r>
            <w:r>
              <w:rPr>
                <w:vertAlign w:val="superscript"/>
              </w:rPr>
              <w:t>2</w:t>
            </w:r>
            <w:r>
              <w:t>, kterou SDEU později zamítl, ale poté se EIOÚ odvolal u Tribunálu v rozhodnutí ve věci T-578/22</w:t>
            </w:r>
            <w:r>
              <w:rPr>
                <w:vertAlign w:val="superscript"/>
              </w:rPr>
              <w:t>3</w:t>
            </w:r>
            <w:r>
              <w:t>, neboť byl přesvědčen, že vznesené otázky by měly být řešeny na nejvyšší úrovni; na základě návazné zprávy konstatuje, že se EIOÚ zdržuje vyjádření k tomuto odvolání, neboť toto řízení stále probíhá; připomíná, že předkládání právních otázek Soudnímu dvoru EU ze strany EIOÚ v rámci jeho dohledové funkce by nemělo být vnímáno tak, že ohrožuje loajální spolupráci a dobré vztahy mezi EIOÚ a subjekty, nad nimiž vykonává dohled;</w:t>
            </w:r>
          </w:p>
        </w:tc>
        <w:tc>
          <w:tcPr>
            <w:tcW w:w="4876" w:type="dxa"/>
            <w:tcBorders>
              <w:top w:val="nil"/>
              <w:left w:val="nil"/>
              <w:bottom w:val="nil"/>
              <w:right w:val="nil"/>
            </w:tcBorders>
          </w:tcPr>
          <w:p>
            <w:pPr>
              <w:pStyle w:val="Normal6a"/>
            </w:pPr>
            <w:r>
              <w:t>22.</w:t>
            </w:r>
            <w:r>
              <w:tab/>
            </w:r>
            <w:r>
              <w:t>připomíná, že v roce 2022 podal EIOÚ u Soudního dvora Evropské unie (SDEU) žalobu na neplatnost dvou ustanovení pozměněného nařízení Evropského parlamentu a Rady (EU) 2016/794</w:t>
            </w:r>
            <w:r>
              <w:rPr>
                <w:vertAlign w:val="superscript"/>
              </w:rPr>
              <w:t>2</w:t>
            </w:r>
            <w:r>
              <w:t>, kterou SDEU později zamítl, ale poté se EIOÚ odvolal u Tribunálu v rozhodnutí ve věci T-578/22</w:t>
            </w:r>
            <w:r>
              <w:rPr>
                <w:vertAlign w:val="superscript"/>
              </w:rPr>
              <w:t>3</w:t>
            </w:r>
            <w:r>
              <w:t>, neboť byl přesvědčen, že vznesené otázky by měly být řešeny na nejvyšší úrovni; na základě návazné zprávy konstatuje, že se EIOÚ zdržuje vyjádření k tomuto odvolání, neboť toto řízení stále probíhá; připomíná, že předkládání právních otázek Soudnímu dvoru EU ze strany EIOÚ v rámci jeho dohledové funkce by nemělo být vnímáno tak, že ohrožuje loajální spolupráci a dobré vztahy mezi EIOÚ a subjekty, nad nimiž vykonává dohled</w:t>
            </w:r>
            <w:r>
              <w:rPr>
                <w:b/>
                <w:i/>
              </w:rPr>
              <w:t>, ale konstatuje, že to vyvolává pochybnosti o postoji EIOÚ k úloze Evropského parlamentu a Rady jako normotvůrce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 xml:space="preserve">Nařízení Evropského parlamentu a Rady (EU) 2016/794 ze dne 11. května 2016 o Agentuře Evropské unie pro spolupráci v oblasti prosazování práva (Europol) a o zrušení a nahrazení rozhodnutí 2009/371/SVV, 2009/934/SVV, 2009/935/SVV, 2009/936/SVV a 2009/968/SVV (Úř. věst. L </w:t>
            </w:r>
            <w:r>
              <w:rPr>
                <w:b/>
                <w:i/>
              </w:rPr>
              <w:t>135, 24.5.2016, s.</w:t>
            </w:r>
            <w:r>
              <w:t xml:space="preserve"> </w:t>
            </w:r>
            <w:r>
              <w:rPr>
                <w:b/>
                <w:i/>
              </w:rPr>
              <w:t>53</w:t>
            </w:r>
            <w:r>
              <w:t>, ELI: http://data.europa.</w:t>
            </w:r>
            <w:r>
              <w:rPr>
                <w:b/>
                <w:i/>
              </w:rPr>
              <w:t>eu/eli/reg/2016/794/oj)</w:t>
            </w:r>
            <w:r>
              <w:t>.</w:t>
            </w:r>
          </w:p>
        </w:tc>
        <w:tc>
          <w:tcPr>
            <w:tcW w:w="4876" w:type="dxa"/>
            <w:tcBorders>
              <w:top w:val="nil"/>
              <w:left w:val="nil"/>
              <w:bottom w:val="nil"/>
              <w:right w:val="nil"/>
            </w:tcBorders>
          </w:tcPr>
          <w:p>
            <w:pPr>
              <w:pStyle w:val="Normal6a"/>
            </w:pPr>
            <w:r>
              <w:rPr>
                <w:vertAlign w:val="superscript"/>
              </w:rPr>
              <w:t>2</w:t>
            </w:r>
            <w:r>
              <w:t xml:space="preserve"> </w:t>
            </w:r>
            <w:r>
              <w:t xml:space="preserve">Nařízení Evropského parlamentu a Rady (EU) 2016/794 ze dne 11. května 2016 o Agentuře Evropské unie pro spolupráci v oblasti prosazování práva (Europol) a o zrušení a nahrazení rozhodnutí 2009/371/SVV, 2009/934/SVV, 2009/935/SVV, 2009/936/SVV a 2009/968/SVV (Úř. věst. L </w:t>
            </w:r>
            <w:r>
              <w:rPr>
                <w:b/>
                <w:i/>
              </w:rPr>
              <w:t>295, 21.11.2018, s. </w:t>
            </w:r>
            <w:r>
              <w:t xml:space="preserve"> </w:t>
            </w:r>
            <w:r>
              <w:rPr>
                <w:b/>
                <w:i/>
              </w:rPr>
              <w:t>39</w:t>
            </w:r>
            <w:r>
              <w:t>, ELI: http://data.europa.</w:t>
            </w:r>
            <w:r>
              <w:rPr>
                <w:b/>
                <w:i/>
              </w:rPr>
              <w:t>eu/eli/reg/2018/1725/oj)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Usnesení Tribunálu ze dne 6. září 2023, EIOÚ v. Parlament a Rada, T-578/22, ECLI:EU:T:2023:522.</w:t>
            </w:r>
          </w:p>
        </w:tc>
        <w:tc>
          <w:tcPr>
            <w:tcW w:w="4876" w:type="dxa"/>
            <w:tcBorders>
              <w:top w:val="nil"/>
              <w:left w:val="nil"/>
              <w:bottom w:val="nil"/>
              <w:right w:val="nil"/>
            </w:tcBorders>
          </w:tcPr>
          <w:p>
            <w:pPr>
              <w:pStyle w:val="Normal6a"/>
            </w:pPr>
            <w:r>
              <w:rPr>
                <w:vertAlign w:val="superscript"/>
              </w:rPr>
              <w:t>3</w:t>
            </w:r>
            <w:r>
              <w:t xml:space="preserve"> </w:t>
            </w:r>
            <w:r>
              <w:t>Usnesení Tribunálu ze dne 6. září 2023, EIOÚ v. Parlament a Rada, T-578/22, ECLI:EU:T:2023:522.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na základě dotazníku konstatuje, že Útvar interního auditu Komise (IAS) zahájil v roce 2024 jeden audit týkající se správy a řízení IT služeb poskytovaných Parlamentem EIOÚ, jehož výsledkem byla dvě doporučení, která v současné době EIOÚ provádí; v souvislosti s auditem z roku 2023 týkajícím se „metodiky pro plánování auditů EIOÚ“ konstatuje, že jedno ze dvou doporučení vydaných IAS bylo realizováno, zatímco provedení druhého doporučení (týkajícího se koncepce metodiky pro sestavování plánu auditů EIOÚ) bylo odloženo na dobu, kdy bude jmenován nový inspektor; vyzývá EIOÚ, aby orgán příslušný k udělení absolutoria průběžně informoval o pokroku dosaženém v této věci;</w:t>
            </w:r>
          </w:p>
        </w:tc>
        <w:tc>
          <w:tcPr>
            <w:tcW w:w="4876" w:type="dxa"/>
            <w:tcBorders>
              <w:top w:val="nil"/>
              <w:left w:val="nil"/>
              <w:bottom w:val="nil"/>
              <w:right w:val="nil"/>
            </w:tcBorders>
          </w:tcPr>
          <w:p>
            <w:pPr>
              <w:pStyle w:val="Normal6a"/>
            </w:pPr>
            <w:r>
              <w:t>24.</w:t>
            </w:r>
            <w:r>
              <w:tab/>
            </w:r>
            <w:r>
              <w:t>na základě dotazníku konstatuje, že Útvar interního auditu Komise (IAS) zahájil v roce 2024 jeden audit týkající se správy a řízení IT služeb poskytovaných Parlamentem EIOÚ, jehož výsledkem byla dvě doporučení, která v současné době EIOÚ provádí; v souvislosti s auditem z roku 2023 týkajícím se „metodiky pro plánování auditů EIOÚ“ konstatuje, že jedno ze dvou doporučení vydaných IAS bylo realizováno, zatímco provedení druhého doporučení (týkajícího se koncepce metodiky pro sestavování plánu auditů EIOÚ) bylo odloženo na dobu, kdy bude jmenován nový inspektor; vyzývá EIOÚ, aby orgán příslušný k udělení absolutoria průběžně informoval o pokroku dosaženém v této věci</w:t>
            </w:r>
            <w:r>
              <w:rPr>
                <w:b/>
                <w:i/>
              </w:rPr>
              <w:t>, a konstatuje, že EIOÚ by měl se subjekty, u nichž provedl audit, konzultovat proveditelnost a vhodnost plánovaných doporučení, aby bylo zajištěno, že je auditovaný subjekt provede rychle, účinně a promyšleně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konstatuje, že koncem roku 2024 měl EIOÚ celkem 137 zaměstnanců oproti 129 v roce 2023; bere na vědomí, že EIOÚ v roce 2024 zaměstnával 55 smluvních zaměstnanců podle čl. 3 písm.</w:t>
            </w:r>
            <w:r>
              <w:rPr>
                <w:b/>
                <w:i/>
              </w:rPr>
              <w:t xml:space="preserve"> b)</w:t>
            </w:r>
            <w:r>
              <w:t xml:space="preserve"> služebního řádu úředníků a pracovního řádu ostatních zaměstnanců (v roce 2023 to bylo 50 smluvních zaměstnanců), 9 dočasných zaměstnanců podle čl. 2 písm.</w:t>
            </w:r>
            <w:r>
              <w:rPr>
                <w:b/>
                <w:i/>
              </w:rPr>
              <w:t xml:space="preserve"> b)</w:t>
            </w:r>
            <w:r>
              <w:t xml:space="preserve"> a čl. 2 písm.</w:t>
            </w:r>
            <w:r>
              <w:rPr>
                <w:b/>
                <w:i/>
              </w:rPr>
              <w:t xml:space="preserve"> c)</w:t>
            </w:r>
            <w:r>
              <w:t xml:space="preserve"> (v roce 2023 to bylo 7 dočasných zaměstnanců) a využíval služeb 10 externích poskytovatelů služeb pracujících v prostorách EIOÚ (v roce 2023 jich bylo 12); vyzývá EIOÚ, aby zvážil způsob, jak snížit počet smluvních zaměstnanců ve prospěch smluv na dobu neurčitou, aby se zajistilo udržení talentů a kontinuita činností; konstatuje, že v roce 2024 byli mezi zaměstnanci EIOÚ zastoupeni státní příslušníci 23 členských států, (stejně jako v roce 2023), což je </w:t>
            </w:r>
            <w:r>
              <w:rPr>
                <w:b/>
                <w:i/>
              </w:rPr>
              <w:t>navzdory nadměrnému zastoupení pěti státních příslušností vynikající výsledek</w:t>
            </w:r>
            <w:r>
              <w:t xml:space="preserve"> pro tak malou instituci;</w:t>
            </w:r>
          </w:p>
        </w:tc>
        <w:tc>
          <w:tcPr>
            <w:tcW w:w="4876" w:type="dxa"/>
            <w:tcBorders>
              <w:top w:val="nil"/>
              <w:left w:val="nil"/>
              <w:bottom w:val="nil"/>
              <w:right w:val="nil"/>
            </w:tcBorders>
          </w:tcPr>
          <w:p>
            <w:pPr>
              <w:pStyle w:val="Normal6a"/>
            </w:pPr>
            <w:r>
              <w:t>25.</w:t>
            </w:r>
            <w:r>
              <w:tab/>
            </w:r>
            <w:r>
              <w:t>konstatuje, že koncem roku 2024 měl EIOÚ celkem 137 zaměstnanců oproti 129 v roce 2023; bere na vědomí, že EIOÚ v roce 2024 zaměstnával 55 smluvních zaměstnanců podle čl. 3 písm.</w:t>
            </w:r>
            <w:r>
              <w:rPr>
                <w:b/>
                <w:i/>
              </w:rPr>
              <w:t> b)</w:t>
            </w:r>
            <w:r>
              <w:t xml:space="preserve"> služebního řádu úředníků a pracovního řádu ostatních zaměstnanců (v roce 2023 to bylo 50 smluvních zaměstnanců), 9 dočasných zaměstnanců podle čl. 2 písm.</w:t>
            </w:r>
            <w:r>
              <w:rPr>
                <w:b/>
                <w:i/>
              </w:rPr>
              <w:t> b)</w:t>
            </w:r>
            <w:r>
              <w:t xml:space="preserve"> a čl. 2 písm.</w:t>
            </w:r>
            <w:r>
              <w:rPr>
                <w:b/>
                <w:i/>
              </w:rPr>
              <w:t> c)</w:t>
            </w:r>
            <w:r>
              <w:t xml:space="preserve"> (v roce 2023 to bylo 7 dočasných zaměstnanců) a využíval služeb 10 externích poskytovatelů služeb pracujících v prostorách EIOÚ (v roce 2023 jich bylo 12); vyzývá EIOÚ, aby zvážil způsob, jak snížit počet smluvních zaměstnanců ve prospěch smluv na dobu neurčitou, aby se zajistilo udržení talentů a kontinuita činností; konstatuje, že v roce 2024 byli mezi zaměstnanci EIOÚ zastoupeni státní příslušníci 23 členských států, (stejně jako v roce 2023), což je pro tak malou instituci </w:t>
            </w:r>
            <w:r>
              <w:rPr>
                <w:b/>
                <w:i/>
              </w:rPr>
              <w:t>vynikající výsledek</w:t>
            </w:r>
            <w:r>
              <w:t xml:space="preserve">; </w:t>
            </w:r>
            <w:r>
              <w:rPr>
                <w:b/>
                <w:i/>
              </w:rPr>
              <w:t>poukazuje nicméně na to, že mezi zaměstnanci jsou nadměrně zastoupeni státní příslušníci pěti států, zatímco ostatní jsou zastoupeni nedostatečně;</w:t>
            </w:r>
            <w:r>
              <w:t xml:space="preserve"> </w:t>
            </w:r>
            <w:r>
              <w:rPr>
                <w:b/>
                <w:i/>
              </w:rPr>
              <w:t>naléhavě vyzývá EIOÚ, aby pokračoval ve svém úsilí o vyvážené zeměpisné zastoupení státních příslušníků všech členských států mezi svými zaměstnanci a aby na základě tohoto požadavku revidoval náborovou politiku;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konstatuje, že koncem roku 2024 měl EIOÚ celkem 137 zaměstnanců oproti 129 v roce 2023; bere na vědomí, že EIOÚ v roce 2024 zaměstnával 55 smluvních zaměstnanců podle čl. 3 písm.</w:t>
            </w:r>
            <w:r>
              <w:rPr>
                <w:b/>
                <w:i/>
              </w:rPr>
              <w:t xml:space="preserve"> b)</w:t>
            </w:r>
            <w:r>
              <w:t xml:space="preserve"> služebního řádu úředníků a pracovního řádu ostatních zaměstnanců (v roce 2023 to bylo 50 smluvních zaměstnanců), 9 dočasných zaměstnanců podle čl. 2 písm.</w:t>
            </w:r>
            <w:r>
              <w:rPr>
                <w:b/>
                <w:i/>
              </w:rPr>
              <w:t xml:space="preserve"> b)</w:t>
            </w:r>
            <w:r>
              <w:t xml:space="preserve"> a čl. 2 písm.</w:t>
            </w:r>
            <w:r>
              <w:rPr>
                <w:b/>
                <w:i/>
              </w:rPr>
              <w:t xml:space="preserve"> c)</w:t>
            </w:r>
            <w:r>
              <w:t xml:space="preserve"> (v roce 2023 to bylo 7 dočasných zaměstnanců) a využíval služeb 10 externích poskytovatelů služeb pracujících v prostorách EIOÚ (v roce 2023 jich bylo 12); vyzývá EIOÚ, aby zvážil způsob, jak snížit počet smluvních zaměstnanců ve prospěch smluv na dobu neurčitou, aby se zajistilo udržení talentů a kontinuita činností; konstatuje, že v roce 2024 byli mezi zaměstnanci EIOÚ zastoupeni státní příslušníci 23 členských států, (stejně jako v roce 2023), což je navzdory nadměrnému zastoupení pěti státních příslušností vynikající výsledek pro tak malou instituci;</w:t>
            </w:r>
          </w:p>
        </w:tc>
        <w:tc>
          <w:tcPr>
            <w:tcW w:w="4876" w:type="dxa"/>
            <w:tcBorders>
              <w:top w:val="nil"/>
              <w:left w:val="nil"/>
              <w:bottom w:val="nil"/>
              <w:right w:val="nil"/>
            </w:tcBorders>
          </w:tcPr>
          <w:p>
            <w:pPr>
              <w:pStyle w:val="Normal6a"/>
            </w:pPr>
            <w:r>
              <w:t>25.</w:t>
            </w:r>
            <w:r>
              <w:tab/>
            </w:r>
            <w:r>
              <w:t>konstatuje, že koncem roku 2024 měl EIOÚ celkem 137 zaměstnanců oproti 129 v roce 2023; bere na vědomí, že EIOÚ v roce 2024 zaměstnával 55 smluvních zaměstnanců podle čl. 3 písm.</w:t>
            </w:r>
            <w:r>
              <w:rPr>
                <w:b/>
                <w:i/>
              </w:rPr>
              <w:t> b)</w:t>
            </w:r>
            <w:r>
              <w:t xml:space="preserve"> služebního řádu úředníků a pracovního řádu ostatních zaměstnanců (v roce 2023 to bylo 50 smluvních zaměstnanců), 9 dočasných zaměstnanců podle čl. 2 písm.</w:t>
            </w:r>
            <w:r>
              <w:rPr>
                <w:b/>
                <w:i/>
              </w:rPr>
              <w:t> b)</w:t>
            </w:r>
            <w:r>
              <w:t xml:space="preserve"> a čl. 2 písm.</w:t>
            </w:r>
            <w:r>
              <w:rPr>
                <w:b/>
                <w:i/>
              </w:rPr>
              <w:t> c)</w:t>
            </w:r>
            <w:r>
              <w:t xml:space="preserve"> (v roce 2023 to bylo 7 dočasných zaměstnanců) a využíval služeb 10 externích poskytovatelů služeb pracujících v prostorách EIOÚ (v roce 2023 jich bylo 12); vyzývá EIOÚ, aby zvážil způsob, jak snížit počet smluvních zaměstnanců ve prospěch smluv na dobu neurčitou, aby se zajistilo udržení talentů a kontinuita činností; konstatuje, že v roce 2024 byli mezi zaměstnanci EIOÚ zastoupeni státní příslušníci 23 členských států, (stejně jako v roce 2023), což je navzdory nadměrnému zastoupení pěti státních příslušností vynikající výsledek pro tak malou instituci; </w:t>
            </w:r>
            <w:r>
              <w:rPr>
                <w:b/>
                <w:i/>
              </w:rPr>
              <w:t>vyzývá EIOÚ, aby pokračoval ve svém úsilí o vyváženější zeměpisné zastoupení mezi všemi členskými státy, zejména na manažerské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bere na vědomí vysokou obsazenost plánu pracovních míst v roce 2024 ve výši 98,80 % (oproti 95,65 % v roce 2023), ale také vysokou míru fluktuace zaměstnanců ve výši 12 % (oproti 13 % v roce 2023); konstatuje, že většina neobsazených pozic byla dána nevhodností uchazečů; na základě návazné zprávy s uspokojením bere na vědomí, že EIOÚ tyto problémy řešil vypracováním komplexní strategie pro udržení zaměstnanců a přilákání talentů, která byla přijata na začátku roku 2025 a zahrnuje krátkodobá, střednědobá a dlouhodobá opatření pro udržení zkušených zaměstnanců, zmírnění rizik fluktuace a zvýšení atraktivity EIOÚ jako zaměstnavatele;</w:t>
            </w:r>
          </w:p>
        </w:tc>
        <w:tc>
          <w:tcPr>
            <w:tcW w:w="4876" w:type="dxa"/>
            <w:tcBorders>
              <w:top w:val="nil"/>
              <w:left w:val="nil"/>
              <w:bottom w:val="nil"/>
              <w:right w:val="nil"/>
            </w:tcBorders>
          </w:tcPr>
          <w:p>
            <w:pPr>
              <w:pStyle w:val="Normal6a"/>
            </w:pPr>
            <w:r>
              <w:t>26.</w:t>
            </w:r>
            <w:r>
              <w:tab/>
            </w:r>
            <w:r>
              <w:t>bere na vědomí vysokou obsazenost plánu pracovních míst v roce 2024 ve výši 98,80 % (oproti 95,65 % v roce 2023), ale také vysokou míru fluktuace zaměstnanců ve výši 12 % (oproti 13 % v roce 2023); konstatuje, že většina neobsazených pozic byla dána nevhodností uchazečů</w:t>
            </w:r>
            <w:r>
              <w:rPr>
                <w:b/>
                <w:i/>
              </w:rPr>
              <w:t>;</w:t>
            </w:r>
            <w:r>
              <w:t xml:space="preserve"> </w:t>
            </w:r>
            <w:r>
              <w:rPr>
                <w:b/>
                <w:i/>
              </w:rPr>
              <w:t>bere na vědomí problémy zjištěné při náboru a výběrových řízeních</w:t>
            </w:r>
            <w:r>
              <w:t xml:space="preserve">; na základě návazné zprávy s uspokojením bere na vědomí, že EIOÚ tyto problémy řešil vypracováním komplexní strategie pro udržení zaměstnanců a přilákání talentů, která byla přijata na začátku roku 2025 a zahrnuje krátkodobá, střednědobá a dlouhodobá opatření pro udržení zkušených zaměstnanců, zmírnění rizik fluktuace a zvýšení atraktivity EIOÚ jako zaměstnavatele; </w:t>
            </w:r>
            <w:r>
              <w:rPr>
                <w:b/>
                <w:i/>
              </w:rPr>
              <w:t>vybízí EIOÚ, aby se nadále snažil zdokonalovat náborové postupy, a přitom plně dodržoval zásadu posuzování podle dosažených výsledků a zásadu transparentnosti a rovného zacházení;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základě dotazníku konstatuje, že EIOÚ nabízí flexibilní a hybridní uspořádání pracovní doby, která jsou vítána ze strany zaměstnanců, kteří mohou využívat mimo jiné rodičovskou dovolenou, časové kredity, práci na částečný úvazek nebo práci ze zahraničí na omezený počet dní v roce; konstatuje, že další průzkum spokojenosti zaměstnanců, který se bude týkat práce na dálku, je plánován na rok 2025;</w:t>
            </w:r>
          </w:p>
        </w:tc>
        <w:tc>
          <w:tcPr>
            <w:tcW w:w="4876" w:type="dxa"/>
            <w:tcBorders>
              <w:top w:val="nil"/>
              <w:left w:val="nil"/>
              <w:bottom w:val="nil"/>
              <w:right w:val="nil"/>
            </w:tcBorders>
          </w:tcPr>
          <w:p>
            <w:pPr>
              <w:pStyle w:val="Normal6a"/>
            </w:pPr>
            <w:r>
              <w:t>30.</w:t>
            </w:r>
            <w:r>
              <w:tab/>
            </w:r>
            <w:r>
              <w:t xml:space="preserve">na základě dotazníku konstatuje, že EIOÚ nabízí flexibilní a hybridní uspořádání pracovní doby, která jsou vítána ze strany zaměstnanců, kteří mohou využívat mimo jiné rodičovskou dovolenou, časové kredity, práci na částečný úvazek nebo práci ze zahraničí na omezený počet dní v roce; konstatuje, že další průzkum spokojenosti zaměstnanců, který se bude týkat práce na dálku, je plánován na rok 2025; </w:t>
            </w:r>
            <w:r>
              <w:rPr>
                <w:b/>
                <w:i/>
              </w:rPr>
              <w:t>domnívá se, že infrastruktura budov by mohla být případně optimalizována tak, aby odrážela realitu práce na dálku a hybridních forem práce, s cílem snížit provozní náklady a zajistit účinnější využívání kancelářských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bere na vědomí odpověď EIOÚ z dotazníku, podle níž EIOÚ nemá přístup ke zdravotní dokumentaci svých zaměstnanců a nemůže znát hlavní příčinu absencí, protože je ověřuje lékařská služba Komise; konstatuje, že EIOÚ má přístup pouze k souhrnným údajům, jako je počet dnů pracovní neschopnosti a to, zda je k nim přiloženo lékařské potvrzení; konstatuje, že </w:t>
            </w:r>
            <w:r>
              <w:rPr>
                <w:b/>
                <w:i/>
              </w:rPr>
              <w:t>nárůst počtu</w:t>
            </w:r>
            <w:r>
              <w:t xml:space="preserve"> dnů pracovní neschopnosti v letech 2023 až 2024, tj. z </w:t>
            </w:r>
            <w:r>
              <w:rPr>
                <w:b/>
                <w:i/>
              </w:rPr>
              <w:t>1 680,50 na 1 946</w:t>
            </w:r>
            <w:r>
              <w:t xml:space="preserve"> (+15,80 %), </w:t>
            </w:r>
            <w:r>
              <w:rPr>
                <w:b/>
                <w:i/>
              </w:rPr>
              <w:t>předčil nárůst počtu</w:t>
            </w:r>
            <w:r>
              <w:t xml:space="preserve"> zaměstnanců ze 129 na 137 </w:t>
            </w:r>
            <w:r>
              <w:rPr>
                <w:b/>
                <w:i/>
              </w:rPr>
              <w:t>(</w:t>
            </w:r>
            <w:r>
              <w:t>tj. +6,20 %); konstatuje, že průměrná délka pracovní neschopnosti na osobu se rovněž zvýšila, a to ze 14,7 dne v roce 2023 na 18,30 dne v roce 2024, a že míra pracovní neschopnosti vzrostla z 3,60 % v roce 2023 na 3,9 % v roce 2024; je současnou situací znepokojen a nadále žádá o jasnější hodnocení pohody zaměstnanců, aby se zjistily možné opakující se příčiny syndromu vyhoření, jehož případy by měly být každoročně hlášeny orgánu příslušnému k udělení absolutoria, stejně jako v každé jiné instituci;</w:t>
            </w:r>
          </w:p>
        </w:tc>
        <w:tc>
          <w:tcPr>
            <w:tcW w:w="4876" w:type="dxa"/>
            <w:tcBorders>
              <w:top w:val="nil"/>
              <w:left w:val="nil"/>
              <w:bottom w:val="nil"/>
              <w:right w:val="nil"/>
            </w:tcBorders>
          </w:tcPr>
          <w:p>
            <w:pPr>
              <w:pStyle w:val="Normal6a"/>
            </w:pPr>
            <w:r>
              <w:t>32.</w:t>
            </w:r>
            <w:r>
              <w:tab/>
            </w:r>
            <w:r>
              <w:t xml:space="preserve">bere na vědomí odpověď EIOÚ z dotazníku, podle níž EIOÚ nemá přístup ke zdravotní dokumentaci svých zaměstnanců a nemůže znát hlavní příčinu absencí, protože je ověřuje lékařská služba Komise; konstatuje, že EIOÚ má přístup pouze k souhrnným údajům, jako je počet dnů pracovní neschopnosti a to, zda je k nim přiloženo lékařské potvrzení; konstatuje, že </w:t>
            </w:r>
            <w:r>
              <w:rPr>
                <w:b/>
                <w:i/>
              </w:rPr>
              <w:t>počet</w:t>
            </w:r>
            <w:r>
              <w:t xml:space="preserve"> dnů pracovní neschopnosti v letech 2023 až 2024, tj. z </w:t>
            </w:r>
            <w:r>
              <w:rPr>
                <w:b/>
                <w:i/>
              </w:rPr>
              <w:t>1 680,50 na 1 946</w:t>
            </w:r>
            <w:r>
              <w:t xml:space="preserve"> (+15,80 %), </w:t>
            </w:r>
            <w:r>
              <w:rPr>
                <w:b/>
                <w:i/>
              </w:rPr>
              <w:t>rostl rychleji než počet</w:t>
            </w:r>
            <w:r>
              <w:t xml:space="preserve"> zaměstnanců </w:t>
            </w:r>
            <w:r>
              <w:rPr>
                <w:b/>
                <w:i/>
              </w:rPr>
              <w:t>(</w:t>
            </w:r>
            <w:r>
              <w:t>ze 129 na 137</w:t>
            </w:r>
            <w:r>
              <w:rPr>
                <w:b/>
                <w:i/>
              </w:rPr>
              <w:t>,</w:t>
            </w:r>
            <w:r>
              <w:t xml:space="preserve"> tj. +6,20 %); konstatuje, že průměrná délka pracovní neschopnosti na osobu se rovněž zvýšila, a to ze 14,7 dne v roce 2023 na 18,30 dne v roce 2024, a že míra pracovní neschopnosti vzrostla z 3,60 % v roce 2023 na 3,9 % v roce 2024; je současnou situací znepokojen a nadále žádá o jasnější hodnocení pohody zaměstnanců, aby se zjistily možné opakující se příčiny syndromu vyhoření, jehož případy by měly být každoročně hlášeny orgánu příslušnému k udělení absolutoria, stejně jako v každé jiné instituci; </w:t>
            </w:r>
            <w:r>
              <w:rPr>
                <w:b/>
                <w:i/>
              </w:rPr>
              <w:t>požaduje, aby EIOÚ ve spolupráci s lékařskou službou Komise provedl cílené posouzení hlavních příčin tohoto nárůstu se zvláštním zaměřením na prevenci;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konstatuje, že EIOÚ vytvořil rámec pro předcházení střetům zájmů na úrovni vyššího vedení a zaměstnanců prostřednictvím kodexů chování, osvěty a prohlášení o neexistenci střetu zájmů a zachovávání důvěrnosti; bere na vědomí, že toto prohlášení o neexistenci střetu zájmů a zachovávání důvěrnosti musí podepsat všichni zaměstnanci nastupující do zaměstnání u EIOÚ; konstatuje, že v roce 2024 nebyly v EIOÚ zaznamenány žádné případy střetu zájmů ani whistleblowingu; se znepokojením konstatuje, že v roce 2024 byl u EIOÚ nahlášen jeden případ údajného podvodu, který vyšetřoval Úřad Komise pro vyšetřování a disciplinární opatření (IDOC); v tomto případě konstatuje, že úřad IDOC uzavřel vyšetřování v roce 2025 s doporučením, aby EIOÚ zahájil disciplinární řízení v souladu se služebním řádem; vyzývá EIOÚ, aby orgán příslušný k udělení absolutoria informoval o konečném výsledku této věci;</w:t>
            </w:r>
          </w:p>
        </w:tc>
        <w:tc>
          <w:tcPr>
            <w:tcW w:w="4876" w:type="dxa"/>
            <w:tcBorders>
              <w:top w:val="nil"/>
              <w:left w:val="nil"/>
              <w:bottom w:val="nil"/>
              <w:right w:val="nil"/>
            </w:tcBorders>
          </w:tcPr>
          <w:p>
            <w:pPr>
              <w:pStyle w:val="Normal6a"/>
            </w:pPr>
            <w:r>
              <w:t>34.</w:t>
            </w:r>
            <w:r>
              <w:tab/>
            </w:r>
            <w:r>
              <w:t xml:space="preserve">konstatuje, že EIOÚ vytvořil rámec pro předcházení střetům zájmů na úrovni vyššího vedení a zaměstnanců prostřednictvím kodexů chování, osvěty a prohlášení o neexistenci střetu zájmů a zachovávání důvěrnosti; bere na vědomí, že toto prohlášení o neexistenci střetu zájmů a zachovávání důvěrnosti musí podepsat všichni zaměstnanci nastupující do zaměstnání u EIOÚ; konstatuje, že v roce 2024 nebyly v EIOÚ zaznamenány žádné případy střetu zájmů ani whistleblowingu; se znepokojením konstatuje, že v roce 2024 byl u EIOÚ nahlášen jeden případ údajného podvodu, který vyšetřoval Úřad Komise pro vyšetřování a disciplinární opatření (IDOC); v tomto případě konstatuje, že úřad IDOC uzavřel vyšetřování v roce 2025 s doporučením, aby EIOÚ zahájil disciplinární řízení v souladu se služebním řádem; vyzývá EIOÚ, aby orgán příslušný k udělení absolutoria </w:t>
            </w:r>
            <w:r>
              <w:rPr>
                <w:b/>
                <w:i/>
              </w:rPr>
              <w:t>průběžně</w:t>
            </w:r>
            <w:r>
              <w:t xml:space="preserve"> informoval o konečném výsledku této věci </w:t>
            </w:r>
            <w:r>
              <w:rPr>
                <w:b/>
                <w:i/>
              </w:rPr>
              <w:t>a o o případných opatřeních přijatých k posílení vnitřních kontrol v oblasti boje proti podvodům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vítá celkově vysokou úroveň transparentnosti, které EIOÚ dosáhl, pokud jde o jeho činnosti, a to i co se týče zveřejňování pořadu jednání a prohlášení o zájmech inspektora a generálního tajemníka; na základě dotazníku s uspokojením konstatuje, že v návaznosti na interní hodnocení opatření v oblasti transparentnosti provedené v letech 2023–2024 přijal EIOÚ v roce 2025 rozhodnutí, podle něhož se inspektor, generální tajemník a zaměstnanci EIOÚ s řídícími pravomocemi budou setkávat se zástupci zájmových skupin pouze v případě, že jsou zapsáni v rejstříku transparentnosti Unie; vítá, že tímto rozhodnutím se EIOÚ stal součástí rejstříku transparentnosti Unie, jehož správní rada byla řádně informována;</w:t>
            </w:r>
          </w:p>
        </w:tc>
        <w:tc>
          <w:tcPr>
            <w:tcW w:w="4876" w:type="dxa"/>
            <w:tcBorders>
              <w:top w:val="nil"/>
              <w:left w:val="nil"/>
              <w:bottom w:val="nil"/>
              <w:right w:val="nil"/>
            </w:tcBorders>
          </w:tcPr>
          <w:p>
            <w:pPr>
              <w:pStyle w:val="Normal6a"/>
            </w:pPr>
            <w:r>
              <w:t>36.</w:t>
            </w:r>
            <w:r>
              <w:tab/>
            </w:r>
            <w:r>
              <w:t xml:space="preserve">vítá celkově vysokou úroveň transparentnosti, které EIOÚ dosáhl, pokud jde o jeho činnosti, a to i co se týče zveřejňování pořadu jednání a prohlášení o zájmech inspektora a generálního tajemníka; na základě dotazníku s uspokojením konstatuje, že v návaznosti na interní hodnocení opatření v oblasti transparentnosti provedené v letech 2023–2024 přijal EIOÚ v roce 2025 rozhodnutí, podle něhož se inspektor, generální tajemník a zaměstnanci EIOÚ s řídícími pravomocemi budou setkávat se zástupci zájmových skupin pouze v případě, že jsou zapsáni v rejstříku transparentnosti Unie; vítá, že tímto rozhodnutím se EIOÚ stal součástí rejstříku transparentnosti Unie, jehož správní rada byla řádně informována; </w:t>
            </w:r>
            <w:r>
              <w:rPr>
                <w:b/>
                <w:i/>
              </w:rPr>
              <w:t>doporučuje, aby EIOÚ na svých internetových stránkách zveřejnil seznam všech schůzek se zástupci zájmových skupin s cílem dále posílit odpovědnost vůči veřejnosti a transparentnost;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konstatuje, že personální obsazení EIOÚ v oboru IT je sice omezené, ale je částečně kompenzováno službami IT poskytovanými Parlamentem a Komisí v rámci dohod o úrovni služeb a mechanismu zpětného účtování;</w:t>
            </w:r>
            <w:r>
              <w:t xml:space="preserve"> </w:t>
            </w:r>
            <w:r>
              <w:rPr>
                <w:b/>
                <w:i/>
              </w:rPr>
              <w:t>připomíná, že Parlament již ve svém usnesení o udělení absolutoria za rok 2023 zjistil strukturální rozdíly mezi těmito interinstitucionálními IT službami a specifickými provozními potřebami EIOÚ;</w:t>
            </w:r>
            <w:r>
              <w:t xml:space="preserve"> </w:t>
            </w:r>
            <w:r>
              <w:rPr>
                <w:b/>
                <w:i/>
              </w:rPr>
              <w:t>zdůrazňuje, že ačkoli tento model může přinášet úspory z rozsahu, je spojen s rizikem, že sníží předvídatelnost nákladů a oslabí přímou kontrolu malých institucí nad vývojem výdajů na výpočetní , a zdůrazňuje, že tyto strukturální tlaky na náklady je důležité zohlednit při budoucím rozpočtovém plánování;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poukazuje na práci EIOÚ na kolaborativních cloudových řešeních s otevřeným zdrojovým kódem, která jsou umístěna v EU, zejména na projektu Nextcloud a jeho migraci do datového centra spravovaného Komisí, s cílem posílit datovou suverenitu a snížit závislost na poskytovatelích ze zemí mimo EU;</w:t>
            </w:r>
            <w:r>
              <w:t xml:space="preserve"> </w:t>
            </w:r>
            <w:r>
              <w:rPr>
                <w:b/>
                <w:i/>
              </w:rPr>
              <w:t>vyzývá EIOÚ, aby orgánu příslušnému k udělení absolutoria poskytl posouzení celkových nákladů na vlastnictví projektu, přínosů pro bezpečnost a škálovatelnosti pro ostatní orgány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Vlad Vasile-Voiculescu, Olivier Chastel,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konstatuje, že EIOÚ se nepřipojil k systému pro environmentální řízení podniků a audit (EMAS); konstatuje, že s cílem získat certifikaci EMAS zřídil EIOÚ v roce 2024 pracovní skupinu napříč odděleními, jejímž cílem je zmapovat stávající opatření, která již zavedl Parlament, vypracovat strategie pro snižování emisí uhlíku a navrhnout inovativní řešení; vyzývá EIOÚ, aby orgán příslušný k udělení absolutoria průběžně informoval o pokroku v této věci;</w:t>
            </w:r>
          </w:p>
        </w:tc>
        <w:tc>
          <w:tcPr>
            <w:tcW w:w="4876" w:type="dxa"/>
            <w:tcBorders>
              <w:top w:val="nil"/>
              <w:left w:val="nil"/>
              <w:bottom w:val="nil"/>
              <w:right w:val="nil"/>
            </w:tcBorders>
          </w:tcPr>
          <w:p>
            <w:pPr>
              <w:pStyle w:val="Normal6a"/>
            </w:pPr>
            <w:r>
              <w:t>48.</w:t>
            </w:r>
            <w:r>
              <w:tab/>
            </w:r>
            <w:r>
              <w:t xml:space="preserve">konstatuje, že EIOÚ se nepřipojil k systému pro environmentální řízení podniků a audit (EMAS); konstatuje, že s cílem získat certifikaci EMAS zřídil EIOÚ v roce 2024 pracovní skupinu napříč odděleními, jejímž cílem je zmapovat stávající opatření, která již zavedl Parlament, vypracovat strategie pro snižování emisí uhlíku a navrhnout inovativní řešení; vyzývá EIOÚ, aby </w:t>
            </w:r>
            <w:r>
              <w:rPr>
                <w:b/>
                <w:i/>
              </w:rPr>
              <w:t>stanovil jasný harmonogram pro získání certifikace EMAS a aby</w:t>
            </w:r>
            <w:r>
              <w:t xml:space="preserve"> orgán příslušný k udělení absolutoria průběžně informoval o pokroku v této věci;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782.495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w:t>
    </w:r>
    <w:r>
      <w:fldChar w:fldCharType="end"/>
    </w:r>
    <w:r>
      <w:t>/</w:t>
    </w:r>
    <w:r>
      <w:fldChar w:fldCharType="begin"/>
    </w:r>
    <w:r>
      <w:instrText xml:space="preserve"> NUMPAGES </w:instrText>
    </w:r>
    <w:r>
      <w:fldChar w:fldCharType="separate"/>
    </w:r>
    <w:r>
      <w:t>20</w:t>
    </w:r>
    <w:r>
      <w:fldChar w:fldCharType="end"/>
    </w:r>
    <w:r>
      <w:tab/>
    </w:r>
    <w:r>
      <w:rPr>
        <w:rStyle w:val="HideTWBExt"/>
      </w:rPr>
      <w:t>&lt;PathFdR&gt;</w:t>
    </w:r>
    <w:r>
      <w:t>AM\1336069CS.docx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AM\1336069CS.docx</w:t>
    </w:r>
    <w:r>
      <w:rPr>
        <w:rStyle w:val="HideTWBExt"/>
      </w:rPr>
      <w:t>&lt;/PathFdR&gt;</w:t>
    </w:r>
    <w:r>
      <w:tab/>
    </w:r>
    <w:r>
      <w:fldChar w:fldCharType="begin"/>
    </w:r>
    <w:r>
      <w:instrText xml:space="preserve"> PAGE </w:instrText>
    </w:r>
    <w:r>
      <w:fldChar w:fldCharType="separate"/>
    </w:r>
    <w:r>
      <w:t>19</w:t>
    </w:r>
    <w:r>
      <w:fldChar w:fldCharType="end"/>
    </w:r>
    <w:r>
      <w:t>/</w:t>
    </w:r>
    <w:r>
      <w:fldChar w:fldCharType="begin"/>
    </w:r>
    <w:r>
      <w:instrText xml:space="preserve"> NUMPAGES </w:instrText>
    </w:r>
    <w:r>
      <w:fldChar w:fldCharType="separate"/>
    </w:r>
    <w:r>
      <w:t>20</w:t>
    </w:r>
    <w:r>
      <w:fldChar w:fldCharType="end"/>
    </w:r>
    <w:r>
      <w:tab/>
    </w:r>
    <w:r>
      <w:t>PE</w:t>
    </w:r>
    <w:r>
      <w:rPr>
        <w:rStyle w:val="HideTWBExt"/>
      </w:rPr>
      <w:t>&lt;NoPE&gt;</w:t>
    </w:r>
    <w:r>
      <w:t>782.495</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AM\1336069CS.docx</w:t>
    </w:r>
    <w:r>
      <w:rPr>
        <w:rStyle w:val="HideTWBExt"/>
      </w:rPr>
      <w:t>&lt;/PathFdR&gt;</w:t>
    </w:r>
    <w:r>
      <w:tab/>
    </w:r>
    <w:r>
      <w:tab/>
    </w:r>
    <w:r>
      <w:t>PE</w:t>
    </w:r>
    <w:r>
      <w:rPr>
        <w:rStyle w:val="HideTWBExt"/>
      </w:rPr>
      <w:t>&lt;NoPE&gt;</w:t>
    </w:r>
    <w:r>
      <w:t>782.495</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Pages>
  <Words>5947</Words>
  <Characters>33644</Characters>
  <Application>Microsoft Office Word</Application>
  <DocSecurity>0</DocSecurity>
  <Lines>1</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1336069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373562</vt:lpwstr>
  </property>
  <property fmtid="{D5CDD505-2E9C-101B-9397-08002B2CF9AE}" pid="7" name="dmxml.render.traceId">
    <vt:lpwstr>698c36cab12ee6eeea5df67e532d8dbc</vt:lpwstr>
  </property>
  <property fmtid="{D5CDD505-2E9C-101B-9397-08002B2CF9AE}" pid="8" name="FooterPath">
    <vt:lpwstr>AM\1336069CS.docx</vt:lpwstr>
  </property>
  <property fmtid="{D5CDD505-2E9C-101B-9397-08002B2CF9AE}" pid="9" name="PE Number">
    <vt:lpwstr>782.495</vt:lpwstr>
  </property>
  <property fmtid="{D5CDD505-2E9C-101B-9397-08002B2CF9AE}" pid="10" name="UID">
    <vt:lpwstr>eu.europa.europarl-DIN1-2026-0000016189_01.00-cs-01.00_text-xml</vt:lpwstr>
  </property>
</Properties>
</file>