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Comisia pentru control bugetar</w:t>
      </w:r>
      <w:r>
        <w:rPr>
          <w:rStyle w:val="HideTWBExt"/>
        </w:rPr>
        <w:t>&lt;/Commission&gt;</w:t>
      </w:r>
    </w:p>
    <w:p>
      <w:pPr>
        <w:pStyle w:val="LineBottom"/>
      </w:pPr>
      <w:r>
        <w:t xml:space="preserve"> </w:t>
      </w:r>
    </w:p>
    <w:p>
      <w:pPr>
        <w:pStyle w:val="CoverReference"/>
      </w:pPr>
      <w:r>
        <w:rPr>
          <w:rStyle w:val="HideTWBExt"/>
        </w:rPr>
        <w:t>&lt;RefProc&gt;</w:t>
      </w:r>
      <w:r>
        <w:t>2025/2154</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1</w:t>
      </w:r>
      <w:r>
        <w:t xml:space="preserve"> - </w:t>
      </w:r>
      <w:r>
        <w:t>22</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(PE778.066v01-00)</w:t>
      </w:r>
      <w:r>
        <w:rPr>
          <w:rStyle w:val="HideTWBExt"/>
        </w:rPr>
        <w:t>&lt;/DocRefPE&gt;</w:t>
      </w:r>
    </w:p>
    <w:p>
      <w:pPr>
        <w:pStyle w:val="CoverNormal"/>
      </w:pPr>
      <w:r>
        <w:rPr>
          <w:rStyle w:val="HideTWBExt"/>
        </w:rPr>
        <w:t>&lt;Titre&gt;</w:t>
      </w:r>
      <w:r>
        <w:t>Descărcarea de gestiune 2024: Bugetul general al UE - Autoritatea Europeană pentru Protecția Datelor</w:t>
      </w:r>
      <w:r>
        <w:rPr>
          <w:rStyle w:val="HideTWBExt"/>
        </w:rPr>
        <w:t>&lt;/Titre&gt;</w:t>
      </w:r>
    </w:p>
    <w:p>
      <w:pPr>
        <w:pStyle w:val="CoverNormal24a"/>
      </w:pPr>
      <w:r>
        <w:rPr>
          <w:rStyle w:val="HideTWBExt"/>
        </w:rPr>
        <w:t>&lt;DocRef&gt;</w:t>
      </w:r>
      <w:r>
        <w:t>(2025/2154(DEC))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constată, pe baza chestionarului, că bugetul total pentru misiuni al AEPD a scăzut cu 17,86 %, de la 323 421 EUR în 2023 la 265 630 EUR în 2024, din cauza unei scăderi a cheltuielilor de deplasare și a costurilor conexe ca urmare a creșterii participării la ședințe la distanță/în format hibrid; constată, de asemenea, din raportul anual, că numărul misiunilor personalului a scăzut, de asemenea, de la 246 în 2023 la 218 în 2024; ia act de faptul că, în cadrul acestui buget, o sumă de 38 418 EUR a fost consacrată pentru 23 misiuni ale Autorității în 2024, sumă care a crescut de la 33 000 EUR pentru 24 misiuni în 2023, în principal din cauza locului în care au avut loc reuniuni și evenimente importante la care Autoritatea a trebuit să participe, inclusiv mai multe misiuni în Statele Unite și Mexic în 2024; ia act de faptul că, în ceea ce privește misiunile în țara de origine a înalților funcționari, Autoritatea a efectuat doar 3 misiuni în Polonia </w:t>
            </w:r>
            <w:r>
              <w:rPr>
                <w:b/>
                <w:i/>
              </w:rPr>
              <w:t>în 2024</w:t>
            </w:r>
            <w:r>
              <w:t xml:space="preserve"> (dintr-un total de 23), în timp ce Secretarul General al AEPD (SG) a efectuat </w:t>
            </w:r>
            <w:r>
              <w:rPr>
                <w:b/>
                <w:i/>
              </w:rPr>
              <w:t>15</w:t>
            </w:r>
            <w:r>
              <w:t xml:space="preserve"> misiuni</w:t>
            </w:r>
            <w:r>
              <w:rPr>
                <w:b/>
                <w:i/>
              </w:rPr>
              <w:t>, dintre care nouă</w:t>
            </w:r>
            <w:r>
              <w:t xml:space="preserve"> în Spania, </w:t>
            </w:r>
            <w:r>
              <w:rPr>
                <w:b/>
                <w:i/>
              </w:rPr>
              <w:t>în 2024</w:t>
            </w:r>
            <w:r>
              <w:t>;</w:t>
            </w:r>
          </w:p>
        </w:tc>
        <w:tc>
          <w:tcPr>
            <w:tcW w:w="4876" w:type="dxa"/>
            <w:tcBorders>
              <w:top w:val="nil"/>
              <w:left w:val="nil"/>
              <w:bottom w:val="nil"/>
              <w:right w:val="nil"/>
            </w:tcBorders>
          </w:tcPr>
          <w:p>
            <w:pPr>
              <w:pStyle w:val="Normal6a"/>
            </w:pPr>
            <w:r>
              <w:t>8.</w:t>
            </w:r>
            <w:r>
              <w:tab/>
            </w:r>
            <w:r>
              <w:t xml:space="preserve">constată, pe baza chestionarului, că bugetul total pentru misiuni al AEPD a scăzut cu 17,86 %, de la 323 421 EUR în 2023 la 265 630 EUR în 2024, din cauza unei scăderi a cheltuielilor de deplasare și a costurilor conexe ca urmare a creșterii participării la ședințe la distanță/în format hibrid; constată, de asemenea, din raportul anual, că numărul misiunilor personalului a scăzut, de asemenea, de la 246 în 2023 la 218 în 2024; ia act de faptul că, în cadrul acestui buget, o sumă de 38 418 EUR a fost consacrată pentru 23 misiuni ale Autorității în 2024, sumă care a crescut de la 33 000 EUR pentru 24 misiuni în 2023, în principal din cauza locului în care au avut loc reuniuni și evenimente importante la care Autoritatea a trebuit să participe, inclusiv mai multe misiuni în Statele Unite și Mexic în 2024; ia act </w:t>
            </w:r>
            <w:r>
              <w:rPr>
                <w:b/>
                <w:i/>
              </w:rPr>
              <w:t>cu preocupare</w:t>
            </w:r>
            <w:r>
              <w:t xml:space="preserve"> de faptul că, în ceea ce privește misiunile în țara de origine a înalților funcționari, Autoritatea a efectuat </w:t>
            </w:r>
            <w:r>
              <w:rPr>
                <w:b/>
                <w:i/>
              </w:rPr>
              <w:t>în 2024</w:t>
            </w:r>
            <w:r>
              <w:t xml:space="preserve"> doar 3 misiuni în Polonia (dintr-un total de 23), în timp ce Secretarul General al AEPD (SG) a efectuat </w:t>
            </w:r>
            <w:r>
              <w:rPr>
                <w:b/>
                <w:i/>
              </w:rPr>
              <w:t>9</w:t>
            </w:r>
            <w:r>
              <w:t xml:space="preserve"> misiuni în Spania </w:t>
            </w:r>
            <w:r>
              <w:rPr>
                <w:b/>
                <w:i/>
              </w:rPr>
              <w:t>(dintr-un total de 15);</w:t>
            </w:r>
            <w:r>
              <w:t xml:space="preserve"> </w:t>
            </w:r>
            <w:r>
              <w:rPr>
                <w:b/>
                <w:i/>
              </w:rPr>
              <w:t>evidențiază faptul că</w:t>
            </w:r>
            <w:r>
              <w:t xml:space="preserve">, </w:t>
            </w:r>
            <w:r>
              <w:rPr>
                <w:b/>
                <w:i/>
              </w:rPr>
              <w:t>nici în prezent, AEPD nu furnizează informații cu privire la numărul de misiuni finanțate de organizatori sau de alte părți terțe, reducând astfel transparența în ceea ce privește cheltuielile sale de misiune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constată, pe baza chestionarului, că, în contextul războiului de agresiune al Rusiei împotriva Ucrainei, AEPD a abordat presiunile inflaționiste asupra contractelor și serviciilor prin revizuirea estimărilor costurilor în cursul anului și prin realocarea resurselor prin transferuri efectuate în conformitate cu articolul 29 alineatul (1) și alineatul (4) din Regulamentul financiar, prevăzând marje pentru situații neprevăzute și reevaluând prioritățile pentru a asigura deservirea proceselor de bază ale AEPD; invită AEPD să continue să efectueze revizuiri periodice pentru a identifica domeniile în care execuția este insuficientă și să realoce fonduri acolo unde este necesar în cursul anului; recunoaște că este necesar ca toate instituțiile Uniunii să își îmbunătățească gestiunea bugetară, ținând seama, de asemenea, de volatilitatea prețurilor, în special în sectorul energetic, atunci când încheie contracte cu furnizorii de servicii;</w:t>
            </w:r>
          </w:p>
        </w:tc>
        <w:tc>
          <w:tcPr>
            <w:tcW w:w="4876" w:type="dxa"/>
            <w:tcBorders>
              <w:top w:val="nil"/>
              <w:left w:val="nil"/>
              <w:bottom w:val="nil"/>
              <w:right w:val="nil"/>
            </w:tcBorders>
          </w:tcPr>
          <w:p>
            <w:pPr>
              <w:pStyle w:val="Normal6a"/>
            </w:pPr>
            <w:r>
              <w:t>9.</w:t>
            </w:r>
            <w:r>
              <w:tab/>
            </w:r>
            <w:r>
              <w:t xml:space="preserve">constată, pe baza chestionarului, că, în contextul războiului </w:t>
            </w:r>
            <w:r>
              <w:rPr>
                <w:b/>
                <w:i/>
              </w:rPr>
              <w:t>ilegal</w:t>
            </w:r>
            <w:r>
              <w:t xml:space="preserve"> de agresiune al Rusiei împotriva Ucrainei, AEPD a abordat presiunile inflaționiste asupra contractelor și serviciilor prin revizuirea estimărilor costurilor în cursul anului și prin realocarea resurselor prin transferuri efectuate în conformitate cu articolul 29 alineatul (1) și alineatul (4) din Regulamentul financiar, prevăzând marje pentru situații neprevăzute și reevaluând prioritățile pentru a asigura deservirea proceselor de bază ale AEPD; invită AEPD să continue să efectueze revizuiri periodice pentru a identifica domeniile în care execuția este insuficientă și să realoce fonduri acolo unde este necesar în cursul anului; recunoaște că este necesar ca toate instituțiile Uniunii să își îmbunătățească gestiunea bugetară, ținând seama, de asemenea, de volatilitatea prețurilor, în special în sectorul energetic, atunci când încheie contracte cu furnizorii de servicii;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ia act de faptul că, pentru a-și îndeplini noile sarcini de supraveghere, la 1 octombrie 2024, AEPD a înființat o unitate de IA care, în 2024, a fost compusă din doi membri ai personalului realocați intern; constată, pe baza chestionarului, că, din 2025, pentru această unitate, AEPD dispune de un buget care acoperă două posturi permanente și cinci agenți contractuali pentru care au avut loc proceduri de recrutare; ia act, cu toate acestea, din chestionar, de opinia AEPD potrivit căreia aceste resurse rămân insuficiente pentru a acoperi aceste noi sarcini, în special supravegherea sistemelor de IA în domeniul controlului la frontiere, al migrației, al justiției și al asigurării respectării legii sau instituirea unui spațiu de testare în materie de reglementare a IA pentru IOAUE, astfel cum se prevede la articolul 57 alineatul (3) din Regulamentul (UE) 2024/1689; constată, de asemenea, din raportul AEPD de monitorizare a rezoluției Parlamentului referitoare la execuția bugetului AEPD pentru 2022 („raportul de monitorizare”) că, și din cauza constrângerilor bugetare, AEPD nu a putut lansa studiul de fezabilitate privind inteligența artificială în 2024;</w:t>
            </w:r>
          </w:p>
        </w:tc>
        <w:tc>
          <w:tcPr>
            <w:tcW w:w="4876" w:type="dxa"/>
            <w:tcBorders>
              <w:top w:val="nil"/>
              <w:left w:val="nil"/>
              <w:bottom w:val="nil"/>
              <w:right w:val="nil"/>
            </w:tcBorders>
          </w:tcPr>
          <w:p>
            <w:pPr>
              <w:pStyle w:val="Normal6a"/>
            </w:pPr>
            <w:r>
              <w:t>13.</w:t>
            </w:r>
            <w:r>
              <w:tab/>
            </w:r>
            <w:r>
              <w:t xml:space="preserve">ia act de faptul că, pentru a-și îndeplini noile sarcini de supraveghere, la 1 octombrie 2024, AEPD a înființat o unitate de IA care, în 2024, a fost compusă din doi membri ai personalului realocați intern; constată, pe baza chestionarului, că, din 2025, pentru această unitate, AEPD dispune de un buget care acoperă două posturi permanente și cinci agenți contractuali pentru care au avut loc proceduri de recrutare; ia act, cu toate acestea, din chestionar, de opinia AEPD potrivit căreia aceste resurse rămân insuficiente pentru a acoperi aceste noi sarcini, în special supravegherea sistemelor de IA în domeniul controlului la frontiere, al migrației, al justiției și al asigurării respectării legii sau instituirea unui spațiu de testare în materie de reglementare a IA pentru IOAUE, astfel cum se prevede la articolul 57 alineatul (3) din Regulamentul (UE) 2024/1689; constată, de asemenea, din raportul AEPD de monitorizare a rezoluției Parlamentului referitoare la execuția bugetului AEPD pentru 2022 („raportul de monitorizare”) că, și din cauza constrângerilor bugetare, AEPD nu a putut lansa studiul de fezabilitate privind inteligența artificială în 2024; </w:t>
            </w:r>
            <w:r>
              <w:rPr>
                <w:b/>
                <w:i/>
              </w:rPr>
              <w:t>își reiterează, prin urmare, invitația adresată AEPD de a respecta competențele aferente mandatului său printr-o abordare colaborativă cu instituțiile și agențiile europene, cu scopul de a evita inițierea unor acțiuni în justiție care să se dovedească ulterior a fi vădit inadmisibile, având repercusiuni negative asupra gestionării resurselor și care împiedică AEPD să își desfășoare activitățile în calitate de instituție;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ia act de faptul că, pentru a-și îndeplini noile sarcini de supraveghere, la 1 octombrie 2024, AEPD a înființat o unitate de IA care, în 2024, a fost compusă din doi membri ai personalului realocați intern; constată, pe baza chestionarului, că, din 2025, pentru această unitate, AEPD dispune de un buget care acoperă două posturi permanente și cinci agenți contractuali pentru care au avut loc proceduri de recrutare; ia act, cu toate acestea, din chestionar, de opinia AEPD potrivit căreia aceste resurse rămân insuficiente pentru a acoperi aceste noi sarcini, în special supravegherea sistemelor de IA în domeniul controlului la frontiere, al migrației, al justiției și al asigurării respectării legii sau instituirea unui spațiu de testare în materie de reglementare a IA pentru IOAUE, astfel cum se prevede la articolul 57 alineatul (3) din Regulamentul (UE) 2024/1689; constată, de asemenea, din raportul AEPD de monitorizare a rezoluției Parlamentului referitoare la execuția bugetului AEPD pentru 2022 („raportul de monitorizare”) că, și din cauza constrângerilor bugetare, AEPD nu a putut lansa studiul de fezabilitate privind inteligența artificială în 2024;</w:t>
            </w:r>
          </w:p>
        </w:tc>
        <w:tc>
          <w:tcPr>
            <w:tcW w:w="4876" w:type="dxa"/>
            <w:tcBorders>
              <w:top w:val="nil"/>
              <w:left w:val="nil"/>
              <w:bottom w:val="nil"/>
              <w:right w:val="nil"/>
            </w:tcBorders>
          </w:tcPr>
          <w:p>
            <w:pPr>
              <w:pStyle w:val="Normal6a"/>
            </w:pPr>
            <w:r>
              <w:t>13.</w:t>
            </w:r>
            <w:r>
              <w:tab/>
            </w:r>
            <w:r>
              <w:t>ia act de faptul că, pentru a-și îndeplini noile sarcini de supraveghere, la 1 octombrie 2024, AEPD a înființat o unitate de IA care, în 2024, a fost compusă din doi membri ai personalului realocați intern; constată, pe baza chestionarului, că, din 2025, pentru această unitate, AEPD dispune de un buget care acoperă două posturi permanente și cinci agenți contractuali pentru care au avut loc proceduri de recrutare; ia act, cu toate acestea, din chestionar, de opinia AEPD potrivit căreia aceste resurse rămân insuficiente pentru a acoperi aceste noi sarcini, în special supravegherea sistemelor de IA în domeniul controlului la frontiere, al migrației, al justiției și al asigurării respectării legii sau instituirea unui spațiu de testare în materie de reglementare a IA pentru IOAUE, astfel cum se prevede la articolul 57 alineatul (3) din Regulamentul (UE) 2024/1689; constată, de asemenea, din raportul AEPD de monitorizare a rezoluției Parlamentului referitoare la execuția bugetului AEPD pentru 2022 („raportul de monitorizare”) că, și din cauza constrângerilor bugetare, AEPD nu a putut lansa studiul de fezabilitate privind inteligența artificială în 2024;</w:t>
            </w:r>
            <w:r>
              <w:rPr>
                <w:b/>
                <w:i/>
              </w:rPr>
              <w:t> reamintește că, în rezoluția sa privind descărcarea de gestiune pentru exercițiul 2023, Parlamentul a transmis deja un avertisment cu privire la faptul că extinderea progresivă a mandatului AEPD riscă să conducă la situația în care resursele sale disponibile vor fi insuficiente;</w:t>
            </w:r>
            <w:r>
              <w:t xml:space="preserve"> </w:t>
            </w:r>
            <w:r>
              <w:rPr>
                <w:b/>
                <w:i/>
              </w:rPr>
              <w:t>subliniază importanța abordării acestei probleme structurale în planificarea bugetară viitoare;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Vlad Vasile-Voiculescu, Olivier Chastel,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ia act de faptul că, pentru a-și îndeplini noile sarcini de supraveghere, la 1 octombrie 2024, AEPD a înființat o unitate de IA care, în 2024, a fost compusă din doi membri ai personalului realocați intern; constată, pe baza chestionarului, că, din 2025, pentru această unitate, AEPD dispune de un buget care acoperă două posturi permanente și cinci agenți contractuali pentru care au avut loc proceduri de recrutare; ia act, cu toate acestea, din chestionar, de opinia AEPD potrivit căreia aceste resurse rămân insuficiente pentru a acoperi aceste noi sarcini, în special supravegherea sistemelor de IA în domeniul controlului la frontiere, al migrației, al justiției și al asigurării respectării legii sau instituirea unui spațiu de testare în materie de reglementare a IA pentru IOAUE, astfel cum se prevede la articolul 57 alineatul (3) din Regulamentul (UE) 2024/1689; constată, de asemenea, din raportul AEPD de monitorizare a rezoluției Parlamentului referitoare la execuția bugetului AEPD pentru 2022 („raportul de monitorizare”) că, și din cauza constrângerilor bugetare, AEPD nu a putut lansa studiul de fezabilitate privind inteligența artificială în 2024;</w:t>
            </w:r>
          </w:p>
        </w:tc>
        <w:tc>
          <w:tcPr>
            <w:tcW w:w="4876" w:type="dxa"/>
            <w:tcBorders>
              <w:top w:val="nil"/>
              <w:left w:val="nil"/>
              <w:bottom w:val="nil"/>
              <w:right w:val="nil"/>
            </w:tcBorders>
          </w:tcPr>
          <w:p>
            <w:pPr>
              <w:pStyle w:val="Normal6a"/>
            </w:pPr>
            <w:r>
              <w:t>13.</w:t>
            </w:r>
            <w:r>
              <w:tab/>
            </w:r>
            <w:r>
              <w:t xml:space="preserve">ia act de faptul că, pentru a-și îndeplini noile sarcini de supraveghere, la 1 octombrie 2024, AEPD a înființat o unitate de IA care, în 2024, a fost compusă din doi membri ai personalului realocați intern; constată, pe baza chestionarului, că, din 2025, pentru această unitate, AEPD dispune de un buget care acoperă două posturi permanente și cinci agenți contractuali pentru care au avut loc proceduri de recrutare; ia act, cu toate acestea, din chestionar, de opinia AEPD potrivit căreia aceste resurse rămân insuficiente pentru a acoperi aceste noi sarcini, în special supravegherea sistemelor de IA în domeniul controlului la frontiere, al migrației, al justiției și al asigurării respectării legii sau instituirea unui spațiu de testare în materie de reglementare a IA pentru IOAUE, astfel cum se prevede la articolul 57 alineatul (3) din Regulamentul (UE) 2024/1689; constată, de asemenea, din raportul AEPD de monitorizare a rezoluției Parlamentului referitoare la execuția bugetului AEPD pentru 2022 („raportul de monitorizare”) că, și din cauza constrângerilor bugetare, AEPD nu a putut lansa studiul de fezabilitate privind inteligența artificială în 2024; </w:t>
            </w:r>
            <w:r>
              <w:rPr>
                <w:b/>
                <w:i/>
              </w:rPr>
              <w:t>subliniază că ar trebui să i se pună la dispoziție AEPD resurse financiare și umane adecvate pentru a supraveghea în mod eficace sistemele de IA în domeniile cu mize mari, asigurându-se faptul că lipsa resurselor nu compromite supravegherea drepturilor fundamentale;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observă că cetățenii și autoritățile publice continuă să se confrunte cu o aplicare inegală a normelor de protecție a datelor în statele membre;</w:t>
            </w:r>
            <w:r>
              <w:t xml:space="preserve"> </w:t>
            </w:r>
            <w:r>
              <w:rPr>
                <w:b/>
                <w:i/>
              </w:rPr>
              <w:t>regretă că, din cauza coordonării fragmentate între autoritățile competente și a practicilor divergente în ceea ce privește asigurarea respectării legii aplicate de acestea, securitatea juridică, protecția consecventă a drepturilor fundamentale și încrederea publicului în cadrul de protecție a datelor al Uniunii sunt slăbite;</w:t>
            </w:r>
            <w:r>
              <w:t xml:space="preserve"> </w:t>
            </w:r>
            <w:r>
              <w:rPr>
                <w:b/>
                <w:i/>
              </w:rPr>
              <w:t>subliniază importanța unei coordonări consolidate, a convergenței interpretării și a unei cooperări eficace cu scopul de a asigura aplicarea uniformă a legislației Uniunii în materie de protecție a datelor;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remarcă, pe baza raportului anual și a raportului de monitorizare, atenția deosebită acordată de AEPD prelucrării datelor copiilor, în special în contextul aplicării legii; observă că unul dintre auditurile efectuate de AEPD în 2024 a fost efectuat cu privire la prelucrarea datelor cu caracter personal ale copiilor în cadrul proiectelor de cercetare gestionate de Centrul Comun de Cercetare al Comisiei în Spania, în special în ceea ce privește interacțiunea dintre copii și roboți; constată cu satisfacție că, în octombrie 2024, AEPD a participat la masa rotundă a autorităților pentru protecția datelor din cadrul G7 de la Roma, cu ocazia căreia autoritățile pentru protecția datelor au emis o „Declarație privind IA și copiii”, solicitând luarea de măsuri pentru a proteja viața privată a copiilor și a se asigura că IA promovează încrederea, protejând în același timp persoanele cele mai vulnerabile; reamintește că AEPD a efectuat </w:t>
            </w:r>
            <w:r>
              <w:rPr>
                <w:b/>
                <w:i/>
              </w:rPr>
              <w:t>inspecția anuală</w:t>
            </w:r>
            <w:r>
              <w:t xml:space="preserve"> privind prelucrarea de către </w:t>
            </w:r>
            <w:r>
              <w:rPr>
                <w:b/>
                <w:i/>
              </w:rPr>
              <w:t>Europol</w:t>
            </w:r>
            <w:r>
              <w:t xml:space="preserve"> a datelor referitoare la minorii sub 15 ani marcați ca suspecți; observă că raportul de inspecție al AEPD </w:t>
            </w:r>
            <w:r>
              <w:rPr>
                <w:b/>
                <w:i/>
              </w:rPr>
              <w:t>solicită</w:t>
            </w:r>
            <w:r>
              <w:t xml:space="preserve"> Europol să efectueze propria evaluare cu privire la legalitatea datelor primite și </w:t>
            </w:r>
            <w:r>
              <w:rPr>
                <w:b/>
                <w:i/>
              </w:rPr>
              <w:t>își exprimă îngrijorarea cu privire la măsura în care</w:t>
            </w:r>
            <w:r>
              <w:t xml:space="preserve"> Europol </w:t>
            </w:r>
            <w:r>
              <w:rPr>
                <w:b/>
                <w:i/>
              </w:rPr>
              <w:t>atinge pragul de „proporționalitate strictă</w:t>
            </w:r>
            <w:r>
              <w:t xml:space="preserve">” pentru prelucrarea datelor privind minorii suspectați de infracțiuni </w:t>
            </w:r>
            <w:r>
              <w:rPr>
                <w:b/>
                <w:i/>
              </w:rPr>
              <w:t>minore</w:t>
            </w:r>
            <w:r>
              <w:t>;</w:t>
            </w:r>
          </w:p>
        </w:tc>
        <w:tc>
          <w:tcPr>
            <w:tcW w:w="4876" w:type="dxa"/>
            <w:tcBorders>
              <w:top w:val="nil"/>
              <w:left w:val="nil"/>
              <w:bottom w:val="nil"/>
              <w:right w:val="nil"/>
            </w:tcBorders>
          </w:tcPr>
          <w:p>
            <w:pPr>
              <w:pStyle w:val="Normal6a"/>
            </w:pPr>
            <w:r>
              <w:t>19.</w:t>
            </w:r>
            <w:r>
              <w:tab/>
            </w:r>
            <w:r>
              <w:t xml:space="preserve">remarcă, pe baza raportului anual și a raportului de monitorizare, atenția deosebită acordată de AEPD prelucrării datelor copiilor, în special în contextul aplicării legii; observă că unul dintre auditurile efectuate de AEPD în 2024 a fost efectuat cu privire la prelucrarea datelor cu caracter personal ale copiilor în cadrul proiectelor de cercetare gestionate de Centrul Comun de Cercetare al Comisiei în Spania, în special în ceea ce privește interacțiunea dintre copii și roboți; constată cu satisfacție că, în octombrie 2024, AEPD a participat la masa rotundă a autorităților pentru protecția datelor din cadrul G7 de la Roma, cu ocazia căreia autoritățile pentru protecția datelor au emis o „Declarație privind IA și copiii”, solicitând luarea de măsuri pentru a proteja viața privată a copiilor și a se asigura că IA promovează încrederea, protejând în același timp persoanele cele mai vulnerabile; reamintește că AEPD a efectuat </w:t>
            </w:r>
            <w:r>
              <w:rPr>
                <w:b/>
                <w:i/>
              </w:rPr>
              <w:t>o inspecție dedicată în mod specific Europol</w:t>
            </w:r>
            <w:r>
              <w:t xml:space="preserve"> privind prelucrarea de către </w:t>
            </w:r>
            <w:r>
              <w:rPr>
                <w:b/>
                <w:i/>
              </w:rPr>
              <w:t>această agenție</w:t>
            </w:r>
            <w:r>
              <w:t xml:space="preserve"> a datelor referitoare la minorii sub 15 ani marcați ca suspecți; </w:t>
            </w:r>
            <w:r>
              <w:rPr>
                <w:b/>
                <w:i/>
              </w:rPr>
              <w:t>apreciază faptul că, potrivit constatărilor AEPD, procesul general de evaluare a informațiilor furnizate de parteneri cu privire la minori (inclusiv la minorii cu vârsta de sub 15 ani) este clar și bine dezvoltat;</w:t>
            </w:r>
            <w:r>
              <w:t xml:space="preserve"> observă că raportul de inspecție al AEPD </w:t>
            </w:r>
            <w:r>
              <w:rPr>
                <w:b/>
                <w:i/>
              </w:rPr>
              <w:t>a solicitat</w:t>
            </w:r>
            <w:r>
              <w:t xml:space="preserve"> Europol să efectueze </w:t>
            </w:r>
            <w:r>
              <w:rPr>
                <w:b/>
                <w:i/>
              </w:rPr>
              <w:t>în continuare</w:t>
            </w:r>
            <w:r>
              <w:t xml:space="preserve"> propria evaluare cu privire la legalitatea datelor primite și </w:t>
            </w:r>
            <w:r>
              <w:rPr>
                <w:b/>
                <w:i/>
              </w:rPr>
              <w:t>a evidențiat faptul că</w:t>
            </w:r>
            <w:r>
              <w:t xml:space="preserve"> Europol </w:t>
            </w:r>
            <w:r>
              <w:rPr>
                <w:b/>
                <w:i/>
              </w:rPr>
              <w:t>trebuie să evalueze aplicabilitatea principiului „necesității stricte</w:t>
            </w:r>
            <w:r>
              <w:t>” pentru prelucrarea datelor privind minorii suspectați de infracțiuni;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reamintește că, în 2024, Autoritatea Europeană pentru Protecția Datelor a emis o decizie privind trei plângeri referitoare la examinări supravegheate de la distanță care s-au desfășurat în 2023, în contextul procedurilor de selecție organizate de Oficiul European pentru Selecția Personalului (EPSO) prin intermediul unui contractant extern;</w:t>
            </w:r>
            <w:r>
              <w:t xml:space="preserve"> </w:t>
            </w:r>
            <w:r>
              <w:rPr>
                <w:b/>
                <w:i/>
              </w:rPr>
              <w:t>ia act de faptul că AEPD a constatat că EPSO a încălcat mai multe dispoziții ale Regulamentului (UE) 2018/1725;</w:t>
            </w:r>
            <w:r>
              <w:t xml:space="preserve"> </w:t>
            </w:r>
            <w:r>
              <w:rPr>
                <w:b/>
                <w:i/>
              </w:rPr>
              <w:t>subliniază că respectarea deplină a legislației Uniunii privind protecția datelor este esențială în procedurile de recrutare, în special în cazul în care se utilizează noi instrumente digitale și de evaluare de la distanță;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reamintește că Autoritatea Europeană pentru Protecția Datelor a emis o decizie cu privire la o plângere care viza o campanie de publicitate țintită desfășurată de Comisia Europeană pe platforma de comunicare socială X;</w:t>
            </w:r>
            <w:r>
              <w:t xml:space="preserve"> </w:t>
            </w:r>
            <w:r>
              <w:rPr>
                <w:b/>
                <w:i/>
              </w:rPr>
              <w:t>reamintește că AEPD a concluzionat că Comisia a încălcat mai multe dispoziții ale Regulamentului (UE) 2018/1725 prin prelucrarea ilegală a datelor cu caracter personal, inclusiv a unor categorii speciale de date, cum ar fi opiniile politice și convingerile religioase, fără un temei juridic valabil;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reamintește că, în 2022, AEPD a introdus o acțiune în anularea a două dispoziții ale Regulamentului (UE) 2016/794 modificat al Parlamentului European și al Consiliului</w:t>
            </w:r>
            <w:r>
              <w:rPr>
                <w:vertAlign w:val="superscript"/>
              </w:rPr>
              <w:t>2</w:t>
            </w:r>
            <w:r>
              <w:t xml:space="preserve">în fața Curții de Justiție a Uniunii Europene (CJUE), care a fost </w:t>
            </w:r>
            <w:r>
              <w:rPr>
                <w:b/>
                <w:i/>
              </w:rPr>
              <w:t>ulterior respinsă de CJUE, dar apoi atacată de AEPD la hotărârea</w:t>
            </w:r>
            <w:r>
              <w:t xml:space="preserve"> Tribunalului în cauza T-578/22</w:t>
            </w:r>
            <w:r>
              <w:rPr>
                <w:vertAlign w:val="superscript"/>
              </w:rPr>
              <w:t>3</w:t>
            </w:r>
            <w:r>
              <w:t xml:space="preserve">, considerând că problemele ridicate ar trebui abordate la cel mai înalt nivel; constată, pe baza raportului de monitorizare, că AEPD se abține de la formularea de observații cu privire la recursul respectiv, deoarece acesta este în curs de desfășurare; </w:t>
            </w:r>
            <w:r>
              <w:rPr>
                <w:b/>
                <w:i/>
              </w:rPr>
              <w:t>reamintește că aducerea de către AEPD în fața CJUE a unor chestiuni juridice în rolul său de supraveghere nu ar trebui considerat ca afectând cooperarea loială și bunele relații dintre AEPD și entitățile pe care le supraveghează</w:t>
            </w:r>
            <w:r>
              <w:t>;</w:t>
            </w:r>
          </w:p>
        </w:tc>
        <w:tc>
          <w:tcPr>
            <w:tcW w:w="4876" w:type="dxa"/>
            <w:tcBorders>
              <w:top w:val="nil"/>
              <w:left w:val="nil"/>
              <w:bottom w:val="nil"/>
              <w:right w:val="nil"/>
            </w:tcBorders>
          </w:tcPr>
          <w:p>
            <w:pPr>
              <w:pStyle w:val="Normal6a"/>
            </w:pPr>
            <w:r>
              <w:t>22.</w:t>
            </w:r>
            <w:r>
              <w:tab/>
            </w:r>
            <w:r>
              <w:t>reamintește că, în 2022, AEPD a introdus o acțiune în anularea a două dispoziții ale Regulamentului (UE) 2016/794 modificat al Parlamentului European și al Consiliului</w:t>
            </w:r>
            <w:r>
              <w:rPr>
                <w:vertAlign w:val="superscript"/>
              </w:rPr>
              <w:t>2</w:t>
            </w:r>
            <w:r>
              <w:t xml:space="preserve"> în fața Curții de Justiție a Uniunii Europene (CJUE), care a fost </w:t>
            </w:r>
            <w:r>
              <w:rPr>
                <w:b/>
                <w:i/>
              </w:rPr>
              <w:t>declarată inadmisibilă de Tribunal;</w:t>
            </w:r>
            <w:r>
              <w:t xml:space="preserve"> </w:t>
            </w:r>
            <w:r>
              <w:rPr>
                <w:b/>
                <w:i/>
              </w:rPr>
              <w:t>constată că AEPD a decis să conteste ordonanța</w:t>
            </w:r>
            <w:r>
              <w:t xml:space="preserve"> Tribunalului în cauza T-578/22</w:t>
            </w:r>
            <w:r>
              <w:rPr>
                <w:vertAlign w:val="superscript"/>
              </w:rPr>
              <w:t>3</w:t>
            </w:r>
            <w:r>
              <w:t xml:space="preserve">, considerând că problemele ridicate ar trebui abordate la cel mai înalt nivel; constată, pe baza raportului de monitorizare, că AEPD se abține de la formularea de observații cu privire la recursul respectiv, deoarece acesta este în curs de desfășurare; </w:t>
            </w:r>
            <w:r>
              <w:rPr>
                <w:b/>
                <w:i/>
              </w:rPr>
              <w:t>își reiterează regretul cu privire la faptul că AEPD nu a sesizat în prealabil inadmisibilitatea vădită a acțiunii sale și solicită AEPD să coopereze cu instituțiile și agențiile Uniunii înainte de a iniția proceduri judiciare care împiedică îndeplinirea mandatului său și utilizarea resurselor sale în scopurile pentru care au fost destinate</w:t>
            </w:r>
            <w:r>
              <w:t xml:space="preserve">; </w:t>
            </w:r>
            <w:r>
              <w:rPr>
                <w:b/>
                <w:i/>
              </w:rPr>
              <w:t>constată, în plus, că AEPD a monitorizat, de asemenea, punerea în aplicare a Ordinului său din 3 ianuarie 2022, efectuând inclusiv verificări privind raportarea efectuată de Europol;</w:t>
            </w:r>
            <w:r>
              <w:t xml:space="preserve"> </w:t>
            </w:r>
            <w:r>
              <w:rPr>
                <w:b/>
                <w:i/>
              </w:rPr>
              <w:t>regretă că raportul final cu privire la această chestiune a fost comunicat de AEPD abia la 22 iulie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 (JO L 295, 21.11.2018, p. 39, ELI: http://data.europa.eu/eli/reg/2018/1725/oj).</w:t>
            </w:r>
          </w:p>
        </w:tc>
        <w:tc>
          <w:tcPr>
            <w:tcW w:w="4876" w:type="dxa"/>
            <w:tcBorders>
              <w:top w:val="nil"/>
              <w:left w:val="nil"/>
              <w:bottom w:val="nil"/>
              <w:right w:val="nil"/>
            </w:tcBorders>
          </w:tcPr>
          <w:p>
            <w:pPr>
              <w:pStyle w:val="Normal6a"/>
            </w:pPr>
            <w:r>
              <w:rPr>
                <w:vertAlign w:val="superscript"/>
              </w:rPr>
              <w:t>2</w:t>
            </w:r>
            <w:r>
              <w:t xml:space="preserve"> </w:t>
            </w:r>
            <w:r>
              <w:t>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 (JO L 295, 21.11.2018, p.</w:t>
            </w:r>
            <w:r>
              <w:rPr>
                <w:b/>
                <w:i/>
              </w:rPr>
              <w:t xml:space="preserve"> </w:t>
            </w:r>
            <w:r>
              <w:t xml:space="preserve"> 39, ELI: http://data.europa.eu/eli/reg/2018/1725/oj).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Ordonanța Tribunalului din 6 septembrie 2023, cauza AEPD / Parlamentul și Consiliul, T-578/22, ECLI:UE:T:2023:522.</w:t>
            </w:r>
          </w:p>
        </w:tc>
        <w:tc>
          <w:tcPr>
            <w:tcW w:w="4876" w:type="dxa"/>
            <w:tcBorders>
              <w:top w:val="nil"/>
              <w:left w:val="nil"/>
              <w:bottom w:val="nil"/>
              <w:right w:val="nil"/>
            </w:tcBorders>
          </w:tcPr>
          <w:p>
            <w:pPr>
              <w:pStyle w:val="Normal6a"/>
            </w:pPr>
            <w:r>
              <w:rPr>
                <w:vertAlign w:val="superscript"/>
              </w:rPr>
              <w:t>3</w:t>
            </w:r>
            <w:r>
              <w:t xml:space="preserve"> </w:t>
            </w:r>
            <w:r>
              <w:t>Ordonanța Tribunalului din 6 septembrie 2023, cauza AEPD / Parlamentul și Consiliul, T-578/22, ECLI:UE:T:2023:522.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reamintește că, în 2022, AEPD a introdus o acțiune în anularea a două dispoziții ale Regulamentului (UE) 2016/794 modificat al Parlamentului European și al Consiliului</w:t>
            </w:r>
            <w:r>
              <w:rPr>
                <w:vertAlign w:val="superscript"/>
              </w:rPr>
              <w:t>2</w:t>
            </w:r>
            <w:r>
              <w:t xml:space="preserve">în fața Curții de Justiție a Uniunii Europene (CJUE), care a fost ulterior respinsă de CJUE, dar </w:t>
            </w:r>
            <w:r>
              <w:rPr>
                <w:b/>
                <w:i/>
              </w:rPr>
              <w:t>apoi atacată de AEPD la hotărârea</w:t>
            </w:r>
            <w:r>
              <w:t xml:space="preserve"> Tribunalului în cauza T-578/22</w:t>
            </w:r>
            <w:r>
              <w:rPr>
                <w:vertAlign w:val="superscript"/>
              </w:rPr>
              <w:t>3</w:t>
            </w:r>
            <w:r>
              <w:t xml:space="preserve">, considerând că problemele ridicate ar trebui abordate la cel mai înalt nivel; constată, pe baza raportului de monitorizare, că AEPD se abține de la formularea de observații cu privire la recursul respectiv, deoarece acesta este în curs de desfășurare; reamintește că aducerea de către AEPD în fața CJUE a unor chestiuni juridice în rolul său de supraveghere nu ar trebui </w:t>
            </w:r>
            <w:r>
              <w:rPr>
                <w:b/>
                <w:i/>
              </w:rPr>
              <w:t>considerat</w:t>
            </w:r>
            <w:r>
              <w:t xml:space="preserve"> ca afectând cooperarea loială și bunele relații dintre AEPD și entitățile pe care le supraveghează;</w:t>
            </w:r>
          </w:p>
        </w:tc>
        <w:tc>
          <w:tcPr>
            <w:tcW w:w="4876" w:type="dxa"/>
            <w:tcBorders>
              <w:top w:val="nil"/>
              <w:left w:val="nil"/>
              <w:bottom w:val="nil"/>
              <w:right w:val="nil"/>
            </w:tcBorders>
          </w:tcPr>
          <w:p>
            <w:pPr>
              <w:pStyle w:val="Normal6a"/>
            </w:pPr>
            <w:r>
              <w:t>22.</w:t>
            </w:r>
            <w:r>
              <w:tab/>
            </w:r>
            <w:r>
              <w:t>reamintește că, în 2022, AEPD a introdus o acțiune în anularea a două dispoziții ale Regulamentului (UE) 2016/794 modificat al Parlamentului European și al Consiliului</w:t>
            </w:r>
            <w:r>
              <w:rPr>
                <w:vertAlign w:val="superscript"/>
              </w:rPr>
              <w:t>2</w:t>
            </w:r>
            <w:r>
              <w:t xml:space="preserve"> în fața Curții de Justiție a Uniunii Europene (CJUE), care a fost ulterior respinsă de CJUE, dar </w:t>
            </w:r>
            <w:r>
              <w:rPr>
                <w:b/>
                <w:i/>
              </w:rPr>
              <w:t>care a făcut ulterior obiectul unui recurs al AEPD împotriva hotărârii</w:t>
            </w:r>
            <w:r>
              <w:t xml:space="preserve"> Tribunalului în cauza T-578/22</w:t>
            </w:r>
            <w:r>
              <w:rPr>
                <w:vertAlign w:val="superscript"/>
              </w:rPr>
              <w:t>3</w:t>
            </w:r>
            <w:r>
              <w:t xml:space="preserve">, </w:t>
            </w:r>
            <w:r>
              <w:rPr>
                <w:b/>
                <w:i/>
              </w:rPr>
              <w:t>Autoritatea</w:t>
            </w:r>
            <w:r>
              <w:t xml:space="preserve"> considerând că problemele ridicate ar trebui abordate la cel mai înalt nivel; constată, pe baza raportului de monitorizare, că AEPD se abține de la formularea de observații cu privire la recursul respectiv, deoarece acesta este în curs de desfășurare; reamintește că aducerea de către AEPD în fața CJUE a unor chestiuni juridice în rolul său de supraveghere nu ar trebui </w:t>
            </w:r>
            <w:r>
              <w:rPr>
                <w:b/>
                <w:i/>
              </w:rPr>
              <w:t>considerată</w:t>
            </w:r>
            <w:r>
              <w:t xml:space="preserve"> ca afectând cooperarea loială și bunele relații dintre AEPD și entitățile pe care le supraveghează</w:t>
            </w:r>
            <w:r>
              <w:rPr>
                <w:b/>
                <w:i/>
              </w:rPr>
              <w:t>, dar observă că acest fapt ridică îndoieli cu privire la poziția AEPD față de rolul de legiuitor al Parlamentului European și al Consiliului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 (JO L 295, 21.11.2018, p. 39, ELI: http://data.europa.eu/eli/reg/2018/1725/oj).</w:t>
            </w:r>
          </w:p>
        </w:tc>
        <w:tc>
          <w:tcPr>
            <w:tcW w:w="4876" w:type="dxa"/>
            <w:tcBorders>
              <w:top w:val="nil"/>
              <w:left w:val="nil"/>
              <w:bottom w:val="nil"/>
              <w:right w:val="nil"/>
            </w:tcBorders>
          </w:tcPr>
          <w:p>
            <w:pPr>
              <w:pStyle w:val="Normal6a"/>
            </w:pPr>
            <w:r>
              <w:rPr>
                <w:vertAlign w:val="superscript"/>
              </w:rPr>
              <w:t>2</w:t>
            </w:r>
            <w:r>
              <w:t xml:space="preserve"> </w:t>
            </w:r>
            <w:r>
              <w:t>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 (JO L 295, 21.11.2018, p.</w:t>
            </w:r>
            <w:r>
              <w:rPr>
                <w:b/>
                <w:i/>
              </w:rPr>
              <w:t xml:space="preserve"> </w:t>
            </w:r>
            <w:r>
              <w:t xml:space="preserve"> 39, ELI: http://data.europa.eu/eli/reg/2018/1725/oj).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Ordonanța Tribunalului din 6 septembrie 2023, cauza AEPD / Parlamentul și Consiliul, T-578/22, ECLI:UE:T:2023:522.</w:t>
            </w:r>
          </w:p>
        </w:tc>
        <w:tc>
          <w:tcPr>
            <w:tcW w:w="4876" w:type="dxa"/>
            <w:tcBorders>
              <w:top w:val="nil"/>
              <w:left w:val="nil"/>
              <w:bottom w:val="nil"/>
              <w:right w:val="nil"/>
            </w:tcBorders>
          </w:tcPr>
          <w:p>
            <w:pPr>
              <w:pStyle w:val="Normal6a"/>
            </w:pPr>
            <w:r>
              <w:rPr>
                <w:vertAlign w:val="superscript"/>
              </w:rPr>
              <w:t>3</w:t>
            </w:r>
            <w:r>
              <w:t xml:space="preserve"> </w:t>
            </w:r>
            <w:r>
              <w:t>Ordonanța Tribunalului din 6 septembrie 2023, cauza AEPD / Parlamentul și Consiliul, T-578/22, ECLI:UE:T:2023:522.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constată, pe baza chestionarului, că Serviciul de Audit Intern al Comisiei (IAS) a lansat în 2024 un audit privind administrarea serviciilor informatice furnizate AEPD de către Parlament, ceea ce a dus la punerea în aplicare a două recomandări de către AEPD; constată, în ceea ce privește un audit din 2023 privind „metodologia de planificare a auditurilor AEPD”, că una dintre cele două recomandări emise de IAS a fost abordată, în timp ce punerea în aplicare a celeilalte recomandări (privind elaborarea metodologiei de stabilire a planului de audit al AEPD) a fost amânată pentru momentul în care va fi numită noua Autoritate; invită AEPD să informeze în permanență autoritatea care acordă descărcarea de gestiune despre progresele înregistrate în acest sens;</w:t>
            </w:r>
          </w:p>
        </w:tc>
        <w:tc>
          <w:tcPr>
            <w:tcW w:w="4876" w:type="dxa"/>
            <w:tcBorders>
              <w:top w:val="nil"/>
              <w:left w:val="nil"/>
              <w:bottom w:val="nil"/>
              <w:right w:val="nil"/>
            </w:tcBorders>
          </w:tcPr>
          <w:p>
            <w:pPr>
              <w:pStyle w:val="Normal6a"/>
            </w:pPr>
            <w:r>
              <w:t>24.</w:t>
            </w:r>
            <w:r>
              <w:tab/>
            </w:r>
            <w:r>
              <w:t>constată, pe baza chestionarului, că Serviciul de Audit Intern al Comisiei (IAS) a lansat în 2024 un audit privind administrarea serviciilor informatice furnizate AEPD de către Parlament, ceea ce a dus la punerea în aplicare a două recomandări de către AEPD; constată, în ceea ce privește un audit din 2023 privind „metodologia de planificare a auditurilor AEPD”, că una dintre cele două recomandări emise de IAS a fost abordată, în timp ce punerea în aplicare a celeilalte recomandări (privind elaborarea metodologiei de stabilire a planului de audit al AEPD) a fost amânată pentru momentul în care va fi numită noua Autoritate; invită AEPD să informeze în permanență autoritatea care acordă descărcarea de gestiune despre progresele înregistrate în acest sens</w:t>
            </w:r>
            <w:r>
              <w:rPr>
                <w:b/>
                <w:i/>
              </w:rPr>
              <w:t>, remarcând că AEPD ar trebui să consulte entitățile auditate de aceasta cu privire la fezabilitatea și caracterul adecvat al recomandărilor planificate, cu scopul de a asigura, ulterior, o punere în aplicare rapidă, eficace și eficientă a recomandărilor de către fiecare entitate auditată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Vlad Vasile-Voiculescu, Olivier Chastel,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constată că, la sfârșitul anului 2024, AEPD avea 137 de angajați, comparativ cu 129 în 2023; ia act de faptul că AEPD avea drept angajați 55 de agenți contractuali (AC) în temeiul articolului 3 litera (b) din Statutul funcționarilor și Regimul aplicabil celorlalți agenți (50 de AC în 2023), 9 agenți temporari (AT) în temeiul articolului 2 litera (b) și al articolului 2 litera (c) (7 AT în 2022) și a utilizat serviciile a 10 prestatori externi de servicii (EXT) care lucrau intra-muros în 2023 (12 EXT în 2022); invită AEPD să reflecteze asupra modului de reducere a numărului de AC în favoarea contractelor permanente pentru a garanta păstrarea talentelor și continuitatea activității; ia act de faptul că AEPD a avut 23 naționalități din statele membre în 2024 (la fel ca în 2023) reprezentate în rândul personalului său, ceea ce reprezintă</w:t>
            </w:r>
            <w:r>
              <w:rPr>
                <w:b/>
                <w:i/>
              </w:rPr>
              <w:t>, în pofida suprareprezentării a 5 naționalități,</w:t>
            </w:r>
            <w:r>
              <w:t xml:space="preserve"> un punctaj excelent pentru o instituție atât de mică;</w:t>
            </w:r>
          </w:p>
        </w:tc>
        <w:tc>
          <w:tcPr>
            <w:tcW w:w="4876" w:type="dxa"/>
            <w:tcBorders>
              <w:top w:val="nil"/>
              <w:left w:val="nil"/>
              <w:bottom w:val="nil"/>
              <w:right w:val="nil"/>
            </w:tcBorders>
          </w:tcPr>
          <w:p>
            <w:pPr>
              <w:pStyle w:val="Normal6a"/>
            </w:pPr>
            <w:r>
              <w:t>25.</w:t>
            </w:r>
            <w:r>
              <w:tab/>
            </w:r>
            <w:r>
              <w:t xml:space="preserve">constată că, la sfârșitul anului 2024, AEPD avea 137 de angajați, comparativ cu 129 în 2023; ia act de faptul că AEPD avea drept angajați 55 de agenți contractuali (AC) în temeiul articolului 3 litera (b) din Statutul funcționarilor și Regimul aplicabil celorlalți agenți (50 de AC în 2023), 9 agenți temporari (AT) în temeiul articolului 2 litera (b) și al articolului 2 litera (c) (7 AT în 2022) și a utilizat serviciile a 10 prestatori externi de servicii (EXT) care lucrau intra-muros în 2023 (12 EXT în 2022); invită AEPD să reflecteze asupra modului de reducere a numărului de AC în favoarea contractelor permanente pentru a garanta păstrarea talentelor și continuitatea activității; ia act de faptul că AEPD a avut 23 </w:t>
            </w:r>
            <w:r>
              <w:rPr>
                <w:b/>
                <w:i/>
              </w:rPr>
              <w:t>de</w:t>
            </w:r>
            <w:r>
              <w:t xml:space="preserve"> naționalități din statele membre în 2024 (la fel ca în 2023) reprezentate în rândul personalului său, ceea ce reprezintă un punctaj excelent pentru o instituție atât de mică; </w:t>
            </w:r>
            <w:r>
              <w:rPr>
                <w:b/>
                <w:i/>
              </w:rPr>
              <w:t>ia act totuși de suprareprezentarea a cinci naționalități și de subreprezentarea altor naționalități;</w:t>
            </w:r>
            <w:r>
              <w:t xml:space="preserve"> </w:t>
            </w:r>
            <w:r>
              <w:rPr>
                <w:b/>
                <w:i/>
              </w:rPr>
              <w:t>îndeamnă AEPD să își continue eforturile de realizare a unei distribuții geografice echilibrate a resortisanților din toate statele membre în rândul personalului său, revizuind politica de recrutare pe baza acestei cerințe;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constată că, la sfârșitul anului 2024, AEPD avea 137 de angajați, comparativ cu 129 în 2023; ia act de faptul că AEPD avea drept angajați 55 de agenți contractuali (AC) în temeiul articolului 3 litera (b) din Statutul funcționarilor și Regimul aplicabil celorlalți agenți (50 de AC în 2023), 9 agenți temporari (AT) în temeiul articolului 2 litera (b) și al articolului 2 litera (c) (7 AT în 2022) și a utilizat serviciile a 10 prestatori externi de servicii (EXT) care lucrau intra-muros în 2023 (12 EXT în 2022); invită AEPD să reflecteze asupra modului de reducere a numărului de AC în favoarea contractelor permanente pentru a garanta păstrarea talentelor și continuitatea activității; ia act de faptul că AEPD a avut 23 naționalități din statele membre în 2024 (la fel ca în 2023) reprezentate în rândul personalului său, ceea ce reprezintă, în pofida suprareprezentării a 5 naționalități, un punctaj excelent pentru o instituție atât de mică;</w:t>
            </w:r>
          </w:p>
        </w:tc>
        <w:tc>
          <w:tcPr>
            <w:tcW w:w="4876" w:type="dxa"/>
            <w:tcBorders>
              <w:top w:val="nil"/>
              <w:left w:val="nil"/>
              <w:bottom w:val="nil"/>
              <w:right w:val="nil"/>
            </w:tcBorders>
          </w:tcPr>
          <w:p>
            <w:pPr>
              <w:pStyle w:val="Normal6a"/>
            </w:pPr>
            <w:r>
              <w:t>25.</w:t>
            </w:r>
            <w:r>
              <w:tab/>
            </w:r>
            <w:r>
              <w:t xml:space="preserve">constată că, la sfârșitul anului 2024, AEPD avea 137 de angajați, comparativ cu 129 în 2023; ia act de faptul că AEPD avea drept angajați 55 de agenți contractuali (AC) în temeiul articolului 3 litera (b) din Statutul funcționarilor și Regimul aplicabil celorlalți agenți (50 de AC în 2023), 9 agenți temporari (AT) în temeiul articolului 2 litera (b) și al articolului 2 litera (c) (7 AT în 2022) și a utilizat serviciile a 10 prestatori externi de servicii (EXT) care lucrau intra-muros în 2023 (12 EXT în 2022); invită AEPD să reflecteze asupra modului de reducere a numărului de AC în favoarea contractelor permanente pentru a garanta păstrarea talentelor și continuitatea activității; ia act de faptul că AEPD a avut 23 naționalități din statele membre în 2024 (la fel ca în 2023) reprezentate în rândul personalului său, ceea ce reprezintă, în pofida suprareprezentării a 5 naționalități, un punctaj excelent pentru o instituție atât de mică; </w:t>
            </w:r>
            <w:r>
              <w:rPr>
                <w:b/>
                <w:i/>
              </w:rPr>
              <w:t>invită AEPD să își continue eforturile în direcția unei reprezentări geografice mai echilibrate între toate statele membre, în special la nivel de conducere;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constată o rată ridicată de ocupare a schemei de personal, de 98,80 %, comparativ cu 95,65 % în 2023, dar și o rată ridicată a rotației de 12 % în 2024, comparativ cu 13 % în 2023; constată că majoritatea posturilor neocupate au fost ca urmare a nepotrivirii candidaților; constată cu satisfacție, pe baza raportului de monitorizare, că AEPD a abordat aceste provocări prin elaborarea unei strategii cuprinzătoare de păstrare a personalului și de atragere a talentelor, care a fost adoptată la începutul anului 2025, cu acțiuni pe termen scurt, mediu și lung pentru păstrarea personalului cu experiență, atenuarea riscurilor legate de rotația personalului și îmbunătățirea atractivității AEPD ca angajator;</w:t>
            </w:r>
          </w:p>
        </w:tc>
        <w:tc>
          <w:tcPr>
            <w:tcW w:w="4876" w:type="dxa"/>
            <w:tcBorders>
              <w:top w:val="nil"/>
              <w:left w:val="nil"/>
              <w:bottom w:val="nil"/>
              <w:right w:val="nil"/>
            </w:tcBorders>
          </w:tcPr>
          <w:p>
            <w:pPr>
              <w:pStyle w:val="Normal6a"/>
            </w:pPr>
            <w:r>
              <w:t>26.</w:t>
            </w:r>
            <w:r>
              <w:tab/>
            </w:r>
            <w:r>
              <w:t>constată o rată ridicată de ocupare a schemei de personal, de 98,80 %, comparativ cu 95,65 % în 2023, dar și o rată ridicată a rotației de 12 % în 2024, comparativ cu 13 % în 2023; constată că majoritatea posturilor neocupate au fost ca urmare a nepotrivirii candidaților</w:t>
            </w:r>
            <w:r>
              <w:rPr>
                <w:b/>
                <w:i/>
              </w:rPr>
              <w:t>;</w:t>
            </w:r>
            <w:r>
              <w:t xml:space="preserve"> </w:t>
            </w:r>
            <w:r>
              <w:rPr>
                <w:b/>
                <w:i/>
              </w:rPr>
              <w:t>ia act de provocările identificate în procedurile de recrutare și selecție</w:t>
            </w:r>
            <w:r>
              <w:t xml:space="preserve">; constată cu satisfacție, pe baza raportului de monitorizare, că AEPD a abordat aceste provocări prin elaborarea unei strategii cuprinzătoare de păstrare a personalului și de atragere a talentelor, care a fost adoptată la începutul anului 2025, cu acțiuni pe termen scurt, mediu și lung pentru păstrarea personalului cu experiență, atenuarea riscurilor legate de rotația personalului și îmbunătățirea atractivității AEPD ca angajator; </w:t>
            </w:r>
            <w:r>
              <w:rPr>
                <w:b/>
                <w:i/>
              </w:rPr>
              <w:t>încurajează AEPD să îmbunătățească în continuare procedurile de recrutare, respectând totodată pe deplin principiile meritului, transparenței și egalității de tratament;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Vlad Vasile-Voiculescu, Olivier Chastel,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constată, pe baza chestionarului, că AEPD oferă formule de lucru flexibile și hibride, care sunt bine primite de membrii personalului, care pot beneficia, printre altele, de concediu pentru creșterea copilului, de credite de timp, de munca cu fracțiune de normă sau de munca din străinătate pentru un număr limitat de zile pe an; ia act de faptul că următorul sondaj privind satisfacția personalului, care cuprinde telemunca, a fost programat pentru 2025;</w:t>
            </w:r>
          </w:p>
        </w:tc>
        <w:tc>
          <w:tcPr>
            <w:tcW w:w="4876" w:type="dxa"/>
            <w:tcBorders>
              <w:top w:val="nil"/>
              <w:left w:val="nil"/>
              <w:bottom w:val="nil"/>
              <w:right w:val="nil"/>
            </w:tcBorders>
          </w:tcPr>
          <w:p>
            <w:pPr>
              <w:pStyle w:val="Normal6a"/>
            </w:pPr>
            <w:r>
              <w:t>30.</w:t>
            </w:r>
            <w:r>
              <w:tab/>
            </w:r>
            <w:r>
              <w:t xml:space="preserve">constată, pe baza chestionarului, că AEPD oferă formule de lucru flexibile și hibride, care sunt bine primite de membrii personalului, care pot beneficia, printre altele, de concediu pentru creșterea copilului, de credite de timp, de munca cu fracțiune de normă sau de munca din străinătate pentru un număr limitat de zile pe an; ia act de faptul că următorul sondaj privind satisfacția personalului, care cuprinde telemunca, a fost programat pentru 2025; </w:t>
            </w:r>
            <w:r>
              <w:rPr>
                <w:b/>
                <w:i/>
              </w:rPr>
              <w:t>consideră că infrastructura clădirilor ar putea fi optimizată, după caz, pentru a reflecta munca de la distanță și formulele de lucru hibride, cu scopul de a reduce costurile operaționale și de a asigura o utilizare mai eficientă a spațiului de birouri;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Vlad Vasile-Voiculescu, Olivier Chastel,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ia act, pe baza chestionarului, de răspunsul AEPD potrivit căruia AEPD nu are acces la dosarele medicale ale personalului său și nu este în măsură să cunoască cauza principală a absențelor, deoarece acestea sunt validate de Serviciul medical al Comisiei; ia act de faptul că AEPD are acces numai la date agregate, cum ar fi numărul de zile de concediu medical și dacă acestea sunt însoțite de un certificat medical; constată că creșterea numărului de zile de concediu medical de la 2023 la 2024, și anume de la 1 680,50 la 1 946 (+ 15,80 %), a depășit creșterea numărului de angajați de la 129 la 137 (și anume + 6,20 %); constată că durata medie a bolii per persoană a crescut, de asemenea, de la 14,7 zile în 2023 la 18,30 în 2024 și că rata concediilor medicale a crescut de la 3,60 % în 2023 la 3,9 % în 2024; este îngrijorat de situația actuală și continuă să solicite o evaluare mai clară a stării de bine a personalului pentru a identifica posibilele cauze recurente ale epuizării, cazuri care ar trebui comunicate anual autorității care acordă descărcarea de gestiune, la fel ca orice altă instituție;</w:t>
            </w:r>
          </w:p>
        </w:tc>
        <w:tc>
          <w:tcPr>
            <w:tcW w:w="4876" w:type="dxa"/>
            <w:tcBorders>
              <w:top w:val="nil"/>
              <w:left w:val="nil"/>
              <w:bottom w:val="nil"/>
              <w:right w:val="nil"/>
            </w:tcBorders>
          </w:tcPr>
          <w:p>
            <w:pPr>
              <w:pStyle w:val="Normal6a"/>
            </w:pPr>
            <w:r>
              <w:t>32.</w:t>
            </w:r>
            <w:r>
              <w:tab/>
            </w:r>
            <w:r>
              <w:t xml:space="preserve">ia act, pe baza chestionarului, de răspunsul AEPD potrivit căruia AEPD nu are acces la dosarele medicale ale personalului său și nu este în măsură să cunoască cauza principală a absențelor, deoarece acestea sunt validate de Serviciul medical al Comisiei; ia act de faptul că AEPD are acces numai la date agregate, cum ar fi numărul de zile de concediu medical și dacă acestea sunt însoțite de un certificat medical; constată că creșterea numărului de zile de concediu medical de la 2023 la 2024, și anume de la 1 680,50 la 1 946 (+ 15,80 %), a depășit creșterea numărului de angajați de la 129 la 137 (și anume + 6,20 %); constată că durata medie a bolii per persoană a crescut, de asemenea, de la 14,7 zile în 2023 la 18,30 în 2024 și că rata concediilor medicale a crescut de la 3,60 % în 2023 la 3,9 % în 2024; este îngrijorat de situația actuală și continuă să solicite o evaluare mai clară a stării de bine a personalului pentru a identifica posibilele cauze recurente ale epuizării, cazuri care ar trebui comunicate anual autorității care acordă descărcarea de gestiune, la fel ca orice altă instituție; </w:t>
            </w:r>
            <w:r>
              <w:rPr>
                <w:b/>
                <w:i/>
              </w:rPr>
              <w:t>solicită AEPD ca, în cooperare cu Serviciul medical al Comisiei, să realizeze o evaluare specifică a cauzelor profunde ale acestei creșteri, cu un accent special pe prevenirea epuizării;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Vlad Vasile-Voiculescu, Olivier Chastel,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ia act de faptul că AEPD a instituit un cadru pentru prevenirea conflictelor de interese la nivelul conducerii superioare și al personalului prin coduri de conduită, sensibilizare și declarații privind absența conflictelor de interese și confidențialitatea; ia act de faptul că toți membrii personalului AEPD trebuie să semneze asemenea documente; observă că în 2024 nu au fost înregistrate cazuri de conflicte de interese sau de avertizare de integritate la AEPD; observă cu îngrijorare că, în 2024, AEPD a comunicat un caz de presupusă fraudă, pe care Biroul disciplinar al Comisiei (IDOC) l-a investigat; constată, în acest caz, că IDOC a închis ancheta în 2025, cu recomandarea adresată AEPD de a iniția proceduri disciplinare în conformitate cu Statutul funcționarilor; invită AEPD să informeze autoritatea care acordă descărcarea de gestiune cu privire la rezultatul final în această chestiune;</w:t>
            </w:r>
          </w:p>
        </w:tc>
        <w:tc>
          <w:tcPr>
            <w:tcW w:w="4876" w:type="dxa"/>
            <w:tcBorders>
              <w:top w:val="nil"/>
              <w:left w:val="nil"/>
              <w:bottom w:val="nil"/>
              <w:right w:val="nil"/>
            </w:tcBorders>
          </w:tcPr>
          <w:p>
            <w:pPr>
              <w:pStyle w:val="Normal6a"/>
            </w:pPr>
            <w:r>
              <w:t>34.</w:t>
            </w:r>
            <w:r>
              <w:tab/>
            </w:r>
            <w:r>
              <w:t>ia act de faptul că AEPD a instituit un cadru pentru prevenirea conflictelor de interese la nivelul conducerii superioare și al personalului prin coduri de conduită, sensibilizare și declarații privind absența conflictelor de interese și confidențialitatea; ia act de faptul că toți membrii personalului AEPD trebuie să semneze asemenea documente; observă că în 2024 nu au fost înregistrate cazuri de conflicte de interese sau de avertizare de integritate la AEPD; observă cu îngrijorare că, în 2024, AEPD a comunicat un caz de presupusă fraudă, pe care Biroul disciplinar al Comisiei (IDOC) l-a investigat; constată, în acest caz, că IDOC a închis ancheta în 2025, cu recomandarea adresată AEPD de a iniția proceduri disciplinare în conformitate cu Statutul funcționarilor; invită AEPD să informeze autoritatea care acordă descărcarea de gestiune cu privire la rezultatul final în această chestiune</w:t>
            </w:r>
            <w:r>
              <w:rPr>
                <w:b/>
                <w:i/>
              </w:rPr>
              <w:t>, precum și cu privire la orice eventuale măsuri luate pentru a consolida controalele interne antifraudă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Vlad Vasile-Voiculescu, Olivier Chastel,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salută nivelul general ridicat de transparență atins de AEPD în ceea ce privește activitățile sale, inclusiv în ceea ce privește publicarea programului și a declarației de interese a Autorității și a Secretarului General; constată cu satisfacție, pe baza chestionarului, că, în urma unei evaluări interne privind măsurile de transparență efectuate în perioada 2023-2024, AEPD a adoptat în 2025 o decizie prin care Autoritatea, SG și personalul AEPD cu responsabilități de conducere se vor întâlni cu reprezentanții de interese numai dacă sunt înregistrați în registrul de transparență al Uniunii; observă cu satisfacție că, prin această decizie, AEPD face parte din registrul de transparență al Uniunii, al cărui consiliu de administrație a fost notificat în mod corespunzător;</w:t>
            </w:r>
          </w:p>
        </w:tc>
        <w:tc>
          <w:tcPr>
            <w:tcW w:w="4876" w:type="dxa"/>
            <w:tcBorders>
              <w:top w:val="nil"/>
              <w:left w:val="nil"/>
              <w:bottom w:val="nil"/>
              <w:right w:val="nil"/>
            </w:tcBorders>
          </w:tcPr>
          <w:p>
            <w:pPr>
              <w:pStyle w:val="Normal6a"/>
            </w:pPr>
            <w:r>
              <w:t>36.</w:t>
            </w:r>
            <w:r>
              <w:tab/>
            </w:r>
            <w:r>
              <w:t xml:space="preserve">salută nivelul general ridicat de transparență atins de AEPD în ceea ce privește activitățile sale, inclusiv în ceea ce privește publicarea programului și a declarației de interese a Autorității și a Secretarului General; constată cu satisfacție, pe baza chestionarului, că, în urma unei evaluări interne privind măsurile de transparență efectuate în perioada 2023-2024, AEPD a adoptat în 2025 o decizie prin care Autoritatea, SG și personalul AEPD cu responsabilități de conducere se vor întâlni cu reprezentanții de interese numai dacă sunt înregistrați în registrul de transparență al Uniunii; observă cu satisfacție că, prin această decizie, AEPD face parte din registrul de transparență al Uniunii, al cărui consiliu de administrație a fost notificat în mod corespunzător; </w:t>
            </w:r>
            <w:r>
              <w:rPr>
                <w:b/>
                <w:i/>
              </w:rPr>
              <w:t>recomandă AEPD să publice pe site-ul său o listă a tuturor reuniunilor organizate cu reprezentanții grupurilor de interese, pentru a spori și mai mult responsabilitatea publică și transparența;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ia act de faptul că nivelul limitat al resurselor umane interne în domeniul IT ale AEPD este parțial compensat de serviciile informatice furnizate de Parlament și de Comisie în temeiul acordurilor privind nivelul serviciilor și al unui mecanism de regularizare a cheltuielilor;</w:t>
            </w:r>
            <w:r>
              <w:t xml:space="preserve"> </w:t>
            </w:r>
            <w:r>
              <w:rPr>
                <w:b/>
                <w:i/>
              </w:rPr>
              <w:t>reamintește că Parlamentul a identificat deja, în rezoluția sa referitoare la descărcarea de gestiune pentru exercițiul financiar 2023, existența unor decalaje structurale între aceste servicii informatice interinstituționale și nevoile operaționale specifice ale AEPD;</w:t>
            </w:r>
            <w:r>
              <w:t xml:space="preserve"> </w:t>
            </w:r>
            <w:r>
              <w:rPr>
                <w:b/>
                <w:i/>
              </w:rPr>
              <w:t>subliniază că, deși acest model poate genera economii de scară, el poate reduce previzibilitatea costurilor și controlul direct al instituțiilor mici asupra evoluției cheltuielilor legate de tehnologia informației și subliniază importanța luării în considerare a acestor presiuni structurale asupra costurilor în planificarea bugetară viitoare;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40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40b.</w:t>
            </w:r>
            <w:r>
              <w:tab/>
            </w:r>
            <w:r>
              <w:rPr>
                <w:b/>
                <w:i/>
              </w:rPr>
              <w:t>subliniază activitatea desfășurată de AEPD privind soluțiile cloud colaborative cu sursă deschisă din UE, în special în privința proiectului Nextcloud și a migrării sale către un centru de date gestionat de Comisie, în vederea consolidării suveranității datelor și a reducerii dependențelor de furnizorii din afara UE;</w:t>
            </w:r>
            <w:r>
              <w:t xml:space="preserve"> </w:t>
            </w:r>
            <w:r>
              <w:rPr>
                <w:b/>
                <w:i/>
              </w:rPr>
              <w:t>invită AEPD să furnizeze autorității care acordă descărcarea de gestiune, în ceea ce privește acest proiect, o evaluare a costului total al deținerii, a beneficiilor în materie de securitate și a scalabilității pentru alte instituții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Vlad Vasile-Voiculescu, Olivier Chastel,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observă că AEPD nu a devenit membru al sistemului de management de mediu și audit (EMAS); constată că, pentru a obține certificarea EMAS, AEPD a înființat în 2024 un grup de lucru inter-unități, ale cărui obiective sunt de a cartografia măsurile existente deja puse în aplicare de Parlament, de a elabora strategii de reducere a emisiilor de dioxid de carbon și de a propune soluții inovatoare; invită AEPD să informeze în permanență autoritatea care acordă descărcarea de gestiune despre progresele înregistrate în acest sens;</w:t>
            </w:r>
          </w:p>
        </w:tc>
        <w:tc>
          <w:tcPr>
            <w:tcW w:w="4876" w:type="dxa"/>
            <w:tcBorders>
              <w:top w:val="nil"/>
              <w:left w:val="nil"/>
              <w:bottom w:val="nil"/>
              <w:right w:val="nil"/>
            </w:tcBorders>
          </w:tcPr>
          <w:p>
            <w:pPr>
              <w:pStyle w:val="Normal6a"/>
            </w:pPr>
            <w:r>
              <w:t>48.</w:t>
            </w:r>
            <w:r>
              <w:tab/>
            </w:r>
            <w:r>
              <w:t xml:space="preserve">observă că AEPD nu a devenit membru al sistemului de management de mediu și audit (EMAS); constată că, pentru a obține certificarea EMAS, AEPD a înființat în 2024 un grup de lucru inter-unități, ale cărui obiective sunt de a cartografia măsurile existente deja puse în aplicare de Parlament, de a elabora strategii de reducere a emisiilor de dioxid de carbon și de a propune soluții inovatoare; invită AEPD să </w:t>
            </w:r>
            <w:r>
              <w:rPr>
                <w:b/>
                <w:i/>
              </w:rPr>
              <w:t>stabilească un calendar clar pentru obținerea certificării EMAS și să</w:t>
            </w:r>
            <w:r>
              <w:t xml:space="preserve"> informeze în permanență autoritatea care acordă descărcarea de gestiune despre progresele înregistrate în acest sens;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782.495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20</w:t>
    </w:r>
    <w:r>
      <w:fldChar w:fldCharType="end"/>
    </w:r>
    <w:r>
      <w:t>/</w:t>
    </w:r>
    <w:r>
      <w:fldChar w:fldCharType="begin"/>
    </w:r>
    <w:r>
      <w:instrText xml:space="preserve"> NUMPAGES </w:instrText>
    </w:r>
    <w:r>
      <w:fldChar w:fldCharType="separate"/>
    </w:r>
    <w:r>
      <w:t>20</w:t>
    </w:r>
    <w:r>
      <w:fldChar w:fldCharType="end"/>
    </w:r>
    <w:r>
      <w:tab/>
    </w:r>
    <w:r>
      <w:rPr>
        <w:rStyle w:val="HideTWBExt"/>
      </w:rPr>
      <w:t>&lt;PathFdR&gt;</w:t>
    </w:r>
    <w:r>
      <w:t>AM\1336069RO.docx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AM\1336069RO.docx</w:t>
    </w:r>
    <w:r>
      <w:rPr>
        <w:rStyle w:val="HideTWBExt"/>
      </w:rPr>
      <w:t>&lt;/PathFdR&gt;</w:t>
    </w:r>
    <w:r>
      <w:tab/>
    </w:r>
    <w:r>
      <w:fldChar w:fldCharType="begin"/>
    </w:r>
    <w:r>
      <w:instrText xml:space="preserve"> PAGE </w:instrText>
    </w:r>
    <w:r>
      <w:fldChar w:fldCharType="separate"/>
    </w:r>
    <w:r>
      <w:t>19</w:t>
    </w:r>
    <w:r>
      <w:fldChar w:fldCharType="end"/>
    </w:r>
    <w:r>
      <w:t>/</w:t>
    </w:r>
    <w:r>
      <w:fldChar w:fldCharType="begin"/>
    </w:r>
    <w:r>
      <w:instrText xml:space="preserve"> NUMPAGES </w:instrText>
    </w:r>
    <w:r>
      <w:fldChar w:fldCharType="separate"/>
    </w:r>
    <w:r>
      <w:t>20</w:t>
    </w:r>
    <w:r>
      <w:fldChar w:fldCharType="end"/>
    </w:r>
    <w:r>
      <w:tab/>
    </w:r>
    <w:r>
      <w:t>PE</w:t>
    </w:r>
    <w:r>
      <w:rPr>
        <w:rStyle w:val="HideTWBExt"/>
      </w:rPr>
      <w:t>&lt;NoPE&gt;</w:t>
    </w:r>
    <w:r>
      <w:t>782.495</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AM\1336069RO.docx</w:t>
    </w:r>
    <w:r>
      <w:rPr>
        <w:rStyle w:val="HideTWBExt"/>
      </w:rPr>
      <w:t>&lt;/PathFdR&gt;</w:t>
    </w:r>
    <w:r>
      <w:tab/>
    </w:r>
    <w:r>
      <w:tab/>
    </w:r>
    <w:r>
      <w:t>PE</w:t>
    </w:r>
    <w:r>
      <w:rPr>
        <w:rStyle w:val="HideTWBExt"/>
      </w:rPr>
      <w:t>&lt;NoPE&gt;</w:t>
    </w:r>
    <w:r>
      <w:t>782.495</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20</Pages>
  <Words>6704</Words>
  <Characters>37470</Characters>
  <Application>Microsoft Office Word</Application>
  <DocSecurity>0</DocSecurity>
  <Lines>1</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1336069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374058</vt:lpwstr>
  </property>
  <property fmtid="{D5CDD505-2E9C-101B-9397-08002B2CF9AE}" pid="7" name="dmxml.render.traceId">
    <vt:lpwstr>698c467d83f16f12a1e415b58723375d</vt:lpwstr>
  </property>
  <property fmtid="{D5CDD505-2E9C-101B-9397-08002B2CF9AE}" pid="8" name="FooterPath">
    <vt:lpwstr>AM\1336069RO.docx</vt:lpwstr>
  </property>
  <property fmtid="{D5CDD505-2E9C-101B-9397-08002B2CF9AE}" pid="9" name="PE Number">
    <vt:lpwstr>782.495</vt:lpwstr>
  </property>
  <property fmtid="{D5CDD505-2E9C-101B-9397-08002B2CF9AE}" pid="10" name="UID">
    <vt:lpwstr>eu.europa.europarl-DIN1-2026-0000016189_01.00-ro-01.00_text-xml</vt:lpwstr>
  </property>
</Properties>
</file>