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Talousarvion valvontavaliokunta</w:t>
      </w:r>
      <w:r>
        <w:rPr>
          <w:rStyle w:val="HideTWBExt"/>
        </w:rPr>
        <w:t>&lt;/Commission&gt;</w:t>
      </w:r>
    </w:p>
    <w:p>
      <w:pPr>
        <w:pStyle w:val="LineBottom"/>
      </w:pPr>
      <w:r>
        <w:t xml:space="preserve"> </w:t>
      </w:r>
    </w:p>
    <w:p>
      <w:pPr>
        <w:pStyle w:val="CoverReference"/>
      </w:pPr>
      <w:r>
        <w:rPr>
          <w:rStyle w:val="HideTWBExt"/>
        </w:rPr>
        <w:t>&lt;RefProc&gt;</w:t>
      </w:r>
      <w:r>
        <w:t>2025/2147</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1</w:t>
      </w:r>
      <w:r>
        <w:t xml:space="preserve"> - </w:t>
      </w:r>
      <w:r>
        <w:t>59</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(PE778.049v01-00)</w:t>
      </w:r>
      <w:r>
        <w:rPr>
          <w:rStyle w:val="HideTWBExt"/>
        </w:rPr>
        <w:t>&lt;/DocRefPE&gt;</w:t>
      </w:r>
    </w:p>
    <w:p>
      <w:pPr>
        <w:pStyle w:val="CoverNormal"/>
      </w:pPr>
      <w:r>
        <w:rPr>
          <w:rStyle w:val="HideTWBExt"/>
        </w:rPr>
        <w:t>&lt;Titre&gt;</w:t>
      </w:r>
      <w:r>
        <w:t>Vastuuvapaus 2024: EU:n yleinen talousarvio - Eurooppa-neuvosto ja neuvosto</w:t>
      </w:r>
      <w:r>
        <w:rPr>
          <w:rStyle w:val="HideTWBExt"/>
        </w:rPr>
        <w:t>&lt;/Titre&gt;</w:t>
      </w:r>
    </w:p>
    <w:p>
      <w:pPr>
        <w:pStyle w:val="CoverNormal24a"/>
      </w:pPr>
      <w:r>
        <w:rPr>
          <w:rStyle w:val="HideTWBExt"/>
        </w:rPr>
        <w:t>&lt;DocRef&gt;</w:t>
      </w:r>
      <w:r>
        <w:t>(2025/2147(DEC))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tc>
        <w:tc>
          <w:tcPr>
            <w:tcW w:w="4876" w:type="dxa"/>
            <w:tcBorders>
              <w:top w:val="nil"/>
              <w:left w:val="nil"/>
              <w:bottom w:val="nil"/>
              <w:right w:val="nil"/>
            </w:tcBorders>
          </w:tcPr>
          <w:p>
            <w:pPr>
              <w:pStyle w:val="Normal6a"/>
            </w:pPr>
            <w:r>
              <w:t>A.</w:t>
            </w:r>
            <w:r>
              <w:tab/>
            </w:r>
            <w:r>
              <w:rPr>
                <w:b/>
                <w:i/>
              </w:rPr>
              <w:t>ottaa huomioon, että unionin toimielinten demokraattinen legitimiteetti perustuu ennen kaikkea siihen, että noudatetaan tiukasti perussopimuksia, joissa vahvistetaan toimielinten välinen tasapaino ja selkeä toimivallan jako;</w:t>
            </w:r>
            <w:r>
              <w:t xml:space="preserve"> </w:t>
            </w:r>
            <w:r>
              <w:rPr>
                <w:b/>
                <w:i/>
              </w:rPr>
              <w:t>ottaa huomioon, että avoimuus, vastuuvelvollisuus ja moitteeton varainhoito ovat kaikkien EU:n toimielinten, elinten ja laitosten keskeisiä velvoitteita käytettäessä veronmaksajien rahoja;</w:t>
            </w:r>
            <w:r>
              <w:t xml:space="preserve"> 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toteaa, että Euroopan unionin toiminnasta tehdyn sopimuksen (SEUT) 319 artiklan nojalla parlamentti on yksin vastuussa Euroopan unionin yleisen talousarvion toteuttamista koskevan vastuuvapauden myöntämisestä ja että Eurooppa-neuvoston ja neuvoston talousarvio muodostaa unionin talousarvion yhden pääluokan;</w:t>
            </w:r>
          </w:p>
        </w:tc>
        <w:tc>
          <w:tcPr>
            <w:tcW w:w="4876" w:type="dxa"/>
            <w:tcBorders>
              <w:top w:val="nil"/>
              <w:left w:val="nil"/>
              <w:bottom w:val="nil"/>
              <w:right w:val="nil"/>
            </w:tcBorders>
          </w:tcPr>
          <w:p>
            <w:pPr>
              <w:pStyle w:val="Normal6a"/>
            </w:pPr>
            <w:r>
              <w:t>B.</w:t>
            </w:r>
            <w:r>
              <w:tab/>
            </w:r>
            <w:r>
              <w:t>toteaa, että Euroopan unionin toiminnasta tehdyn sopimuksen (SEUT) 319 artiklan nojalla parlamentti on yksin vastuussa Euroopan unionin yleisen talousarvion toteuttamista koskevan vastuuvapauden myöntämisestä ja että Eurooppa-neuvoston ja neuvoston talousarvio muodostaa unionin talousarvion yhden pääluokan</w:t>
            </w:r>
            <w:r>
              <w:rPr>
                <w:b/>
                <w:i/>
              </w:rPr>
              <w:t>, joten talousarvion hallitustenvälisestä luonteesta huolimatta parlamentilla on perussopimusten ja varainhoitoasetuksen nojalla oikeudellinen velvoite varmistaa avoimuus, vastuuvelvollisuus ja moitteeton varainhoito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toteaa, että neuvoston yhteistyöhaluttomuus vastuuvapausmenettelyssä on vuotta 2009 koskevasta vastuuvapaudesta alkaen johtanut siihen, että parlamentti on joutunut epäämään neuvoston pääsihteeriltä vastuuvapauden;</w:t>
            </w:r>
          </w:p>
        </w:tc>
        <w:tc>
          <w:tcPr>
            <w:tcW w:w="4876" w:type="dxa"/>
            <w:tcBorders>
              <w:top w:val="nil"/>
              <w:left w:val="nil"/>
              <w:bottom w:val="nil"/>
              <w:right w:val="nil"/>
            </w:tcBorders>
          </w:tcPr>
          <w:p>
            <w:pPr>
              <w:pStyle w:val="Normal6a"/>
            </w:pPr>
            <w:r>
              <w:t>H.</w:t>
            </w:r>
            <w:r>
              <w:tab/>
            </w:r>
            <w:r>
              <w:t xml:space="preserve">toteaa, että neuvoston yhteistyöhaluttomuus vastuuvapausmenettelyssä on vuotta 2009 koskevasta vastuuvapaudesta alkaen </w:t>
            </w:r>
            <w:r>
              <w:rPr>
                <w:b/>
                <w:i/>
              </w:rPr>
              <w:t>estänyt parlamenttia hoitamasta demokraattista valvontatehtäväänsä ja</w:t>
            </w:r>
            <w:r>
              <w:t xml:space="preserve"> johtanut </w:t>
            </w:r>
            <w:r>
              <w:rPr>
                <w:b/>
                <w:i/>
              </w:rPr>
              <w:t>toistuvasti</w:t>
            </w:r>
            <w:r>
              <w:t xml:space="preserve"> siihen, että parlamentti on joutunut epäämään neuvoston pääsihteeriltä vastuuvapauden;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K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a.</w:t>
            </w:r>
            <w:r>
              <w:tab/>
            </w:r>
            <w:r>
              <w:rPr>
                <w:b/>
                <w:i/>
              </w:rPr>
              <w:t>ottaa huomioon, että Venäjän hyökkäyssota Ukrainaa vastaan jatkui vuonna 2024 ja edellytti jatkuvaa ja oikea-aikaista unionin päätöksentekoa ja taloudellista tukea;</w:t>
            </w:r>
            <w:r>
              <w:t xml:space="preserve"> </w:t>
            </w:r>
            <w:r>
              <w:rPr>
                <w:b/>
                <w:i/>
              </w:rPr>
              <w:t>ottaa huomioon, että yksimielisyyden estäminen neuvostossa toistuvasti uhkaa heikentää unionin valmiuksia toimia päättäväisesti ja avoimesti, mikä heikentää kansalaisten luottamusta ja unionin uskottavuutta geopoliittisena toimijana;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pitää erittäin valitettavana, että parlamentin on vuodesta 2009 lähtien ja jälleen varainhoitovuodelta 2023 pitänyt evätä neuvostolta vastuuvapaus, koska neuvosto kieltäytyy edelleen tekemästä yhteistyötä parlamentin kanssa vastuuvapausmenettelyssä, </w:t>
            </w:r>
            <w:r>
              <w:rPr>
                <w:b/>
                <w:i/>
              </w:rPr>
              <w:t>joten</w:t>
            </w:r>
            <w:r>
              <w:t xml:space="preserve"> parlamentti ei voi tehdä tietoon perustuvaa päätöstä, joka pohjautuisi neuvoston talousarvion toteutuksen vakavasti otettavaan ja perusteelliseen valvontaan;</w:t>
            </w:r>
          </w:p>
        </w:tc>
        <w:tc>
          <w:tcPr>
            <w:tcW w:w="4876" w:type="dxa"/>
            <w:tcBorders>
              <w:top w:val="nil"/>
              <w:left w:val="nil"/>
              <w:bottom w:val="nil"/>
              <w:right w:val="nil"/>
            </w:tcBorders>
          </w:tcPr>
          <w:p>
            <w:pPr>
              <w:pStyle w:val="Normal6a"/>
            </w:pPr>
            <w:r>
              <w:t>4.</w:t>
            </w:r>
            <w:r>
              <w:tab/>
            </w:r>
            <w:r>
              <w:t xml:space="preserve">pitää erittäin valitettavana, että parlamentin on vuodesta 2009 lähtien ja jälleen varainhoitovuodelta 2023 pitänyt evätä neuvostolta vastuuvapaus, koska </w:t>
            </w:r>
            <w:r>
              <w:rPr>
                <w:b/>
                <w:i/>
              </w:rPr>
              <w:t>huolimatta parlamentin toistuvista pyrkimyksistä rakentavaan yhteistyöhön</w:t>
            </w:r>
            <w:r>
              <w:t xml:space="preserve"> neuvosto kieltäytyy edelleen tekemästä yhteistyötä parlamentin kanssa vastuuvapausmenettelyssä, </w:t>
            </w:r>
            <w:r>
              <w:rPr>
                <w:b/>
                <w:i/>
              </w:rPr>
              <w:t>minkä vuoksi</w:t>
            </w:r>
            <w:r>
              <w:t xml:space="preserve"> parlamentti ei voi tehdä tietoon perustuvaa päätöstä, joka pohjautuisi neuvoston talousarvion toteutuksen vakavasti otettavaan ja perusteelliseen valvontaan;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korostaa, että parlamentti on yli 20 vuoden ajan noudattanut vakiintunutta ja tunnustettua käytäntöä myöntää vastuuvapaus kaikille unionin toimielimille, elimille, toimistoille ja virastoille, myös Eurooppa-neuvostolle ja neuvostolle; muistuttaa komission ilmoittaneen, ettei se pysty valvomaan muiden unionin toimielinten talousarvioiden toteuttamista; painottaa komission todenneen useasti, että käytäntöä, jossa parlamentti myöntää kullekin unionin toimielimelle suoraan vastuuvapauden niiden hallintomenoista ja unionin talousarvion toteuttamisesta, olisi noudatettava jatkossakin, jotta varmistetaan moitteettoman varainhoidon periaatteen noudattaminen;</w:t>
            </w:r>
          </w:p>
        </w:tc>
        <w:tc>
          <w:tcPr>
            <w:tcW w:w="4876" w:type="dxa"/>
            <w:tcBorders>
              <w:top w:val="nil"/>
              <w:left w:val="nil"/>
              <w:bottom w:val="nil"/>
              <w:right w:val="nil"/>
            </w:tcBorders>
          </w:tcPr>
          <w:p>
            <w:pPr>
              <w:pStyle w:val="Normal6a"/>
            </w:pPr>
            <w:r>
              <w:t>9.</w:t>
            </w:r>
            <w:r>
              <w:tab/>
            </w:r>
            <w:r>
              <w:t xml:space="preserve">korostaa, että parlamentti on yli 20 vuoden ajan noudattanut vakiintunutta ja tunnustettua käytäntöä myöntää vastuuvapaus kaikille unionin toimielimille, elimille, toimistoille ja virastoille, myös Eurooppa-neuvostolle ja neuvostolle; muistuttaa komission ilmoittaneen, ettei se pysty valvomaan muiden unionin toimielinten talousarvioiden toteuttamista; painottaa komission todenneen useasti, että käytäntöä, jossa parlamentti myöntää kullekin unionin toimielimelle suoraan vastuuvapauden niiden hallintomenoista ja unionin talousarvion toteuttamisesta, olisi noudatettava jatkossakin, jotta varmistetaan moitteettoman varainhoidon periaatteen noudattaminen; </w:t>
            </w:r>
            <w:r>
              <w:rPr>
                <w:b/>
                <w:i/>
              </w:rPr>
              <w:t>muistuttaa, että kaikki muut toimielimet, elimet ja laitokset tekevät kaikilta osin yhteistyötä parlamentin kanssa vastuuvapausmenettelyssä, ja katsoo, että neuvoston kieltäytyminen toimimasta näin on perusteetonta ja ristiriidassa perussopimusten mukaisen toimielinten lojaalisuusperiaatteen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korostaa, että nykytilanteessa parlamentti voi tarkistaa vain tilintarkastustuomioistuimen ja oikeusasiamiehen kertomukset sekä neuvoston verkkosivustolla julkisesti saatavilla olevat tiedot, joten parlamentin on mahdotonta tehdä tietoon perustuvaa päätöstä vastuuvapauden myöntämisestä;</w:t>
            </w:r>
          </w:p>
        </w:tc>
        <w:tc>
          <w:tcPr>
            <w:tcW w:w="4876" w:type="dxa"/>
            <w:tcBorders>
              <w:top w:val="nil"/>
              <w:left w:val="nil"/>
              <w:bottom w:val="nil"/>
              <w:right w:val="nil"/>
            </w:tcBorders>
          </w:tcPr>
          <w:p>
            <w:pPr>
              <w:pStyle w:val="Normal6a"/>
            </w:pPr>
            <w:r>
              <w:t>10.</w:t>
            </w:r>
            <w:r>
              <w:tab/>
            </w:r>
            <w:r>
              <w:t xml:space="preserve">korostaa, että nykytilanteessa parlamentti voi tarkistaa vain tilintarkastustuomioistuimen ja oikeusasiamiehen kertomukset sekä neuvoston verkkosivustolla julkisesti saatavilla olevat tiedot, joten parlamentin on mahdotonta tehdä tietoon perustuvaa päätöstä vastuuvapauden myöntämisestä; </w:t>
            </w:r>
            <w:r>
              <w:rPr>
                <w:b/>
                <w:i/>
              </w:rPr>
              <w:t>korostaa, että Eurooppa-neuvoston ja neuvoston yhteistyön puute heikentää parlamentin oikeutta hoitaa tehokkaasti valvontatehtäväänsä;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pitää valitettavana, että neuvostolta ei ole yli vuosikymmeneen löytynyt poliittista tahtoa tehdä yhteistyötä parlamentin kanssa vuotuisen vastuuvapausmenettelyn yhteydessä ja että tällä on ollut pysyvä kielteinen vaikutus molempiin toimielimiin, minkä lisäksi se on saattanut unionin talousarvion hallinnoinnin ja demokraattisen valvonnan huonoon valoon sekä heikentänyt suuren yleisön luottamusta unioniin avoimena toimijana;</w:t>
            </w:r>
          </w:p>
        </w:tc>
        <w:tc>
          <w:tcPr>
            <w:tcW w:w="4876" w:type="dxa"/>
            <w:tcBorders>
              <w:top w:val="nil"/>
              <w:left w:val="nil"/>
              <w:bottom w:val="nil"/>
              <w:right w:val="nil"/>
            </w:tcBorders>
          </w:tcPr>
          <w:p>
            <w:pPr>
              <w:pStyle w:val="Normal6a"/>
            </w:pPr>
            <w:r>
              <w:t>11.</w:t>
            </w:r>
            <w:r>
              <w:tab/>
            </w:r>
            <w:r>
              <w:t xml:space="preserve">pitää valitettavana, että neuvostolta ei ole yli vuosikymmeneen löytynyt poliittista tahtoa tehdä yhteistyötä parlamentin kanssa vuotuisen vastuuvapausmenettelyn yhteydessä ja että tällä on ollut pysyvä kielteinen vaikutus molempiin toimielimiin, minkä lisäksi se on saattanut unionin talousarvion hallinnoinnin ja demokraattisen valvonnan huonoon valoon sekä heikentänyt suuren yleisön luottamusta unioniin avoimena toimijana; </w:t>
            </w:r>
            <w:r>
              <w:rPr>
                <w:b/>
                <w:i/>
              </w:rPr>
              <w:t>korostaa, että tällainen jatkuva institutionaalinen jarruttaminen heikentää perussopimuksissa vahvistettua vilpittömän yhteistyön periaatetta;</w:t>
            </w:r>
            <w:r>
              <w:t xml:space="preserve"> </w:t>
            </w:r>
            <w:r>
              <w:rPr>
                <w:b/>
                <w:i/>
              </w:rPr>
              <w:t>katsoo, että jatkuva yhteistyöstä kieltäytyminen uhkaa heikentää entisestään unionin julkisen talouden ohjausjärjestelmän legitimiteettiä;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pitää valitettavana, että neuvostolta ei ole yli vuosikymmeneen löytynyt poliittista tahtoa tehdä yhteistyötä parlamentin kanssa vuotuisen vastuuvapausmenettelyn yhteydessä ja että tällä on ollut pysyvä kielteinen vaikutus molempiin toimielimiin, minkä lisäksi se on saattanut unionin talousarvion hallinnoinnin ja demokraattisen valvonnan huonoon valoon sekä heikentänyt suuren yleisön luottamusta unioniin avoimena toimijana;</w:t>
            </w:r>
          </w:p>
        </w:tc>
        <w:tc>
          <w:tcPr>
            <w:tcW w:w="4876" w:type="dxa"/>
            <w:tcBorders>
              <w:top w:val="nil"/>
              <w:left w:val="nil"/>
              <w:bottom w:val="nil"/>
              <w:right w:val="nil"/>
            </w:tcBorders>
          </w:tcPr>
          <w:p>
            <w:pPr>
              <w:pStyle w:val="Normal6a"/>
            </w:pPr>
            <w:r>
              <w:t>11.</w:t>
            </w:r>
            <w:r>
              <w:tab/>
            </w:r>
            <w:r>
              <w:t xml:space="preserve">pitää valitettavana, että neuvostolta ei ole yli vuosikymmeneen löytynyt poliittista tahtoa tehdä yhteistyötä parlamentin kanssa vuotuisen vastuuvapausmenettelyn yhteydessä ja että tällä on ollut pysyvä kielteinen vaikutus molempiin toimielimiin, minkä lisäksi se on saattanut unionin talousarvion hallinnoinnin ja demokraattisen valvonnan huonoon valoon sekä heikentänyt suuren yleisön luottamusta unioniin avoimena toimijana; </w:t>
            </w:r>
            <w:r>
              <w:rPr>
                <w:b/>
                <w:i/>
              </w:rPr>
              <w:t>korostaa, että Eurooppa-neuvoston ja neuvoston on noudatettava samoja vastuuvelvollisuus- ja avoimuusvaatimuksia, joita edellytetään muiltakin unionin toimielimiltä;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pitää valitettavana, että neuvostolta ei ole yli vuosikymmeneen löytynyt poliittista tahtoa tehdä yhteistyötä parlamentin kanssa vuotuisen vastuuvapausmenettelyn yhteydessä ja että tällä on ollut pysyvä kielteinen vaikutus molempiin toimielimiin, minkä lisäksi se on saattanut unionin talousarvion hallinnoinnin ja demokraattisen valvonnan huonoon valoon sekä heikentänyt suuren yleisön luottamusta unioniin avoimena toimijana;</w:t>
            </w:r>
          </w:p>
        </w:tc>
        <w:tc>
          <w:tcPr>
            <w:tcW w:w="4876" w:type="dxa"/>
            <w:tcBorders>
              <w:top w:val="nil"/>
              <w:left w:val="nil"/>
              <w:bottom w:val="nil"/>
              <w:right w:val="nil"/>
            </w:tcBorders>
          </w:tcPr>
          <w:p>
            <w:pPr>
              <w:pStyle w:val="Normal6a"/>
            </w:pPr>
            <w:r>
              <w:t>11.</w:t>
            </w:r>
            <w:r>
              <w:tab/>
            </w:r>
            <w:r>
              <w:t xml:space="preserve">pitää valitettavana, että neuvostolta ei ole yli vuosikymmeneen löytynyt poliittista tahtoa tehdä yhteistyötä parlamentin kanssa vuotuisen vastuuvapausmenettelyn yhteydessä ja että tällä on ollut pysyvä kielteinen vaikutus molempiin toimielimiin, minkä lisäksi se on saattanut unionin talousarvion hallinnoinnin ja demokraattisen valvonnan huonoon valoon sekä heikentänyt suuren yleisön luottamusta unioniin avoimena toimijana; </w:t>
            </w:r>
            <w:r>
              <w:rPr>
                <w:b/>
                <w:i/>
              </w:rPr>
              <w:t>korostaa, että neuvoston on noudatettava samoja avoimuus- ja vastuuvelvollisuusvaatimuksia, joita sovelletaan muihinkin unionin toimielimiin;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pitää valitettavana, että neuvostolta ei ole yli vuosikymmeneen löytynyt poliittista tahtoa tehdä yhteistyötä parlamentin kanssa vuotuisen vastuuvapausmenettelyn yhteydessä ja että tällä on ollut pysyvä kielteinen vaikutus molempiin toimielimiin, minkä lisäksi se on saattanut unionin talousarvion hallinnoinnin ja demokraattisen valvonnan huonoon valoon sekä heikentänyt suuren yleisön luottamusta unioniin avoimena toimijana;</w:t>
            </w:r>
          </w:p>
        </w:tc>
        <w:tc>
          <w:tcPr>
            <w:tcW w:w="4876" w:type="dxa"/>
            <w:tcBorders>
              <w:top w:val="nil"/>
              <w:left w:val="nil"/>
              <w:bottom w:val="nil"/>
              <w:right w:val="nil"/>
            </w:tcBorders>
          </w:tcPr>
          <w:p>
            <w:pPr>
              <w:pStyle w:val="Normal6a"/>
            </w:pPr>
            <w:r>
              <w:t>11.</w:t>
            </w:r>
            <w:r>
              <w:tab/>
            </w:r>
            <w:r>
              <w:t>pitää valitettavana, että neuvostolta ei ole yli vuosikymmeneen löytynyt poliittista tahtoa tehdä yhteistyötä parlamentin kanssa vuotuisen vastuuvapausmenettelyn yhteydessä</w:t>
            </w:r>
            <w:r>
              <w:rPr>
                <w:b/>
                <w:i/>
              </w:rPr>
              <w:t>, minkä vuoksi keskinäinen valvonta EU:ssa jää rakenteellisesti katveeseen,</w:t>
            </w:r>
            <w:r>
              <w:t xml:space="preserve"> ja että tällä on ollut pysyvä kielteinen vaikutus molempiin toimielimiin, minkä lisäksi se on saattanut unionin talousarvion hallinnoinnin ja demokraattisen valvonnan huonoon valoon sekä heikentänyt suuren yleisön luottamusta unioniin avoimena toimijana;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toteaa jälleen, että neuvoston jatkuva kieltäytyminen vastuuvapausmenettelystä on demokraattisen vastuuvelvollisuuden loukkaamista, jota ei voida hyväksyä; kehottaa </w:t>
            </w:r>
            <w:r>
              <w:rPr>
                <w:b/>
                <w:i/>
              </w:rPr>
              <w:t>tekemään oikeudellisia ja menettelyllisiä muutoksia talousarviomäärärahojen pidättämiseksi kaikilta niiltä</w:t>
            </w:r>
            <w:r>
              <w:t xml:space="preserve"> unionin </w:t>
            </w:r>
            <w:r>
              <w:rPr>
                <w:b/>
                <w:i/>
              </w:rPr>
              <w:t>toimielimiltä</w:t>
            </w:r>
            <w:r>
              <w:t>, jotka eivät noudata avoimuusvelvoitteita;</w:t>
            </w:r>
          </w:p>
        </w:tc>
        <w:tc>
          <w:tcPr>
            <w:tcW w:w="4876" w:type="dxa"/>
            <w:tcBorders>
              <w:top w:val="nil"/>
              <w:left w:val="nil"/>
              <w:bottom w:val="nil"/>
              <w:right w:val="nil"/>
            </w:tcBorders>
          </w:tcPr>
          <w:p>
            <w:pPr>
              <w:pStyle w:val="Normal6a"/>
            </w:pPr>
            <w:r>
              <w:t>12.</w:t>
            </w:r>
            <w:r>
              <w:tab/>
            </w:r>
            <w:r>
              <w:t xml:space="preserve">toteaa jälleen, että neuvoston jatkuva kieltäytyminen vastuuvapausmenettelystä on demokraattisen vastuuvelvollisuuden loukkaamista, jota ei voida hyväksyä; kehottaa </w:t>
            </w:r>
            <w:r>
              <w:rPr>
                <w:b/>
                <w:i/>
              </w:rPr>
              <w:t>ottamaan käyttöön konkreettisia ja tehokkaita toimenpiteitä sen varmistamiseksi, että kaikki</w:t>
            </w:r>
            <w:r>
              <w:t xml:space="preserve"> unionin </w:t>
            </w:r>
            <w:r>
              <w:rPr>
                <w:b/>
                <w:i/>
              </w:rPr>
              <w:t>toimielimet</w:t>
            </w:r>
            <w:r>
              <w:t>, jotka eivät noudata avoimuusvelvoitteita</w:t>
            </w:r>
            <w:r>
              <w:rPr>
                <w:b/>
                <w:i/>
              </w:rPr>
              <w:t>, ovat kaikilta osin vastuuvelvollisia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w:t>
            </w:r>
            <w:r>
              <w:tab/>
            </w:r>
            <w:r>
              <w:rPr>
                <w:b/>
                <w:i/>
              </w:rPr>
              <w:t>toteaa jälleen, että neuvoston jatkuva kieltäytyminen vastuuvapausmenettelystä on demokraattisen vastuuvelvollisuuden loukkaamista, jota ei voida hyväksyä;</w:t>
            </w:r>
            <w:r>
              <w:t xml:space="preserve"> </w:t>
            </w:r>
            <w:r>
              <w:rPr>
                <w:b/>
                <w:i/>
              </w:rPr>
              <w:t>kehottaa tekemään oikeudellisia ja menettelyllisiä muutoksia talousarviomäärärahojen pidättämiseksi kaikilta unionin toimielimiltä, jotka eivät noudata avoimuusvelvoitteita;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toteaa jälleen, että neuvoston jatkuva kieltäytyminen vastuuvapausmenettelystä on demokraattisen vastuuvelvollisuuden loukkaamista, jota ei voida hyväksyä;</w:t>
            </w:r>
            <w:r>
              <w:t xml:space="preserve"> </w:t>
            </w:r>
            <w:r>
              <w:rPr>
                <w:b/>
                <w:i/>
              </w:rPr>
              <w:t>kehottaa komissiota varainhoitoasetuksen 59 artiklan 1 kohdan ja moitteettoman varainhoidon periaatteen mukaisesti tutkimaan käytännön toimenpiteitä yhteistyöhön kannustamiseksi, mukaan lukien tehostettu ehdollisuus hallinnollisissa järjestelyissä ja raportointivaatimuksissa, samalla kun varmistetaan, että neuvoston toiminta jatkuu keskeisiltä osin;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c.</w:t>
            </w:r>
            <w:r>
              <w:tab/>
            </w:r>
            <w:r>
              <w:rPr>
                <w:b/>
                <w:i/>
              </w:rPr>
              <w:t>kehottaa Euroopan komissiota käynnistämään rikkomusmenettelyt neuvostoa vastaan, koska se on jatkuvasti laiminlyönyt demokraattisen valvonnan talousarvioasioissa perussopimuksissa vahvistettujen avoimuuden ja hyvän hallintotavan periaatteiden vastaisesti;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panee merkille, että neuvoston puheenjohtajavaltion edustaja ilmaisi parlamentin täysistunnossa 6. toukokuuta 2025 pitämässään puheenvuorossa neuvoston puheenjohtajavaltion olevan halukas osallistumaan neuvoston ja parlamentin väliseen merkitykselliseen ja pragmaattiseen yhteistyöhön Eurooppa-neuvoston ja neuvoston talousarvion muodostamaan unionin talousarvion pääluokkaan liittyvän vastuuvapauden myöntämisessä, ja kehottaa siirtymään viipymättä sanoista tekoihin; kehottaa siksi neuvostoa aloittamaan mahdollisimman pian uudelleen parlamentin kanssa korkeimmalla tasolla neuvottelut, joihin osallistuvat kummankin toimielimen pääsihteerit sekä puheenjohtaja ja puhemies, jotta päästään umpikujasta ja löydetään ratkaisu </w:t>
            </w:r>
            <w:r>
              <w:rPr>
                <w:b/>
                <w:i/>
              </w:rPr>
              <w:t>siten, että kunnioitetaan</w:t>
            </w:r>
            <w:r>
              <w:t xml:space="preserve"> sekä parlamentin että neuvoston </w:t>
            </w:r>
            <w:r>
              <w:rPr>
                <w:b/>
                <w:i/>
              </w:rPr>
              <w:t>roolia</w:t>
            </w:r>
            <w:r>
              <w:t xml:space="preserve"> vastuuvapausmenettelyssä ja varmistetaan talousarvion toteuttamisen avoimuus ja </w:t>
            </w:r>
            <w:r>
              <w:rPr>
                <w:b/>
                <w:i/>
              </w:rPr>
              <w:t>asianmukainen</w:t>
            </w:r>
            <w:r>
              <w:t xml:space="preserve"> demokraattinen valvonta; pyytää jälleen komission ja neuvoston oikeudellisia yksikköjä antamaan lausunnon mahdollisista perussopimuksiin perustuvista ratkaisuista neuvoston vastuuvelvollisuuden panemiseksi täytäntöön vastuuvapausmenettelyssä;</w:t>
            </w:r>
          </w:p>
        </w:tc>
        <w:tc>
          <w:tcPr>
            <w:tcW w:w="4876" w:type="dxa"/>
            <w:tcBorders>
              <w:top w:val="nil"/>
              <w:left w:val="nil"/>
              <w:bottom w:val="nil"/>
              <w:right w:val="nil"/>
            </w:tcBorders>
          </w:tcPr>
          <w:p>
            <w:pPr>
              <w:pStyle w:val="Normal6a"/>
            </w:pPr>
            <w:r>
              <w:t>14.</w:t>
            </w:r>
            <w:r>
              <w:tab/>
            </w:r>
            <w:r>
              <w:t>panee merkille, että neuvoston puheenjohtajavaltion edustaja ilmaisi parlamentin täysistunnossa 6. toukokuuta 2025 pitämässään puheenvuorossa neuvoston puheenjohtajavaltion olevan halukas osallistumaan neuvoston ja parlamentin väliseen merkitykselliseen ja pragmaattiseen yhteistyöhön Eurooppa-neuvoston ja neuvoston talousarvion muodostamaan unionin talousarvion pääluokkaan liittyvän vastuuvapauden myöntämisessä, ja kehottaa siirtymään viipymättä sanoista tekoihin; kehottaa siksi neuvostoa aloittamaan mahdollisimman pian uudelleen parlamentin kanssa korkeimmalla tasolla neuvottelut, joihin osallistuvat kummankin toimielimen pääsihteerit sekä puheenjohtaja ja puhemies, jotta päästään umpikujasta ja löydetään ratkaisu</w:t>
            </w:r>
            <w:r>
              <w:rPr>
                <w:b/>
                <w:i/>
              </w:rPr>
              <w:t>, jossa tuetaan</w:t>
            </w:r>
            <w:r>
              <w:t xml:space="preserve"> sekä parlamentin että neuvoston </w:t>
            </w:r>
            <w:r>
              <w:rPr>
                <w:b/>
                <w:i/>
              </w:rPr>
              <w:t>institutionaalista toimivaltaa</w:t>
            </w:r>
            <w:r>
              <w:t xml:space="preserve"> vastuuvapausmenettelyssä ja varmistetaan talousarvion toteuttamisen avoimuus ja </w:t>
            </w:r>
            <w:r>
              <w:rPr>
                <w:b/>
                <w:i/>
              </w:rPr>
              <w:t>vahva</w:t>
            </w:r>
            <w:r>
              <w:t xml:space="preserve"> demokraattinen valvonta; pyytää jälleen komission ja neuvoston oikeudellisia yksikköjä antamaan lausunnon mahdollisista perussopimuksiin perustuvista ratkaisuista neuvoston vastuuvelvollisuuden panemiseksi täytäntöön vastuuvapausmenettelyssä;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toteaa haluavansa tuoda esiin joitakin poliittisia painopisteitä ja esittää tässä mietinnössä joitakin neuvoston talousarvio- ja varainhallintoa koskevia huomautuksia sekä muita vastuuvapausmenettelyn kannalta merkityksellisiä huomautuksia, vaikka neuvosto onkin ollut pitkään haluton tekemään yhteistyötä vastuuvapausmenettelyssä;</w:t>
            </w:r>
          </w:p>
        </w:tc>
        <w:tc>
          <w:tcPr>
            <w:tcW w:w="4876" w:type="dxa"/>
            <w:tcBorders>
              <w:top w:val="nil"/>
              <w:left w:val="nil"/>
              <w:bottom w:val="nil"/>
              <w:right w:val="nil"/>
            </w:tcBorders>
          </w:tcPr>
          <w:p>
            <w:pPr>
              <w:pStyle w:val="Normal6a"/>
            </w:pPr>
            <w:r>
              <w:t>16.</w:t>
            </w:r>
            <w:r>
              <w:tab/>
            </w:r>
            <w:r>
              <w:t xml:space="preserve">toteaa haluavansa tuoda </w:t>
            </w:r>
            <w:r>
              <w:rPr>
                <w:b/>
                <w:i/>
              </w:rPr>
              <w:t>kansallista itsemääräämisoikeutta, perussopimuksia ja moitteettoman varainhoidon periaatetta kunnioittavalla tavalla</w:t>
            </w:r>
            <w:r>
              <w:t xml:space="preserve"> esiin joitakin poliittisia painopisteitä ja esittää tässä mietinnössä joitakin neuvoston talousarvio- ja varainhallintoa koskevia huomautuksia sekä muita vastuuvapausmenettelyn kannalta merkityksellisiä huomautuksia, vaikka neuvosto onkin ollut pitkään haluton tekemään yhteistyötä vastuuvapausmenettelyssä;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muistuttaa, että EU päätti vuonna 2024 antaa Ukrainalle ennakoitavissa olevaa rahoitustukea Ukrainan tukivälineen kautta vuosiksi 2024–2027;</w:t>
            </w:r>
            <w:r>
              <w:t xml:space="preserve"> </w:t>
            </w:r>
            <w:r>
              <w:rPr>
                <w:b/>
                <w:i/>
              </w:rPr>
              <w:t>korostaa tässä yhteydessä, että neuvostolla ja sen pääsihteeristöllä on korostettu vastuu avoimuuden, lahjomattomuuden ja moitteettoman varainhoidon varmistamisesta kaikissa neuvostoon liittyvissä hallintomenoissa, jotka liittyvät Ukrainaan liittyvään päätöksentekoon, kokouksiin ja logistisiin järjestelyihin, mukaan lukien selkeä raportointi asiaan liittyvistä kuluista ja sopimusten hallinnoinnista;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pitää valitettavana, että</w:t>
            </w:r>
            <w:r>
              <w:t xml:space="preserve"> useimpien toimien osalta </w:t>
            </w:r>
            <w:r>
              <w:rPr>
                <w:b/>
                <w:i/>
              </w:rPr>
              <w:t>neuvosto ei perinteisesti kyseenalaista jäsenvaltioiden tekemiä</w:t>
            </w:r>
            <w:r>
              <w:t xml:space="preserve"> nimityksiä, mikä </w:t>
            </w:r>
            <w:r>
              <w:rPr>
                <w:b/>
                <w:i/>
              </w:rPr>
              <w:t>merkitsee</w:t>
            </w:r>
            <w:r>
              <w:t xml:space="preserve"> sitä, </w:t>
            </w:r>
            <w:r>
              <w:rPr>
                <w:b/>
                <w:i/>
              </w:rPr>
              <w:t>että</w:t>
            </w:r>
            <w:r>
              <w:t xml:space="preserve"> hakijoiden </w:t>
            </w:r>
            <w:r>
              <w:rPr>
                <w:b/>
                <w:i/>
              </w:rPr>
              <w:t>ammatillista pätevyyttä ei tarkasteta perusteellisesti</w:t>
            </w:r>
            <w:r>
              <w:t>; korostaa siksi tarvetta tarkastella uudelleen neuvoston erioikeutta, jotta voidaan taata asianomaisten toimielinten, elinten, toimistojen ja virastojen osallistuminen nimityksiin ja lisätä näin nimitysten legitiimiyttä; ehdottaa, että mahdollinen keino varmistaa, että hakijoilla on tehtävään tarvittava pätevyys, olisi käyttää hakijoiden seulontaan ulkopuolista paneelia eli soveltaa samaa menettelyä, joka on käytössä Euroopan unionin tuomioistuimen tuomareiden ja julkisasiamiesten nimityksissä;</w:t>
            </w:r>
          </w:p>
        </w:tc>
        <w:tc>
          <w:tcPr>
            <w:tcW w:w="4876" w:type="dxa"/>
            <w:tcBorders>
              <w:top w:val="nil"/>
              <w:left w:val="nil"/>
              <w:bottom w:val="nil"/>
              <w:right w:val="nil"/>
            </w:tcBorders>
          </w:tcPr>
          <w:p>
            <w:pPr>
              <w:pStyle w:val="Normal6a"/>
            </w:pPr>
            <w:r>
              <w:t>19.</w:t>
            </w:r>
            <w:r>
              <w:tab/>
            </w:r>
            <w:r>
              <w:rPr>
                <w:b/>
                <w:i/>
              </w:rPr>
              <w:t>panee huolestuneena merkille neuvoston toimintavan</w:t>
            </w:r>
            <w:r>
              <w:t xml:space="preserve"> useimpien toimien osalta</w:t>
            </w:r>
            <w:r>
              <w:rPr>
                <w:b/>
                <w:i/>
              </w:rPr>
              <w:t>, joihin jäsenvaltiot tekevät</w:t>
            </w:r>
            <w:r>
              <w:t xml:space="preserve"> nimityksiä, mikä </w:t>
            </w:r>
            <w:r>
              <w:rPr>
                <w:b/>
                <w:i/>
              </w:rPr>
              <w:t>saattaa rajoittaa</w:t>
            </w:r>
            <w:r>
              <w:t xml:space="preserve"> sitä, </w:t>
            </w:r>
            <w:r>
              <w:rPr>
                <w:b/>
                <w:i/>
              </w:rPr>
              <w:t>missä määrin</w:t>
            </w:r>
            <w:r>
              <w:t xml:space="preserve"> hakijoiden </w:t>
            </w:r>
            <w:r>
              <w:rPr>
                <w:b/>
                <w:i/>
              </w:rPr>
              <w:t>ammatillinen pätevyys tarkastetaan</w:t>
            </w:r>
            <w:r>
              <w:t>;</w:t>
            </w:r>
            <w:r>
              <w:rPr>
                <w:b/>
                <w:i/>
              </w:rPr>
              <w:t xml:space="preserve"> </w:t>
            </w:r>
            <w:r>
              <w:t xml:space="preserve"> korostaa siksi tarvetta tarkastella uudelleen neuvoston erioikeutta, jotta voidaan taata asianomaisten toimielinten, elinten, toimistojen ja virastojen osallistuminen nimityksiin ja lisätä näin nimitysten legitiimiyttä; ehdottaa, että mahdollinen keino varmistaa, että hakijoilla on tehtävään tarvittava pätevyys, olisi käyttää hakijoiden seulontaan ulkopuolista paneelia eli soveltaa samaa menettelyä, joka on käytössä Euroopan unionin tuomioistuimen tuomareiden ja julkisasiamiesten nimityksissä;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korostaa, että sukupuolten jatkuva epätasapaino tilintarkastustuomioistuimen jäsenten keskuudessa </w:t>
            </w:r>
            <w:r>
              <w:rPr>
                <w:b/>
                <w:i/>
              </w:rPr>
              <w:t>ei ole tätä päivää</w:t>
            </w:r>
            <w:r>
              <w:t>; kehottaa jälleen neuvostoa käsittelemään tätä kysymystä tarkistamalla nimitysmenettelyä ja toteuttamalla konkreettisia toimenpiteitä, kuten vaatimalla jäsenvaltioita esittämään vähintään kaksi, eri sukupuolta olevaa ehdokasta;</w:t>
            </w:r>
          </w:p>
        </w:tc>
        <w:tc>
          <w:tcPr>
            <w:tcW w:w="4876" w:type="dxa"/>
            <w:tcBorders>
              <w:top w:val="nil"/>
              <w:left w:val="nil"/>
              <w:bottom w:val="nil"/>
              <w:right w:val="nil"/>
            </w:tcBorders>
          </w:tcPr>
          <w:p>
            <w:pPr>
              <w:pStyle w:val="Normal6a"/>
            </w:pPr>
            <w:r>
              <w:t>21.</w:t>
            </w:r>
            <w:r>
              <w:tab/>
            </w:r>
            <w:r>
              <w:t>korostaa, että sukupuolten jatkuva epätasapaino tilintarkastustuomioistuimen jäsenten keskuudessa </w:t>
            </w:r>
            <w:r>
              <w:rPr>
                <w:b/>
                <w:i/>
              </w:rPr>
              <w:t>haittaa unionin tasa-arvotavoitteiden saavuttamista</w:t>
            </w:r>
            <w:r>
              <w:t>; kehottaa jälleen neuvostoa käsittelemään tätä kysymystä tarkistamalla nimitysmenettelyä ja toteuttamalla konkreettisia toimenpiteitä, kuten vaatimalla jäsenvaltioita esittämään vähintään kaksi, eri sukupuolta olevaa ehdokasta</w:t>
            </w:r>
            <w:r>
              <w:rPr>
                <w:b/>
                <w:i/>
              </w:rPr>
              <w:t>, millä varmistetaan tilintarkastustuomioistuimen tasapainoisempi ja edustavampi kokoonpano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korostaa, että sukupuolten jatkuva epätasapaino tilintarkastustuomioistuimen jäsenten keskuudessa ei ole tätä päivää; kehottaa jälleen neuvostoa käsittelemään tätä kysymystä tarkistamalla nimitysmenettelyä ja toteuttamalla konkreettisia toimenpiteitä</w:t>
            </w:r>
            <w:r>
              <w:rPr>
                <w:b/>
                <w:i/>
              </w:rPr>
              <w:t>, kuten vaatimalla jäsenvaltioita esittämään vähintään kaksi, eri sukupuolta olevaa ehdokasta</w:t>
            </w:r>
            <w:r>
              <w:t>;</w:t>
            </w:r>
          </w:p>
        </w:tc>
        <w:tc>
          <w:tcPr>
            <w:tcW w:w="4876" w:type="dxa"/>
            <w:tcBorders>
              <w:top w:val="nil"/>
              <w:left w:val="nil"/>
              <w:bottom w:val="nil"/>
              <w:right w:val="nil"/>
            </w:tcBorders>
          </w:tcPr>
          <w:p>
            <w:pPr>
              <w:pStyle w:val="Normal6a"/>
            </w:pPr>
            <w:r>
              <w:t>21.</w:t>
            </w:r>
            <w:r>
              <w:tab/>
            </w:r>
            <w:r>
              <w:t xml:space="preserve">korostaa, että sukupuolten jatkuva epätasapaino tilintarkastustuomioistuimen jäsenten keskuudessa ei ole tätä päivää; kehottaa jälleen neuvostoa käsittelemään tätä kysymystä tarkistamalla nimitysmenettelyä ja toteuttamalla konkreettisia toimenpiteitä </w:t>
            </w:r>
            <w:r>
              <w:rPr>
                <w:b/>
                <w:i/>
              </w:rPr>
              <w:t>ansioihin, huippuosaamiseen ja yhtäläisiin mahdollisuuksiin perustuvien periaatteiden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a.</w:t>
            </w:r>
            <w:r>
              <w:tab/>
            </w:r>
            <w:r>
              <w:rPr>
                <w:b/>
                <w:i/>
              </w:rPr>
              <w:t>toistaa kehotuksensa perustaa puolustusministerien neuvosto poliittisen ja strategisen koordinoinnin institutionaaliseksi foorumiksi;</w:t>
            </w:r>
            <w:r>
              <w:t xml:space="preserve"> </w:t>
            </w:r>
            <w:r>
              <w:rPr>
                <w:b/>
                <w:i/>
              </w:rPr>
              <w:t>katsoo, että pysyvän ja erityisen puolustusta käsittelevän neuvoston perustaminen kuvastaisi unionin tarvetta ottaa suurempi vastuu omasta turvallisuudestaan ja puolustuksestaan ja täydentäisi turvallisuus- ja puolustuspolitiikan valiokunnan perustamista Euroopan parlamenttiin sekä puolustuksesta ja avaruusasioista vastaavan komission jäsenen nimeämistä Euroopan komissioon;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kehottaa neuvoston kiertäviä puheenjohtajavaltioita parlamentin talousarvion valvontavaliokunnan 27. kesäkuuta 2023 järjestämän seminaarin päätelmien mukaisesti luopumaan tukeutumisesta yritysten harjoittamaan sponsorointiin kulujensa kattamiseksi, sillä tästä saattaa aiheutua eturistiriitoja;</w:t>
            </w:r>
            <w:r>
              <w:t xml:space="preserve"> panee merkille, että Euroopan unionin neuvoston puheenjohtajavaltion sponsorointia koskevasta strategisesta aloitteesta 9. syyskuuta 2024 tekemässään päätöksessä Euroopan oikeusasiamies kehotti neuvostoa arvioimaan, miten neuvoston hyväksymät ei-sitovat säännöt sen puheenjohtajavaltion sponsoroinnin käytöstä, jäljempänä ’ohjeet’, on pantu täytäntöön, ja tarkastelemaan muita mahdollisia toimenpiteitä, jotka voisivat auttaa lieventämään sponsoroinnin käyttöön liittyviä riskejä, joita ovat muun muassa eturistiristiriitojen riski ja maineriski; panee Euroopan oikeusasiamiehen vuosikertomuksesta 2024 huolestuneena merkille, että neuvosto ei ole vieläkään puuttunut kaikilta osin yrityssponsorien käyttöön, joka on aiheuttanut kohua suuren yleisön keskuudessa ja toistuvia avoimuuteen liittyviä kysymyksiä, jotka liittyvät sponsorien henkilöllisyyteen, niiden antaman tuen luonteeseen ja siihen, mitä ne saavat vastineeksi antamastaan tuesta, ja tällä välin sponsorit ovat edelleen voineet käyttää puheenjohtajavaltion logoa kaupallisiin tarkoituksiin; kehottaa neuvostoa tekemään ohjeista sitovia; kehottaa jälleen kerran neuvostoa osoittamaan neuvoston puheenjohtajavaltioille määrärahat, jotta voidaan yleisesti varmistaa neuvoston työskentelyn tehokkuutta ja vaikuttavuutta koskevat asianmukaiset ja yhdenmukaiset normit;</w:t>
            </w:r>
          </w:p>
        </w:tc>
        <w:tc>
          <w:tcPr>
            <w:tcW w:w="4876" w:type="dxa"/>
            <w:tcBorders>
              <w:top w:val="nil"/>
              <w:left w:val="nil"/>
              <w:bottom w:val="nil"/>
              <w:right w:val="nil"/>
            </w:tcBorders>
          </w:tcPr>
          <w:p>
            <w:pPr>
              <w:pStyle w:val="Normal6a"/>
            </w:pPr>
            <w:r>
              <w:t>24.</w:t>
            </w:r>
            <w:r>
              <w:tab/>
            </w:r>
            <w:r>
              <w:t>panee merkille, että Euroopan unionin neuvoston puheenjohtajavaltion sponsorointia koskevasta strategisesta aloitteesta 9. syyskuuta 2024 tekemässään päätöksessä Euroopan oikeusasiamies kehotti neuvostoa arvioimaan, miten neuvoston hyväksymät ei-sitovat säännöt sen puheenjohtajavaltion sponsoroinnin käytöstä, jäljempänä ’ohjeet’, on pantu täytäntöön, ja tarkastelemaan muita mahdollisia toimenpiteitä, jotka voisivat auttaa lieventämään sponsoroinnin käyttöön liittyviä riskejä, joita ovat muun muassa eturistiristiriitojen riski ja maineriski; panee Euroopan oikeusasiamiehen vuosikertomuksesta 2024 huolestuneena merkille, että neuvosto ei ole vieläkään puuttunut kaikilta osin yrityssponsorien käyttöön, joka on aiheuttanut kohua suuren yleisön keskuudessa ja toistuvia avoimuuteen liittyviä kysymyksiä, jotka liittyvät sponsorien henkilöllisyyteen, niiden antaman tuen luonteeseen ja siihen, mitä ne saavat vastineeksi antamastaan tuesta, ja tällä välin sponsorit ovat edelleen voineet käyttää puheenjohtajavaltion logoa kaupallisiin tarkoituksiin; kehottaa neuvostoa tekemään ohjeista sitovia; kehottaa jälleen kerran neuvostoa osoittamaan neuvoston puheenjohtajavaltioille määrärahat, jotta voidaan yleisesti varmistaa neuvoston työskentelyn tehokkuutta ja vaikuttavuutta koskevat asianmukaiset ja yhdenmukaiset normit;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kehottaa neuvoston kiertäviä puheenjohtajavaltioita parlamentin talousarvion valvontavaliokunnan 27. kesäkuuta 2023 järjestämän seminaarin päätelmien mukaisesti luopumaan tukeutumisesta yritysten harjoittamaan sponsorointiin kulujensa kattamiseksi, sillä tästä saattaa aiheutua eturistiriitoja; panee merkille, että Euroopan unionin neuvoston puheenjohtajavaltion sponsorointia koskevasta strategisesta aloitteesta 9. syyskuuta 2024 tekemässään päätöksessä Euroopan oikeusasiamies kehotti neuvostoa arvioimaan, miten neuvoston hyväksymät ei-sitovat säännöt sen puheenjohtajavaltion sponsoroinnin käytöstä, jäljempänä ’ohjeet’, on pantu täytäntöön, ja tarkastelemaan muita mahdollisia toimenpiteitä, jotka voisivat auttaa lieventämään sponsoroinnin käyttöön liittyviä riskejä, joita ovat muun muassa eturistiristiriitojen riski ja maineriski; panee Euroopan oikeusasiamiehen vuosikertomuksesta 2024 huolestuneena merkille, että neuvosto ei ole vieläkään puuttunut kaikilta osin yrityssponsorien käyttöön, joka on aiheuttanut kohua suuren yleisön keskuudessa ja toistuvia avoimuuteen liittyviä kysymyksiä, jotka liittyvät sponsorien henkilöllisyyteen, niiden antaman tuen luonteeseen ja siihen, mitä ne saavat vastineeksi antamastaan tuesta, ja tällä välin sponsorit ovat edelleen voineet käyttää puheenjohtajavaltion logoa kaupallisiin tarkoituksiin; kehottaa neuvostoa tekemään ohjeista sitovia; kehottaa jälleen kerran neuvostoa osoittamaan neuvoston puheenjohtajavaltioille määrärahat, jotta voidaan yleisesti varmistaa neuvoston työskentelyn tehokkuutta ja vaikuttavuutta koskevat asianmukaiset ja yhdenmukaiset normit;</w:t>
            </w:r>
          </w:p>
        </w:tc>
        <w:tc>
          <w:tcPr>
            <w:tcW w:w="4876" w:type="dxa"/>
            <w:tcBorders>
              <w:top w:val="nil"/>
              <w:left w:val="nil"/>
              <w:bottom w:val="nil"/>
              <w:right w:val="nil"/>
            </w:tcBorders>
          </w:tcPr>
          <w:p>
            <w:pPr>
              <w:pStyle w:val="Normal6a"/>
            </w:pPr>
            <w:r>
              <w:t>24.</w:t>
            </w:r>
            <w:r>
              <w:tab/>
            </w:r>
            <w:r>
              <w:t xml:space="preserve">kehottaa neuvoston kiertäviä puheenjohtajavaltioita parlamentin talousarvion valvontavaliokunnan 27. kesäkuuta 2023 järjestämän seminaarin päätelmien mukaisesti luopumaan tukeutumisesta yritysten harjoittamaan sponsorointiin kulujensa kattamiseksi, sillä tästä saattaa aiheutua eturistiriitoja; panee merkille, että Euroopan unionin neuvoston puheenjohtajavaltion sponsorointia koskevasta strategisesta aloitteesta 9. syyskuuta 2024 tekemässään päätöksessä Euroopan oikeusasiamies kehotti neuvostoa arvioimaan, miten neuvoston hyväksymät ei-sitovat säännöt sen puheenjohtajavaltion sponsoroinnin käytöstä, jäljempänä ’ohjeet’, on pantu täytäntöön, ja tarkastelemaan muita mahdollisia toimenpiteitä, jotka voisivat auttaa lieventämään sponsoroinnin käyttöön liittyviä riskejä, joita ovat muun muassa eturistiristiriitojen riski ja maineriski; panee Euroopan oikeusasiamiehen vuosikertomuksesta 2024 huolestuneena merkille, että neuvosto ei ole vieläkään puuttunut kaikilta osin yrityssponsorien käyttöön, joka on aiheuttanut kohua suuren yleisön keskuudessa ja toistuvia avoimuuteen liittyviä kysymyksiä, jotka liittyvät sponsorien henkilöllisyyteen, niiden antaman tuen luonteeseen ja siihen, mitä ne saavat vastineeksi antamastaan tuesta, ja tällä välin sponsorit ovat edelleen voineet käyttää puheenjohtajavaltion logoa kaupallisiin tarkoituksiin; kehottaa neuvostoa tekemään ohjeista sitovia; kehottaa </w:t>
            </w:r>
            <w:r>
              <w:rPr>
                <w:b/>
                <w:i/>
              </w:rPr>
              <w:t>lisäksi julkistamaan järjestelmällisesti yhdessä rekisterissä, josta voidaan tehdä hakuja, kaikki sponsorit, luontoissuoritukset, arvostusmenetelmät sekä kaikki asiaan liittyvät näkyvyyttä / tuotemerkintöjä koskevat oikeudet sekä tekemään jokaisen puheenjohtajavaltion osalta maine- ja eturistiriitariskien jälkiarvioinnin oikeusasiamiehen suositusten mukaisesti;</w:t>
            </w:r>
            <w:r>
              <w:t xml:space="preserve"> </w:t>
            </w:r>
            <w:r>
              <w:rPr>
                <w:b/>
                <w:i/>
              </w:rPr>
              <w:t>kehottaa</w:t>
            </w:r>
            <w:r>
              <w:t xml:space="preserve"> jälleen kerran neuvostoa osoittamaan neuvoston puheenjohtajavaltioille määrärahat, jotta voidaan yleisesti varmistaa neuvoston työskentelyn tehokkuutta ja vaikuttavuutta koskevat asianmukaiset ja yhdenmukaiset normit;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on erittäin huolissaan siitä, että Eurooppa-neuvosto osallistuu yhä enemmän lainsäädäntöasioihin, vaikka sillä ei ole lainsäädäntö- eikä toimeenpanovaltaa eikä se noudata samoja avoimuusvaatimuksia kuin neuvosto, mikä johtaa vastuuvelvollisuuden puutteeseen;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rPr>
                <w:b/>
                <w:i/>
              </w:rPr>
              <w:t>on erittäin huolissaan siitä</w:t>
            </w:r>
            <w:r>
              <w:t xml:space="preserve">, että Eurooppa-neuvosto </w:t>
            </w:r>
            <w:r>
              <w:rPr>
                <w:b/>
                <w:i/>
              </w:rPr>
              <w:t>osallistuu yhä enemmän lainsäädäntöasioihin, vaikka sillä ei ole lainsäädäntö- eikä toimeenpanovaltaa eikä se noudata samoja avoimuusvaatimuksia kuin neuvosto, mikä johtaa vastuuvelvollisuuden puutteeseen</w:t>
            </w:r>
            <w:r>
              <w:t>;</w:t>
            </w:r>
          </w:p>
        </w:tc>
        <w:tc>
          <w:tcPr>
            <w:tcW w:w="4876" w:type="dxa"/>
            <w:tcBorders>
              <w:top w:val="nil"/>
              <w:left w:val="nil"/>
              <w:bottom w:val="nil"/>
              <w:right w:val="nil"/>
            </w:tcBorders>
          </w:tcPr>
          <w:p>
            <w:pPr>
              <w:pStyle w:val="Normal6a"/>
            </w:pPr>
            <w:r>
              <w:t>25.</w:t>
            </w:r>
            <w:r>
              <w:tab/>
            </w:r>
            <w:r>
              <w:rPr>
                <w:b/>
                <w:i/>
              </w:rPr>
              <w:t>toteaa</w:t>
            </w:r>
            <w:r>
              <w:t xml:space="preserve">, että Eurooppa-neuvosto </w:t>
            </w:r>
            <w:r>
              <w:rPr>
                <w:b/>
                <w:i/>
              </w:rPr>
              <w:t>on keskeinen toimielin EU:n päätöksenteossa;</w:t>
            </w:r>
            <w:r>
              <w:t xml:space="preserve"> </w:t>
            </w:r>
            <w:r>
              <w:rPr>
                <w:b/>
                <w:i/>
              </w:rPr>
              <w:t>korostaa, että kun otetaan huomioon Eurooppa-neuvoston rooli, sen olisi kansalaisten luottamuksen säilyttämiseksi varmistettava, että sen toimet toteutetaan avoimesti ja vastuullisesti muihin unionin toimielimiin sovellettavien vaatimusten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a.</w:t>
            </w:r>
            <w:r>
              <w:tab/>
            </w:r>
            <w:r>
              <w:rPr>
                <w:b/>
                <w:i/>
              </w:rPr>
              <w:t>muistuttaa, että Euroopan unionista tehdyn sopimuksen 15 artiklan mukaisesti Eurooppa-neuvostolla on keskeinen strateginen tehtävä antaa unionille sen kehittämiseksi tarvittavat virikkeet ja määritellä sen yleiset poliittiset suuntaviivat ja painopisteet, mutta se ei toimi lainsäätäjänä;</w:t>
            </w:r>
            <w:r>
              <w:t xml:space="preserve"> </w:t>
            </w:r>
            <w:r>
              <w:rPr>
                <w:b/>
                <w:i/>
              </w:rPr>
              <w:t>korostaa Eurooppa-neuvoston ainutlaatuista lisäarvoa jäsenvaltioiden välisen korkean tason poliittisen koordinoinnin foorumina;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a.</w:t>
            </w:r>
            <w:r>
              <w:tab/>
            </w:r>
            <w:r>
              <w:rPr>
                <w:b/>
                <w:i/>
              </w:rPr>
              <w:t>pitää erittäin valitettavana, että Unkarin hallitus käytti väärin rooliaan neuvoston vuoden 2024 kiertävällä puheenjohtajakaudella osallistumalla korkean tason kansainvälisiin kokouksiin, joissa asetettiin unionin keskeiset arvot ja sovitut yhteiset kannat kyseenalaisiksi;</w:t>
            </w:r>
            <w:r>
              <w:t xml:space="preserve"> </w:t>
            </w:r>
            <w:r>
              <w:rPr>
                <w:b/>
                <w:i/>
              </w:rPr>
              <w:t>kehottaa neuvostoa tuomitsemaan jyrkästi kaikki puheenjohtajavaltiona toimivan jäsenvaltion toimet, jotka eivät ole unionin arvojen mukaisia, ja toteuttamaan kaikki tarvittavat toimenpiteet sen varmistamiseksi, että tulevat puheenjohtajavaltiot hoitavat tehtävänsä täysin EU:n periaatteiden mukaisesti ja turvaavat siten unionin eheyden ja uskottavuuden;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painottaa, että </w:t>
            </w:r>
            <w:r>
              <w:rPr>
                <w:b/>
                <w:i/>
              </w:rPr>
              <w:t>yksimielisyysmenettelyn käyttö</w:t>
            </w:r>
            <w:r>
              <w:t xml:space="preserve"> neuvostossa </w:t>
            </w:r>
            <w:r>
              <w:rPr>
                <w:b/>
                <w:i/>
              </w:rPr>
              <w:t>tietyillä</w:t>
            </w:r>
            <w:r>
              <w:t xml:space="preserve"> politiikan aloilla </w:t>
            </w:r>
            <w:r>
              <w:rPr>
                <w:b/>
                <w:i/>
              </w:rPr>
              <w:t>lamauttaa unionin päätöksentekoprosessin ja altistaa sen siten jäsenvaltioiden kiristykselle, jota harjoittavat erityisesti oikeusvaltioperiaatteesta piittaamattomat jäsenvaltiot;</w:t>
            </w:r>
            <w:r>
              <w:t xml:space="preserve"> </w:t>
            </w:r>
            <w:r>
              <w:rPr>
                <w:b/>
                <w:i/>
              </w:rPr>
              <w:t>toteaa tässä yhteydessä jälleen pitävänsä valitettavana, että Unkarin hallitus jarruttaa päätöksentekoa Eurooppa-neuvostossa</w:t>
            </w:r>
            <w:r>
              <w:t>; huomauttaa, että purkamatta olevat poliittiset pattitilanteet ja riittämätön edistyminen avoimuutta koskevissa uudistuksissa heikentävät edelleen luottamusta ja Eurooppa-neuvoston tehokkuutta; kehottaa uudistamaan perussopimuksia kohdennetusti, jotta voidaan parantaa demokraattista päätöksentekoa ja avoimuutta Eurooppa-neuvostossa.</w:t>
            </w:r>
          </w:p>
        </w:tc>
        <w:tc>
          <w:tcPr>
            <w:tcW w:w="4876" w:type="dxa"/>
            <w:tcBorders>
              <w:top w:val="nil"/>
              <w:left w:val="nil"/>
              <w:bottom w:val="nil"/>
              <w:right w:val="nil"/>
            </w:tcBorders>
          </w:tcPr>
          <w:p>
            <w:pPr>
              <w:pStyle w:val="Normal6a"/>
            </w:pPr>
            <w:r>
              <w:t>26.</w:t>
            </w:r>
            <w:r>
              <w:tab/>
            </w:r>
            <w:r>
              <w:t xml:space="preserve">painottaa, että </w:t>
            </w:r>
            <w:r>
              <w:rPr>
                <w:b/>
                <w:i/>
              </w:rPr>
              <w:t>yksimielisyysmenettely</w:t>
            </w:r>
            <w:r>
              <w:t xml:space="preserve"> neuvostossa </w:t>
            </w:r>
            <w:r>
              <w:rPr>
                <w:b/>
                <w:i/>
              </w:rPr>
              <w:t>on perussopimukseen perustuva kansallisen suvereniteetin tae arkaluonteisilla</w:t>
            </w:r>
            <w:r>
              <w:t xml:space="preserve"> politiikan aloilla; huomauttaa, että purkamatta olevat poliittiset pattitilanteet ja riittämätön edistyminen avoimuutta koskevissa uudistuksissa heikentävät edelleen luottamusta ja Eurooppa-neuvoston tehokkuutta; kehottaa uudistamaan perussopimuksia kohdennetusti, jotta voidaan parantaa demokraattista päätöksentekoa ja avoimuutta Eurooppa-neuvostossa. </w:t>
            </w:r>
            <w:r>
              <w:rPr>
                <w:b/>
                <w:i/>
              </w:rPr>
              <w:t>painottaa, että sen käyttö on oikeutettu osoitus jäsenvaltioiden hallitusten demokraattisesta vastuuvelvollisuudesta kansallisia parlamenttejaan ja kansalaisiaan kohtaan;</w:t>
            </w:r>
            <w:r>
              <w:t xml:space="preserve"> </w:t>
            </w:r>
            <w:r>
              <w:rPr>
                <w:b/>
                <w:i/>
              </w:rPr>
              <w:t>korostaa, että kaikessa päätöksenteon tehokkuudesta käytävässä keskustelussa on noudatettava perussopimuksia kaikilta osin eikä se saa heikentää annetun toimivallan periaatetta tai unionin ja sen jäsenvaltioiden välistä perustuslaillista tasapainoa;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painottaa, että </w:t>
            </w:r>
            <w:r>
              <w:rPr>
                <w:b/>
                <w:i/>
              </w:rPr>
              <w:t>yksimielisyysmenettelyn käyttö neuvostossa tietyillä politiikan aloilla lamauttaa</w:t>
            </w:r>
            <w:r>
              <w:t xml:space="preserve"> unionin </w:t>
            </w:r>
            <w:r>
              <w:rPr>
                <w:b/>
                <w:i/>
              </w:rPr>
              <w:t>päätöksentekoprosessin ja altistaa sen siten jäsenvaltioiden kiristykselle, jota harjoittavat erityisesti oikeusvaltioperiaatteesta piittaamattomat jäsenvaltiot</w:t>
            </w:r>
            <w:r>
              <w:t xml:space="preserve">; toteaa tässä yhteydessä jälleen pitävänsä valitettavana, että Unkarin hallitus jarruttaa päätöksentekoa Eurooppa-neuvostossa; </w:t>
            </w:r>
            <w:r>
              <w:rPr>
                <w:b/>
                <w:i/>
              </w:rPr>
              <w:t>huomauttaa, että purkamatta olevat poliittiset pattitilanteet ja riittämätön edistyminen avoimuutta koskevissa uudistuksissa heikentävät edelleen luottamusta ja</w:t>
            </w:r>
            <w:r>
              <w:t xml:space="preserve"> Eurooppa-neuvoston </w:t>
            </w:r>
            <w:r>
              <w:rPr>
                <w:b/>
                <w:i/>
              </w:rPr>
              <w:t>tehokkuutta;</w:t>
            </w:r>
            <w:r>
              <w:t xml:space="preserve"> </w:t>
            </w:r>
            <w:r>
              <w:rPr>
                <w:b/>
                <w:i/>
              </w:rPr>
              <w:t>kehottaa uudistamaan perussopimuksia kohdennetusti, jotta voidaan parantaa demokraattista päätöksentekoa ja avoimuutta Eurooppa-neuvostossa.</w:t>
            </w:r>
          </w:p>
        </w:tc>
        <w:tc>
          <w:tcPr>
            <w:tcW w:w="4876" w:type="dxa"/>
            <w:tcBorders>
              <w:top w:val="nil"/>
              <w:left w:val="nil"/>
              <w:bottom w:val="nil"/>
              <w:right w:val="nil"/>
            </w:tcBorders>
          </w:tcPr>
          <w:p>
            <w:pPr>
              <w:pStyle w:val="Normal6a"/>
            </w:pPr>
            <w:r>
              <w:t>26.</w:t>
            </w:r>
            <w:r>
              <w:tab/>
            </w:r>
            <w:r>
              <w:t xml:space="preserve">painottaa, että </w:t>
            </w:r>
            <w:r>
              <w:rPr>
                <w:b/>
                <w:i/>
              </w:rPr>
              <w:t>vaikka yksimielisyys on edelleen perussopimuksen keskeinen periaate, sen soveltaminen voi tietyissä olosuhteissa vaikuttaa</w:t>
            </w:r>
            <w:r>
              <w:t xml:space="preserve"> unionin </w:t>
            </w:r>
            <w:r>
              <w:rPr>
                <w:b/>
                <w:i/>
              </w:rPr>
              <w:t>päätöksenteon aikatauluun ja tehokkuuteen</w:t>
            </w:r>
            <w:r>
              <w:t xml:space="preserve">; toteaa tässä yhteydessä jälleen pitävänsä valitettavana, että Unkarin hallitus jarruttaa päätöksentekoa Eurooppa-neuvostossa; </w:t>
            </w:r>
            <w:r>
              <w:rPr>
                <w:b/>
                <w:i/>
              </w:rPr>
              <w:t>kehottaa tekemään nykyisen perussopimuksen puitteissa käytännön parannuksia avoimuuden, vastuuvelvollisuuden ja tehokkuuden sekä</w:t>
            </w:r>
            <w:r>
              <w:t xml:space="preserve"> Eurooppa-neuvoston </w:t>
            </w:r>
            <w:r>
              <w:rPr>
                <w:b/>
                <w:i/>
              </w:rPr>
              <w:t>työn vahvistamiseksi;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painottaa, että yksimielisyysmenettelyn käyttö neuvostossa tietyillä politiikan aloilla lamauttaa unionin päätöksentekoprosessin ja altistaa sen siten jäsenvaltioiden kiristykselle, jota harjoittavat erityisesti oikeusvaltioperiaatteesta piittaamattomat jäsenvaltiot; toteaa tässä yhteydessä jälleen pitävänsä valitettavana, että Unkarin hallitus jarruttaa päätöksentekoa Eurooppa-neuvostossa; huomauttaa, että purkamatta olevat poliittiset pattitilanteet ja riittämätön edistyminen avoimuutta koskevissa uudistuksissa heikentävät edelleen luottamusta ja Eurooppa-neuvoston tehokkuutta; kehottaa </w:t>
            </w:r>
            <w:r>
              <w:rPr>
                <w:b/>
                <w:i/>
              </w:rPr>
              <w:t>uudistamaan perussopimuksia kohdennetusti, jotta voidaan parantaa demokraattista päätöksentekoa ja avoimuutta</w:t>
            </w:r>
            <w:r>
              <w:t xml:space="preserve"> Eurooppa-neuvostossa</w:t>
            </w:r>
            <w:r>
              <w:rPr>
                <w:b/>
                <w:i/>
              </w:rPr>
              <w:t>.</w:t>
            </w:r>
          </w:p>
        </w:tc>
        <w:tc>
          <w:tcPr>
            <w:tcW w:w="4876" w:type="dxa"/>
            <w:tcBorders>
              <w:top w:val="nil"/>
              <w:left w:val="nil"/>
              <w:bottom w:val="nil"/>
              <w:right w:val="nil"/>
            </w:tcBorders>
          </w:tcPr>
          <w:p>
            <w:pPr>
              <w:pStyle w:val="Normal6a"/>
            </w:pPr>
            <w:r>
              <w:t>26.</w:t>
            </w:r>
            <w:r>
              <w:tab/>
            </w:r>
            <w:r>
              <w:t xml:space="preserve">painottaa, että yksimielisyysmenettelyn käyttö neuvostossa tietyillä politiikan aloilla lamauttaa unionin päätöksentekoprosessin ja altistaa sen siten jäsenvaltioiden kiristykselle, jota harjoittavat erityisesti oikeusvaltioperiaatteesta piittaamattomat jäsenvaltiot; toteaa tässä yhteydessä jälleen pitävänsä valitettavana, että Unkarin hallitus jarruttaa päätöksentekoa Eurooppa-neuvostossa; huomauttaa, että purkamatta olevat poliittiset pattitilanteet ja riittämätön edistyminen avoimuutta koskevissa uudistuksissa heikentävät edelleen luottamusta ja Eurooppa-neuvoston tehokkuutta; kehottaa </w:t>
            </w:r>
            <w:r>
              <w:rPr>
                <w:b/>
                <w:i/>
              </w:rPr>
              <w:t>neuvostoa soveltamaan määräenemmistöäänestyksiä aina kun se on mahdollista ja harkitsemaan kohdennettuja perussopimusten uudistuksia demokraattisen päätöksenteon ja avoimuuden lisäämiseksi</w:t>
            </w:r>
            <w:r>
              <w:t xml:space="preserve"> Eurooppa-neuvostossa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a.</w:t>
            </w:r>
            <w:r>
              <w:tab/>
            </w:r>
            <w:r>
              <w:rPr>
                <w:b/>
                <w:i/>
              </w:rPr>
              <w:t>kehottaa jälleen ministerineuvostoa siirtymään yksimielisyydestä määräenemmistöpäätöksiin ulko-, turvallisuus- ja puolustuspolitiikan alalla;</w:t>
            </w:r>
            <w:r>
              <w:t xml:space="preserve"> </w:t>
            </w:r>
            <w:r>
              <w:rPr>
                <w:b/>
                <w:i/>
              </w:rPr>
              <w:t>muistuttaa, että EU:n perussopimuskehyksessä sallitaan jo joitakin erilaisia institutionaalisia yhteistyömuotoja YUTP/YTPP:n alalla, ja pitää valitettavana, että alalla olevia mahdollisuuksia nopeaan päätöksentekoon, josta määrätään SEU-sopimuksen siirtymälausekkeissa, on käytetty vain hyvin rajoitetusti;</w:t>
            </w:r>
            <w:r>
              <w:t xml:space="preserve"> </w:t>
            </w:r>
            <w:r>
              <w:rPr>
                <w:b/>
                <w:i/>
              </w:rPr>
              <w:t>kehottaa tässä yhteydessä jälleen neuvostoa hyödyntämään perussopimusten käyttämätöntä potentiaalia nopeuttaakseen päätöksentekoaan yhteisen ulko-, turvallisuus- ja puolustuspolitiikan alalla;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26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w:t>
            </w:r>
            <w:r>
              <w:tab/>
            </w:r>
            <w:r>
              <w:rPr>
                <w:b/>
                <w:i/>
              </w:rPr>
              <w:t>ilmaisee huolensa yksimielisyysvaatimuksen käytöstä neuvostossa ja Eurooppa-neuvostossa, sillä se haittaa ratkaisevan tärkeää päätöksentekoa ulkopolitiikan, laajentumismenettelyjen, talousarvioasioiden ja avoimuuden kriittisillä aloilla;</w:t>
            </w:r>
            <w:r>
              <w:t xml:space="preserve"> </w:t>
            </w:r>
            <w:r>
              <w:rPr>
                <w:b/>
                <w:i/>
              </w:rPr>
              <w:t>toteaa, että yksimielisyysvaatimus on aiheuttanut merkittäviä esteitä tehokkaalle vastaamiselle Venäjän toimiin, erityisesti kolmen kuukauden välein uusittavien pakotteiden määräämiselle;</w:t>
            </w:r>
            <w:r>
              <w:t xml:space="preserve"> </w:t>
            </w:r>
            <w:r>
              <w:rPr>
                <w:b/>
                <w:i/>
              </w:rPr>
              <w:t>ilmaisee huolensa siitä, että ponnisteluja Ukrainan tukemiseksi on heikennetty yksimielisyyden tarpeen vuoksi;</w:t>
            </w:r>
            <w:r>
              <w:t xml:space="preserve"> </w:t>
            </w:r>
            <w:r>
              <w:rPr>
                <w:b/>
                <w:i/>
              </w:rPr>
              <w:t>kehottaa neuvostoa siirtymään määräenemmistöpäätöksiin kriittisillä aloilla, jotta unioni voi toimia tehokkaasti maailmanlaajuisten haasteiden edessä;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a.</w:t>
            </w:r>
            <w:r>
              <w:tab/>
            </w:r>
            <w:r>
              <w:rPr>
                <w:b/>
                <w:i/>
              </w:rPr>
              <w:t>korostaa, että neuvoston pitkittynyt haluttomuus reagoida sekä se, että se jättää jatkuvasti vastaamatta ja osallistumatta parlamentin käynnistämiin lainsäädäntömenettelyihin, rikkoo sen SEUT-sopimuksen 265 artiklan mukaisia velvoitteita;</w:t>
            </w:r>
            <w:r>
              <w:t xml:space="preserve"> </w:t>
            </w:r>
            <w:r>
              <w:rPr>
                <w:b/>
                <w:i/>
              </w:rPr>
              <w:t>pitää valitettavana erityisesti sitä, että neuvoston kanssa käydyt neuvottelut tutkintaoikeudesta ja EU:n vaalilainsäädännöstä ovat umpikujassa ja viivästyneet ja että Eurooppa-neuvosto ei ole ryhtynyt toimiin SEU-sopimuksen 48 artiklan mukaisen perussopimusten muutoksia koskevan menettelyn osalta;</w:t>
            </w:r>
            <w:r>
              <w:t xml:space="preserve"> </w:t>
            </w:r>
            <w:r>
              <w:rPr>
                <w:b/>
                <w:i/>
              </w:rPr>
              <w:t>pitää valitettavana, että neuvosto ei tehnyt riittävästi yhteistyötä parlamentin kanssa, jotta virallisia keskusteluja olisi voitu käydä;</w:t>
            </w:r>
            <w:r>
              <w:t xml:space="preserve"> </w:t>
            </w:r>
            <w:r>
              <w:rPr>
                <w:b/>
                <w:i/>
              </w:rPr>
              <w:t>kehottaa neuvostoa noudattamaan SEU-sopimuksen 13 artiklan 2 kohdassa vahvistettua vilpittömän keskinäisen yhteistyön periaatetta ja tekemään yhteistyötä parlamentin kanssa nykyisen institutionaalisen umpikujan ratkaisemiseksi;</w:t>
            </w:r>
            <w:r>
              <w:t xml:space="preserve"> </w:t>
            </w:r>
            <w:r>
              <w:rPr>
                <w:b/>
                <w:i/>
              </w:rPr>
              <w:t>korostaa tutkintaoikeuden osalta tarvetta saattaa asia perussopimus-, työjärjestys- ja toimielinasioiden valiokunnan ja oikeudellisten asioiden valiokunnan käsiteltäväksi neuvostoa vastaan nostettavia kanteita varten, sillä on selvää, että SEUT-sopimuksen 265 artiklaa ei ole noudatettu;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toteaa jälleen pitävänsä valitettavana, ettei Eurooppa-neuvoston ja neuvoston talousarviota ole erotettu kahdeksi selvästi erilliseksi talousarvioksi, kuten parlamentti on aiemmissa vastuuvapauspäätöslauselmissaan suosittanut, sillä näin voitaisiin lisätä avoimuutta ja parantaa vastuuvelvollisuutta etenkin Eurooppa-neuvoston osalta, koska sen kuluista on nykyisellään mahdoton saada luotettavaa tietoa;</w:t>
            </w:r>
          </w:p>
        </w:tc>
        <w:tc>
          <w:tcPr>
            <w:tcW w:w="4876" w:type="dxa"/>
            <w:tcBorders>
              <w:top w:val="nil"/>
              <w:left w:val="nil"/>
              <w:bottom w:val="nil"/>
              <w:right w:val="nil"/>
            </w:tcBorders>
          </w:tcPr>
          <w:p>
            <w:pPr>
              <w:pStyle w:val="Normal6a"/>
            </w:pPr>
            <w:r>
              <w:t>27.</w:t>
            </w:r>
            <w:r>
              <w:tab/>
            </w:r>
            <w:r>
              <w:t xml:space="preserve">toteaa jälleen pitävänsä valitettavana, ettei Eurooppa-neuvoston ja neuvoston talousarviota ole erotettu kahdeksi selvästi erilliseksi talousarvioksi, kuten parlamentti on aiemmissa vastuuvapauspäätöslauselmissaan suosittanut, sillä näin voitaisiin lisätä avoimuutta ja parantaa vastuuvelvollisuutta etenkin Eurooppa-neuvoston osalta, koska sen kuluista on nykyisellään mahdoton saada luotettavaa tietoa; </w:t>
            </w:r>
            <w:r>
              <w:rPr>
                <w:b/>
                <w:i/>
              </w:rPr>
              <w:t>kehottaa sisällyttämään tällaisen erottelun yhteydessä talousarvioon erilliset budjettikohdat kokouksiin liittyviä menoja sekä matka-, viestintä- ja edustuskustannuksia varten, jotta vastuuvapauden myöntävä viranomainen voi erottaa toisistaan Eurooppa-neuvoston ja neuvoston toimet ja arvioida suuntauksia ajan mittaan;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a.</w:t>
            </w:r>
            <w:r>
              <w:tab/>
            </w:r>
            <w:r>
              <w:rPr>
                <w:b/>
                <w:i/>
              </w:rPr>
              <w:t>on huolissaan siitä, että läpinäkyvyys neuvoston konsultointipalvelujen ja ulkopuolisten toimeksisaajien käytössä on rajallista;</w:t>
            </w:r>
            <w:r>
              <w:t xml:space="preserve"> </w:t>
            </w:r>
            <w:r>
              <w:rPr>
                <w:b/>
                <w:i/>
              </w:rPr>
              <w:t>kehottaa julkaisemaan ennakoivasti kaikki arvoltaan suuret sopimukset ja puitesopimukset, mukaan lukien sopimusten muutokset, suoritteet ja tulosindikaattorit;</w:t>
            </w:r>
            <w:r>
              <w:t xml:space="preserve"> </w:t>
            </w:r>
            <w:r>
              <w:rPr>
                <w:b/>
                <w:i/>
              </w:rPr>
              <w:t>kehottaa noudattamaan riskiperusteista avoimuutta ja valvomaan erityisesti sopimuksia, jotka liittyvät tietotekniikkaan, viestintään ja maineeseen liittyviin palveluihin, ja kehottaa raportoimaan vuosittain ulkoisten toimeksisaajien käytöstä verrattuna sisäisen kapasiteetin hyödyntämiseen;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a.</w:t>
            </w:r>
            <w:r>
              <w:tab/>
            </w:r>
            <w:r>
              <w:rPr>
                <w:b/>
                <w:i/>
              </w:rPr>
              <w:t>painottaa hankintojen merkitystä välineenä, jolla edistetään politiikkatavoitteita, myös sosiaalisia tavoitteita ja ympäristötavoitteita;</w:t>
            </w:r>
            <w:r>
              <w:t xml:space="preserve"> </w:t>
            </w:r>
            <w:r>
              <w:rPr>
                <w:b/>
                <w:i/>
              </w:rPr>
              <w:t>kehottaa neuvostoa vahvistamaan yhteiskuntavastuuta ja ympäristökestävyyttä koskevien strategisten kriteerien sisällyttämistä hankintamenettelyihinsä;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35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w:t>
            </w:r>
            <w:r>
              <w:tab/>
            </w:r>
            <w:r>
              <w:rPr>
                <w:b/>
                <w:i/>
              </w:rPr>
              <w:t>kehottaa neuvostoa julkaisemaan korkeiden virkamiesten, myös Eurooppa-neuvoston puheenjohtajan, korkean edustajan ja pääsihteeristön, matka- ja edustuskulujen vuosittaisen erittelyn yleisön saatavilla olevassa käyttäjäystävällisessä muodossa;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panee merkille, että neuvosto toimitti vastuuvapauden myöntävälle viranomaiselle varainhoitoasetuksen 118 artiklan mukaisesti vuosikertomuksen vuonna 2024 toimitetuista sisäisistä tarkastuksista; panee merkille, että vuoden 2024 lopussa 82 prosenttia vuosina 2022–2024 annetuista suosituksista oli pantu täytäntöön, 17 prosenttia oli vielä kesken ja yhdessä prosentissa johto oli hyväksynyt riskin tai suositukset olivat vanhentuneet; panee merkille, että vuonna 2024 saatiin päätökseen neljä sisäistä tarkastusta; toteaa, että kahdessa näistä tarkastuksista (toinen koski Euroopan rauhanrahaston tukemista ja toinen sihteeristön aineettomia hyödykkeitä koskevia kirjanpitoprosesseja) sisäinen tarkastaja antoi useita ensisijaisia suosituksia, jotka tarkastetut yksiköt ovat hyväksyneet;</w:t>
            </w:r>
          </w:p>
        </w:tc>
        <w:tc>
          <w:tcPr>
            <w:tcW w:w="4876" w:type="dxa"/>
            <w:tcBorders>
              <w:top w:val="nil"/>
              <w:left w:val="nil"/>
              <w:bottom w:val="nil"/>
              <w:right w:val="nil"/>
            </w:tcBorders>
          </w:tcPr>
          <w:p>
            <w:pPr>
              <w:pStyle w:val="Normal6a"/>
            </w:pPr>
            <w:r>
              <w:t>40.</w:t>
            </w:r>
            <w:r>
              <w:tab/>
            </w:r>
            <w:r>
              <w:t xml:space="preserve">panee merkille, että neuvosto toimitti vastuuvapauden myöntävälle viranomaiselle varainhoitoasetuksen 118 artiklan mukaisesti vuosikertomuksen vuonna 2024 toimitetuista sisäisistä tarkastuksista; panee merkille, että vuoden 2024 lopussa 82 prosenttia vuosina 2022–2024 annetuista suosituksista oli pantu täytäntöön, 17 prosenttia oli vielä kesken ja yhdessä prosentissa johto oli hyväksynyt riskin tai suositukset olivat vanhentuneet; panee merkille, että vuonna 2024 saatiin päätökseen neljä sisäistä tarkastusta; toteaa, että kahdessa näistä tarkastuksista (toinen koski Euroopan rauhanrahaston tukemista ja toinen sihteeristön aineettomia hyödykkeitä koskevia kirjanpitoprosesseja) sisäinen tarkastaja antoi useita ensisijaisia suosituksia, jotka tarkastetut yksiköt ovat hyväksyneet; </w:t>
            </w:r>
            <w:r>
              <w:rPr>
                <w:b/>
                <w:i/>
              </w:rPr>
              <w:t>pyytää neuvostoa toimittamaan vastuuvapauden myöntävälle viranomaiselle julkisen yhteenvedon ensisijaisista suosituksista ja selkeän täytäntöönpanoaikataulun erityisesti silloin, kun tarkastukset koskevat Euroopan rauhanrahastolle annettavaa tukea ja aineettomien hyödykkeiden hallinnointia, sillä tällaiset menot herättävät suurempaa julkista kiinnostusta ja vaikuttavat herkästi maineeseen;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panee tyytyväisenä merkille sihteeristön toimet vammaisten henkilöiden hyväksi sen toiminnan yhteydessä; panee merkille, että sihteeristö on ottanut käyttöön yksinkertaistetun menettelyn harjoittelijoiden, henkilöstön jäsenten ja vammaisten hakijoiden kohtuullisia järjestelyjä koskevien pyyntöjen käsittelemiseksi; panee lisäksi merkille, että vahtimestareille järjestettiin vuonna 2024 jatkokoulutustilaisuuksia, joissa käsiteltiin sitä, millä tavoin eri tavoin toimintarajoitteiset vierailijat olisi otettava vastaan ja millä tavoin heistä olisi huolehdittava; panee merkille, että sihteeristö otti vuonna 2024 vastaan 115 harjoittelijaa, joista viisi osana sihteeristön vammaisille harjoittelijoille tarkoitettua positiivisten erityistoimien ohjelmaa; muistuttaa, että harjoittelujen olisi oltava palkallisia laadukkaista harjoittelupaikoista EU:ssa 14. kesäkuuta 2023 </w:t>
            </w:r>
            <w:r>
              <w:rPr>
                <w:b/>
                <w:i/>
              </w:rPr>
              <w:t>antamansa</w:t>
            </w:r>
            <w:r>
              <w:t xml:space="preserve"> päätöslauselman (2020/2005 INL) mukaisesti, jossa todetaan, että kaikkien harjoittelujen unionissa olisi oltava palkallisia;</w:t>
            </w:r>
          </w:p>
        </w:tc>
        <w:tc>
          <w:tcPr>
            <w:tcW w:w="4876" w:type="dxa"/>
            <w:tcBorders>
              <w:top w:val="nil"/>
              <w:left w:val="nil"/>
              <w:bottom w:val="nil"/>
              <w:right w:val="nil"/>
            </w:tcBorders>
          </w:tcPr>
          <w:p>
            <w:pPr>
              <w:pStyle w:val="Normal6a"/>
            </w:pPr>
            <w:r>
              <w:t>47.</w:t>
            </w:r>
            <w:r>
              <w:tab/>
            </w:r>
            <w:r>
              <w:t xml:space="preserve">panee tyytyväisenä merkille sihteeristön toimet vammaisten henkilöiden hyväksi sen toiminnan yhteydessä; panee merkille, että sihteeristö on ottanut käyttöön yksinkertaistetun menettelyn harjoittelijoiden, henkilöstön jäsenten ja vammaisten hakijoiden kohtuullisia järjestelyjä koskevien pyyntöjen käsittelemiseksi; panee lisäksi merkille, että vahtimestareille järjestettiin vuonna 2024 jatkokoulutustilaisuuksia, joissa käsiteltiin sitä, millä tavoin eri tavoin toimintarajoitteiset vierailijat olisi otettava vastaan ja millä tavoin heistä olisi huolehdittava; panee merkille, että sihteeristö otti vuonna 2024 vastaan 115 harjoittelijaa, joista viisi osana sihteeristön vammaisille harjoittelijoille tarkoitettua positiivisten erityistoimien ohjelmaa; muistuttaa, että harjoittelujen olisi oltava palkallisia </w:t>
            </w:r>
            <w:r>
              <w:rPr>
                <w:b/>
                <w:i/>
              </w:rPr>
              <w:t>parlamentin</w:t>
            </w:r>
            <w:r>
              <w:t xml:space="preserve"> laadukkaista harjoittelupaikoista EU:ssa 14. kesäkuuta 2023 </w:t>
            </w:r>
            <w:r>
              <w:rPr>
                <w:b/>
                <w:i/>
              </w:rPr>
              <w:t>antaman</w:t>
            </w:r>
            <w:r>
              <w:t xml:space="preserve"> päätöslauselman (2020/2005 INL) mukaisesti, jossa todetaan, että kaikkien harjoittelujen unionissa olisi oltava palkallisia; </w:t>
            </w:r>
            <w:r>
              <w:rPr>
                <w:b/>
                <w:i/>
              </w:rPr>
              <w:t>korostaa, että palkattomat harjoittelut ovat yksi nuorten työntekijöiden hyväksikäytön muoto ja yhdenvertaisten mahdollisuuksien este;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toteaa jälleen, että toiminnan eettisyys edistää moitteetonta varainhoitoa ja lisää kansalaisten luottamusta ja että kuten tilintarkastustuomioistuin korostaa erityiskertomuksessaan nro 13/2019, unionin toimielinten eettisissä toimintapuitteissa on edelleen parantamisen varaa; palauttaa mieliin erityisesti tilintarkastustuomioistuimen suosituksen neuvoston eettisten toimintapuitteiden parantamisesta; on huolissaan siitä, että unionilla ei ole yhteisiä eettisiä toimintapuitteita, jotka koskisivat jäsenvaltioiden edustajien toimintaa neuvostossa, kuten tilintarkastustuomioistuin on todennut;</w:t>
            </w:r>
          </w:p>
        </w:tc>
        <w:tc>
          <w:tcPr>
            <w:tcW w:w="4876" w:type="dxa"/>
            <w:tcBorders>
              <w:top w:val="nil"/>
              <w:left w:val="nil"/>
              <w:bottom w:val="nil"/>
              <w:right w:val="nil"/>
            </w:tcBorders>
          </w:tcPr>
          <w:p>
            <w:pPr>
              <w:pStyle w:val="Normal6a"/>
            </w:pPr>
            <w:r>
              <w:t>49.</w:t>
            </w:r>
            <w:r>
              <w:tab/>
            </w:r>
            <w:r>
              <w:t xml:space="preserve">toteaa jälleen, että toiminnan eettisyys edistää moitteetonta varainhoitoa ja lisää kansalaisten luottamusta ja että kuten tilintarkastustuomioistuin korostaa erityiskertomuksessaan nro 13/2019, unionin toimielinten eettisissä toimintapuitteissa on edelleen parantamisen varaa; palauttaa mieliin erityisesti tilintarkastustuomioistuimen suosituksen neuvoston eettisten toimintapuitteiden parantamisesta; on huolissaan siitä, että unionilla ei ole yhteisiä eettisiä toimintapuitteita, jotka koskisivat jäsenvaltioiden edustajien toimintaa neuvostossa, kuten tilintarkastustuomioistuin on todennut; </w:t>
            </w:r>
            <w:r>
              <w:rPr>
                <w:b/>
                <w:i/>
              </w:rPr>
              <w:t>painottaa, että mitään EU:n toimielintä ei pitäisi vapauttaa selkeistä, sitovista ja täytäntöönpanokelpoisista eettisistä säännöistä sen osallistuessa unionin päätöksentekoon, johon liittyy julkisia menoja;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panee merkille, että pääsihteeristö julkaisee unionin virkamiehiin sovellettavien henkilöstösääntöjen 16 artiklan kolmannen ja neljännen kohdan mukaisesti vuosittain kertomuksen, joka sisältää tietoja sihteeristön entisten korkeiden virkamiesten ammatillisesta toiminnasta palvelussuhteen päätyttyä; panee merkille, että vuotta 2024 koskevan kertomuksen mukaan yksi entinen korkea virkamies ilmoitti aikomuksestaan harjoittaa ammatillista toimintaa yli 12 kuukautta sihteeristöstä lähtönsä jälkeen; panee merkille, että pariteettikomiteaa kuultiin ennen päätöksen tekemistä tässä asiassa; pitää valitettavana, että neuvoston verkkosivustolla ei ole tietoa siitä, myönnettiinkö lupa pyydetyn toiminnan harjoittamiseen vai ei; kehottaa jälleen neuvostoa laatimaan korkeille virkamiehille </w:t>
            </w:r>
            <w:r>
              <w:rPr>
                <w:b/>
                <w:i/>
              </w:rPr>
              <w:t>tiukemmat</w:t>
            </w:r>
            <w:r>
              <w:t xml:space="preserve"> työsuhteen päättymisen jälkeen sovellettavat säännöt, mukaan lukien </w:t>
            </w:r>
            <w:r>
              <w:rPr>
                <w:b/>
                <w:i/>
              </w:rPr>
              <w:t>pidennetty karenssiaika ja</w:t>
            </w:r>
            <w:r>
              <w:t xml:space="preserve"> yksityisen sektorin sidonnaisuuksien </w:t>
            </w:r>
            <w:r>
              <w:rPr>
                <w:b/>
                <w:i/>
              </w:rPr>
              <w:t>pakollinen</w:t>
            </w:r>
            <w:r>
              <w:t xml:space="preserve"> julkistaminen;</w:t>
            </w:r>
          </w:p>
        </w:tc>
        <w:tc>
          <w:tcPr>
            <w:tcW w:w="4876" w:type="dxa"/>
            <w:tcBorders>
              <w:top w:val="nil"/>
              <w:left w:val="nil"/>
              <w:bottom w:val="nil"/>
              <w:right w:val="nil"/>
            </w:tcBorders>
          </w:tcPr>
          <w:p>
            <w:pPr>
              <w:pStyle w:val="Normal6a"/>
            </w:pPr>
            <w:r>
              <w:t>51.</w:t>
            </w:r>
            <w:r>
              <w:tab/>
            </w:r>
            <w:r>
              <w:t xml:space="preserve">panee merkille, että pääsihteeristö julkaisee unionin virkamiehiin sovellettavien henkilöstösääntöjen 16 artiklan kolmannen ja neljännen kohdan mukaisesti vuosittain kertomuksen, joka sisältää tietoja sihteeristön entisten korkeiden virkamiesten ammatillisesta toiminnasta palvelussuhteen päätyttyä; panee merkille, että vuotta 2024 koskevan kertomuksen mukaan yksi entinen korkea virkamies ilmoitti aikomuksestaan harjoittaa ammatillista toimintaa yli 12 kuukautta sihteeristöstä lähtönsä jälkeen; panee merkille, että pariteettikomiteaa kuultiin ennen päätöksen tekemistä tässä asiassa; pitää valitettavana, että neuvoston verkkosivustolla ei ole tietoa siitä, myönnettiinkö lupa pyydetyn toiminnan harjoittamiseen vai ei; kehottaa jälleen neuvostoa laatimaan korkeille virkamiehille </w:t>
            </w:r>
            <w:r>
              <w:rPr>
                <w:b/>
                <w:i/>
              </w:rPr>
              <w:t>selkeät, oikeasuhteiset ja täytäntöönpanokelpoiset</w:t>
            </w:r>
            <w:r>
              <w:t xml:space="preserve"> työsuhteen päättymisen jälkeen sovellettavat säännöt, </w:t>
            </w:r>
            <w:r>
              <w:rPr>
                <w:b/>
                <w:i/>
              </w:rPr>
              <w:t>jotka perustuvat nykyiseen oikeudelliseen kehykseen, ja varmistamaan asianmukaisen avoimuuden,</w:t>
            </w:r>
            <w:r>
              <w:t xml:space="preserve"> mukaan lukien </w:t>
            </w:r>
            <w:r>
              <w:rPr>
                <w:b/>
                <w:i/>
              </w:rPr>
              <w:t>tarvittaessa</w:t>
            </w:r>
            <w:r>
              <w:t xml:space="preserve"> yksityisen sektorin sidonnaisuuksien julkistaminen</w:t>
            </w:r>
            <w:r>
              <w:rPr>
                <w:b/>
                <w:i/>
              </w:rPr>
              <w:t>, perusoikeuksia ja suhteellisuusperiaatteita kaikilta osin kunnioittaen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 a.</w:t>
            </w:r>
            <w:r>
              <w:tab/>
            </w:r>
            <w:r>
              <w:rPr>
                <w:b/>
                <w:i/>
              </w:rPr>
              <w:t>muistuttaa, että jäsenvaltioiden, myös niiden pysyvien edustustojen, harjoittama diplomaattinen toiminta on perussopimusten ja kansainvälisen oikeuden mukaista julkisen vallan käyttöä ja valtioiden välisten suhteiden harjoittamista;</w:t>
            </w:r>
            <w:r>
              <w:t xml:space="preserve"> </w:t>
            </w:r>
            <w:r>
              <w:rPr>
                <w:b/>
                <w:i/>
              </w:rPr>
              <w:t>korostaa, että avoimuusvaatimuksia on sovellettava oikeasuhteisesti ja kunnioittaen kaikilta osin perussopimusten mukaisia jäsenvaltioiden institutionaalisia tehtäviä, suvereeneja oikeuksia ja vastuita;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rPr>
                <w:b/>
                <w:i/>
              </w:rPr>
              <w:t>pitää valitettavana</w:t>
            </w:r>
            <w:r>
              <w:t xml:space="preserve">, että jäsenvaltioiden pysyvien edustajien osallistuminen parlamentin, neuvoston ja komission 20. toukokuuta 2021 tekemällä toimielinten välisellä sopimuksella perustamaan pakolliseen avoimuusrekisteriin on täysin vapaaehtoista, sillä ehdollisuusperiaatteen soveltaminen on jätetty kunkin jäsenvaltion pysyvän edustuston päätettäväksi; panee merkille, että vain pieni määrä jäsenvaltiota ja unionin toimielimiä noudattaa </w:t>
            </w:r>
            <w:r>
              <w:rPr>
                <w:b/>
                <w:i/>
              </w:rPr>
              <w:t>parasta</w:t>
            </w:r>
            <w:r>
              <w:t xml:space="preserve"> käytäntöä soveltaa sääntelykehyksessään edunvalvojan pakollista laajaa määritelmää</w:t>
            </w:r>
            <w:r>
              <w:rPr>
                <w:b/>
                <w:i/>
              </w:rPr>
              <w:t>, ja painottaa, että kaikkien pysyvien edustustojen olisi osallistuttava pakolliseen avoimuusrekisteriin aktiivisesti ennen jäsenvaltionsa neuvoston puheenjohtajakauden alkamista, sen aikana ja sen päätyttyä</w:t>
            </w:r>
            <w:r>
              <w:t xml:space="preserve">; muistuttaa parlamentin kannasta, jonka mukaan jäsenvaltioiden edustajien, jotka hyötyvät omistamiensa yritysten kautta suoraan unionin tuista, ei saisi antaa osallistua kyseisiin tukiin liittyvää toimintapolitiikkaa tai rahoitusta koskeviin keskusteluihin ja äänestyksiin; </w:t>
            </w:r>
            <w:r>
              <w:rPr>
                <w:b/>
                <w:i/>
              </w:rPr>
              <w:t>pitää valitettavana, että neuvosto ei käytä täysimittaisesti pakollista avoimuusrekisteriä eikä hyväksy ehdotuksia sen parantamiseksi;</w:t>
            </w:r>
            <w:r>
              <w:t xml:space="preserve"> </w:t>
            </w:r>
            <w:r>
              <w:rPr>
                <w:b/>
                <w:i/>
              </w:rPr>
              <w:t>kehottaa jälleen kerran neuvostoa kieltäytymään tapaamisista rekisteröimättömien edunvalvojien kanssa ja varmistamaan, että sen korkeat virkamiehet, myös pysyvät edustajat ja edustustojen päälliköt, julkistavat tapaamisensa eturyhmien ja edunvalvojien kanssa standardoidussa avoimuusrekisterissä samaan tapaan kuin parlamentin ja komission jäsenille asetetut velvoitteet edellyttävät;</w:t>
            </w:r>
          </w:p>
        </w:tc>
        <w:tc>
          <w:tcPr>
            <w:tcW w:w="4876" w:type="dxa"/>
            <w:tcBorders>
              <w:top w:val="nil"/>
              <w:left w:val="nil"/>
              <w:bottom w:val="nil"/>
              <w:right w:val="nil"/>
            </w:tcBorders>
          </w:tcPr>
          <w:p>
            <w:pPr>
              <w:pStyle w:val="Normal6a"/>
            </w:pPr>
            <w:r>
              <w:t>52.</w:t>
            </w:r>
            <w:r>
              <w:tab/>
            </w:r>
            <w:r>
              <w:rPr>
                <w:b/>
                <w:i/>
              </w:rPr>
              <w:t>toteaa</w:t>
            </w:r>
            <w:r>
              <w:t>, että jäsenvaltioiden pysyvien edustajien osallistuminen parlamentin, neuvoston ja komission 20. toukokuuta 2021 tekemällä toimielinten välisellä sopimuksella perustamaan pakolliseen avoimuusrekisteriin on täysin vapaaehtoista, sillä ehdollisuusperiaatteen soveltaminen on jätetty kunkin jäsenvaltion pysyvän edustuston päätettäväksi; panee merkille, että vain pieni määrä jäsenvaltiota ja unionin toimielimiä noudattaa käytäntöä soveltaa sääntelykehyksessään edunvalvojan pakollista laajaa määritelmää; muistuttaa parlamentin kannasta, jonka mukaan jäsenvaltioiden edustajien, jotka hyötyvät omistamiensa yritysten kautta suoraan unionin tuista, ei saisi antaa osallistua kyseisiin tukiin liittyvää toimintapolitiikkaa tai rahoitusta koskeviin keskusteluihin ja äänestyksiin;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rPr>
                <w:b/>
                <w:i/>
              </w:rPr>
              <w:t>pitää valitettavana</w:t>
            </w:r>
            <w:r>
              <w:t xml:space="preserve">, että jäsenvaltioiden pysyvien edustajien osallistuminen parlamentin, neuvoston ja komission 20. toukokuuta 2021 tekemällä toimielinten välisellä sopimuksella perustamaan pakolliseen avoimuusrekisteriin on täysin vapaaehtoista, sillä ehdollisuusperiaatteen soveltaminen on jätetty kunkin jäsenvaltion pysyvän edustuston päätettäväksi; panee merkille, että vain pieni määrä jäsenvaltiota ja unionin toimielimiä noudattaa parasta käytäntöä soveltaa sääntelykehyksessään edunvalvojan pakollista laajaa määritelmää, ja </w:t>
            </w:r>
            <w:r>
              <w:rPr>
                <w:b/>
                <w:i/>
              </w:rPr>
              <w:t>painottaa</w:t>
            </w:r>
            <w:r>
              <w:t xml:space="preserve">, että kaikkien pysyvien edustustojen olisi osallistuttava pakolliseen avoimuusrekisteriin aktiivisesti ennen jäsenvaltionsa neuvoston puheenjohtajakauden alkamista, sen aikana ja sen päätyttyä; muistuttaa parlamentin kannasta, jonka mukaan jäsenvaltioiden edustajien, jotka hyötyvät omistamiensa yritysten kautta suoraan unionin tuista, ei saisi antaa osallistua kyseisiin tukiin liittyvää toimintapolitiikkaa tai rahoitusta koskeviin keskusteluihin ja äänestyksiin; </w:t>
            </w:r>
            <w:r>
              <w:rPr>
                <w:b/>
                <w:i/>
              </w:rPr>
              <w:t>pitää valitettavana</w:t>
            </w:r>
            <w:r>
              <w:t>, että neuvosto ei käytä täysimittaisesti pakollista avoimuusrekisteriä eikä hyväksy ehdotuksia sen parantamiseksi; kehottaa jälleen kerran neuvostoa kieltäytymään tapaamisista rekisteröimättömien edunvalvojien kanssa ja varmistamaan, että sen korkeat virkamiehet, myös pysyvät edustajat ja edustustojen päälliköt, julkistavat tapaamisensa eturyhmien ja edunvalvojien kanssa standardoidussa avoimuusrekisterissä samaan tapaan kuin parlamentin ja komission jäsenille asetetut velvoitteet edellyttävät;</w:t>
            </w:r>
          </w:p>
        </w:tc>
        <w:tc>
          <w:tcPr>
            <w:tcW w:w="4876" w:type="dxa"/>
            <w:tcBorders>
              <w:top w:val="nil"/>
              <w:left w:val="nil"/>
              <w:bottom w:val="nil"/>
              <w:right w:val="nil"/>
            </w:tcBorders>
          </w:tcPr>
          <w:p>
            <w:pPr>
              <w:pStyle w:val="Normal6a"/>
            </w:pPr>
            <w:r>
              <w:t>52.</w:t>
            </w:r>
            <w:r>
              <w:tab/>
            </w:r>
            <w:r>
              <w:rPr>
                <w:b/>
                <w:i/>
              </w:rPr>
              <w:t>toteaa</w:t>
            </w:r>
            <w:r>
              <w:t xml:space="preserve">, että jäsenvaltioiden pysyvien edustajien osallistuminen parlamentin, neuvoston ja komission 20. toukokuuta 2021 tekemällä toimielinten välisellä sopimuksella perustamaan pakolliseen avoimuusrekisteriin on täysin vapaaehtoista, sillä ehdollisuusperiaatteen soveltaminen on jätetty kunkin jäsenvaltion pysyvän edustuston päätettäväksi; panee merkille, että vain pieni määrä jäsenvaltiota ja unionin toimielimiä noudattaa parasta käytäntöä soveltaa sääntelykehyksessään edunvalvojan pakollista laajaa määritelmää, ja </w:t>
            </w:r>
            <w:r>
              <w:rPr>
                <w:b/>
                <w:i/>
              </w:rPr>
              <w:t>katsoo</w:t>
            </w:r>
            <w:r>
              <w:t xml:space="preserve">, että kaikkien pysyvien edustustojen olisi osallistuttava pakolliseen avoimuusrekisteriin aktiivisesti ennen jäsenvaltionsa neuvoston puheenjohtajakauden alkamista, sen aikana ja sen päätyttyä; muistuttaa parlamentin kannasta, jonka mukaan jäsenvaltioiden edustajien, jotka hyötyvät omistamiensa yritysten kautta suoraan unionin tuista, ei saisi antaa osallistua kyseisiin tukiin liittyvää toimintapolitiikkaa tai rahoitusta koskeviin keskusteluihin ja äänestyksiin; </w:t>
            </w:r>
            <w:r>
              <w:rPr>
                <w:b/>
                <w:i/>
              </w:rPr>
              <w:t>panee merkille</w:t>
            </w:r>
            <w:r>
              <w:t>, että neuvosto ei käytä täysimittaisesti pakollista avoimuusrekisteriä eikä hyväksy ehdotuksia sen parantamiseksi; kehottaa jälleen kerran neuvostoa kieltäytymään tapaamisista rekisteröimättömien edunvalvojien kanssa ja varmistamaan, että sen korkeat virkamiehet, myös pysyvät edustajat ja edustustojen päälliköt, julkistavat tapaamisensa eturyhmien ja edunvalvojien kanssa standardoidussa avoimuusrekisterissä samaan tapaan kuin parlamentin ja komission jäsenille asetetut velvoitteet edellyttävät;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 a.</w:t>
            </w:r>
            <w:r>
              <w:tab/>
            </w:r>
            <w:r>
              <w:rPr>
                <w:b/>
                <w:i/>
              </w:rPr>
              <w:t>ilmaisee syvän huolensa tutkintatuloksista, joiden mukaan Unkarin hallitus väitetysti hallinnoi useiden vuosien ajan sen pysyvästä EU-edustustosta käsin salaista tiedusteluverkostoa, johon liittyi järjestelmällisiä vakoilua ja EU:n virkamiehiin kohdistuneita rekrytointiyrityksiä ;</w:t>
            </w:r>
            <w:r>
              <w:t xml:space="preserve"> </w:t>
            </w:r>
            <w:r>
              <w:rPr>
                <w:b/>
                <w:i/>
              </w:rPr>
              <w:t>panee merkille, että tietojen mukaan nämä toimet toteutettiin silloisen pysyvän edustuston päällikön, nykyisen komission jäsenen Olivér Várhelyin, poliittisen vastuun alaisuudessa;</w:t>
            </w:r>
            <w:r>
              <w:t xml:space="preserve"> </w:t>
            </w:r>
            <w:r>
              <w:rPr>
                <w:b/>
                <w:i/>
              </w:rPr>
              <w:t>korostaa, että tällainen toiminta on vakava rikkomus vastoin jäsenvaltioiden keskinäistä luottamusta ja vilpitöntä yhteistyötä ja esimerkki valtioiden harjoittamasta laajemmasta valvontavaltuuksien väärinkäytöstä;</w:t>
            </w:r>
            <w:r>
              <w:t xml:space="preserve"> </w:t>
            </w:r>
            <w:r>
              <w:rPr>
                <w:b/>
                <w:i/>
              </w:rPr>
              <w:t>kehottaa neuvostoa varmistamaan täyden vastuuvelvollisuuden, kun kyse on diplomaattiaseman tarjoaman suojan väärinkäytöstä tiedustelu- tai vaikuttamistarkoituksiin, ja vahvistamaan suojatoimia, joilla estetään jäsenvaltioita käyttämästä pysyvää edustustoaan tai neuvoston puheenjohtajuutta toimintaan, joka on ristiriidassa unionin edun, oikeusvaltioperiaatteen ja SEU-sopimuksen 2 artiklassa vahvistettujen arvojen kanssa;</w:t>
            </w:r>
            <w:r>
              <w:t xml:space="preserve"> </w:t>
            </w:r>
            <w:r>
              <w:rPr>
                <w:b/>
                <w:i/>
              </w:rPr>
              <w:t>vaatii, että jäsenvaltioiden on pidättäydyttävä käyttämästä pysyviä edustustojaan ja neuvoston puheenjohtajuutta puoluepoliittisiin tai tiedustelutarkoituksiin, jotka ovat unionin periaatteiden ja institutionaalisen koskemattomuuden vastaisia;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panee merkille, että Euroopan oikeusasiamies käynnisti vuonna 2023 uuden oma-aloitteisen tutkimuksen siitä, miten neuvosto käsittelee lainsäädäntöasiakirjoihin tutustumista koskevia pyyntöjä, ja sai sen päätökseen vuonna 2024; panee merkille kyseisen tutkimuksen päätelmät, joissa todettiin, että neuvosto käytti meneillään olevien päätöksentekoprosessien suojaa perusteena evätä oikeus tutustua asiakirjoihin vedoten epämääräisiin, abstrakteihin ja perusteettomiin syihin; muistuttaa, että Euroopan unionin tuomioistuin hylkäsi väitteet, jotka koskivat muun muassa tarvetta välttää ulkoista painostusta tai julkisia väärintulkintoja tai tarvetta suojella oikeudellista neuvonantoa; on tästä syystä huolissaan siitä, että neuvosto ei noudata unionin oikeuskäytäntöä; pyytää neuvostoa korjaamaan nämä puutteet julkistamalla viipymättä lainsäädäntöasiakirjat, vaikka julkistaminen aiheuttaisi ulkoista painetta, koska se on osa kaikkia demokraattisia lainsäädäntöprosesseja, ja epäämään oikeuden tutustua lainsäädäntöasiakirjoihin vain todella poikkeuksellisissa olosuhteissa;</w:t>
            </w:r>
          </w:p>
        </w:tc>
        <w:tc>
          <w:tcPr>
            <w:tcW w:w="4876" w:type="dxa"/>
            <w:tcBorders>
              <w:top w:val="nil"/>
              <w:left w:val="nil"/>
              <w:bottom w:val="nil"/>
              <w:right w:val="nil"/>
            </w:tcBorders>
          </w:tcPr>
          <w:p>
            <w:pPr>
              <w:pStyle w:val="Normal6a"/>
            </w:pPr>
            <w:r>
              <w:t>54.</w:t>
            </w:r>
            <w:r>
              <w:tab/>
            </w:r>
            <w:r>
              <w:t xml:space="preserve">panee merkille, että Euroopan oikeusasiamies käynnisti vuonna 2023 uuden oma-aloitteisen tutkimuksen siitä, miten neuvosto käsittelee lainsäädäntöasiakirjoihin tutustumista koskevia pyyntöjä, ja sai sen päätökseen vuonna 2024; panee merkille kyseisen tutkimuksen päätelmät, joissa todettiin, että neuvosto käytti meneillään olevien päätöksentekoprosessien suojaa perusteena evätä oikeus tutustua asiakirjoihin vedoten epämääräisiin, abstrakteihin ja perusteettomiin syihin; muistuttaa, että Euroopan unionin tuomioistuin hylkäsi väitteet, jotka koskivat muun muassa tarvetta välttää ulkoista painostusta tai julkisia väärintulkintoja tai tarvetta suojella oikeudellista neuvonantoa; on tästä syystä huolissaan siitä, että neuvosto ei noudata unionin oikeuskäytäntöä; pyytää neuvostoa korjaamaan nämä puutteet julkistamalla viipymättä lainsäädäntöasiakirjat, vaikka julkistaminen aiheuttaisi ulkoista painetta, koska se on osa kaikkia demokraattisia lainsäädäntöprosesseja, ja epäämään oikeuden tutustua lainsäädäntöasiakirjoihin vain todella poikkeuksellisissa olosuhteissa; </w:t>
            </w:r>
            <w:r>
              <w:rPr>
                <w:b/>
                <w:i/>
              </w:rPr>
              <w:t>kehottaa neuvostoa panemaan viipymättä täytäntöön oikeusasiamiehen päätelmät ja noudattamaan asiaa koskevaa oikeuskäytäntöä varmistamalla, että epäämiset ”käynnissä olevan päätöksenteon suojelemisen” nojalla ovat tiukasti perusteltuja tapauskohtaisesti, ne perustellaan konkreettisesti ja niihin sovelletaan perusteellista sisäistä uudelleentarkastelua;</w:t>
            </w:r>
            <w:r>
              <w:t xml:space="preserve"> </w:t>
            </w:r>
            <w:r>
              <w:rPr>
                <w:b/>
                <w:i/>
              </w:rPr>
              <w:t>kehottaa oletusarvoisesti julkaisemaan ennakoivasti keskeiset lainsäädäntöasiakirjat (mukaan lukien työryhmän asiakirjat ja neuvottelukannat) ja raportoimaan käytetyistä epäämisperusteista julkisesti vuosittain;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 xml:space="preserve">panee merkille, että sihteeristö jatkoi vuonna </w:t>
            </w:r>
            <w:r>
              <w:rPr>
                <w:b/>
                <w:i/>
              </w:rPr>
              <w:t>2023</w:t>
            </w:r>
            <w:r>
              <w:t xml:space="preserve"> työtä digitalisaatiota koskevan tavoitteensa saavuttamiseksi vuosien 2022–2025 digitaalistrategian painopisteidensä mukaisesti; panee merkille, että vuoden 2024 työsuunnitelman 103:sta tietotekniikkaan liittyvästä hankkeesta 11 prosenttia saatiin päätökseen vuoden lopussa, kolme prosenttia sen sijaan peruutettiin tai yhdistettiin ja suurin osa hankkeista (62 prosenttia) on edelleen käynnissä;</w:t>
            </w:r>
          </w:p>
        </w:tc>
        <w:tc>
          <w:tcPr>
            <w:tcW w:w="4876" w:type="dxa"/>
            <w:tcBorders>
              <w:top w:val="nil"/>
              <w:left w:val="nil"/>
              <w:bottom w:val="nil"/>
              <w:right w:val="nil"/>
            </w:tcBorders>
          </w:tcPr>
          <w:p>
            <w:pPr>
              <w:pStyle w:val="Normal6a"/>
            </w:pPr>
            <w:r>
              <w:t>59.</w:t>
            </w:r>
            <w:r>
              <w:tab/>
            </w:r>
            <w:r>
              <w:t xml:space="preserve">panee merkille, että sihteeristö jatkoi vuonna </w:t>
            </w:r>
            <w:r>
              <w:rPr>
                <w:b/>
                <w:i/>
              </w:rPr>
              <w:t>2024</w:t>
            </w:r>
            <w:r>
              <w:t xml:space="preserve"> työtä digitalisaatiota koskevan tavoitteensa saavuttamiseksi vuosien 2022–2025 digitaalistrategian painopisteidensä mukaisesti; panee merkille, että vuoden 2024 työsuunnitelman 103:sta tietotekniikkaan liittyvästä hankkeesta 11 prosenttia saatiin päätökseen vuoden lopussa, kolme prosenttia sen sijaan peruutettiin tai yhdistettiin ja suurin osa hankkeista (62 prosenttia) on edelleen käynnissä;</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panee merkille, että sihteeristö kokeili erilaisia tekoälyyn perustuvia välineitä vastatakseen henkilöstösääntöjä koskeviin kysymyksiin, laatiakseen oppimateriaaleja (jäsenneltyä sisältöä, tapaustutkimuksia, tietovisoja ja videoita tietyn kehotteen pohjalta) tai auttaakseen johtajia ansioluetteloiden tarkastelussa;</w:t>
            </w:r>
          </w:p>
        </w:tc>
        <w:tc>
          <w:tcPr>
            <w:tcW w:w="4876" w:type="dxa"/>
            <w:tcBorders>
              <w:top w:val="nil"/>
              <w:left w:val="nil"/>
              <w:bottom w:val="nil"/>
              <w:right w:val="nil"/>
            </w:tcBorders>
          </w:tcPr>
          <w:p>
            <w:pPr>
              <w:pStyle w:val="Normal6a"/>
            </w:pPr>
            <w:r>
              <w:t>63.</w:t>
            </w:r>
            <w:r>
              <w:tab/>
            </w:r>
            <w:r>
              <w:t xml:space="preserve">panee merkille, että sihteeristö kokeili erilaisia tekoälyyn perustuvia välineitä vastatakseen henkilöstösääntöjä koskeviin kysymyksiin, laatiakseen oppimateriaaleja (jäsenneltyä sisältöä, tapaustutkimuksia, tietovisoja ja videoita tietyn kehotteen pohjalta) tai auttaakseen johtajia ansioluetteloiden tarkastelussa; </w:t>
            </w:r>
            <w:r>
              <w:rPr>
                <w:b/>
                <w:i/>
              </w:rPr>
              <w:t>korostaa, että tekoälyn käytössä on noudatettava tiukkoja periaatteita, jotka koskevat eettistä käyttöä, avoimuutta, tietosuojaa, ihmisen suorittamaa valvontaa ja algoritmien vinoumilta ja väärinkäytöltä suojautumista;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66.</w:t>
            </w:r>
            <w:r>
              <w:tab/>
            </w:r>
            <w:r>
              <w:t xml:space="preserve">panee merkille vuonna 2024 </w:t>
            </w:r>
            <w:r>
              <w:rPr>
                <w:b/>
                <w:i/>
              </w:rPr>
              <w:t>toteutetut keskeiset hankkeet</w:t>
            </w:r>
            <w:r>
              <w:t xml:space="preserve">, kuten neuvoston kokoushuoneiden </w:t>
            </w:r>
            <w:r>
              <w:rPr>
                <w:b/>
                <w:i/>
              </w:rPr>
              <w:t>peruskorjauksen, mukaan lukien</w:t>
            </w:r>
            <w:r>
              <w:t xml:space="preserve"> uudet kalusteet, toimistokäytävät ja Justus Lipsius -rakennuksen </w:t>
            </w:r>
            <w:r>
              <w:rPr>
                <w:b/>
                <w:i/>
              </w:rPr>
              <w:t>akkreditointitiski</w:t>
            </w:r>
            <w:r>
              <w:t>;</w:t>
            </w:r>
          </w:p>
        </w:tc>
        <w:tc>
          <w:tcPr>
            <w:tcW w:w="4876" w:type="dxa"/>
            <w:tcBorders>
              <w:top w:val="nil"/>
              <w:left w:val="nil"/>
              <w:bottom w:val="nil"/>
              <w:right w:val="nil"/>
            </w:tcBorders>
          </w:tcPr>
          <w:p>
            <w:pPr>
              <w:pStyle w:val="Normal6a"/>
            </w:pPr>
            <w:r>
              <w:t>66.</w:t>
            </w:r>
            <w:r>
              <w:tab/>
            </w:r>
            <w:r>
              <w:t>panee merkille</w:t>
            </w:r>
            <w:r>
              <w:rPr>
                <w:b/>
                <w:i/>
              </w:rPr>
              <w:t>, että</w:t>
            </w:r>
            <w:r>
              <w:t xml:space="preserve"> vuonna 2024 </w:t>
            </w:r>
            <w:r>
              <w:rPr>
                <w:b/>
                <w:i/>
              </w:rPr>
              <w:t>toteutettiin keskeisiä hankkeita</w:t>
            </w:r>
            <w:r>
              <w:t xml:space="preserve">, kuten neuvoston kokoushuoneiden </w:t>
            </w:r>
            <w:r>
              <w:rPr>
                <w:b/>
                <w:i/>
              </w:rPr>
              <w:t>peruskorjaus, joka kattoi myös</w:t>
            </w:r>
            <w:r>
              <w:t xml:space="preserve"> uudet kalusteet, toimistokäytävät ja Justus Lipsius -rakennuksen </w:t>
            </w:r>
            <w:r>
              <w:rPr>
                <w:b/>
                <w:i/>
              </w:rPr>
              <w:t>akkreditointitiskin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68.</w:t>
            </w:r>
            <w:r>
              <w:tab/>
            </w:r>
            <w:r>
              <w:t xml:space="preserve">panee merkille, että budjettikohtaa 2011 ”Vesi, kaasu, sähkö ja lämmitys” kasvatettiin 33 prosenttia vuonna </w:t>
            </w:r>
            <w:r>
              <w:rPr>
                <w:b/>
                <w:i/>
              </w:rPr>
              <w:t>2023</w:t>
            </w:r>
            <w:r>
              <w:t xml:space="preserve"> tehdyllä määrärahojen siirrolla; panee merkille, että sihteeristö pienensi edelleen energiankulutustaan muun muassa vähentämällä rakennusten lämmitystä ja vaihtamalla Justus Lipsiuksen lämmityskattilat;</w:t>
            </w:r>
          </w:p>
        </w:tc>
        <w:tc>
          <w:tcPr>
            <w:tcW w:w="4876" w:type="dxa"/>
            <w:tcBorders>
              <w:top w:val="nil"/>
              <w:left w:val="nil"/>
              <w:bottom w:val="nil"/>
              <w:right w:val="nil"/>
            </w:tcBorders>
          </w:tcPr>
          <w:p>
            <w:pPr>
              <w:pStyle w:val="Normal6a"/>
            </w:pPr>
            <w:r>
              <w:t>68.</w:t>
            </w:r>
            <w:r>
              <w:tab/>
            </w:r>
            <w:r>
              <w:t xml:space="preserve">panee merkille, että budjettikohtaa 2011 ”Vesi, kaasu, sähkö ja lämmitys” kasvatettiin 33 prosenttia vuonna </w:t>
            </w:r>
            <w:r>
              <w:rPr>
                <w:b/>
                <w:i/>
              </w:rPr>
              <w:t>2024</w:t>
            </w:r>
            <w:r>
              <w:t xml:space="preserve"> tehdyllä määrärahojen siirrolla; panee merkille, että sihteeristö pienensi edelleen energiankulutustaan muun muassa vähentämällä rakennusten lämmitystä ja vaihtamalla Justus Lipsiuksen lämmityskattilat;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69.</w:t>
            </w:r>
            <w:r>
              <w:tab/>
            </w:r>
            <w:r>
              <w:rPr>
                <w:b/>
                <w:i/>
              </w:rPr>
              <w:t>panee merkille, että vuonna 2023 toteutettiin tärkeitä hankkeita, kuten joidenkin LEX- ja Justus Lipsius -rakennuksen kokoushuoneiden peruskorjaus, viimeksi mainitun rakennuksen toimistokäytävien jatkuva peruskorjaus, neuvoston pääsihteeristön tiloissa sijaitsevien polkupyörien säilytystilojen/infrastruktuurin parantaminen ja Justus Lipsiuksen vastaanottotiskien nykyaikaistaminen;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69.</w:t>
            </w:r>
            <w:r>
              <w:tab/>
            </w:r>
            <w:r>
              <w:t xml:space="preserve">panee merkille, että vuonna </w:t>
            </w:r>
            <w:r>
              <w:rPr>
                <w:b/>
                <w:i/>
              </w:rPr>
              <w:t>2023</w:t>
            </w:r>
            <w:r>
              <w:t xml:space="preserve"> toteutettiin tärkeitä hankkeita, kuten joidenkin LEX- ja Justus Lipsius -rakennuksen kokoushuoneiden peruskorjaus, viimeksi mainitun rakennuksen toimistokäytävien jatkuva peruskorjaus, neuvoston pääsihteeristön tiloissa sijaitsevien polkupyörien säilytystilojen/infrastruktuurin parantaminen ja Justus Lipsiuksen vastaanottotiskien nykyaikaistaminen;</w:t>
            </w:r>
          </w:p>
        </w:tc>
        <w:tc>
          <w:tcPr>
            <w:tcW w:w="4876" w:type="dxa"/>
            <w:tcBorders>
              <w:top w:val="nil"/>
              <w:left w:val="nil"/>
              <w:bottom w:val="nil"/>
              <w:right w:val="nil"/>
            </w:tcBorders>
          </w:tcPr>
          <w:p>
            <w:pPr>
              <w:pStyle w:val="Normal6a"/>
            </w:pPr>
            <w:r>
              <w:t>69.</w:t>
            </w:r>
            <w:r>
              <w:tab/>
            </w:r>
            <w:r>
              <w:t xml:space="preserve">panee merkille, että vuonna </w:t>
            </w:r>
            <w:r>
              <w:rPr>
                <w:b/>
                <w:i/>
              </w:rPr>
              <w:t>2024</w:t>
            </w:r>
            <w:r>
              <w:t xml:space="preserve"> toteutettiin tärkeitä hankkeita, kuten joidenkin LEX- ja Justus Lipsius -rakennuksen kokoushuoneiden peruskorjaus, viimeksi mainitun rakennuksen toimistokäytävien jatkuva peruskorjaus, neuvoston pääsihteeristön tiloissa sijaitsevien polkupyörien säilytystilojen/infrastruktuurin parantaminen ja Justus Lipsiuksen vastaanottotiskien nykyaikaistaminen;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pitää valitettavana, ettei neuvosto ole edelleenkään pannut täytäntöön yksinkertaistettua akkreditointimenettelyä helpottaakseen unionin muiden toimielinten henkilöstön jäsenten pääsyä neuvoston tiloihin;</w:t>
            </w:r>
          </w:p>
        </w:tc>
        <w:tc>
          <w:tcPr>
            <w:tcW w:w="4876" w:type="dxa"/>
            <w:tcBorders>
              <w:top w:val="nil"/>
              <w:left w:val="nil"/>
              <w:bottom w:val="nil"/>
              <w:right w:val="nil"/>
            </w:tcBorders>
          </w:tcPr>
          <w:p>
            <w:pPr>
              <w:pStyle w:val="Normal6a"/>
            </w:pPr>
            <w:r>
              <w:t>70.</w:t>
            </w:r>
            <w:r>
              <w:tab/>
            </w:r>
            <w:r>
              <w:t xml:space="preserve">pitää valitettavana, ettei neuvosto ole edelleenkään pannut täytäntöön yksinkertaistettua akkreditointimenettelyä helpottaakseen unionin muiden toimielinten henkilöstön jäsenten pääsyä neuvoston tiloihin; </w:t>
            </w:r>
            <w:r>
              <w:rPr>
                <w:b/>
                <w:i/>
              </w:rPr>
              <w:t>kehottaa neuvostoa ottamaan tällaisen menettelyn käyttöön viipymättä toimielinten välisen yhteistyön hengen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pitää valitettavana, ettei neuvosto ole edelleenkään pannut täytäntöön yksinkertaistettua akkreditointimenettelyä helpottaakseen unionin muiden toimielinten henkilöstön jäsenten pääsyä neuvoston tiloihin;</w:t>
            </w:r>
          </w:p>
        </w:tc>
        <w:tc>
          <w:tcPr>
            <w:tcW w:w="4876" w:type="dxa"/>
            <w:tcBorders>
              <w:top w:val="nil"/>
              <w:left w:val="nil"/>
              <w:bottom w:val="nil"/>
              <w:right w:val="nil"/>
            </w:tcBorders>
          </w:tcPr>
          <w:p>
            <w:pPr>
              <w:pStyle w:val="Normal6a"/>
            </w:pPr>
            <w:r>
              <w:t>70.</w:t>
            </w:r>
            <w:r>
              <w:tab/>
            </w:r>
            <w:r>
              <w:t xml:space="preserve">pitää valitettavana, ettei neuvosto ole edelleenkään pannut täytäntöön yksinkertaistettua akkreditointimenettelyä helpottaakseen unionin muiden toimielinten henkilöstön jäsenten pääsyä neuvoston tiloihin; </w:t>
            </w:r>
            <w:r>
              <w:rPr>
                <w:b/>
                <w:i/>
              </w:rPr>
              <w:t>kehottaa neuvostoa hyväksymään nopeasti tällaisen mekanismin ja soveltamaan sitä;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t>korostaa tarvetta tarkistaa SEUT-sopimuksen 319 artiklaa osana kyseisen perussopimuksen muuttamista, jotta voidaan määrätä nimenomaisesti, että parlamentti myöntää vastuuvapauden paitsi komissiolle myös muille unionin toimielimille, elimille, toimistoille ja virastoille niiden talousarvion pääluokkien tai niiden talousarvioiden toteuttamisesta; kehottaa neuvostoa ratkaisemaan toimielinten välisen konfliktin ja jatkamaan keskusteluja parlamentin kanssa yhteisymmärryksen saavuttamiseksi vastuuvapausmenettelyn sujuvasta jatkamisesta;</w:t>
            </w:r>
          </w:p>
        </w:tc>
        <w:tc>
          <w:tcPr>
            <w:tcW w:w="4876" w:type="dxa"/>
            <w:tcBorders>
              <w:top w:val="nil"/>
              <w:left w:val="nil"/>
              <w:bottom w:val="nil"/>
              <w:right w:val="nil"/>
            </w:tcBorders>
          </w:tcPr>
          <w:p>
            <w:pPr>
              <w:pStyle w:val="Normal6a"/>
            </w:pPr>
            <w:r>
              <w:t>76.</w:t>
            </w:r>
            <w:r>
              <w:tab/>
            </w:r>
            <w:r>
              <w:t xml:space="preserve">korostaa tarvetta tarkistaa SEUT-sopimuksen 319 artiklaa osana kyseisen perussopimuksen muuttamista, jotta voidaan määrätä nimenomaisesti, että parlamentti myöntää vastuuvapauden paitsi komissiolle myös muille unionin toimielimille, elimille, toimistoille ja virastoille niiden talousarvion pääluokkien tai niiden talousarvioiden toteuttamisesta </w:t>
            </w:r>
            <w:r>
              <w:rPr>
                <w:b/>
                <w:i/>
              </w:rPr>
              <w:t>yhdenvertaisen kohtelun varmistamiseksi unionin toimielinten välillä</w:t>
            </w:r>
            <w:r>
              <w:t xml:space="preserve">; kehottaa neuvostoa ratkaisemaan toimielinten välisen konfliktin ja jatkamaan keskusteluja parlamentin kanssa yhteisymmärryksen saavuttamiseksi vastuuvapausmenettelyn sujuvasta </w:t>
            </w:r>
            <w:r>
              <w:rPr>
                <w:b/>
                <w:i/>
              </w:rPr>
              <w:t>ja perussopimusten mukaisesta</w:t>
            </w:r>
            <w:r>
              <w:t xml:space="preserve"> jatkamisesta;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t>korostaa tarvetta tarkistaa SEUT-sopimuksen 319 artiklaa osana kyseisen perussopimuksen muuttamista, jotta voidaan määrätä nimenomaisesti, että parlamentti myöntää vastuuvapauden paitsi komissiolle myös muille unionin toimielimille, elimille, toimistoille ja virastoille niiden talousarvion pääluokkien tai niiden talousarvioiden toteuttamisesta; kehottaa neuvostoa ratkaisemaan toimielinten välisen konfliktin ja jatkamaan keskusteluja parlamentin kanssa yhteisymmärryksen saavuttamiseksi vastuuvapausmenettelyn sujuvasta jatkamisesta;</w:t>
            </w:r>
          </w:p>
        </w:tc>
        <w:tc>
          <w:tcPr>
            <w:tcW w:w="4876" w:type="dxa"/>
            <w:tcBorders>
              <w:top w:val="nil"/>
              <w:left w:val="nil"/>
              <w:bottom w:val="nil"/>
              <w:right w:val="nil"/>
            </w:tcBorders>
          </w:tcPr>
          <w:p>
            <w:pPr>
              <w:pStyle w:val="Normal6a"/>
            </w:pPr>
            <w:r>
              <w:t>76.</w:t>
            </w:r>
            <w:r>
              <w:tab/>
            </w:r>
            <w:r>
              <w:t xml:space="preserve">korostaa tarvetta tarkistaa SEUT-sopimuksen 319 artiklaa osana kyseisen perussopimuksen muuttamista, jotta voidaan määrätä nimenomaisesti, että parlamentti myöntää vastuuvapauden paitsi komissiolle myös muille unionin toimielimille, elimille, toimistoille ja virastoille niiden talousarvion pääluokkien tai niiden talousarvioiden toteuttamisesta; kehottaa neuvostoa ratkaisemaan toimielinten välisen konfliktin ja jatkamaan keskusteluja parlamentin kanssa yhteisymmärryksen saavuttamiseksi vastuuvapausmenettelyn sujuvasta jatkamisesta </w:t>
            </w:r>
            <w:r>
              <w:rPr>
                <w:b/>
                <w:i/>
              </w:rPr>
              <w:t>ja kehottaa siirtymään viipymättä sanoista tekoihin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76 a.</w:t>
            </w:r>
            <w:r>
              <w:tab/>
            </w:r>
            <w:r>
              <w:rPr>
                <w:b/>
                <w:i/>
              </w:rPr>
              <w:t>kehottaa neuvostoa aloittamaan neuvottelut korkeimmalla tasolla uudelleen, jotta voidaan päästä umpikujasta, jossa vastuuvapauden osalta on oltu jo pitkään;</w:t>
            </w:r>
            <w:r>
              <w:t xml:space="preserve"> </w:t>
            </w:r>
            <w:r>
              <w:rPr>
                <w:b/>
                <w:i/>
              </w:rPr>
              <w:t>pyytää komissiota ja neuvoston oikeudellista yksikköä antamaan oikeudellisen lausunnon mahdollisista perussopimuksiin perustuvista ratkaisuista neuvoston vastuuvelvollisuuden täytäntöönpanemiseksi vastuuvapausmenettelyssä;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77.</w:t>
            </w:r>
            <w:r>
              <w:tab/>
            </w:r>
            <w:r>
              <w:t xml:space="preserve">panee merkille, että vuonna </w:t>
            </w:r>
            <w:r>
              <w:rPr>
                <w:b/>
                <w:i/>
              </w:rPr>
              <w:t>2023</w:t>
            </w:r>
            <w:r>
              <w:t xml:space="preserve"> neuvoston toteutunut viestinnän kokonaisbudjetti, ottaen huomioon vuoden aikana tehdyt siirrot, oli </w:t>
            </w:r>
            <w:r>
              <w:rPr>
                <w:b/>
                <w:i/>
              </w:rPr>
              <w:t>12 518 610</w:t>
            </w:r>
            <w:r>
              <w:t xml:space="preserve"> euroa eli 5,45 prosenttia enemmän kuin vuoden 2023 talousarviossa;</w:t>
            </w:r>
          </w:p>
        </w:tc>
        <w:tc>
          <w:tcPr>
            <w:tcW w:w="4876" w:type="dxa"/>
            <w:tcBorders>
              <w:top w:val="nil"/>
              <w:left w:val="nil"/>
              <w:bottom w:val="nil"/>
              <w:right w:val="nil"/>
            </w:tcBorders>
          </w:tcPr>
          <w:p>
            <w:pPr>
              <w:pStyle w:val="Normal6a"/>
            </w:pPr>
            <w:r>
              <w:t>77.</w:t>
            </w:r>
            <w:r>
              <w:tab/>
            </w:r>
            <w:r>
              <w:t>panee merkille, että vuonna </w:t>
            </w:r>
            <w:r>
              <w:rPr>
                <w:b/>
                <w:i/>
              </w:rPr>
              <w:t>2024</w:t>
            </w:r>
            <w:r>
              <w:t xml:space="preserve"> neuvoston toteutunut viestinnän kokonaisbudjetti, ottaen huomioon vuoden aikana tehdyt siirrot, oli </w:t>
            </w:r>
            <w:r>
              <w:rPr>
                <w:b/>
                <w:i/>
              </w:rPr>
              <w:t>12 518 610</w:t>
            </w:r>
            <w:r>
              <w:t xml:space="preserve"> euroa eli 5,45 prosenttia enemmän kuin vuoden 2023 talousarviossa;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782.497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40</w:t>
    </w:r>
    <w:r>
      <w:fldChar w:fldCharType="end"/>
    </w:r>
    <w:r>
      <w:t>/</w:t>
    </w:r>
    <w:r>
      <w:fldChar w:fldCharType="begin"/>
    </w:r>
    <w:r>
      <w:instrText xml:space="preserve"> NUMPAGES </w:instrText>
    </w:r>
    <w:r>
      <w:fldChar w:fldCharType="separate"/>
    </w:r>
    <w:r>
      <w:t>40</w:t>
    </w:r>
    <w:r>
      <w:fldChar w:fldCharType="end"/>
    </w:r>
    <w:r>
      <w:tab/>
    </w:r>
    <w:r>
      <w:rPr>
        <w:rStyle w:val="HideTWBExt"/>
      </w:rPr>
      <w:t>&lt;PathFdR&gt;</w:t>
    </w:r>
    <w:r>
      <w:t>AM\1336077FI.docx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AM\1336077FI.docx</w:t>
    </w:r>
    <w:r>
      <w:rPr>
        <w:rStyle w:val="HideTWBExt"/>
      </w:rPr>
      <w:t>&lt;/PathFdR&gt;</w:t>
    </w:r>
    <w:r>
      <w:tab/>
    </w:r>
    <w:r>
      <w:fldChar w:fldCharType="begin"/>
    </w:r>
    <w:r>
      <w:instrText xml:space="preserve"> PAGE </w:instrText>
    </w:r>
    <w:r>
      <w:fldChar w:fldCharType="separate"/>
    </w:r>
    <w:r>
      <w:t>39</w:t>
    </w:r>
    <w:r>
      <w:fldChar w:fldCharType="end"/>
    </w:r>
    <w:r>
      <w:t>/</w:t>
    </w:r>
    <w:r>
      <w:fldChar w:fldCharType="begin"/>
    </w:r>
    <w:r>
      <w:instrText xml:space="preserve"> NUMPAGES </w:instrText>
    </w:r>
    <w:r>
      <w:fldChar w:fldCharType="separate"/>
    </w:r>
    <w:r>
      <w:t>40</w:t>
    </w:r>
    <w:r>
      <w:fldChar w:fldCharType="end"/>
    </w:r>
    <w:r>
      <w:tab/>
    </w:r>
    <w:r>
      <w:t>PE</w:t>
    </w:r>
    <w:r>
      <w:rPr>
        <w:rStyle w:val="HideTWBExt"/>
      </w:rPr>
      <w:t>&lt;NoPE&gt;</w:t>
    </w:r>
    <w:r>
      <w:t>782.497</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AM\1336077FI.docx</w:t>
    </w:r>
    <w:r>
      <w:rPr>
        <w:rStyle w:val="HideTWBExt"/>
      </w:rPr>
      <w:t>&lt;/PathFdR&gt;</w:t>
    </w:r>
    <w:r>
      <w:tab/>
    </w:r>
    <w:r>
      <w:tab/>
    </w:r>
    <w:r>
      <w:t>PE</w:t>
    </w:r>
    <w:r>
      <w:rPr>
        <w:rStyle w:val="HideTWBExt"/>
      </w:rPr>
      <w:t>&lt;NoPE&gt;</w:t>
    </w:r>
    <w:r>
      <w:t>782.497</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40</Pages>
  <Words>7156</Words>
  <Characters>62284</Characters>
  <Application>Microsoft Office Word</Application>
  <DocSecurity>0</DocSecurity>
  <Lines>1</Lines>
  <Paragraphs>541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1336077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373424</vt:lpwstr>
  </property>
  <property fmtid="{D5CDD505-2E9C-101B-9397-08002B2CF9AE}" pid="7" name="dmxml.render.traceId">
    <vt:lpwstr>698c30b023d27b903fa03348a401ce8a</vt:lpwstr>
  </property>
  <property fmtid="{D5CDD505-2E9C-101B-9397-08002B2CF9AE}" pid="8" name="FooterPath">
    <vt:lpwstr>AM\1336077FI.docx</vt:lpwstr>
  </property>
  <property fmtid="{D5CDD505-2E9C-101B-9397-08002B2CF9AE}" pid="9" name="PE Number">
    <vt:lpwstr>782.497</vt:lpwstr>
  </property>
  <property fmtid="{D5CDD505-2E9C-101B-9397-08002B2CF9AE}" pid="10" name="UID">
    <vt:lpwstr>eu.europa.europarl-DIN1-2026-0000015963_02.00-fi-01.00_text-xml</vt:lpwstr>
  </property>
</Properties>
</file>