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Паскуале Тридико</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2024 г.: Общ бюджет на ЕС – Сметна палата</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отбелязва, че бюджетът на Палатата попада в обхвата на функция 7 от МФР „Европейска публична администрация“, която през </w:t>
            </w:r>
            <w:r>
              <w:rPr>
                <w:b/>
                <w:i/>
              </w:rPr>
              <w:t>2023</w:t>
            </w:r>
            <w:r>
              <w:t xml:space="preserve"> г. възлиза на 13,3 милиарда евро (представляващи 6,9% от общия бюджет на Съюза); отбелязва, че бюджетът на Палатата в размер на приблизително 0,2 милиарда евро представлява приблизително 1,5% от общите административни разходи на Съюза;</w:t>
            </w:r>
          </w:p>
        </w:tc>
        <w:tc>
          <w:tcPr>
            <w:tcW w:w="4876" w:type="dxa"/>
            <w:tcBorders>
              <w:top w:val="nil"/>
              <w:left w:val="nil"/>
              <w:bottom w:val="nil"/>
              <w:right w:val="nil"/>
            </w:tcBorders>
          </w:tcPr>
          <w:p>
            <w:pPr>
              <w:pStyle w:val="Normal6a"/>
            </w:pPr>
            <w:r>
              <w:t>1.</w:t>
            </w:r>
            <w:r>
              <w:tab/>
            </w:r>
            <w:r>
              <w:t xml:space="preserve">отбелязва, че бюджетът на Палатата попада в обхвата на функция 7 от МФР „Европейска публична администрация“, която през </w:t>
            </w:r>
            <w:r>
              <w:rPr>
                <w:b/>
                <w:i/>
              </w:rPr>
              <w:t>2024</w:t>
            </w:r>
            <w:r>
              <w:t xml:space="preserve"> г. възлиза на 13,3 милиарда евро (представляващи 6,9% от общия бюджет на Съюза);отбелязва, че бюджетът на Палатата в размер на приблизително 0,2 милиарда евро представлява приблизително 1,5% от общите административни разходи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отбелязва съобщението на Палатата от 1 октомври 2025 г. относно въвеждането на преразгледан одитен подход за съвместните предприятия, считано от финансовата 2025 година;</w:t>
            </w:r>
            <w:r>
              <w:t xml:space="preserve"> </w:t>
            </w:r>
            <w:r>
              <w:rPr>
                <w:b/>
                <w:i/>
              </w:rPr>
              <w:t>отбелязва, че тази промяна беше предизвикана, наред с другото, от ограничения капацитет на човешките ресурси и от прекратяването на одитите на съвместните предприятия по линия на „Хоризонт Европа“ от страна на службата за вътрешен одит на Комисията, която преди това одитираше съвместните предприятия, като по този начин беше намалено наличието на допълнителна одитна увереност;</w:t>
            </w:r>
            <w:r>
              <w:t xml:space="preserve"> </w:t>
            </w:r>
            <w:r>
              <w:rPr>
                <w:b/>
                <w:i/>
              </w:rPr>
              <w:t>отбелязва освен това, че новият подход предвижда подходящ размер на одитната извадка, консолидиране на одитната дейност за всички съвместни предприятия и изготвянето на две отделни декларации за достоверност, подкрепени от допълнителни тематични и специални доклади;</w:t>
            </w:r>
            <w:r>
              <w:t xml:space="preserve"> </w:t>
            </w:r>
            <w:r>
              <w:rPr>
                <w:b/>
                <w:i/>
              </w:rPr>
              <w:t>призовава Палатата да гарантира, че преразгледаната методика се прилага своевременно и че тя продължава да отговаря на най-високите стандарти за качество, надеждност и достоверност на одита с цел защита на финансовите интереси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отбелязва, че степента на изпълнение на поетите задължения и плащанията през 2024 г. е висока, почти същата като тази през 2023 г., като степента на усвояване на бюджетните кредити е 97,30%, а плащанията представляват 94,81% от общия размер на поетите задължения през 2024 г.; отбелязва увеличение на отменените бюджетни кредити в края на годината от приблизително 3,4 милиона евро през 2023 г. на 4,4 милиона евро през 2024 г.; приветства Палатата за това, че през 2024 г. е запазила под 11 дни средния срок за плащане на фактури;</w:t>
            </w:r>
          </w:p>
        </w:tc>
        <w:tc>
          <w:tcPr>
            <w:tcW w:w="4876" w:type="dxa"/>
            <w:tcBorders>
              <w:top w:val="nil"/>
              <w:left w:val="nil"/>
              <w:bottom w:val="nil"/>
              <w:right w:val="nil"/>
            </w:tcBorders>
          </w:tcPr>
          <w:p>
            <w:pPr>
              <w:pStyle w:val="Normal6a"/>
            </w:pPr>
            <w:r>
              <w:t>7.</w:t>
            </w:r>
            <w:r>
              <w:tab/>
            </w:r>
            <w:r>
              <w:t xml:space="preserve">отбелязва, че степента на изпълнение на поетите задължения и плащанията през 2024 г. е висока, почти същата като тази през 2023 г., като степента на усвояване на бюджетните кредити е 97,30%, а плащанията представляват 94,81% от общия размер на поетите задължения през 2024 г.; отбелязва увеличение на отменените бюджетни кредити в края на годината от приблизително 3,4 милиона евро през 2023 г. на 4,4 милиона евро през 2024 г.; приветства Палатата за това, че през 2024 г. е запазила под 11 дни средния срок за плащане на фактури; </w:t>
            </w:r>
            <w:r>
              <w:rPr>
                <w:b/>
                <w:i/>
              </w:rPr>
              <w:t>насърчава Палатата да поддържа строга дисциплина по отношение на разходите, да продължи да дава приоритет на оперативната ефективност и допълнително да намали анулирането на бюджетни кредити в края на годината, като по този начин повиши ефикасността и икономическата ефективност на своите бюджетни кредити;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въз основа на въпросника, че за Палатата въздействието на </w:t>
            </w:r>
            <w:r>
              <w:rPr>
                <w:b/>
                <w:i/>
              </w:rPr>
              <w:t>агресивната</w:t>
            </w:r>
            <w:r>
              <w:t xml:space="preserve"> война на Русия срещу Украйна през 2024 г. е намерило израз в обусловено от инфлацията увеличение на разходите за стоки, услуги и логистика; приветства мерките на Палатата за противодействие на това въздействие чрез извършване на по-подробни анализи преди започването на процедурите за възлагане на обществени поръчки, за да се осигурят реалистично планиране и ефективно възлагане на обществени поръчки; отбелязва със задоволство значителния спад на разходите на Палатата за потребление на енергия (бюджетна позиция 2 0 2 4) от 1 556 671 EUR през 2023 г. на 887 827 EUR през 2024 г., главно поради намаление на фиксираната цена на електроенергията, в съответствие с междуинституционалния договор със съответния доставчик; признава необходимостта всички институции на Съюза да подобрят своето бюджетно управление, включително като вземат предвид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pPr>
              <w:pStyle w:val="Normal6a"/>
            </w:pPr>
            <w:r>
              <w:t>9.</w:t>
            </w:r>
            <w:r>
              <w:tab/>
            </w:r>
            <w:r>
              <w:t xml:space="preserve">отбелязва въз основа на въпросника, че за Палатата въздействието на </w:t>
            </w:r>
            <w:r>
              <w:rPr>
                <w:b/>
                <w:i/>
              </w:rPr>
              <w:t>незаконната агресивна</w:t>
            </w:r>
            <w:r>
              <w:t xml:space="preserve"> война на Русия срещу Украйна през 2024 г. е намерило израз в обусловено от инфлацията увеличение на разходите за стоки, услуги и логистика; приветства мерките на Палатата за противодействие на това въздействие чрез извършване на по-подробни анализи преди започването на процедурите за възлагане на обществени поръчки, за да се осигурят реалистично планиране и ефективно възлагане на обществени поръчки; отбелязва със задоволство значителния спад на разходите на Палатата за потребление на енергия (бюджетна позиция 2 0 2 4) от 1 556 671 EUR през 2023 г. на 887 827 EUR през 2024 г., главно поради намаление на фиксираната цена на електроенергията, в съответствие с междуинституционалния договор със съответния доставчик; признава необходимостта всички институции на Съюза да подобрят своето бюджетно управление, включително като вземат предвид нестабилността на цените, особено в енергийния сектор, при сключването на договори с доставчици на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отбелязва </w:t>
            </w:r>
            <w:r>
              <w:rPr>
                <w:b/>
                <w:i/>
              </w:rPr>
              <w:t>със задоволство</w:t>
            </w:r>
            <w:r>
              <w:t xml:space="preserve"> въз основа на въпросника </w:t>
            </w:r>
            <w:r>
              <w:rPr>
                <w:b/>
                <w:i/>
              </w:rPr>
              <w:t>намалението на предвидените в бюджета кредити по бюджетната позиция</w:t>
            </w:r>
            <w:r>
              <w:t xml:space="preserve"> на Палатата </w:t>
            </w:r>
            <w:r>
              <w:rPr>
                <w:b/>
                <w:i/>
              </w:rPr>
              <w:t>за публикации от 810 000 EUR през 2014 г.</w:t>
            </w:r>
            <w:r>
              <w:t xml:space="preserve"> </w:t>
            </w:r>
            <w:r>
              <w:rPr>
                <w:b/>
                <w:i/>
              </w:rPr>
              <w:t>на 300 000 EUR през</w:t>
            </w:r>
            <w:r>
              <w:t xml:space="preserve"> 2024 г. </w:t>
            </w:r>
            <w:r>
              <w:rPr>
                <w:b/>
                <w:i/>
              </w:rPr>
              <w:t>поради увеличаване на вътрешното изготвяне на доклади и онлайн разпространението на публикации;</w:t>
            </w:r>
            <w:r>
              <w:t xml:space="preserve"> </w:t>
            </w:r>
            <w:r>
              <w:rPr>
                <w:b/>
                <w:i/>
              </w:rPr>
              <w:t>отбелязва, че прогнозите на Палатата за тази бюджетна позиция намаляха допълнително през следващите бюджетни години</w:t>
            </w:r>
            <w:r>
              <w:t xml:space="preserve">; отбелязва </w:t>
            </w:r>
            <w:r>
              <w:rPr>
                <w:b/>
                <w:i/>
              </w:rPr>
              <w:t>освен това тенденцията на Палатата да намалява бюджета за устен превод и услуги на експерти (консултации, проучвания и др.), както и плана за извеждане от експлоатация на ползваните от нея услуги за фиксирана телефония с цел генериране на</w:t>
            </w:r>
            <w:r>
              <w:t xml:space="preserve"> допълнителни икономии;</w:t>
            </w:r>
          </w:p>
        </w:tc>
        <w:tc>
          <w:tcPr>
            <w:tcW w:w="4876" w:type="dxa"/>
            <w:tcBorders>
              <w:top w:val="nil"/>
              <w:left w:val="nil"/>
              <w:bottom w:val="nil"/>
              <w:right w:val="nil"/>
            </w:tcBorders>
          </w:tcPr>
          <w:p>
            <w:pPr>
              <w:pStyle w:val="Normal6a"/>
            </w:pPr>
            <w:r>
              <w:t>12.</w:t>
            </w:r>
            <w:r>
              <w:tab/>
            </w:r>
            <w:r>
              <w:t>отбелязва въз основа на въпросника</w:t>
            </w:r>
            <w:r>
              <w:rPr>
                <w:b/>
                <w:i/>
              </w:rPr>
              <w:t>, че бюджетът за публикациите</w:t>
            </w:r>
            <w:r>
              <w:t xml:space="preserve"> на Палатата </w:t>
            </w:r>
            <w:r>
              <w:rPr>
                <w:b/>
                <w:i/>
              </w:rPr>
              <w:t>е намалял значително през периода 2014 ―</w:t>
            </w:r>
            <w:r>
              <w:t xml:space="preserve"> 2024 г.; отбелязва </w:t>
            </w:r>
            <w:r>
              <w:rPr>
                <w:b/>
                <w:i/>
              </w:rPr>
              <w:t>това развитие и подчертава, че следва да продължат да се търсят</w:t>
            </w:r>
            <w:r>
              <w:t xml:space="preserve"> допълнителни </w:t>
            </w:r>
            <w:r>
              <w:rPr>
                <w:b/>
                <w:i/>
              </w:rPr>
              <w:t>възможности за</w:t>
            </w:r>
            <w:r>
              <w:t xml:space="preserve"> икономии</w:t>
            </w:r>
            <w:r>
              <w:rPr>
                <w:b/>
                <w:i/>
              </w:rPr>
              <w:t>, като същевременно се запазят прозрачността и достъпността на докладите</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отбелязва, че през 2024 г.</w:t>
            </w:r>
            <w:r>
              <w:t xml:space="preserve"> </w:t>
            </w:r>
            <w:r>
              <w:rPr>
                <w:b/>
                <w:i/>
              </w:rPr>
              <w:t>Палатата представи два годишни доклада, три специфични годишни доклада, 28 специални доклада, четири прегледа и три становища, или общо 40 публикации (което представлява намаление спрямо 45 публикации през 2023 г.);</w:t>
            </w:r>
            <w:r>
              <w:t xml:space="preserve"> </w:t>
            </w:r>
            <w:r>
              <w:rPr>
                <w:b/>
                <w:i/>
              </w:rPr>
              <w:t>приветства акцента, който Палатата постави през 2024 г.</w:t>
            </w:r>
            <w:r>
              <w:t xml:space="preserve"> </w:t>
            </w:r>
            <w:r>
              <w:rPr>
                <w:b/>
                <w:i/>
              </w:rPr>
              <w:t>чрез специални доклади и прегледи върху неотложните предизвикателства, пред които е изправен Съюзът по важни въпроси, като сигурността на доставките на газ, инвестициите в изкуствен интелект (ИИ), адаптирането към изменението на климата, усвояването на средствата по Механизма за възстановяване и устойчивост, процеса на формиране на автомобилен парк с нулеви емисии, подкрепата за бежанците в Турция и промишлената политика на Съюза в областта на водорода;</w:t>
            </w:r>
            <w:r>
              <w:t xml:space="preserve"> </w:t>
            </w:r>
            <w:r>
              <w:rPr>
                <w:b/>
                <w:i/>
              </w:rPr>
              <w:t>приветства освен това планираните доклади на Палатата относно Механизма за възстановяване и устойчивост в области като прозрачността и проследимостта, както и относно структурата и стратегията на Съюза във връзка с борбата срещу измамите и подкрепата на Съюза за Украйна, Молдова и Грузия;</w:t>
            </w:r>
            <w:r>
              <w:t xml:space="preserve"> </w:t>
            </w:r>
            <w:r>
              <w:rPr>
                <w:b/>
                <w:i/>
              </w:rPr>
              <w:t>отбелязва подобрение по отношение на удовлетвореността на заинтересованите лица от работата на Палатата, като проведено през 2024 г.</w:t>
            </w:r>
            <w:r>
              <w:t xml:space="preserve"> </w:t>
            </w:r>
            <w:r>
              <w:rPr>
                <w:b/>
                <w:i/>
              </w:rPr>
              <w:t>проучване показва, че 89% от респондентите (спрямо 85% през 2023 г.) считат докладите на Палатата за полезни, а 82% (което представлява увеличение спрямо 78%) считат, че работата на Палатата оказва въздействие;</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Ондржей Кнотек, Виржини Жорон, Жюлиен Санчез,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отбелязва, че през 2024 г. Палатата представи два годишни доклада, три специфични годишни доклада, 28 специални доклада, четири прегледа и три становища, или общо 40 публикации (което представлява намаление спрямо 45 публикации през 2023 г.); приветства акцента, който Палатата постави през 2024 г. чрез специални доклади и прегледи върху неотложните предизвикателства, пред които е изправен Съюзът по важни въпроси, като сигурността на доставките на газ, инвестициите в изкуствен интелект (ИИ), адаптирането към изменението на климата, усвояването на средствата по Механизма за възстановяване и устойчивост, процеса на формиране на автомобилен парк с нулеви емисии, подкрепата за бежанците в Турция и промишлената политика на Съюза в областта на водорода; приветства освен това планираните доклади на Палатата относно Механизма за възстановяване и устойчивост в области като прозрачността и проследимостта, както и относно структурата и стратегията на Съюза във връзка с борбата срещу измамите и подкрепата на Съюза за Украйна, Молдова и Грузия; отбелязва подобрение по отношение на удовлетвореността на заинтересованите лица от работата на Палатата, като проведено през 2024 г. проучване показва, че 89% от респондентите (спрямо 85% през 2023 г.) считат докладите на Палатата за полезни, а 82% (което представлява увеличение спрямо 78%) считат, че работата на Палатата оказва въздействие;</w:t>
            </w:r>
          </w:p>
        </w:tc>
        <w:tc>
          <w:tcPr>
            <w:tcW w:w="4876" w:type="dxa"/>
            <w:tcBorders>
              <w:top w:val="nil"/>
              <w:left w:val="nil"/>
              <w:bottom w:val="nil"/>
              <w:right w:val="nil"/>
            </w:tcBorders>
          </w:tcPr>
          <w:p>
            <w:pPr>
              <w:pStyle w:val="Normal6a"/>
            </w:pPr>
            <w:r>
              <w:t>16.</w:t>
            </w:r>
            <w:r>
              <w:tab/>
            </w:r>
            <w:r>
              <w:t xml:space="preserve">отбелязва, че през 2024 г. Палатата представи два годишни доклада, три специфични годишни доклада, 28 специални доклада, четири прегледа и три становища, или общо 40 публикации (което представлява намаление спрямо 45 публикации през 2023 г.); приветства акцента, който Палатата постави през 2024 г. чрез специални доклади и прегледи върху неотложните предизвикателства, пред които е изправен Съюзът по важни въпроси, като </w:t>
            </w:r>
            <w:r>
              <w:rPr>
                <w:b/>
                <w:i/>
              </w:rPr>
              <w:t>финансовите инструменти в рамките на политиката на сближаване, прозрачността на финансирането, предоставяно от ЕС на НПО, органите на ЕС за борба с измамите,</w:t>
            </w:r>
            <w:r>
              <w:t xml:space="preserve"> сигурността на доставките на газ, инвестициите в изкуствен интелект (ИИ), адаптирането към изменението на климата, усвояването на средствата по Механизма за възстановяване и устойчивост, процеса на формиране на автомобилен парк с нулеви емисии, подкрепата за бежанците в Турция и промишлената политика на Съюза в областта на водорода; приветства освен това планираните доклади на Палатата относно Механизма за възстановяване и устойчивост в области като прозрачността и проследимостта, както и относно структурата и стратегията на Съюза във връзка с борбата срещу измамите и подкрепата на Съюза за Украйна, Молдова и Грузия; отбелязва подобрение по отношение на удовлетвореността на заинтересованите лица от работата на Палатата, като проведено през 2024 г. проучване показва, че 89% от респондентите (спрямо 85% през 2023 г.) считат докладите на Палатата за полезни, а 82% (което представлява увеличение спрямо 78%) считат, че работата на Палатата оказва въздействие;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призовава Европейската сметна палата да предоставя по-подробни и систематични оценки на страничните ефекти на финансираните от Съюза програми върху държавите членки, както на програмите с висока степен на усвояване, така и на тези с ниска степен на усвояване на европейски средства;</w:t>
            </w:r>
            <w:r>
              <w:t xml:space="preserve"> </w:t>
            </w:r>
            <w:r>
              <w:rPr>
                <w:b/>
                <w:i/>
              </w:rPr>
              <w:t>подчертава, че един всеобхватен анализ на икономическото, социалното, административното и териториалното въздействие на подобни странични ефекти, включително трансграничните ефекти и въздействието върху разпределението на доходите, ще усъвършенства оценката на дългосрочното въздействие, добавената стойност и устойчивостта на разходите на ЕС и ще подкрепи изготвянето на политики в условия на по-добра информираност както на равнището на Съюза, така и на национално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 Влад Василе-Войкулеску,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отбелязва, че Палатата разполага с набор от ключови показатели за изпълнението (КПИ) за измерване на напредъка към постигането на нейните стратегически цели в съответствие със стратегията на Палатата за периода 2021 — 2025 г.; отбелязва стратегическите цели на Палатата за 2024 г.: подобряване на отчетността, прозрачността и механизмите за одит, насочване към области и теми, в които одитите могат да добавят най-голяма стойност, и предоставяне на силна одитна увереност в една изпълнена с предизвикателства и променяща се среда; приканва Палатата да представя в бъдеще своите КПИ, степента на постигнатия напредък и целите в обобщен вид (под формата на таблица);</w:t>
            </w:r>
          </w:p>
        </w:tc>
        <w:tc>
          <w:tcPr>
            <w:tcW w:w="4876" w:type="dxa"/>
            <w:tcBorders>
              <w:top w:val="nil"/>
              <w:left w:val="nil"/>
              <w:bottom w:val="nil"/>
              <w:right w:val="nil"/>
            </w:tcBorders>
          </w:tcPr>
          <w:p>
            <w:pPr>
              <w:pStyle w:val="Normal6a"/>
            </w:pPr>
            <w:r>
              <w:t>17.</w:t>
            </w:r>
            <w:r>
              <w:tab/>
            </w:r>
            <w:r>
              <w:t xml:space="preserve">отбелязва, че Палатата разполага с набор от ключови показатели за изпълнението (КПИ) за измерване на напредъка към постигането на нейните стратегически цели в съответствие със стратегията на Палатата за периода 2021 — 2025 г.; отбелязва стратегическите цели на Палатата за 2024 г.: подобряване на отчетността, прозрачността и механизмите за одит, насочване към области и теми, в които одитите могат да добавят най-голяма стойност, и предоставяне на силна одитна увереност в една изпълнена с предизвикателства и променяща се среда; приканва Палатата да представя в бъдеще своите КПИ, степента на постигнатия напредък и целите в обобщен вид (под формата на таблица); </w:t>
            </w:r>
            <w:r>
              <w:rPr>
                <w:b/>
                <w:i/>
              </w:rPr>
              <w:t>призовава Палатата да усъвършенства КПИ въз основа на резултатите от изпълнението и прилагането на европейските политики с цел ясно измерване на въздействието на политиките, провеждани от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приканва Палатата да консолидира своите констатации в сравнителен анализ на изпълнението и да разработи методика за „компас за изпълнението“ на програмите на Съюза;</w:t>
            </w:r>
            <w:r>
              <w:t xml:space="preserve"> </w:t>
            </w:r>
            <w:r>
              <w:rPr>
                <w:b/>
                <w:i/>
              </w:rPr>
              <w:t>счита, че подобен инструмент ще предостави на органа по освобождаване от отговорност, на лицата, отговорни за вземането на решения, и на широката общественост ясни насоки относно това кои програми използват ефективно ресурсите и кои биха могли да бъдат прекратени или основно преструктурирани, като същевременно се отчита разнообразието от политики;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достъп само до някои от модулите на FENIX;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w:t>
            </w:r>
          </w:p>
        </w:tc>
        <w:tc>
          <w:tcPr>
            <w:tcW w:w="4876" w:type="dxa"/>
            <w:tcBorders>
              <w:top w:val="nil"/>
              <w:left w:val="nil"/>
              <w:bottom w:val="nil"/>
              <w:right w:val="nil"/>
            </w:tcBorders>
          </w:tcPr>
          <w:p>
            <w:pPr>
              <w:pStyle w:val="Normal6a"/>
            </w:pPr>
            <w:r>
              <w:t>19.</w:t>
            </w:r>
            <w:r>
              <w:tab/>
            </w:r>
            <w:r>
              <w:t xml:space="preserve">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достъп само до някои от модулите на FENIX;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 </w:t>
            </w:r>
            <w:r>
              <w:rPr>
                <w:b/>
                <w:i/>
              </w:rPr>
              <w:t>счита, че продължаващите забавяния и частичният достъп до основни информационни системи на Комисията, по-специално FENIX и ARACHNE, подкопават ефективността и навременността на одитната работа на Палатата по отношение на високорисковите разходи, какъвто е случаят с Механизма за възстановяване и устойчивост;</w:t>
            </w:r>
            <w:r>
              <w:t xml:space="preserve"> </w:t>
            </w:r>
            <w:r>
              <w:rPr>
                <w:b/>
                <w:i/>
              </w:rPr>
              <w:t>призовава Комисията незабавно да коригира това положение и приканва Палатата да докладва на органа по освобождаване от отговорност относно постигнатите конкретни подобрения;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 Влад Василе-Войкулеску,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достъп само до някои от модулите на FENIX;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w:t>
            </w:r>
          </w:p>
        </w:tc>
        <w:tc>
          <w:tcPr>
            <w:tcW w:w="4876" w:type="dxa"/>
            <w:tcBorders>
              <w:top w:val="nil"/>
              <w:left w:val="nil"/>
              <w:bottom w:val="nil"/>
              <w:right w:val="nil"/>
            </w:tcBorders>
          </w:tcPr>
          <w:p>
            <w:pPr>
              <w:pStyle w:val="Normal6a"/>
            </w:pPr>
            <w:r>
              <w:t>19.</w:t>
            </w:r>
            <w:r>
              <w:tab/>
            </w:r>
            <w:r>
              <w:t xml:space="preserve">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w:t>
            </w:r>
            <w:r>
              <w:rPr>
                <w:b/>
                <w:i/>
              </w:rPr>
              <w:t>все така</w:t>
            </w:r>
            <w:r>
              <w:t xml:space="preserve"> да бъде нерешен въпрос, като Комисията предоставя на Палатата достъп само до някои от модулите на FENIX;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 </w:t>
            </w:r>
            <w:r>
              <w:rPr>
                <w:b/>
                <w:i/>
              </w:rPr>
              <w:t>изисква от Комисията да установи без по-нататъшно забавяне обвързваща междуинституционална договореност, която да гарантира пълния, систематичен достъп на Палатата в реално време до всички съответни бази данни, включително ARACHNE и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достъп само до някои от модулите на FENIX;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w:t>
            </w:r>
          </w:p>
        </w:tc>
        <w:tc>
          <w:tcPr>
            <w:tcW w:w="4876" w:type="dxa"/>
            <w:tcBorders>
              <w:top w:val="nil"/>
              <w:left w:val="nil"/>
              <w:bottom w:val="nil"/>
              <w:right w:val="nil"/>
            </w:tcBorders>
          </w:tcPr>
          <w:p>
            <w:pPr>
              <w:pStyle w:val="Normal6a"/>
            </w:pPr>
            <w:r>
              <w:t>19.</w:t>
            </w:r>
            <w:r>
              <w:tab/>
            </w:r>
            <w:r>
              <w:t>отбелязва въз основа на доклада за последващите действия, че Комисията се е съгласила да предостави на Палатата ръчно извлечени данни от инструмента Arachne; въпреки това изразява съжаление относно факта, че достъпът на Палатата до FENIX, инструмента за докладване относно Механизма за възстановяване и устойчивост, продължава да бъде нерешен въпрос, като Комисията предоставя на Палатата достъп само до някои от модулите на FENIX</w:t>
            </w:r>
            <w:r>
              <w:rPr>
                <w:b/>
                <w:i/>
              </w:rPr>
              <w:t>, а информацията, която те съдържат, не се актуализира своевременно</w:t>
            </w:r>
            <w:r>
              <w:t>; приветства докладваното увеличение на броя на потребителите от Палатата, които имат достъп до FENIX; подкрепя въпреки това искането на Палатата Комисията да ѝ предостави пълен достъп във възможно най-кратък срок; отбелязва, че генералната дирекция „Икономически и финансови въпроси“ на Комисията се стреми да предоставя на Палатата достъп до досиетата във FENIX в срок до две седмици от одобряването на искане за плащане; изразява при все това тревога, че на практика в много случаи този срок не се спазва и че в някои случаи са възниквали закъснения от до два месеца и половина, което значително забавя формулирането на констатациите на Палатата; припомня на Комисията нейното задължение съгласно член 263 от Финансовия регламент да предостави на Палатата всеобхватен достъп до всички съответни системи и бази данни (сред които Arachne, FENIX и 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а.</w:t>
            </w:r>
            <w:r>
              <w:tab/>
            </w:r>
            <w:r>
              <w:rPr>
                <w:b/>
                <w:i/>
              </w:rPr>
              <w:t>подчертава значението на обществените поръчки като средство за постигане на напредък по целите на политиката, включително социалните и екологичните цели;</w:t>
            </w:r>
            <w:r>
              <w:t xml:space="preserve"> </w:t>
            </w:r>
            <w:r>
              <w:rPr>
                <w:b/>
                <w:i/>
              </w:rPr>
              <w:t>призовава Палатата да увеличи включването на стратегически критерии за социална отговорност и екологична устойчивост в своите процедури за възлагане на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отбелязва, че в края на 2024 г. Палатата е имала 961 служители (което представлява намаление спрямо 969 през 2023 г.), включително срочно наети служители (192 през 2024 г., което представлява намаление спрямо 204 през 2023 г.), договорно наети служители (84 през 2024 г., което представлява намаление спрямо 86 през 2023 г.) и командировани национални експерти (26 през 2024 г. — същият брой, както през 2023 г.); припомня, че е важно да се предоставят безсрочни трудови договори на служителите с цел да се поддържат уменията, </w:t>
            </w:r>
            <w:r>
              <w:rPr>
                <w:b/>
                <w:i/>
              </w:rPr>
              <w:t>приемствеността и продуктивната</w:t>
            </w:r>
            <w:r>
              <w:t xml:space="preserve"> работна среда;</w:t>
            </w:r>
          </w:p>
        </w:tc>
        <w:tc>
          <w:tcPr>
            <w:tcW w:w="4876" w:type="dxa"/>
            <w:tcBorders>
              <w:top w:val="nil"/>
              <w:left w:val="nil"/>
              <w:bottom w:val="nil"/>
              <w:right w:val="nil"/>
            </w:tcBorders>
          </w:tcPr>
          <w:p>
            <w:pPr>
              <w:pStyle w:val="Normal6a"/>
            </w:pPr>
            <w:r>
              <w:t>20.</w:t>
            </w:r>
            <w:r>
              <w:tab/>
            </w:r>
            <w:r>
              <w:t xml:space="preserve">отбелязва, че в края на 2024 г. Палатата е имала 961 служители (което представлява намаление спрямо 969 през 2023 г.), включително срочно наети служители (192 през 2024 г., което представлява намаление спрямо 204 през 2023 г.), договорно наети служители (84 през 2024 г., което представлява намаление спрямо 86 през 2023 г.) и командировани национални експерти (26 през 2024 г. — същият брой, както през 2023 г.); припомня, че е важно да се предоставят безсрочни трудови договори на служителите с цел да се поддържат уменията, </w:t>
            </w:r>
            <w:r>
              <w:rPr>
                <w:b/>
                <w:i/>
              </w:rPr>
              <w:t>като се гарантират приемственост и продуктивна и стабилна</w:t>
            </w:r>
            <w:r>
              <w:t xml:space="preserve"> работна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отбелязва, че през 2024 г.</w:t>
            </w:r>
            <w:r>
              <w:t xml:space="preserve"> </w:t>
            </w:r>
            <w:r>
              <w:rPr>
                <w:b/>
                <w:i/>
              </w:rPr>
              <w:t>54% от служителите на Палатата са жени (спрямо 53% през 2023 г.), а 47% — мъже;</w:t>
            </w:r>
            <w:r>
              <w:t xml:space="preserve"> </w:t>
            </w:r>
            <w:r>
              <w:rPr>
                <w:b/>
                <w:i/>
              </w:rPr>
              <w:t>изразява съжаление относно факта, че жените представляват едва 30% от висшето ръководство на Палатата — както през 2023 г.;</w:t>
            </w:r>
            <w:r>
              <w:t xml:space="preserve"> </w:t>
            </w:r>
            <w:r>
              <w:rPr>
                <w:b/>
                <w:i/>
              </w:rPr>
              <w:t>отбелязва освен това намалението на дела на жените на средни ръководни длъжности от 40% на 37,30% през 2023 г.;</w:t>
            </w:r>
            <w:r>
              <w:t xml:space="preserve"> </w:t>
            </w:r>
            <w:r>
              <w:rPr>
                <w:b/>
                <w:i/>
              </w:rPr>
              <w:t>припомня факта, че равенството между половете е основан на Договорите принцип, който следва да се зачита от всички институции, и приканва Палатата да продължи да полага усилия за насърчаване на баланса между половете на равнище средно и висше ръководство;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отбелязва въз основа на въпросника, че през 2024 г.</w:t>
            </w:r>
            <w:r>
              <w:t xml:space="preserve"> </w:t>
            </w:r>
            <w:r>
              <w:rPr>
                <w:b/>
                <w:i/>
              </w:rPr>
              <w:t>в Палатата са работили 64 стажанти, 59 от които са получавали месечна надбавка;</w:t>
            </w:r>
            <w:r>
              <w:t xml:space="preserve"> </w:t>
            </w:r>
            <w:r>
              <w:rPr>
                <w:b/>
                <w:i/>
              </w:rPr>
              <w:t>приветства новата програма на Палатата, озаглавена TraineEca Career Development, която има за цел да предложи възможности за работа на стажантите с най-големи заслуги;</w:t>
            </w:r>
            <w:r>
              <w:t xml:space="preserve"> </w:t>
            </w:r>
            <w:r>
              <w:rPr>
                <w:b/>
                <w:i/>
              </w:rPr>
              <w:t>отбелязва освен това плана на Палатата да предложи специални стажове в областта на изкуствения интелект (ИИ) на наскоро завършили висше образование и докторанти в тази област;</w:t>
            </w:r>
            <w:r>
              <w:t xml:space="preserve"> </w:t>
            </w:r>
            <w:r>
              <w:rPr>
                <w:b/>
                <w:i/>
              </w:rPr>
              <w:t>отново подчертава, че стажовете следва да бъдат платени в съответствие с резолюцията на Парламента от 15 юни 2023 г.</w:t>
            </w:r>
            <w:r>
              <w:t xml:space="preserve"> </w:t>
            </w:r>
            <w:r>
              <w:rPr>
                <w:b/>
                <w:i/>
              </w:rPr>
              <w:t>относно качествени стажове в Съюза (2020/2005(INL)), в която се призовава всички стажове в Съюза да бъдат платени;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отбелязва въз основа на въпросника, че през 2024 г. в Палатата са работили 64 стажанти, 59 от които са получавали месечна надбавка; приветства новата програма на Палатата, озаглавена TraineEca Career Development, която има за цел да предложи възможности за работа на стажантите с най-големи заслуги; отбелязва освен това плана на Палатата да предложи специални стажове в областта на изкуствения интелект (ИИ) на наскоро завършили висше образование и докторанти в тази област; отново подчертава, че стажовете следва да бъдат платени в съответствие с резолюцията на Парламента от 15 юни 2023 г. относно качествени стажове в Съюза (2020/2005(INL)), в която се призовава всички стажове в Съюза да бъдат платени;</w:t>
            </w:r>
          </w:p>
        </w:tc>
        <w:tc>
          <w:tcPr>
            <w:tcW w:w="4876" w:type="dxa"/>
            <w:tcBorders>
              <w:top w:val="nil"/>
              <w:left w:val="nil"/>
              <w:bottom w:val="nil"/>
              <w:right w:val="nil"/>
            </w:tcBorders>
          </w:tcPr>
          <w:p>
            <w:pPr>
              <w:pStyle w:val="Normal6a"/>
            </w:pPr>
            <w:r>
              <w:t>22.</w:t>
            </w:r>
            <w:r>
              <w:tab/>
            </w:r>
            <w:r>
              <w:t xml:space="preserve">отбелязва въз основа на въпросника, че през 2024 г. в Палатата са работили 64 стажанти, 59 от които са получавали месечна надбавка; приветства новата програма на Палатата, озаглавена TraineEca Career Development, която има за цел да предложи възможности за работа на стажантите с най-големи заслуги; отбелязва освен това плана на Палатата да предложи специални стажове в областта на изкуствения интелект (ИИ) на наскоро завършили висше образование и докторанти в тази област; отново подчертава, че стажовете следва да бъдат платени в съответствие с резолюцията на Парламента от 15 юни 2023 г. относно качествени стажове в Съюза (2020/2005(INL)), в която се призовава всички стажове в Съюза да бъдат платени; </w:t>
            </w:r>
            <w:r>
              <w:rPr>
                <w:b/>
                <w:i/>
              </w:rPr>
              <w:t>подчертава, че неплатените стажове са форма на експлоатация на младите работници и служители и пречка пред равните възможности;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отбелязва въз основа на въпросника, че набирането на длъжностни лица е продължило да бъде предизвикателство за Палатата през 2024 г. поради недостатъчната привлекателност на Люксембург като място на работа или липсата на интерес към работните места в областта на одита и контрола сред младите работници и служители; отбелязва със задоволство, че Палатата предприема действия по този въпрос, като организира редовни процедури за подбор, насочени към стажантите в Палатата, организира вътрешни конкурси за задържане на талантите с най-големи заслуги и увеличи информационните дейности; признава в този контекст, че е необходима специална клауза с оглед на организирането също така на конкурси на EPSO изключително за Люксембург; приветства Палатата за това, че се присъедини към междуинституционално споразумение, съгласно което считано от 2025 г. служителите, наети от установени в Люксембург институции на Съюза, получават жилищни надбавки, за да се компенсират високите разходи за живот в Люксембург;</w:t>
            </w:r>
          </w:p>
        </w:tc>
        <w:tc>
          <w:tcPr>
            <w:tcW w:w="4876" w:type="dxa"/>
            <w:tcBorders>
              <w:top w:val="nil"/>
              <w:left w:val="nil"/>
              <w:bottom w:val="nil"/>
              <w:right w:val="nil"/>
            </w:tcBorders>
          </w:tcPr>
          <w:p>
            <w:pPr>
              <w:pStyle w:val="Normal6a"/>
            </w:pPr>
            <w:r>
              <w:t>23.</w:t>
            </w:r>
            <w:r>
              <w:tab/>
            </w:r>
            <w:r>
              <w:t xml:space="preserve">отбелязва въз основа на въпросника, че набирането на длъжностни лица е продължило да бъде предизвикателство за Палатата през 2024 г. поради недостатъчната привлекателност на Люксембург като място на работа или липсата на интерес към работните места в областта на одита и контрола сред младите работници и служители; отбелязва със задоволство, че Палатата предприема действия по този въпрос, като организира редовни процедури за подбор, насочени към стажантите в Палатата, организира вътрешни конкурси за задържане на талантите с най-големи заслуги и увеличи информационните дейности; </w:t>
            </w:r>
            <w:r>
              <w:rPr>
                <w:b/>
                <w:i/>
              </w:rPr>
              <w:t>насърчава Палатата да продължи тези усилия, за да се гарантира непрекъснатостта на нейната дейност;</w:t>
            </w:r>
            <w:r>
              <w:t xml:space="preserve"> признава в този контекст, че е необходима специална клауза с оглед на организирането също така на конкурси на EPSO изключително за Люксембург; приветства Палатата за това, че се присъедини към междуинституционално споразумение, съгласно което считано от 2025 г. служителите, наети от установени в Люксембург институции на Съюза, получават жилищни надбавки, за да се компенсират високите разходи за живот в Люксембург;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известно му е, че Палатата няма роля в процеса на подбор на своите членове съгласно член 286, параграф 2 от ДФЕС;</w:t>
            </w:r>
            <w:r>
              <w:t xml:space="preserve"> </w:t>
            </w:r>
            <w:r>
              <w:rPr>
                <w:b/>
                <w:i/>
              </w:rPr>
              <w:t>припомня, че въпреки това съществува значителен дисбаланс между половете сред членовете на Палатата, с едва десет жени от общо 27 членове;</w:t>
            </w:r>
            <w:r>
              <w:t xml:space="preserve"> </w:t>
            </w:r>
            <w:r>
              <w:rPr>
                <w:b/>
                <w:i/>
              </w:rPr>
              <w:t>отново призовава държавите членки да предлагат кандидати от различни полове, като се стремят към по-балансиран и представителен състав на Палатата;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известно му е, че Палатата няма роля в процеса на подбор на своите членове съгласно член 286, параграф 2 от ДФЕС; припомня, че въпреки това съществува значителен дисбаланс между половете сред членовете на Палатата, с едва десет жени от общо 27 членове; отново призовава държавите членки да </w:t>
            </w:r>
            <w:r>
              <w:rPr>
                <w:b/>
                <w:i/>
              </w:rPr>
              <w:t>предлагат</w:t>
            </w:r>
            <w:r>
              <w:t xml:space="preserve"> кандидати </w:t>
            </w:r>
            <w:r>
              <w:rPr>
                <w:b/>
                <w:i/>
              </w:rPr>
              <w:t>от различни полове</w:t>
            </w:r>
            <w:r>
              <w:t xml:space="preserve">, като </w:t>
            </w:r>
            <w:r>
              <w:rPr>
                <w:b/>
                <w:i/>
              </w:rPr>
              <w:t>се стремят към по-балансиран и представителен състав на Палатата</w:t>
            </w:r>
            <w:r>
              <w:t>;</w:t>
            </w:r>
          </w:p>
        </w:tc>
        <w:tc>
          <w:tcPr>
            <w:tcW w:w="4876" w:type="dxa"/>
            <w:tcBorders>
              <w:top w:val="nil"/>
              <w:left w:val="nil"/>
              <w:bottom w:val="nil"/>
              <w:right w:val="nil"/>
            </w:tcBorders>
          </w:tcPr>
          <w:p>
            <w:pPr>
              <w:pStyle w:val="Normal6a"/>
            </w:pPr>
            <w:r>
              <w:t>24.</w:t>
            </w:r>
            <w:r>
              <w:tab/>
            </w:r>
            <w:r>
              <w:t xml:space="preserve">известно му е, че Палатата няма роля в процеса на подбор на своите членове съгласно член 286, параграф 2 от ДФЕС; припомня, че въпреки това съществува значителен дисбаланс между половете сред членовете на Палатата, с едва десет жени от общо 27 членове; отново призовава държавите членки да </w:t>
            </w:r>
            <w:r>
              <w:rPr>
                <w:b/>
                <w:i/>
              </w:rPr>
              <w:t>вземат предвид необходимостта от баланс между половете при предлагането на</w:t>
            </w:r>
            <w:r>
              <w:t xml:space="preserve"> кандидати, като </w:t>
            </w:r>
            <w:r>
              <w:rPr>
                <w:b/>
                <w:i/>
              </w:rPr>
              <w:t>същевременно гарантират, че номинациите продължават да се основават на критерии за заслуги, квалификация и независимост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известно му е, че Палатата няма роля в процеса на подбор на своите членове съгласно член 286, параграф 2 от ДФЕС; припомня, че въпреки това съществува значителен дисбаланс между половете сред членовете на Палатата, с едва десет жени от общо 27 членове; отново призовава държавите членки да предлагат кандидати от различни полове, като се стремят към по-балансиран и представителен състав на Палатата;</w:t>
            </w:r>
          </w:p>
        </w:tc>
        <w:tc>
          <w:tcPr>
            <w:tcW w:w="4876" w:type="dxa"/>
            <w:tcBorders>
              <w:top w:val="nil"/>
              <w:left w:val="nil"/>
              <w:bottom w:val="nil"/>
              <w:right w:val="nil"/>
            </w:tcBorders>
          </w:tcPr>
          <w:p>
            <w:pPr>
              <w:pStyle w:val="Normal6a"/>
            </w:pPr>
            <w:r>
              <w:t>24.</w:t>
            </w:r>
            <w:r>
              <w:tab/>
            </w:r>
            <w:r>
              <w:t xml:space="preserve">известно му е, че Палатата няма роля в процеса на подбор на своите членове съгласно член 286, параграф 2 от ДФЕС; припомня, че въпреки това съществува значителен дисбаланс между половете сред членовете на Палатата, с едва десет жени от общо 27 членове; </w:t>
            </w:r>
            <w:r>
              <w:rPr>
                <w:b/>
                <w:i/>
              </w:rPr>
              <w:t>изразява съжаление, че редица държави членки никога не са предлагали жена за член на Палатата;</w:t>
            </w:r>
            <w:r>
              <w:t xml:space="preserve"> отново призовава държавите членки да предлагат кандидати от различни полове, като се стремят към по-балансиран и представителен състав на Палатата;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отбелязва, че няколко националности, по-специално от скандинавските държави членки, са недостатъчно представени сред служителите на Палатата;</w:t>
            </w:r>
            <w:r>
              <w:t xml:space="preserve"> </w:t>
            </w:r>
            <w:r>
              <w:rPr>
                <w:b/>
                <w:i/>
              </w:rPr>
              <w:t>отбелязва, че съществува риск от по-нататъшно влошаване на положението поради застаряването на служителите и поради факта, че не се набират достатъчно кандидати от тези държави членки;</w:t>
            </w:r>
            <w:r>
              <w:t xml:space="preserve"> </w:t>
            </w:r>
            <w:r>
              <w:rPr>
                <w:b/>
                <w:i/>
              </w:rPr>
              <w:t>припомня непрекъснатите усилия на Палатата за справяне с този дисбаланс чрез повишаване на публичността на конкурсите и обявленията за свободни длъжности на Палатата в значително по-слабо представените държави членки, сътрудничество с членове на Палатата за разпространение на нейните обявления и достигане до потенциални кандидати чрез участие в професионални изложения в определени държави членки;</w:t>
            </w:r>
            <w:r>
              <w:t xml:space="preserve"> </w:t>
            </w:r>
            <w:r>
              <w:rPr>
                <w:b/>
                <w:i/>
              </w:rPr>
              <w:t>отбелязва освен това, че според доклада за последващите действия Палатата също така е разработила план за действие с десет действия за следващите пет години с цел преодоляване на настоящото недостатъчно представителство на някои държави членки;</w:t>
            </w:r>
            <w:r>
              <w:t xml:space="preserve"> </w:t>
            </w:r>
            <w:r>
              <w:rPr>
                <w:b/>
                <w:i/>
              </w:rPr>
              <w:t>приканва Палатата да информира редовно органа по освобождаване от отговорност за постигнатия напредък по изпълнението на този план за действие и за резултатите от изпълнението му;</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отбелязва, че няколко националности, по-специално от скандинавските държави членки, са недостатъчно представени сред служителите на Палатата; отбелязва, че съществува риск от по-нататъшно влошаване на положението поради застаряването на служителите и поради факта, че не се набират достатъчно кандидати от тези държави членки; припомня непрекъснатите усилия на Палатата за справяне с този дисбаланс чрез повишаване на публичността на конкурсите и обявленията за свободни длъжности на Палатата в значително по-слабо представените държави членки, сътрудничество с членове на Палатата за разпространение на нейните обявления и достигане до потенциални кандидати чрез участие в професионални изложения в определени държави членки; отбелязва освен това, че според доклада за последващите действия Палатата също така е разработила план за действие с десет действия за следващите пет години с цел преодоляване на настоящото недостатъчно представителство на някои държави членки; приканва Палатата да информира редовно органа по освобождаване от отговорност за постигнатия напредък по изпълнението на този план за действие и за резултатите от изпълнението му;</w:t>
            </w:r>
          </w:p>
        </w:tc>
        <w:tc>
          <w:tcPr>
            <w:tcW w:w="4876" w:type="dxa"/>
            <w:tcBorders>
              <w:top w:val="nil"/>
              <w:left w:val="nil"/>
              <w:bottom w:val="nil"/>
              <w:right w:val="nil"/>
            </w:tcBorders>
          </w:tcPr>
          <w:p>
            <w:pPr>
              <w:pStyle w:val="Normal6a"/>
            </w:pPr>
            <w:r>
              <w:t>28.</w:t>
            </w:r>
            <w:r>
              <w:tab/>
            </w:r>
            <w:r>
              <w:t xml:space="preserve">отбелязва, че няколко националности, по-специално от скандинавските държави членки, са недостатъчно представени сред служителите на Палатата; отбелязва, че съществува риск от по-нататъшно влошаване на положението поради застаряването на служителите и поради факта, че не се набират достатъчно кандидати от тези държави членки; припомня непрекъснатите усилия на Палатата за справяне с този дисбаланс чрез повишаване на публичността на конкурсите и обявленията за свободни длъжности на Палатата в значително по-слабо представените държави членки, сътрудничество с членове на Палатата за разпространение на нейните обявления и достигане до потенциални кандидати чрез участие в професионални изложения в определени държави членки; отбелязва освен това, че според доклада за последващите действия Палатата също така е разработила план за действие с десет действия за следващите пет години с цел преодоляване на настоящото недостатъчно представителство на някои държави членки; приканва Палатата да информира редовно органа по освобождаване от отговорност за постигнатия напредък по изпълнението на този план за действие и за резултатите от изпълнението му; </w:t>
            </w:r>
            <w:r>
              <w:rPr>
                <w:b/>
                <w:i/>
              </w:rPr>
              <w:t>приветства усилията, положени от Палатата за изпълнение на нейните задължения по отношение на Механизма за възстановяване и устойчивост до момента, въпреки че наличните ресурси не са напълно достатъчни;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Ондржей Кнотек, Виржини Жорон, Жюлиен Санчез,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w:t>
            </w:r>
          </w:p>
        </w:tc>
        <w:tc>
          <w:tcPr>
            <w:tcW w:w="4876" w:type="dxa"/>
            <w:tcBorders>
              <w:top w:val="nil"/>
              <w:left w:val="nil"/>
              <w:bottom w:val="nil"/>
              <w:right w:val="nil"/>
            </w:tcBorders>
          </w:tcPr>
          <w:p>
            <w:pPr>
              <w:pStyle w:val="Normal6a"/>
            </w:pPr>
            <w:r>
              <w:t>29.</w:t>
            </w:r>
            <w:r>
              <w:tab/>
            </w:r>
            <w:r>
              <w:t xml:space="preserve">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 </w:t>
            </w:r>
            <w:r>
              <w:rPr>
                <w:b/>
                <w:i/>
              </w:rPr>
              <w:t>подчертава, че оценката на междинните етапи и целите по своята същност е по-сложна и отнема повече време, тъй като те често са с качествен характер и са свързани по-скоро със законодателни реформи, административни промени или структури на управление, отколкото с количествено измерими финансови данни;</w:t>
            </w:r>
            <w:r>
              <w:t xml:space="preserve"> </w:t>
            </w:r>
            <w:r>
              <w:rPr>
                <w:b/>
                <w:i/>
              </w:rPr>
              <w:t>изразява загриженост, че възпроизвеждането или разширяването на подобни основани на резултатите модели на финансиране в следващата многогодишна финансова рамка, без съответни корекции на методите за одит, достъпа до информация и ресурси, би могло значително да отслаби ефективния контрол, отчетността и увереността по отношение на разходите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w:t>
            </w:r>
          </w:p>
        </w:tc>
        <w:tc>
          <w:tcPr>
            <w:tcW w:w="4876" w:type="dxa"/>
            <w:tcBorders>
              <w:top w:val="nil"/>
              <w:left w:val="nil"/>
              <w:bottom w:val="nil"/>
              <w:right w:val="nil"/>
            </w:tcBorders>
          </w:tcPr>
          <w:p>
            <w:pPr>
              <w:pStyle w:val="Normal6a"/>
            </w:pPr>
            <w:r>
              <w:t>29.</w:t>
            </w:r>
            <w:r>
              <w:tab/>
            </w:r>
            <w:r>
              <w:t xml:space="preserve">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 </w:t>
            </w:r>
            <w:r>
              <w:rPr>
                <w:b/>
                <w:i/>
              </w:rPr>
              <w:t>подчертава, че е важно да се гарантира последователното осигуряване на Палатата на подходящо равнище човешки ресурси за изпълнение както на нейния мандат, така и на допълнителните отговорности, произтичащи от новите инструменти за финансиране, като Механизма за възстановяване и устойчивост;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w:t>
            </w:r>
          </w:p>
        </w:tc>
        <w:tc>
          <w:tcPr>
            <w:tcW w:w="4876" w:type="dxa"/>
            <w:tcBorders>
              <w:top w:val="nil"/>
              <w:left w:val="nil"/>
              <w:bottom w:val="nil"/>
              <w:right w:val="nil"/>
            </w:tcBorders>
          </w:tcPr>
          <w:p>
            <w:pPr>
              <w:pStyle w:val="Normal6a"/>
            </w:pPr>
            <w:r>
              <w:t>29.</w:t>
            </w:r>
            <w:r>
              <w:tab/>
            </w:r>
            <w:r>
              <w:t>припомня, че в края на 2023 г. бяха заети всичките 29 допълнителни длъжности (срочно наети служители), необходими за одита на изпълнението на бюджета от 723,8 милиарда евро на Механизма за възстановяване и устойчивост; разбира обаче, че съществеността, сложността, големите суми и бързо изпълнените плащания от Механизма за възстановяване и устойчивост продължават да пораждат предизвикателства и че настоящите ресурси не са достатъчни, за да се гарантира систематично, че разходите по Механизма за възстановяване и устойчивост са в съответствие с правилата на Съюза и националните правила, и за да се отговори на увеличените дейности на Съюза; подкрепя в този контекст искането на Палатата за преобразуване на 29-те служители на срочен договор, наети за осъществяването на свързани с Механизма за възстановяване и устойчивост одити, в постоянни длъжности</w:t>
            </w:r>
            <w:r>
              <w:rPr>
                <w:b/>
                <w:i/>
              </w:rPr>
              <w:t>, за да се гарантира, че Палатата е структурно подготвена да извършва одит на Механизма за възстановяване и устойчивост и на бъдещите инструменти, основани на изпълнението, включително МФР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отбелязва със задоволство, че и през 2024 г. Палатата надхвърли определената цел за професионално обучение, която е пет дни за неезиково обучение за одиторите годишно, в съответствие с препоръките на Международната федерация на счетоводителите, и два дни за служителите, чиито задачи не са свързани с одит (съответно 5,8 и 3,9 дни).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отбелязва, че през 2024 г. са докладвани 13 случая на професионално изчерпване, което е увеличение спрямо докладваните през 2023 г. седем случая; приветства факта, че Палатата предприе редица стъпки за намаляване на риска от професионално изчерпване, като въведе пълна програма за благосъстояние, предлага обучение за устойчивост, публикува и прилага насоки относно завръщането на работа след дългосрочен отпуск по болест, продължава да предлага първа помощ за психичното здраве и предоставя финансова подкрепа на служителите, като покрива разходите за десет сесии с психолог по техен избор; отбелязва по-специално, че през 2024 г. Палатата организира четири задължителни обучения за ръководители с акцент върху благосъстоянието на служителите, резултатите, равновесието между професионалния и личния живот и предотвратяването на професионално изчерпване;</w:t>
            </w:r>
          </w:p>
        </w:tc>
        <w:tc>
          <w:tcPr>
            <w:tcW w:w="4876" w:type="dxa"/>
            <w:tcBorders>
              <w:top w:val="nil"/>
              <w:left w:val="nil"/>
              <w:bottom w:val="nil"/>
              <w:right w:val="nil"/>
            </w:tcBorders>
          </w:tcPr>
          <w:p>
            <w:pPr>
              <w:pStyle w:val="Normal6a"/>
            </w:pPr>
            <w:r>
              <w:t>31.</w:t>
            </w:r>
            <w:r>
              <w:tab/>
            </w:r>
            <w:r>
              <w:t xml:space="preserve">отбелязва </w:t>
            </w:r>
            <w:r>
              <w:rPr>
                <w:b/>
                <w:i/>
              </w:rPr>
              <w:t>с дълбока загриженост</w:t>
            </w:r>
            <w:r>
              <w:t>, че през 2024 г. са докладвани 13 случая на професионално изчерпване, което е увеличение спрямо докладваните през 2023 г. седем случая</w:t>
            </w:r>
            <w:r>
              <w:rPr>
                <w:b/>
                <w:i/>
              </w:rPr>
              <w:t>;</w:t>
            </w:r>
            <w:r>
              <w:t xml:space="preserve"> </w:t>
            </w:r>
            <w:r>
              <w:rPr>
                <w:b/>
                <w:i/>
              </w:rPr>
              <w:t>призовава Палатата да извърши задълбочен и основан на доказателства анализ на причините за това значително увеличение на докладваните случаи на професионално изчерпване през 2024 г.</w:t>
            </w:r>
            <w:r>
              <w:t xml:space="preserve">; приветства факта, че Палатата предприе редица стъпки за намаляване на риска от професионално изчерпване, като въведе пълна програма за благосъстояние, предлага обучение за устойчивост, публикува и прилага насоки относно завръщането на работа след дългосрочен отпуск по болест, продължава да предлага първа помощ за психичното здраве и предоставя финансова подкрепа на служителите, като покрива разходите за десет сесии с психолог по техен избор; отбелязва по-специално, че през 2024 г. Палатата организира четири задължителни обучения за ръководители с акцент върху благосъстоянието на служителите, резултатите, равновесието между професионалния и личния живот и предотвратяването на професионално изчерпване; </w:t>
            </w:r>
            <w:r>
              <w:rPr>
                <w:b/>
                <w:i/>
              </w:rPr>
              <w:t>призовава Палатата, с оглед на констатациите от този анализ, да преразгледа и адаптира съответно своя подход с цел ефективно предотвратяване на професионалното изчерпване и подобряване на работната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отбелязва, че през 2024 г. са докладвани 13 случая на професионално изчерпване, което е увеличение спрямо докладваните през 2023 г. седем случая; приветства факта, че Палатата предприе редица стъпки за намаляване на риска от професионално изчерпване, като въведе пълна програма за благосъстояние, предлага обучение за устойчивост, публикува и прилага насоки относно завръщането на работа след дългосрочен отпуск по болест, продължава да предлага първа помощ за психичното здраве и предоставя финансова подкрепа на служителите, като покрива разходите за десет сесии с психолог по техен избор; отбелязва по-специално, че през 2024 г. Палатата организира четири задължителни обучения за ръководители с акцент върху благосъстоянието на служителите, резултатите, равновесието между професионалния и личния живот и предотвратяването на професионално изчерпване;</w:t>
            </w:r>
          </w:p>
        </w:tc>
        <w:tc>
          <w:tcPr>
            <w:tcW w:w="4876" w:type="dxa"/>
            <w:tcBorders>
              <w:top w:val="nil"/>
              <w:left w:val="nil"/>
              <w:bottom w:val="nil"/>
              <w:right w:val="nil"/>
            </w:tcBorders>
          </w:tcPr>
          <w:p>
            <w:pPr>
              <w:pStyle w:val="Normal6a"/>
            </w:pPr>
            <w:r>
              <w:t>31.</w:t>
            </w:r>
            <w:r>
              <w:tab/>
            </w:r>
            <w:r>
              <w:t>отбелязва, че през 2024 г. са докладвани 13 случая на професионално изчерпване, което е увеличение спрямо докладваните през 2023 г. седем случая</w:t>
            </w:r>
            <w:r>
              <w:rPr>
                <w:b/>
                <w:i/>
              </w:rPr>
              <w:t>;</w:t>
            </w:r>
            <w:r>
              <w:t xml:space="preserve"> </w:t>
            </w:r>
            <w:r>
              <w:rPr>
                <w:b/>
                <w:i/>
              </w:rPr>
              <w:t>отбелязва със загриженост значителното увеличение на докладваните случаи на професионално изчерпване през 2024 г.;</w:t>
            </w:r>
            <w:r>
              <w:t xml:space="preserve"> </w:t>
            </w:r>
            <w:r>
              <w:rPr>
                <w:b/>
                <w:i/>
              </w:rPr>
              <w:t>призовава Палатата да анализира допълнително разпределението на работното натоварване, организационните фактори и структурните рискове и да включи констатациите в своите практики за планиране и управление на човешките ресурси</w:t>
            </w:r>
            <w:r>
              <w:t>; приветства факта, че Палатата предприе редица стъпки за намаляване на риска от професионално изчерпване, като въведе пълна програма за благосъстояние, предлага обучение за устойчивост, публикува и прилага насоки относно завръщането на работа след дългосрочен отпуск по болест, продължава да предлага първа помощ за психичното здраве и предоставя финансова подкрепа на служителите, като покрива разходите за десет сесии с психолог по техен избор; отбелязва по-специално, че през 2024 г. Палатата организира четири задължителни обучения за ръководители с акцент върху благосъстоянието на служителите, резултатите, равновесието между професионалния и личния живот и предотвратяването на професионално изчерпване;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отбелязва въз основа на въпросника, че Палатата е предприела редица действия през 2024 г.</w:t>
            </w:r>
            <w:r>
              <w:t xml:space="preserve"> </w:t>
            </w:r>
            <w:r>
              <w:rPr>
                <w:b/>
                <w:i/>
              </w:rPr>
              <w:t>в съответствие със своя план за действие за многообразие и приобщаване за периода 2021 — 2025 г.</w:t>
            </w:r>
            <w:r>
              <w:t xml:space="preserve"> </w:t>
            </w:r>
            <w:r>
              <w:rPr>
                <w:b/>
                <w:i/>
              </w:rPr>
              <w:t>в различни области, като набиране на служители, обучение, професионална кариера, условия на труд и осведоменост на служителите;</w:t>
            </w:r>
            <w:r>
              <w:t xml:space="preserve"> </w:t>
            </w:r>
            <w:r>
              <w:rPr>
                <w:b/>
                <w:i/>
              </w:rPr>
              <w:t>отбелязва, че Палатата интегрира многообразието и приобщаването в своите процеси за управление на изпълнението, оценка, сертифициране и повишаване, както и в своите програми за обучение, като през 2024 г.</w:t>
            </w:r>
            <w:r>
              <w:t xml:space="preserve"> </w:t>
            </w:r>
            <w:r>
              <w:rPr>
                <w:b/>
                <w:i/>
              </w:rPr>
              <w:t>13 ръководители са преминали доброволна оценка по въпросите на многообразието и приобщаването;</w:t>
            </w:r>
            <w:r>
              <w:t xml:space="preserve"> </w:t>
            </w:r>
            <w:r>
              <w:rPr>
                <w:b/>
                <w:i/>
              </w:rPr>
              <w:t>приветства специализирания курс за обучение, озаглавен „Women managers rise up: skilling for success“ (Възход на жените мениджъри:</w:t>
            </w:r>
            <w:r>
              <w:t xml:space="preserve"> </w:t>
            </w:r>
            <w:r>
              <w:rPr>
                <w:b/>
                <w:i/>
              </w:rPr>
              <w:t>придобиване на умения за успех), който Палатата организира, за да насърчи жените да заемат ръководни длъжности;</w:t>
            </w:r>
            <w:r>
              <w:t xml:space="preserve"> </w:t>
            </w:r>
            <w:r>
              <w:rPr>
                <w:b/>
                <w:i/>
              </w:rPr>
              <w:t>приветства освен това новите програми на Палатата за положителни действия за стажантите и договорно наетите служители, насочени към хората с увреждания, като се предлагат два стажа годишно на хора с признати увреждания;</w:t>
            </w:r>
            <w:r>
              <w:t xml:space="preserve"> </w:t>
            </w:r>
            <w:r>
              <w:rPr>
                <w:b/>
                <w:i/>
              </w:rPr>
              <w:t>отбелязва със задоволство, че през 2024 г.</w:t>
            </w:r>
            <w:r>
              <w:t xml:space="preserve"> </w:t>
            </w:r>
            <w:r>
              <w:rPr>
                <w:b/>
                <w:i/>
              </w:rPr>
              <w:t>Палатата организира за четвърти път седмица на осведомеността относно уврежданията, по време на която беше въведена нова пътна карта за хората с увреждания, като по този начин се подчертават усилията на Палатата за по-приобщаващо работно място;</w:t>
            </w:r>
            <w:r>
              <w:t xml:space="preserve"> </w:t>
            </w:r>
            <w:r>
              <w:rPr>
                <w:b/>
                <w:i/>
              </w:rPr>
              <w:t>отбелязва със задоволство, че Палатата публикува и средносрочни прегледи на своя план за действие за многообразие и приобщаване, за да осигури прозрачност и ангажираност в цялата организация;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 Влад Василе-Войкулеску,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w:t>
            </w:r>
            <w:r>
              <w:rPr>
                <w:b/>
                <w:i/>
              </w:rPr>
              <w:t>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w:t>
            </w:r>
            <w:r>
              <w:t xml:space="preserve"> </w:t>
            </w:r>
            <w:r>
              <w:rPr>
                <w:b/>
                <w:i/>
              </w:rPr>
              <w:t>настоятелно</w:t>
            </w:r>
            <w:r>
              <w:t xml:space="preserve">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w:t>
            </w:r>
          </w:p>
        </w:tc>
        <w:tc>
          <w:tcPr>
            <w:tcW w:w="4876" w:type="dxa"/>
            <w:tcBorders>
              <w:top w:val="nil"/>
              <w:left w:val="nil"/>
              <w:bottom w:val="nil"/>
              <w:right w:val="nil"/>
            </w:tcBorders>
          </w:tcPr>
          <w:p>
            <w:pPr>
              <w:pStyle w:val="Normal6a"/>
            </w:pPr>
            <w:r>
              <w:t>35.</w:t>
            </w:r>
            <w:r>
              <w:tab/>
            </w:r>
            <w:r>
              <w:t xml:space="preserve">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 </w:t>
            </w:r>
            <w:r>
              <w:rPr>
                <w:b/>
                <w:i/>
              </w:rPr>
              <w:t>настоятелно призовава Палатата да поясни критериите, прилагани при вземането на решения по искания на Европейската прокуратура, и да гарантира, че тези решения не могат да се възприемат като възпрепятстващи съдебните разследвания;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w:t>
            </w:r>
            <w:r>
              <w:rPr>
                <w:b/>
                <w:i/>
              </w:rPr>
              <w:t>настоятелно призовава</w:t>
            </w:r>
            <w:r>
              <w:t xml:space="preserve"> Палатата </w:t>
            </w:r>
            <w:r>
              <w:rPr>
                <w:b/>
                <w:i/>
              </w:rPr>
              <w:t>да поддържа високо равнище на прозрачност и отчетност при сътрудничеството си</w:t>
            </w:r>
            <w:r>
              <w:t xml:space="preserve"> с Европейската прокуратура и </w:t>
            </w:r>
            <w:r>
              <w:rPr>
                <w:b/>
                <w:i/>
              </w:rPr>
              <w:t>други органи на Съюза, отговарящи за борбата срещу измами и неправомерни действия</w:t>
            </w:r>
            <w:r>
              <w:t>;</w:t>
            </w:r>
          </w:p>
        </w:tc>
        <w:tc>
          <w:tcPr>
            <w:tcW w:w="4876" w:type="dxa"/>
            <w:tcBorders>
              <w:top w:val="nil"/>
              <w:left w:val="nil"/>
              <w:bottom w:val="nil"/>
              <w:right w:val="nil"/>
            </w:tcBorders>
          </w:tcPr>
          <w:p>
            <w:pPr>
              <w:pStyle w:val="Normal6a"/>
            </w:pPr>
            <w:r>
              <w:t>35.</w:t>
            </w:r>
            <w:r>
              <w:tab/>
            </w:r>
            <w:r>
              <w:t xml:space="preserve">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w:t>
            </w:r>
            <w:r>
              <w:rPr>
                <w:b/>
                <w:i/>
              </w:rPr>
              <w:t>подчертава, че задължението на институциите на Съюза за лоялно сътрудничество изисква разрешенията за изслушване на служители като свидетели в наказателни разследвания да бъдат отказвани само при строго изключителни обстоятелства;</w:t>
            </w:r>
            <w:r>
              <w:t xml:space="preserve"> </w:t>
            </w:r>
            <w:r>
              <w:rPr>
                <w:b/>
                <w:i/>
              </w:rPr>
              <w:t>припомня, че тези решения не трябва да правят оценка на основателността на наказателното производство;</w:t>
            </w:r>
            <w:r>
              <w:t xml:space="preserve"> </w:t>
            </w:r>
            <w:r>
              <w:rPr>
                <w:b/>
                <w:i/>
              </w:rPr>
              <w:t>отново изразява надежда, че</w:t>
            </w:r>
            <w:r>
              <w:t xml:space="preserve"> Палатата </w:t>
            </w:r>
            <w:r>
              <w:rPr>
                <w:b/>
                <w:i/>
              </w:rPr>
              <w:t>ще гарантира пълно, навременно и добросъвестно сътрудничество</w:t>
            </w:r>
            <w:r>
              <w:t xml:space="preserve"> с Европейската прокуратура и </w:t>
            </w:r>
            <w:r>
              <w:rPr>
                <w:b/>
                <w:i/>
              </w:rPr>
              <w:t>надлежно ще информира органа по освобождаване от отговорност за всяко съответно развитие в тази област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настоятелно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w:t>
            </w:r>
          </w:p>
        </w:tc>
        <w:tc>
          <w:tcPr>
            <w:tcW w:w="4876" w:type="dxa"/>
            <w:tcBorders>
              <w:top w:val="nil"/>
              <w:left w:val="nil"/>
              <w:bottom w:val="nil"/>
              <w:right w:val="nil"/>
            </w:tcBorders>
          </w:tcPr>
          <w:p>
            <w:pPr>
              <w:pStyle w:val="Normal6a"/>
            </w:pPr>
            <w:r>
              <w:t>35.</w:t>
            </w:r>
            <w:r>
              <w:tab/>
            </w:r>
            <w:r>
              <w:t xml:space="preserve">отново изразява дълбока загриженост във връзка с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настоятелно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 </w:t>
            </w:r>
            <w:r>
              <w:rPr>
                <w:b/>
                <w:i/>
              </w:rPr>
              <w:t>и да гарантира, че имунитетът не се използва за възпрепятстване на законни съдебни производства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отново изразява дълбока загриженост във връзка с</w:t>
            </w:r>
            <w:r>
              <w:t xml:space="preserve">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настоятелно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w:t>
            </w:r>
          </w:p>
        </w:tc>
        <w:tc>
          <w:tcPr>
            <w:tcW w:w="4876" w:type="dxa"/>
            <w:tcBorders>
              <w:top w:val="nil"/>
              <w:left w:val="nil"/>
              <w:bottom w:val="nil"/>
              <w:right w:val="nil"/>
            </w:tcBorders>
          </w:tcPr>
          <w:p>
            <w:pPr>
              <w:pStyle w:val="Normal6a"/>
            </w:pPr>
            <w:r>
              <w:t>35.</w:t>
            </w:r>
            <w:r>
              <w:tab/>
            </w:r>
            <w:r>
              <w:rPr>
                <w:b/>
                <w:i/>
              </w:rPr>
              <w:t>отбелязва</w:t>
            </w:r>
            <w:r>
              <w:t xml:space="preserve"> отказа на Палатата да снеме имунитета на бившия си председател и решението на Палатата да отхвърли искането на Европейската прокуратура да позволи на редица служители на Палатата да свидетелстват във връзка с текущо наказателно разследване; отбелязва въз основа на доклада за последващите действия позицията на Палатата, че не е свалила посочения имунитет, тъй като Европейската прокуратура не е предоставила на Палатата достатъчно информация, която да ѝ позволи да разбере във връзка с кои действия са обвинени засегнатите лица и в каква степен тези действия биха могли да представляват престъпно поведение, като се позовава на съдебната практика като част от приложимата правна уредба в подкрепа на позицията на Палатата; отбелязва, че на 10 февруари 2025 г. Европейската прокуратура обжалва (дело T-99/25) пред Съда на Европейския съюз съгласно член 263, параграф 4 от ДФЕС решението на Палатата да отхвърли искането на Европейската прокуратура да позволи на редица служители на Палатата да свидетелстват в текущо наказателно разследване; отбелязва освен това, че горепосочената жалба не оспорва решението да не се снема имунитетът на засегнатите лица; подчертава, че правомощията на институциите на Съюза да отказват разрешение на своите служители да бъдат изслушвани като свидетели не включват изразяване на мнение по съществото на съдебното производство, в рамките на което служителите трябва да свидетелстват, и могат да бъдат използвани само в ситуации, при които е възможно интересите на Съюза, които трябва да бъдат от съществено значение и жизненоважни за Съюза, да бъдат изложени на риск; настоятелно призовава Палатата да поддържа високо равнище на прозрачност и отчетност при сътрудничеството си с Европейската прокуратура и други органи на Съюза, отговарящи за борбата срещу измами и неправомерни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призовава Палатата, в случаите, свързани с решения за снемане на имунитет на нейни членове, да предоставя на Парламента достатъчно подробни, неповерителни мотиви, за да се създадат условия за пълноценен демократичен контрол, като същевременно се зачитат изцяло съдебните производства и правата на засегнатите лица;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припомня факта, че Службата за вътрешен одит на Палатата извърши одит на етичната рамка, приложима за служителите и членовете на Палатата; отбелязва въз основа на окончателния доклад (02/2023), изпратен от Палатата на председателя на Парламента на 9 юли 2024 г., и въз основа на въпросника, че Службата за вътрешен одит е отправила 16 препоръки, 15 от които вече са изпълнени, а една препоръка относно конфликтите на интереси на служителите е в процес на изпълнение;</w:t>
            </w:r>
          </w:p>
        </w:tc>
        <w:tc>
          <w:tcPr>
            <w:tcW w:w="4876" w:type="dxa"/>
            <w:tcBorders>
              <w:top w:val="nil"/>
              <w:left w:val="nil"/>
              <w:bottom w:val="nil"/>
              <w:right w:val="nil"/>
            </w:tcBorders>
          </w:tcPr>
          <w:p>
            <w:pPr>
              <w:pStyle w:val="Normal6a"/>
            </w:pPr>
            <w:r>
              <w:t>42.</w:t>
            </w:r>
            <w:r>
              <w:tab/>
            </w:r>
            <w:r>
              <w:t xml:space="preserve">припомня факта, че Службата за вътрешен одит на Палатата извърши одит на етичната рамка, приложима за служителите и членовете на Палатата; отбелязва въз основа на окончателния доклад (02/2023), изпратен от Палатата на председателя на Парламента на 9 юли 2024 г., и въз основа на въпросника, че Службата за вътрешен одит е отправила 16 препоръки, 15 от които вече са изпълнени, а една препоръка относно конфликтите на интереси на служителите е в процес на изпълнение; </w:t>
            </w:r>
            <w:r>
              <w:rPr>
                <w:b/>
                <w:i/>
              </w:rPr>
              <w:t>настоятелно призовава Палатата да приключи незабавно препоръката в процес на изпълнение и я приканва да информира надлежно органа по освобождаване от отговорност за постигнатия в това отношение напредък;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отбелязва, че според доклада на Палатата през 2024 г. не са установени случаи на корупция или измами във вътрешните операции на Палатата; високо оценява факта, че Палатата организира превантивно обучение относно политиките и процедурите за борба с корупцията, десет сесии от което са проведени през 2024 г., като са присъствали общо 257 души; високо оценява факта, че според доклада за последващите действия през 2024 г. Палатата е </w:t>
            </w:r>
            <w:r>
              <w:rPr>
                <w:b/>
                <w:i/>
              </w:rPr>
              <w:t>издала</w:t>
            </w:r>
            <w:r>
              <w:t xml:space="preserve"> единен консолидиран документ относно борбата с измамите в контекста на своите одитни дейности, като по този начин е хармонизирала начина, по който одитните състави на Палатата разглеждат </w:t>
            </w:r>
            <w:r>
              <w:rPr>
                <w:b/>
                <w:i/>
              </w:rPr>
              <w:t>свързани с измами въпроси</w:t>
            </w:r>
            <w:r>
              <w:t>, разкрити по време на външната одитна дейност; отбелязва, че рискът от измами във връзка с вътрешните операции на Палатата се управлява чрез рамката за вътрешен контрол на Палатата, създадена с цел предотвратяване, откриване, коригиране и предприемане на последващи действия във връзка с всички нередности, свързани с членове или служители на Палатата, които биха могли да засегнат финансовите интереси на Съюза; отбелязва освен това становището на Палатата, че разработването на самостоятелна стратегия за борба с измамите за вътрешните операции ще доведе до непропорционална административна тежест, като се има предвид вече въведеният обстоен контрол, но въпреки това продължава да изисква от Палатата да приеме стратегия за борба с измамите, обхващаща всички видове операции;</w:t>
            </w:r>
          </w:p>
        </w:tc>
        <w:tc>
          <w:tcPr>
            <w:tcW w:w="4876" w:type="dxa"/>
            <w:tcBorders>
              <w:top w:val="nil"/>
              <w:left w:val="nil"/>
              <w:bottom w:val="nil"/>
              <w:right w:val="nil"/>
            </w:tcBorders>
          </w:tcPr>
          <w:p>
            <w:pPr>
              <w:pStyle w:val="Normal6a"/>
            </w:pPr>
            <w:r>
              <w:t>43.</w:t>
            </w:r>
            <w:r>
              <w:tab/>
            </w:r>
            <w:r>
              <w:t xml:space="preserve">отбелязва, че според доклада на Палатата през 2024 г. не са установени случаи на корупция или измами във вътрешните операции на Палатата; високо оценява факта, че Палатата организира превантивно обучение относно политиките и процедурите за борба с корупцията, десет сесии от което са проведени през 2024 г., като са присъствали общо 257 души; високо оценява факта, че според доклада за последващите действия през 2024 г. Палатата е </w:t>
            </w:r>
            <w:r>
              <w:rPr>
                <w:b/>
                <w:i/>
              </w:rPr>
              <w:t>публикувала</w:t>
            </w:r>
            <w:r>
              <w:t xml:space="preserve"> единен консолидиран документ относно </w:t>
            </w:r>
            <w:r>
              <w:rPr>
                <w:b/>
                <w:i/>
              </w:rPr>
              <w:t>разглеждането на свързани с </w:t>
            </w:r>
            <w:r>
              <w:t xml:space="preserve">борбата с измамите </w:t>
            </w:r>
            <w:r>
              <w:rPr>
                <w:b/>
                <w:i/>
              </w:rPr>
              <w:t>въпроси</w:t>
            </w:r>
            <w:r>
              <w:t> в контекста на своите одитни дейности</w:t>
            </w:r>
            <w:r>
              <w:rPr>
                <w:b/>
                <w:i/>
              </w:rPr>
              <w:t>, който предоставя изчерпателни и подробни насоки на одиторите на Палатата</w:t>
            </w:r>
            <w:r>
              <w:t xml:space="preserve">, като по този начин е хармонизирала начина, по който одитните състави на Палатата разглеждат </w:t>
            </w:r>
            <w:r>
              <w:rPr>
                <w:b/>
                <w:i/>
              </w:rPr>
              <w:t>случаите на предполагаема измама</w:t>
            </w:r>
            <w:r>
              <w:t xml:space="preserve">, </w:t>
            </w:r>
            <w:r>
              <w:rPr>
                <w:b/>
                <w:i/>
              </w:rPr>
              <w:t>корупция или друга незаконна дейност, засягащи финансовите интереси на Съюза и</w:t>
            </w:r>
            <w:r>
              <w:t xml:space="preserve"> разкрити по време на външната одитна дейност</w:t>
            </w:r>
            <w:r>
              <w:rPr>
                <w:b/>
                <w:i/>
              </w:rPr>
              <w:t>, и допринася за осигуряването на съгласуваност</w:t>
            </w:r>
            <w:r>
              <w:t>; отбелязва, че рискът от измами във връзка с вътрешните операции на Палатата се управлява чрез рамката за вътрешен контрол на Палатата, създадена с цел предотвратяване, откриване, коригиране и предприемане на последващи действия във връзка с всички нередности, свързани с членове или служители на Палатата, които биха могли да засегнат финансовите интереси на Съюза; отбелязва освен това становището на Палатата, че разработването на самостоятелна стратегия за борба с измамите за вътрешните операции ще доведе до непропорционална административна тежест, като се има предвид вече въведеният обстоен контрол, но въпреки това продължава да изисква от Палатата да приеме стратегия за борба с измамите, обхващаща всички видове операции;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отбелязва становището на Палатата, изразено в доклада за последващите действия, че ролята ѝ на независима външна одитна институция я поставя извън типичния обхват на субектите, които се стремят да взаимодействат с органите за вземане на решения на Съюза и да лобират пред тях; счита, че този аргумент не е изцяло приложим, тъй като Палатата изготвя специални доклади, в които проверява дали са постигнати целите на политиките и програмите на Съюза, което придава на работата на Палатата политическо или консултативно измерение, въпреки че Палатата не е орган за вземане на решения; припомня освен това, че има други органи на Съюза, които не вземат решения, както и консултативни органи на Съюза, които официално се присъединиха към регистъра за прозрачност на Съюза; </w:t>
            </w:r>
            <w:r>
              <w:rPr>
                <w:b/>
                <w:i/>
              </w:rPr>
              <w:t>поради това</w:t>
            </w:r>
            <w:r>
              <w:t xml:space="preserve"> отново призовава Палатата да се присъедини към регистъра за прозрачност</w:t>
            </w:r>
            <w:r>
              <w:rPr>
                <w:b/>
                <w:i/>
              </w:rPr>
              <w:t>, като по този начин се придържа към основните принципи на прозрачност, без това да създава пречки за пълната независимост на Палатата</w:t>
            </w:r>
            <w:r>
              <w:t>;</w:t>
            </w:r>
          </w:p>
        </w:tc>
        <w:tc>
          <w:tcPr>
            <w:tcW w:w="4876" w:type="dxa"/>
            <w:tcBorders>
              <w:top w:val="nil"/>
              <w:left w:val="nil"/>
              <w:bottom w:val="nil"/>
              <w:right w:val="nil"/>
            </w:tcBorders>
          </w:tcPr>
          <w:p>
            <w:pPr>
              <w:pStyle w:val="Normal6a"/>
            </w:pPr>
            <w:r>
              <w:t>44.</w:t>
            </w:r>
            <w:r>
              <w:tab/>
            </w:r>
            <w:r>
              <w:t xml:space="preserve">отбелязва становището на Палатата, изразено в доклада за последващите действия, че ролята ѝ на независима външна одитна институция я поставя извън типичния обхват на субектите, които се стремят да взаимодействат с органите за вземане на решения на Съюза и да лобират пред тях; счита, че този аргумент не е изцяло приложим, тъй като Палатата изготвя специални доклади, в които проверява дали са постигнати целите на политиките и програмите на Съюза, което придава на работата на Палатата политическо или консултативно измерение, въпреки че Палатата не е орган за вземане на решения; припомня освен това, че има други органи на Съюза, които не вземат решения, както и консултативни органи на Съюза, които официално се присъединиха към регистъра за прозрачност на Съюза; отново призовава Палатата </w:t>
            </w:r>
            <w:r>
              <w:rPr>
                <w:b/>
                <w:i/>
              </w:rPr>
              <w:t>незабавно</w:t>
            </w:r>
            <w:r>
              <w:t xml:space="preserve"> да се присъедини към регистъра за прозрачност </w:t>
            </w:r>
            <w:r>
              <w:rPr>
                <w:b/>
                <w:i/>
              </w:rPr>
              <w:t>в съответствие с практиките на други органи на Съюза, които не вземат решения, за да се укрепи общественото доверие, като същевременно напълно се запази независимостта ѝ като външен одитор на Съюза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решително подкрепя усилията на Палатата за развитие на екосистема от знания относно одита чрез цифровизация; отбелязва в този контекст въз основа на въпросника, че през 2024 г. Палатата е изпълнила няколко инициативи за повишаване на своя цифров капацитет и своята оперативна ефективност, включително интегрирането на ИТ системите за одит, повишаването на оперативната съвместимост между системите и приложенията, въвеждането на виртуален асистент за четене на документи (Document Reading Assistant, или DORA) в подкрепа на управлението на знанията в рамките на одитните дейности, въвеждането на услугата BibliotECA Discovery Collections и приемането на нова политика за цифрово архивиране; подчертава, че съчетаването на цифровизацията с увеличен брой посещения на място следва да доведе до по-ефективни и точни одитни резултати;</w:t>
            </w:r>
          </w:p>
        </w:tc>
        <w:tc>
          <w:tcPr>
            <w:tcW w:w="4876" w:type="dxa"/>
            <w:tcBorders>
              <w:top w:val="nil"/>
              <w:left w:val="nil"/>
              <w:bottom w:val="nil"/>
              <w:right w:val="nil"/>
            </w:tcBorders>
          </w:tcPr>
          <w:p>
            <w:pPr>
              <w:pStyle w:val="Normal6a"/>
            </w:pPr>
            <w:r>
              <w:t>46.</w:t>
            </w:r>
            <w:r>
              <w:tab/>
            </w:r>
            <w:r>
              <w:t xml:space="preserve">решително подкрепя усилията на Палатата за развитие на екосистема от знания относно одита чрез цифровизация; отбелязва в този контекст въз основа на въпросника, че през 2024 г. Палатата е изпълнила няколко инициативи за повишаване на своя цифров капацитет и своята оперативна ефективност, включително интегрирането на ИТ системите за одит, повишаването на оперативната съвместимост между системите и приложенията, въвеждането на виртуален асистент за четене на документи (Document Reading Assistant, или DORA) в подкрепа на управлението на знанията в рамките на одитните дейности, въвеждането на услугата BibliotECA Discovery Collections и приемането на нова политика за цифрово архивиране; подчертава, че съчетаването на цифровизацията с увеличен брой посещения на място следва да доведе до по-ефективни и точни одитни резултати; </w:t>
            </w:r>
            <w:r>
              <w:rPr>
                <w:b/>
                <w:i/>
              </w:rPr>
              <w:t>насърчава допълнителни инвестиции в подпомагани от ИИ инструменти за одит и в оперативната съвместимост на системите с цел повишаване на точността на одитите, намаляване на административната тежест и постигане на максимална икономическа ефективност;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w:t>
            </w:r>
            <w:r>
              <w:rPr>
                <w:b/>
                <w:i/>
              </w:rPr>
              <w:t>приветства освен това укрепването на управлението на ИИ на Палатата, като през 2024 г.</w:t>
            </w:r>
            <w:r>
              <w:t xml:space="preserve"> Палатата </w:t>
            </w:r>
            <w:r>
              <w:rPr>
                <w:b/>
                <w:i/>
              </w:rPr>
              <w:t>създаде консултативен комитет по ИИ и назначи кореспондент по ИИ;</w:t>
            </w:r>
            <w:r>
              <w:t xml:space="preserve"> </w:t>
            </w:r>
            <w:r>
              <w:rPr>
                <w:b/>
                <w:i/>
              </w:rPr>
              <w:t>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w:t>
            </w:r>
            <w:r>
              <w:t xml:space="preserve"> използването на </w:t>
            </w:r>
            <w:r>
              <w:rPr>
                <w:b/>
                <w:i/>
              </w:rPr>
              <w:t>ИИ, се състои от служители с експертен опит в различни области</w:t>
            </w:r>
            <w:r>
              <w:t xml:space="preserve">, </w:t>
            </w:r>
            <w:r>
              <w:rPr>
                <w:b/>
                <w:i/>
              </w:rPr>
              <w:t>така</w:t>
            </w:r>
            <w:r>
              <w:t xml:space="preserve"> че да се </w:t>
            </w:r>
            <w:r>
              <w:rPr>
                <w:b/>
                <w:i/>
              </w:rPr>
              <w:t>осигури всеобхватен подход и разбиране на въздействието на ИИ</w:t>
            </w:r>
            <w:r>
              <w:t>;</w:t>
            </w:r>
          </w:p>
        </w:tc>
        <w:tc>
          <w:tcPr>
            <w:tcW w:w="4876" w:type="dxa"/>
            <w:tcBorders>
              <w:top w:val="nil"/>
              <w:left w:val="nil"/>
              <w:bottom w:val="nil"/>
              <w:right w:val="nil"/>
            </w:tcBorders>
          </w:tcPr>
          <w:p>
            <w:pPr>
              <w:pStyle w:val="Normal6a"/>
            </w:pPr>
            <w:r>
              <w:t>47.</w:t>
            </w:r>
            <w:r>
              <w:tab/>
            </w:r>
            <w:r>
              <w:t xml:space="preserve">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w:t>
            </w:r>
            <w:r>
              <w:rPr>
                <w:b/>
                <w:i/>
              </w:rPr>
              <w:t>отбелязва, че</w:t>
            </w:r>
            <w:r>
              <w:t xml:space="preserve"> Палатата </w:t>
            </w:r>
            <w:r>
              <w:rPr>
                <w:b/>
                <w:i/>
              </w:rPr>
              <w:t>е разработила стратегия за</w:t>
            </w:r>
            <w:r>
              <w:t xml:space="preserve"> използването на </w:t>
            </w:r>
            <w:r>
              <w:rPr>
                <w:b/>
                <w:i/>
              </w:rPr>
              <w:t>инструменти с изкуствен интелект;</w:t>
            </w:r>
            <w:r>
              <w:t xml:space="preserve"> </w:t>
            </w:r>
            <w:r>
              <w:rPr>
                <w:b/>
                <w:i/>
              </w:rPr>
              <w:t>подчертава</w:t>
            </w:r>
            <w:r>
              <w:t xml:space="preserve">, че </w:t>
            </w:r>
            <w:r>
              <w:rPr>
                <w:b/>
                <w:i/>
              </w:rPr>
              <w:t>тяхното използване трябва да бъде строго ограничено до дейности, свързани с одит, и редовно</w:t>
            </w:r>
            <w:r>
              <w:t xml:space="preserve"> да се </w:t>
            </w:r>
            <w:r>
              <w:rPr>
                <w:b/>
                <w:i/>
              </w:rPr>
              <w:t>оценява от гледна точка на съотношението между разходите и ползите, сигурността на данните и добавената стойност</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Дамиан Бьозелагер</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приветства освен това укрепването на управлението на ИИ на Палатата, като през 2024 г. Палатата създаде консултативен комитет по ИИ и назначи кореспондент по ИИ; 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 използването на ИИ, се състои от служители с експертен опит в различни области, така че да се осигури всеобхватен подход и разбиране на въздействието на ИИ;</w:t>
            </w:r>
          </w:p>
        </w:tc>
        <w:tc>
          <w:tcPr>
            <w:tcW w:w="4876" w:type="dxa"/>
            <w:tcBorders>
              <w:top w:val="nil"/>
              <w:left w:val="nil"/>
              <w:bottom w:val="nil"/>
              <w:right w:val="nil"/>
            </w:tcBorders>
          </w:tcPr>
          <w:p>
            <w:pPr>
              <w:pStyle w:val="Normal6a"/>
            </w:pPr>
            <w:r>
              <w:t>47.</w:t>
            </w:r>
            <w:r>
              <w:tab/>
            </w:r>
            <w:r>
              <w:t xml:space="preserve">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приветства освен това укрепването на управлението на ИИ на Палатата, като през 2024 г. Палатата създаде консултативен комитет по ИИ и назначи кореспондент по ИИ; 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 използването на ИИ, се състои от служители с експертен опит в различни области, така че да се осигури всеобхватен подход и разбиране на въздействието на ИИ; </w:t>
            </w:r>
            <w:r>
              <w:rPr>
                <w:b/>
                <w:i/>
              </w:rPr>
              <w:t>призовава Палатата, като част от своята стратегия за изкуствения интелект, да разработи ясни показатели за оценка на добавената стойност, рисковете и ограниченията на подпомаганите от ИИ инструменти за одит и да докладва редовно на Парламента относно тяхното въздействие върху качеството, прозрачността и отговорността на одитите;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приветства освен това укрепването на управлението на ИИ на Палатата, като през 2024 г. Палатата създаде консултативен комитет по ИИ и назначи кореспондент по ИИ; 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 използването на ИИ, се състои от служители с експертен опит в различни области, така че да се осигури всеобхватен подход и разбиране на въздействието на ИИ;</w:t>
            </w:r>
          </w:p>
        </w:tc>
        <w:tc>
          <w:tcPr>
            <w:tcW w:w="4876" w:type="dxa"/>
            <w:tcBorders>
              <w:top w:val="nil"/>
              <w:left w:val="nil"/>
              <w:bottom w:val="nil"/>
              <w:right w:val="nil"/>
            </w:tcBorders>
          </w:tcPr>
          <w:p>
            <w:pPr>
              <w:pStyle w:val="Normal6a"/>
            </w:pPr>
            <w:r>
              <w:t>47.</w:t>
            </w:r>
            <w:r>
              <w:tab/>
            </w:r>
            <w:r>
              <w:t xml:space="preserve">високо оценява публикуването на първоначалната стратегия на Палатата за изкуствения интелект и пътната карта за внедряване за периода 2024 — 2025 г.; отбелязва със задоволство въз основа на въпросника, че Палатата е постигнала стабилен напредък в изпълнението на тази стратегия, като се е съсредоточила, наред с другото, върху изпитването и подготовката за внедряването на инструменти като Microsoft Copilot и GPT@EC, повишаването на осведомеността на служителите чрез целенасочено обучение в областта на ИИ, както и изпитването на приложения с ИИ в хода на одитната работа и споделянето на предварителни констатации; приветства освен това укрепването на управлението на ИИ на Палатата, като през 2024 г. Палатата създаде консултативен комитет по ИИ и назначи кореспондент по ИИ; отбелязва със задоволство, че консултативният комитет по ИИ, чиято роля е да подкрепя и дава съвети на Палатата при изпълнението на нейните задължения, произтичащи от правната и етичната рамка, уреждаща използването на ИИ, се състои от служители с експертен опит в различни области, така че да се осигури всеобхватен подход и разбиране на въздействието на ИИ; </w:t>
            </w:r>
            <w:r>
              <w:rPr>
                <w:b/>
                <w:i/>
              </w:rPr>
              <w:t>подчертава, че при използването на изкуствен интелект трябва да се гарантират строги принципи на етично използване, прозрачност, защита на данните, човешки надзор и защита срещу алгоритмични предубеждения и злоупотреба;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отбелязва със загриженост, че Палатата беше подложена на кибератака, за която пое отговорност проруска група и при която беше деактивиран нейният публичен уебсайт като част от координирано действие за дестабилизиране на изборите за Европейски парламент през 2024 г.;</w:t>
            </w:r>
            <w:r>
              <w:t xml:space="preserve"> </w:t>
            </w:r>
            <w:r>
              <w:rPr>
                <w:b/>
                <w:i/>
              </w:rPr>
              <w:t>приветства ангажимента на Палатата за преоценка на рисковете за киберсигурността най-малко на всеки две години;</w:t>
            </w:r>
            <w:r>
              <w:t xml:space="preserve"> </w:t>
            </w:r>
            <w:r>
              <w:rPr>
                <w:b/>
                <w:i/>
              </w:rPr>
              <w:t>насърчава непрекъснатото провеждане на редовно обучение на служителите относно киберзаплахите с цел повишаване на институционалната издръжливост;</w:t>
            </w:r>
            <w:r>
              <w:t xml:space="preserve"> </w:t>
            </w:r>
            <w:r>
              <w:rPr>
                <w:b/>
                <w:i/>
              </w:rPr>
              <w:t>приканва Палатата да информира редовно органа по освобождаване от отговорност за резултатите от всяка оценка на рисковете за киберсигурността, която Палатата извършва в контекста на прилагането на Регламент (ЕС, Евратом) 2023/2841</w:t>
            </w:r>
            <w:r>
              <w:rPr>
                <w:b/>
                <w:i/>
                <w:vertAlign w:val="superscript"/>
              </w:rPr>
              <w:t>1</w:t>
            </w:r>
            <w:r>
              <w:rPr>
                <w:b/>
                <w:i/>
              </w:rPr>
              <w:t>;</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Регламент (ЕС, Евратом) 2023/2841 на Европейския парламент и на Съвета от 13 декември 2023 г.</w:t>
            </w:r>
            <w:r>
              <w:t xml:space="preserve"> </w:t>
            </w:r>
            <w:r>
              <w:rPr>
                <w:b/>
                <w:i/>
              </w:rPr>
              <w:t>за определяне на мерки за високо общо ниво на киберсигурност в институциите, органите, службите и агенциите на Съюза (ОВ L, 2023/2841, 18.12.2023 г.,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приветства планираните за 2025 г. инициативи, които имат за цел допълнително укрепване на цифровата трансформация и киберсигурността, като внедряването на Microsoft Copilot, прилагането на местни модели на генеративен ИИ и инсталирането на биометрична проверка на преносимите компютри; отбелязва също така плана на Палатата да модернизира своята ИТ инфраструктура с нови сървъри, да инсталира нови способности в подкрепа на комбинираните заседания и да задълбочи сътрудничеството си с Междуинституционалния комитет за цифрова трансформация в областта на нововъзникващите технологии, като ИИ;</w:t>
            </w:r>
          </w:p>
        </w:tc>
        <w:tc>
          <w:tcPr>
            <w:tcW w:w="4876" w:type="dxa"/>
            <w:tcBorders>
              <w:top w:val="nil"/>
              <w:left w:val="nil"/>
              <w:bottom w:val="nil"/>
              <w:right w:val="nil"/>
            </w:tcBorders>
          </w:tcPr>
          <w:p>
            <w:pPr>
              <w:pStyle w:val="Normal6a"/>
            </w:pPr>
            <w:r>
              <w:t>50.</w:t>
            </w:r>
            <w:r>
              <w:tab/>
            </w:r>
            <w:r>
              <w:t xml:space="preserve">приветства планираните за 2025 г. инициативи, които имат за цел допълнително укрепване на цифровата трансформация и киберсигурността, като внедряването на Microsoft Copilot, прилагането на местни модели на генеративен ИИ и инсталирането на биометрична проверка на преносимите компютри; отбелязва също така плана на Палатата да модернизира своята ИТ инфраструктура с нови сървъри, да инсталира нови способности в подкрепа на комбинираните заседания и да задълбочи сътрудничеството си с Междуинституционалния комитет за цифрова трансформация в областта на нововъзникващите технологии, като ИИ; </w:t>
            </w:r>
            <w:r>
              <w:rPr>
                <w:b/>
                <w:i/>
              </w:rPr>
              <w:t>подчертава, че допълнителни разходи за комбинирани заседания и техническа инфраструктура следва да се допускат само въз основа на ясен анализ на потребностите и в рамките на съществуващите бюджетни тавани;</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Подзаглавие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Околна среда и устойчивост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приветства със задоволство постоянните усилия на Палатата да бъде устойчива институция;</w:t>
            </w:r>
            <w:r>
              <w:t xml:space="preserve"> </w:t>
            </w:r>
            <w:r>
              <w:rPr>
                <w:b/>
                <w:i/>
              </w:rPr>
              <w:t>отбелязва, че през 2024 г.</w:t>
            </w:r>
            <w:r>
              <w:t xml:space="preserve"> </w:t>
            </w:r>
            <w:r>
              <w:rPr>
                <w:b/>
                <w:i/>
              </w:rPr>
              <w:t>Палатата публикува своя четвърти доклад за устойчивостта, в който се измерва икономическото, социалното и екологичното въздействие на операциите на Палатата;</w:t>
            </w:r>
            <w:r>
              <w:t xml:space="preserve"> </w:t>
            </w:r>
            <w:r>
              <w:rPr>
                <w:b/>
                <w:i/>
              </w:rPr>
              <w:t>отбелязва със задоволство, че 91% от специалните доклади и прегледи на Палатата, публикувани през 2024 г., обхващат теми, свързани с целите на ООН за устойчиво развитие;</w:t>
            </w:r>
            <w:r>
              <w:t xml:space="preserve"> </w:t>
            </w:r>
            <w:r>
              <w:rPr>
                <w:b/>
                <w:i/>
              </w:rPr>
              <w:t>приветства факта, че през 2024 г.</w:t>
            </w:r>
            <w:r>
              <w:t xml:space="preserve"> </w:t>
            </w:r>
            <w:r>
              <w:rPr>
                <w:b/>
                <w:i/>
              </w:rPr>
              <w:t>40% от договорите за обществени поръчки на Палатата включват критерии за екологосъобразна и кръгова икономика, а 98% от стоките и услугите са закупени от местни доставчици;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отбелязва, че Палатата е сертифицирана по EMAS и има политика в областта на околната среда от 2014 г.</w:t>
            </w:r>
            <w:r>
              <w:t xml:space="preserve"> </w:t>
            </w:r>
            <w:r>
              <w:rPr>
                <w:b/>
                <w:i/>
              </w:rPr>
              <w:t>насам, която беше актуализирана през 2025 г.;</w:t>
            </w:r>
            <w:r>
              <w:t xml:space="preserve"> </w:t>
            </w:r>
            <w:r>
              <w:rPr>
                <w:b/>
                <w:i/>
              </w:rPr>
              <w:t>отбелязва, че Палатата измерва своя въглероден отпечатък, като използва последната версия на метода Bilan Carbon, който обхваща области на оперативно (дейности на Палатата) и организационно (трите сгради в Люксембург) равнище;</w:t>
            </w:r>
            <w:r>
              <w:t xml:space="preserve"> </w:t>
            </w:r>
            <w:r>
              <w:rPr>
                <w:b/>
                <w:i/>
              </w:rPr>
              <w:t>отбелязва, че общите емисии на парникови газове на Палатата през 2024 г.</w:t>
            </w:r>
            <w:r>
              <w:t xml:space="preserve"> </w:t>
            </w:r>
            <w:r>
              <w:rPr>
                <w:b/>
                <w:i/>
              </w:rPr>
              <w:t>са 9 108 тона CO</w:t>
            </w:r>
            <w:r>
              <w:rPr>
                <w:b/>
                <w:i/>
                <w:vertAlign w:val="subscript"/>
              </w:rPr>
              <w:t>2</w:t>
            </w:r>
            <w:r>
              <w:rPr>
                <w:b/>
                <w:i/>
              </w:rPr>
              <w:t>, което представлява намаление с 15% спрямо емисиите през 2014 г., но и увеличение с 1,60% спрямо тези през 2023 г.;</w:t>
            </w:r>
            <w:r>
              <w:t xml:space="preserve"> </w:t>
            </w:r>
            <w:r>
              <w:rPr>
                <w:b/>
                <w:i/>
              </w:rPr>
              <w:t>отбелязва, че закупуването на стоки и услуги и пътническият транспорт са допринесли най-много за общите емисии на Палатата през 2024 г., тоест съответно 31 и 29%;</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Ондржей Кнотек, Жюлиен Санчез, 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подчертава, че инициативите в областта на околната среда в рамките на институциите на Съюза трябва да останат икономически ефективни и технологично неутрални;</w:t>
            </w:r>
            <w:r>
              <w:t xml:space="preserve"> </w:t>
            </w:r>
            <w:r>
              <w:rPr>
                <w:b/>
                <w:i/>
              </w:rPr>
              <w:t>призовава Палатата да предостави прозрачен анализ на разходите и ползите от своите екологосъобразни инвестиции и практики за възлагане на обществени поръчки и да гарантира, че екологичните съображения не надделяват над ефективността или бюджетната дисциплина.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отбелязва със задоволство екологичната декларация на Палатата, в която се представят резултатите за 2024 г., включително вече предприетите и планираните за изпълнение действия, които имат за цел да намалят въздействието на дейностите на Палатата върху околната среда и да постигнат или надхвърлят нейните годишни цели за екологични резултати;</w:t>
            </w:r>
            <w:r>
              <w:t xml:space="preserve"> </w:t>
            </w:r>
            <w:r>
              <w:rPr>
                <w:b/>
                <w:i/>
              </w:rPr>
              <w:t>отбелязва, че Палатата измерва своите екологични резултати, като използва набор от показатели и еталони за отлични постижения;</w:t>
            </w:r>
            <w:r>
              <w:t xml:space="preserve"> </w:t>
            </w:r>
            <w:r>
              <w:rPr>
                <w:b/>
                <w:i/>
              </w:rPr>
              <w:t>отбелязва, че Палатата има набор от общи и специфични цели в рамките на своята програма в областта на околната среда за периода 2023 — 2025 г., повечето от които са постигнати през 2024 г., по-специално по отношение на намаляването на потреблението на енергия на Палатата (електроенергия: - 24%;</w:t>
            </w:r>
            <w:r>
              <w:t xml:space="preserve"> </w:t>
            </w:r>
            <w:r>
              <w:rPr>
                <w:b/>
                <w:i/>
              </w:rPr>
              <w:t>отопление: - 21,80%), емисиите във въздуха (- 30%) и потреблението на вода (- 45%), както и по отношение на увеличаването на броя на процедурите за възлагане на обществени поръчки, които включват екологични критерии (над 30%);</w:t>
            </w:r>
            <w:r>
              <w:t xml:space="preserve"> </w:t>
            </w:r>
            <w:r>
              <w:rPr>
                <w:b/>
                <w:i/>
              </w:rPr>
              <w:t>независимо от това отбелязва обръщане на тенденцията по отношение на броя на отпечатаните страници (+ 9,1%) и на намаляването на количеството на отпадъците, генерирани за годината (+ 27,50%);</w:t>
            </w:r>
            <w:r>
              <w:t xml:space="preserve"> </w:t>
            </w:r>
            <w:r>
              <w:rPr>
                <w:b/>
                <w:i/>
              </w:rPr>
              <w:t>оценява действията на Палатата за противодействие на отрицателното ѝ въздействие върху биологичното разнообразие;</w:t>
            </w:r>
            <w:r>
              <w:t xml:space="preserve"> </w:t>
            </w:r>
            <w:r>
              <w:rPr>
                <w:b/>
                <w:i/>
              </w:rPr>
              <w:t>отбелязва, че сградите на Палатата са домакин на няколко пчелни семейства, произвеждащи мед, който се добива от доброволци сред служителите, и участва в инициативи за засаждане на дървета в Люксембург, както и в други дейности, свързани с околната среда, като част от участието на Палатата в междуинституционалните дни на EMAS на ЕС през 2024 г.;</w:t>
            </w:r>
            <w:r>
              <w:t xml:space="preserve"> </w:t>
            </w:r>
            <w:r>
              <w:rPr>
                <w:b/>
                <w:i/>
              </w:rPr>
              <w:t>приветства увеличаването на броя на служителите, използващи споделени велосипеди в града, от 172 през 2023 г.</w:t>
            </w:r>
            <w:r>
              <w:t xml:space="preserve"> </w:t>
            </w:r>
            <w:r>
              <w:rPr>
                <w:b/>
                <w:i/>
              </w:rPr>
              <w:t>на 201 през 2024 г.;</w:t>
            </w:r>
            <w:r>
              <w:t xml:space="preserve"> </w:t>
            </w:r>
            <w:r>
              <w:rPr>
                <w:b/>
                <w:i/>
              </w:rPr>
              <w:t>приветства подкрепата на Палатата за използването на мобилността за пътуване до и от работното място, например с велосипед, като покрива разходите за абонамент за схемата за съвместно ползване на велосипеди в град Люксембург или за обществения транспорт и частично възстановява разходите за абонамент за служителите, които живеят извън Люксембург, като се отчита увеличение на броя на възползвалите се от този вид схема за възстановяване на разходите от 28 през 2023 г.</w:t>
            </w:r>
            <w:r>
              <w:t xml:space="preserve"> </w:t>
            </w:r>
            <w:r>
              <w:rPr>
                <w:b/>
                <w:i/>
              </w:rPr>
              <w:t>на 30 през 2024 г.;</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Оливие Шастел, Жил Боайе, Влад Василе-Войкулеску, Михал Виезик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63а.</w:t>
            </w:r>
            <w:r>
              <w:tab/>
            </w:r>
            <w:r>
              <w:rPr>
                <w:b/>
                <w:i/>
              </w:rPr>
              <w:t>подчертава важната роля на ЕСП в структурата за борба с измамите;</w:t>
            </w:r>
            <w:r>
              <w:t xml:space="preserve"> </w:t>
            </w:r>
            <w:r>
              <w:rPr>
                <w:b/>
                <w:i/>
              </w:rPr>
              <w:t>изтъква, че нейните одити и специални доклади систематично установяват слабости, нередности и рискове, като по този начин предизвикват корективни действия и действия за събиране на вземания от страна на Комисията, държавите членки и други участници в структурата за борба с измамите;</w:t>
            </w:r>
            <w:r>
              <w:t xml:space="preserve"> </w:t>
            </w:r>
            <w:r>
              <w:rPr>
                <w:b/>
                <w:i/>
              </w:rPr>
              <w:t>подчертава, че чрез тази надзорна функция ЕСП не само повишава прозрачността и отчетността, но също така укрепва цялостния капацитет на системата на ЕС за възпиране и откриване, като гарантира, че публичните средства се управляват добре и са защитени от измами и злоупотреби;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отново изразява съжаление, че въпреки подобрения достъп до документи и информация</w:t>
            </w:r>
            <w:r>
              <w:t xml:space="preserve"> на Европейската инвестиционна банка </w:t>
            </w:r>
            <w:r>
              <w:rPr>
                <w:b/>
                <w:i/>
              </w:rPr>
              <w:t>(ЕИБ), Палатата не разполага с мандат за одит на операции, финансирани със собствени средства на ЕИБ</w:t>
            </w:r>
            <w:r>
              <w:t xml:space="preserve">; </w:t>
            </w:r>
            <w:r>
              <w:rPr>
                <w:b/>
                <w:i/>
              </w:rPr>
              <w:t>призовава Палатата да получи такъв мандат, като се има предвид мисията на ЕИБ да изпълнява целите на Съюза и нарастващата ѝ роля в икономическата и политическата среда на Съюза, която надхвърля използването на бюджета на Съюза за гарантиране на неговите операции;</w:t>
            </w:r>
            <w:r>
              <w:t xml:space="preserve"> </w:t>
            </w:r>
            <w:r>
              <w:rPr>
                <w:b/>
                <w:i/>
              </w:rPr>
              <w:t>припомня, че в своя Специален доклад 05/2023, озаглавен „Финансова среда на ЕС — Съчетание от разнородни елементи, което се нуждае от допълнително опростяване и по-голяма отчетност“, Палатата заявява, че следва да бъдат предоставени правомощия за публичен одит на всякакъв вид финансиране на политиките на ЕС;</w:t>
            </w:r>
          </w:p>
        </w:tc>
        <w:tc>
          <w:tcPr>
            <w:tcW w:w="4876" w:type="dxa"/>
            <w:tcBorders>
              <w:top w:val="nil"/>
              <w:left w:val="nil"/>
              <w:bottom w:val="nil"/>
              <w:right w:val="nil"/>
            </w:tcBorders>
          </w:tcPr>
          <w:p>
            <w:pPr>
              <w:pStyle w:val="Normal6a"/>
            </w:pPr>
            <w:r>
              <w:t>65.</w:t>
            </w:r>
            <w:r>
              <w:tab/>
            </w:r>
            <w:r>
              <w:rPr>
                <w:b/>
                <w:i/>
              </w:rPr>
              <w:t>припомня, че всяко разширяване на одитния мандат на Палатата по отношение</w:t>
            </w:r>
            <w:r>
              <w:t xml:space="preserve"> на Европейската инвестиционна банка </w:t>
            </w:r>
            <w:r>
              <w:rPr>
                <w:b/>
                <w:i/>
              </w:rPr>
              <w:t>изисква ясно правно основание и внимателна оценка на отговорностите</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подкрепя разрастващата се медийна стратегия на Палатата, която доведе до рекорд от над 24 000 публикувани онлайн статии през 2024 г.</w:t>
            </w:r>
            <w:r>
              <w:t xml:space="preserve"> </w:t>
            </w:r>
            <w:r>
              <w:rPr>
                <w:b/>
                <w:i/>
              </w:rPr>
              <w:t>относно одитните доклади на Палатата, други публикации или Палатата въобще, като по този начин се утвърждава възходящата тенденция в отразяването, наблюдавана през последните години (2023 г.:</w:t>
            </w:r>
            <w:r>
              <w:t xml:space="preserve"> </w:t>
            </w:r>
            <w:r>
              <w:rPr>
                <w:b/>
                <w:i/>
              </w:rPr>
              <w:t>22 000;</w:t>
            </w:r>
            <w:r>
              <w:t xml:space="preserve"> </w:t>
            </w:r>
            <w:r>
              <w:rPr>
                <w:b/>
                <w:i/>
              </w:rPr>
              <w:t>2022 г.:</w:t>
            </w:r>
            <w:r>
              <w:t xml:space="preserve"> </w:t>
            </w:r>
            <w:r>
              <w:rPr>
                <w:b/>
                <w:i/>
              </w:rPr>
              <w:t>20 000;</w:t>
            </w:r>
            <w:r>
              <w:t xml:space="preserve"> </w:t>
            </w:r>
            <w:r>
              <w:rPr>
                <w:b/>
                <w:i/>
              </w:rPr>
              <w:t>2021 г.:</w:t>
            </w:r>
            <w:r>
              <w:t xml:space="preserve"> </w:t>
            </w:r>
            <w:r>
              <w:rPr>
                <w:b/>
                <w:i/>
              </w:rPr>
              <w:t>18 000);</w:t>
            </w:r>
            <w:r>
              <w:t xml:space="preserve"> </w:t>
            </w:r>
            <w:r>
              <w:rPr>
                <w:b/>
                <w:i/>
              </w:rPr>
              <w:t>със задоволство отбелязва, че според доклада на Палатата се е увеличил броят на посетителите на уебсайта на Палатата, въведен в експлоатация през 2023 г., със 780 000 посещения през 2024 г. (700 000 през 2023 г.), 1 295 025 уникални прегледа на страници и 56 440 изтегляния;</w:t>
            </w:r>
            <w:r>
              <w:t xml:space="preserve"> </w:t>
            </w:r>
            <w:r>
              <w:rPr>
                <w:b/>
                <w:i/>
              </w:rPr>
              <w:t>приветства факта, че до края на 2024 г.</w:t>
            </w:r>
            <w:r>
              <w:t xml:space="preserve"> </w:t>
            </w:r>
            <w:r>
              <w:rPr>
                <w:b/>
                <w:i/>
              </w:rPr>
              <w:t>четирите главни профила на Палатата в социалните мрежи (X, LinkedIn, Facebook и Instagram) са привлекли над 61 500 последователи спрямо 55 000 през 2023 г.</w:t>
            </w:r>
            <w:r>
              <w:t xml:space="preserve"> </w:t>
            </w:r>
            <w:r>
              <w:rPr>
                <w:b/>
                <w:i/>
              </w:rPr>
              <w:t>и 49 500 през 2022 г.;</w:t>
            </w:r>
            <w:r>
              <w:t xml:space="preserve"> </w:t>
            </w:r>
            <w:r>
              <w:rPr>
                <w:b/>
                <w:i/>
              </w:rPr>
              <w:t>приветства Палатата за публикуването през ноември 2024 г.</w:t>
            </w:r>
            <w:r>
              <w:t xml:space="preserve"> </w:t>
            </w:r>
            <w:r>
              <w:rPr>
                <w:b/>
                <w:i/>
              </w:rPr>
              <w:t>на първия ѝ месечен бюлетин в LinkedIn (ECA Insights), който представя акценти от последните доклади и предварителни прегледи на предстоящи одити и който привлече над 8 500 абонати до края на посочената година;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приветства факта, че Палатата разполага с цифрово достъпен уебсайт (ниво A++), който се одитира два пъти годишно от външен консултант, за да се оцени дали уебсайтът е съобразен със съответните стандарти за достъпност и да се установят пречките пред достъпността за потребителите с увреждания;</w:t>
            </w:r>
            <w:r>
              <w:t xml:space="preserve"> </w:t>
            </w:r>
            <w:r>
              <w:rPr>
                <w:b/>
                <w:i/>
              </w:rPr>
              <w:t>високо оценява факта, че като цяло постигането на достъпност се оценява като много добро, и отбелязва, че в резултат на одита са предложени някои препоръки за допълнително повишаване и за поддържане на нивото на достъпност на уебсайта;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отбелязва, че през 2024 г. Палатата публикува 44 съобщения за пресата на 24 езика на ЕС, както и различни информационни бележки, информация за медиите и готови за публикация аудио изявления на някои езици; отбелязва, че освен това тя проведе 20 онлайн пресконференции и 14 допълнителни брифинга за пресата по държави за представяне на годишния доклад за разглежданата година; подчертава, че </w:t>
            </w:r>
            <w:r>
              <w:rPr>
                <w:b/>
                <w:i/>
              </w:rPr>
              <w:t>в брифингите за пресата участваха общо 876 журналисти, повечето от които представители на големи национални медии на държавите членки</w:t>
            </w:r>
            <w:r>
              <w:t>;</w:t>
            </w:r>
          </w:p>
        </w:tc>
        <w:tc>
          <w:tcPr>
            <w:tcW w:w="4876" w:type="dxa"/>
            <w:tcBorders>
              <w:top w:val="nil"/>
              <w:left w:val="nil"/>
              <w:bottom w:val="nil"/>
              <w:right w:val="nil"/>
            </w:tcBorders>
          </w:tcPr>
          <w:p>
            <w:pPr>
              <w:pStyle w:val="Normal6a"/>
            </w:pPr>
            <w:r>
              <w:t>70.</w:t>
            </w:r>
            <w:r>
              <w:tab/>
            </w:r>
            <w:r>
              <w:t xml:space="preserve">отбелязва, че през 2024 г. Палатата публикува 44 съобщения за пресата на 24 езика на ЕС, както и различни информационни бележки, информация за медиите и готови за публикация аудио изявления на някои езици; отбелязва, че освен това тя проведе 20 онлайн пресконференции и 14 допълнителни брифинга за пресата по държави за представяне на годишния доклад за разглежданата година; </w:t>
            </w:r>
            <w:r>
              <w:rPr>
                <w:b/>
                <w:i/>
              </w:rPr>
              <w:t>отбелязва тези дейности и</w:t>
            </w:r>
            <w:r>
              <w:t xml:space="preserve"> подчертава, че </w:t>
            </w:r>
            <w:r>
              <w:rPr>
                <w:b/>
                <w:i/>
              </w:rPr>
              <w:t>комуникационните дейности на Палатата следва да бъдат строго ограничени до обективното съобщаване на резултатите от одитите</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70б.</w:t>
            </w:r>
            <w:r>
              <w:tab/>
            </w:r>
            <w:r>
              <w:rPr>
                <w:b/>
                <w:i/>
              </w:rPr>
              <w:t>приветства Специален доклад 11/2025 на Европейската сметна палата, озаглавен</w:t>
            </w:r>
            <w:r>
              <w:t xml:space="preserve"> </w:t>
            </w:r>
            <w:r>
              <w:rPr>
                <w:b/>
                <w:i/>
              </w:rPr>
              <w:t>„Прозрачност на финансирането от ЕС за неправителствени организации“;</w:t>
            </w:r>
            <w:r>
              <w:t xml:space="preserve"> </w:t>
            </w:r>
            <w:r>
              <w:rPr>
                <w:b/>
                <w:i/>
              </w:rPr>
              <w:t>отбелязва със загриженост установените в него проблеми, включително недостатъците по отношение на прозрачността, класифицирането и надзора;</w:t>
            </w:r>
            <w:r>
              <w:t xml:space="preserve"> </w:t>
            </w:r>
            <w:r>
              <w:rPr>
                <w:b/>
                <w:i/>
              </w:rPr>
              <w:t>подчертава необходимостта ЕСП да продължи и да задълбочи мониторинга и докладването си по тези въпроси, за да се осигури пълно спазване на финансовите правила, изискванията за прозрачност и основните ценности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70а.</w:t>
            </w:r>
            <w:r>
              <w:tab/>
            </w:r>
            <w:r>
              <w:rPr>
                <w:b/>
                <w:i/>
              </w:rPr>
              <w:t>при тези обстоятелства насърчава Палатата да изготви специален доклад относно финансирането от ЕС, предоставяно на НПО, действащи в контекста на Газа, и на организации, участващи в създаването на учебници за палестинските училища;</w:t>
            </w:r>
            <w:r>
              <w:t xml:space="preserve"> </w:t>
            </w:r>
            <w:r>
              <w:rPr>
                <w:b/>
                <w:i/>
              </w:rPr>
              <w:t>подчертава, че този контрол е от решаващо значение, за да се гарантира, че средствата на ЕС не се отклоняват, пряко или косвено, към терористични организации или свързани с тях лица, нито се използват по начин, който насърчава омразата, радикализацията или подбуждането към насилие, и за да се осигури пълно спазване на финансовите правила на ЕС, стандартите за прозрачност и основните ценности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приветства факта, че за да увеличи обществената ангажираност, от 2024 г.</w:t>
            </w:r>
            <w:r>
              <w:t xml:space="preserve"> </w:t>
            </w:r>
            <w:r>
              <w:rPr>
                <w:b/>
                <w:i/>
              </w:rPr>
              <w:t>насам Палатата предоставя на гражданите възможност да допринасят за нейната работна програма, като правят одитни предложения чрез уебсайта на Палатата;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AM\1336164BG.docx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AM\1336164BG.docx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AM\1336164BG.docx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14139</Words>
  <Characters>83116</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374729</vt:lpwstr>
  </property>
  <property fmtid="{D5CDD505-2E9C-101B-9397-08002B2CF9AE}" pid="7" name="dmxml.render.traceId">
    <vt:lpwstr>698c5cc314ba61fa30fe2b16a82220b1</vt:lpwstr>
  </property>
  <property fmtid="{D5CDD505-2E9C-101B-9397-08002B2CF9AE}" pid="8" name="FooterPath">
    <vt:lpwstr>AM\1336164BG.docx</vt:lpwstr>
  </property>
  <property fmtid="{D5CDD505-2E9C-101B-9397-08002B2CF9AE}" pid="9" name="PE Number">
    <vt:lpwstr>782.521</vt:lpwstr>
  </property>
  <property fmtid="{D5CDD505-2E9C-101B-9397-08002B2CF9AE}" pid="10" name="UID">
    <vt:lpwstr>eu.europa.europarl-DIN1-2026-0000016605_01.00-bg-01.00_text-xml</vt:lpwstr>
  </property>
</Properties>
</file>