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Evropský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{CONT}</w:t>
      </w:r>
      <w:r>
        <w:t>Výbor pro rozpočtovou kontrolu</w:t>
      </w:r>
      <w:r>
        <w:rPr>
          <w:rStyle w:val="HideTWBExt"/>
        </w:rPr>
        <w:t>&lt;/Commission&gt;</w:t>
      </w:r>
    </w:p>
    <w:p>
      <w:pPr>
        <w:pStyle w:val="LineBottom"/>
      </w:pPr>
      <w:r>
        <w:t xml:space="preserve"> </w:t>
      </w:r>
    </w:p>
    <w:p>
      <w:pPr>
        <w:pStyle w:val="CoverReference"/>
      </w:pPr>
      <w:r>
        <w:rPr>
          <w:rStyle w:val="HideTWBExt"/>
        </w:rPr>
        <w:t>&lt;RefProc&gt;</w:t>
      </w:r>
      <w:r>
        <w:t>2025/2149</w:t>
      </w:r>
      <w:r>
        <w:rPr>
          <w:rStyle w:val="HideTWBExt"/>
        </w:rPr>
        <w:t>&lt;/RefProc&gt;</w:t>
      </w:r>
      <w:r>
        <w:rPr>
          <w:rStyle w:val="HideTWBExt"/>
        </w:rPr>
        <w:t>&lt;RefTypeProc&gt;</w:t>
      </w:r>
      <w:r>
        <w:t>(DEC)</w:t>
      </w:r>
      <w:r>
        <w:rPr>
          <w:rStyle w:val="HideTWBExt"/>
        </w:rPr>
        <w:t>&lt;/RefTypeProc&gt;</w:t>
      </w:r>
    </w:p>
    <w:p>
      <w:pPr>
        <w:pStyle w:val="CoverDate"/>
      </w:pPr>
      <w:r>
        <w:rPr>
          <w:rStyle w:val="HideTWBExt"/>
        </w:rPr>
        <w:t>&lt;Date&gt;</w:t>
      </w:r>
      <w:r>
        <w:rPr>
          <w:rStyle w:val="HideTWBInt"/>
        </w:rPr>
        <w:t>{28/01/2026}</w:t>
      </w:r>
      <w:r>
        <w:t>28. 1. 2026</w:t>
      </w:r>
      <w:r>
        <w:rPr>
          <w:rStyle w:val="HideTWBExt"/>
        </w:rPr>
        <w:t>&lt;/Date&gt;</w:t>
      </w:r>
    </w:p>
    <w:p>
      <w:pPr>
        <w:pStyle w:val="CoverDocType"/>
      </w:pPr>
      <w:r>
        <w:rPr>
          <w:rStyle w:val="HideTWBExt"/>
        </w:rPr>
        <w:t>&lt;TypeAM&gt;</w:t>
      </w:r>
      <w:r>
        <w:t>POZMĚŇOVACÍ NÁVRHY</w:t>
      </w:r>
      <w:r>
        <w:rPr>
          <w:rStyle w:val="HideTWBExt"/>
        </w:rPr>
        <w:t>&lt;/TypeAM&gt;</w:t>
      </w:r>
    </w:p>
    <w:p>
      <w:pPr>
        <w:pStyle w:val="CoverDocType24a"/>
      </w:pPr>
      <w:r>
        <w:rPr>
          <w:rStyle w:val="HideTWBExt"/>
        </w:rPr>
        <w:t>&lt;RangeAM&gt;</w:t>
      </w:r>
      <w:r>
        <w:t>1</w:t>
      </w:r>
      <w:r>
        <w:t xml:space="preserve"> - </w:t>
      </w:r>
      <w:r>
        <w:t>58</w:t>
      </w:r>
      <w:r>
        <w:rPr>
          <w:rStyle w:val="HideTWBExt"/>
        </w:rPr>
        <w:t>&lt;/RangeAM&gt;</w:t>
      </w:r>
    </w:p>
    <w:p>
      <w:pPr>
        <w:pStyle w:val="CoverBold"/>
      </w:pPr>
      <w:r>
        <w:rPr>
          <w:rStyle w:val="HideTWBExt"/>
        </w:rPr>
        <w:t>&lt;TitreType&gt;</w:t>
      </w:r>
      <w:r>
        <w:t>Návrh zprávy</w:t>
      </w:r>
      <w:r>
        <w:rPr>
          <w:rStyle w:val="HideTWBExt"/>
        </w:rPr>
        <w:t>&lt;/TitreType&gt;</w:t>
      </w:r>
    </w:p>
    <w:p>
      <w:pPr>
        <w:pStyle w:val="CoverBold"/>
      </w:pPr>
      <w:r>
        <w:rPr>
          <w:rStyle w:val="HideTWBExt"/>
        </w:rPr>
        <w:t>&lt;Rapporteur&gt;</w:t>
      </w:r>
      <w:r>
        <w:t>Pasquale Tridico</w:t>
      </w:r>
      <w:r>
        <w:rPr>
          <w:rStyle w:val="HideTWBExt"/>
        </w:rPr>
        <w:t>&lt;/Rapporteur&gt;</w:t>
      </w:r>
    </w:p>
    <w:p>
      <w:pPr>
        <w:pStyle w:val="CoverNormal24a"/>
      </w:pPr>
      <w:r>
        <w:rPr>
          <w:rStyle w:val="HideTWBExt"/>
        </w:rPr>
        <w:t>&lt;DocRefPE&gt;</w:t>
      </w:r>
      <w:r>
        <w:t>(PE778.062v01-00)</w:t>
      </w:r>
      <w:r>
        <w:rPr>
          <w:rStyle w:val="HideTWBExt"/>
        </w:rPr>
        <w:t>&lt;/DocRefPE&gt;</w:t>
      </w:r>
    </w:p>
    <w:p>
      <w:pPr>
        <w:pStyle w:val="CoverNormal"/>
      </w:pPr>
      <w:r>
        <w:rPr>
          <w:rStyle w:val="HideTWBExt"/>
        </w:rPr>
        <w:t>&lt;Titre&gt;</w:t>
      </w:r>
      <w:r>
        <w:t>Udělení absolutoria za rok 2024: souhrnný rozpočet EU - Účetní dvůr</w:t>
      </w:r>
      <w:r>
        <w:rPr>
          <w:rStyle w:val="HideTWBExt"/>
        </w:rPr>
        <w:t>&lt;/Titre&gt;</w:t>
      </w:r>
    </w:p>
    <w:p>
      <w:pPr>
        <w:pStyle w:val="CoverNormal24a"/>
      </w:pPr>
      <w:r>
        <w:rPr>
          <w:rStyle w:val="HideTWBExt"/>
        </w:rPr>
        <w:t>&lt;DocRef&gt;</w:t>
      </w:r>
      <w:r>
        <w:t>(2025/2149(DEC))</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Pozměňovací návrh</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konstatuje, že rozpočet Účetního dvora spadá do okruhu 7 VFR „Evropská veřejná správa“, který v roce </w:t>
            </w:r>
            <w:r>
              <w:rPr>
                <w:b/>
                <w:i/>
              </w:rPr>
              <w:t>2023</w:t>
            </w:r>
            <w:r>
              <w:t xml:space="preserve"> činil 13,3 miliardy EUR (což představuje 6,9 % celkového rozpočtu Unie); konstatuje, že rozpočet Účetního dvora ve výši přibližně 0,2 miliardy EUR představuje přibližně 1,5 % celkových správních výdajů Unie;</w:t>
            </w:r>
          </w:p>
        </w:tc>
        <w:tc>
          <w:tcPr>
            <w:tcW w:w="4876" w:type="dxa"/>
            <w:tcBorders>
              <w:top w:val="nil"/>
              <w:left w:val="nil"/>
              <w:bottom w:val="nil"/>
              <w:right w:val="nil"/>
            </w:tcBorders>
          </w:tcPr>
          <w:p>
            <w:pPr>
              <w:pStyle w:val="Normal6a"/>
            </w:pPr>
            <w:r>
              <w:t>1.</w:t>
            </w:r>
            <w:r>
              <w:tab/>
            </w:r>
            <w:r>
              <w:t xml:space="preserve">konstatuje, že rozpočet Účetního dvora spadá do okruhu 7 VFR „Evropská veřejná správa“, který v roce </w:t>
            </w:r>
            <w:r>
              <w:rPr>
                <w:b/>
                <w:i/>
              </w:rPr>
              <w:t>2024</w:t>
            </w:r>
            <w:r>
              <w:t xml:space="preserve"> činil 13,3 miliardy EUR (což představuje 6,9 % celkového rozpočtu Unie); konstatuje, že rozpočet Účetního dvora ve výši přibližně 0,2 miliardy EUR představuje přibližně 1,5 % celkových správních výdajů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bere na vědomí oznámení Účetního dvora ze dne 1. října 2025 o zavedení revidovaného přístupu k auditu společných podniků počínaje účetním rokem 2025;</w:t>
            </w:r>
            <w:r>
              <w:t xml:space="preserve"> </w:t>
            </w:r>
            <w:r>
              <w:rPr>
                <w:b/>
                <w:i/>
              </w:rPr>
              <w:t>konstatuje, že tato změna byla mimo jiné způsobena omezenými personálními kapacitami a ukončením auditů společných podniků, na které se vztahuje program Horizont Evropa, ze strany útvaru interního auditu Komise, který do té doby audity společných podniků prováděl, čímž se omezila dostupnost doplňkové věrohodnosti auditu;</w:t>
            </w:r>
            <w:r>
              <w:t xml:space="preserve"> </w:t>
            </w:r>
            <w:r>
              <w:rPr>
                <w:b/>
                <w:i/>
              </w:rPr>
              <w:t>dále konstatuje, že nový přístup počítá s odpovídající velikostí auditního vzorku, konsolidací auditní činnosti ve všech společných podnicích a vydáním dvou samostatných prohlášení o věrohodnosti podpořených dalšími tematickými a zvláštními zprávami;</w:t>
            </w:r>
            <w:r>
              <w:t xml:space="preserve"> </w:t>
            </w:r>
            <w:r>
              <w:rPr>
                <w:b/>
                <w:i/>
              </w:rPr>
              <w:t>vyzývá Účetní dvůr, aby zajistil, že revidovaná metodika bude provedena včas a že bude i nadále splňovat nejvyšší standardy kvality auditu, spolehlivosti a věrohodnosti, pokud jde o ochranu finančních zájmů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konstatuje, že míra plnění závazků a plateb v roce 2024 zůstala vysoká, téměř stejná jako v roce 2023, zatímco míra čerpání prostředků činila 97,3 % a platby představovaly 94,81 % celkových závazků v roce 2024; bere na vědomí zvýšení objemu zrušených prostředků na konci roku z přibližně 3,4 milionu EUR v roce 2023 na 4,4 milionu EUR v roce 2024; chválí Účetní dvůr za to, že v roce 2024 udržel průměrnou dobu úhrady faktur pod 11 dny;</w:t>
            </w:r>
          </w:p>
        </w:tc>
        <w:tc>
          <w:tcPr>
            <w:tcW w:w="4876" w:type="dxa"/>
            <w:tcBorders>
              <w:top w:val="nil"/>
              <w:left w:val="nil"/>
              <w:bottom w:val="nil"/>
              <w:right w:val="nil"/>
            </w:tcBorders>
          </w:tcPr>
          <w:p>
            <w:pPr>
              <w:pStyle w:val="Normal6a"/>
            </w:pPr>
            <w:r>
              <w:t>7.</w:t>
            </w:r>
            <w:r>
              <w:tab/>
            </w:r>
            <w:r>
              <w:t xml:space="preserve">konstatuje, že míra plnění závazků a plateb v roce 2024 zůstala vysoká, téměř stejná jako v roce 2023, zatímco míra čerpání prostředků činila 97,3 % a platby představovaly 94,81 % celkových závazků v roce 2024; bere na vědomí zvýšení objemu zrušených prostředků na konci roku z přibližně 3,4 milionu EUR v roce 2023 na 4,4 milionu EUR v roce 2024; chválí Účetní dvůr za to, že v roce 2024 udržel průměrnou dobu úhrady faktur pod 11 dny; </w:t>
            </w:r>
            <w:r>
              <w:rPr>
                <w:b/>
                <w:i/>
              </w:rPr>
              <w:t>vybízí Účetní dvůr, aby zachoval přísnou nákladovou kázeň, nadále upřednostňoval provozní efektivitu a dále snižoval počet rušených výdajů na konci roku, čímž by se zlepšila efektivita a optimálnější využití jeho rozpočtových prostředků;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konstatuje, že podle dotazníku se dopad ruské útočné války proti Ukrajině projevil v roce 2024 v podobě zvýšení nákladů na zboží, služby a logistiku v důsledku inflace; vítá opatření Účetního dvora, která mají těmto dopadům čelit vypracováním podrobnějších analýz před uvedením na trh, aby se zajistilo realistické plánování a účinné zadávání veřejných zakázek; dále s uspokojením konstatuje, že náklady Účetního dvora na spotřebu energie (rozpočtová položka č. 2024)</w:t>
            </w:r>
            <w:r>
              <w:rPr>
                <w:b/>
                <w:i/>
              </w:rPr>
              <w:t xml:space="preserve">  </w:t>
            </w:r>
            <w:r>
              <w:t xml:space="preserve">výrazně klesly z </w:t>
            </w:r>
            <w:r>
              <w:rPr>
                <w:b/>
                <w:i/>
              </w:rPr>
              <w:t>1 556 671</w:t>
            </w:r>
            <w:r>
              <w:t xml:space="preserve"> EUR v roce 2023 na </w:t>
            </w:r>
            <w:r>
              <w:rPr>
                <w:b/>
                <w:i/>
              </w:rPr>
              <w:t>887 827</w:t>
            </w:r>
            <w:r>
              <w:t xml:space="preserve"> EUR v roce 2024, zejména v důsledku snížení pevné ceny elektřiny v souladu s interinstitucionální smlouvou s dotčeným poskytovatelem; uznává, že je třeba, aby všechny orgány Unie zlepšily své rozpočtové řízení, a to i tím, že při uzavírání smluv s poskytovateli služeb zohlední kolísání cen, zejména v odvětví energetiky;</w:t>
            </w:r>
          </w:p>
        </w:tc>
        <w:tc>
          <w:tcPr>
            <w:tcW w:w="4876" w:type="dxa"/>
            <w:tcBorders>
              <w:top w:val="nil"/>
              <w:left w:val="nil"/>
              <w:bottom w:val="nil"/>
              <w:right w:val="nil"/>
            </w:tcBorders>
          </w:tcPr>
          <w:p>
            <w:pPr>
              <w:pStyle w:val="Normal6a"/>
            </w:pPr>
            <w:r>
              <w:t>9.</w:t>
            </w:r>
            <w:r>
              <w:tab/>
            </w:r>
            <w:r>
              <w:t xml:space="preserve">konstatuje, že podle dotazníku se dopad ruské </w:t>
            </w:r>
            <w:r>
              <w:rPr>
                <w:b/>
                <w:i/>
              </w:rPr>
              <w:t>protiprávní</w:t>
            </w:r>
            <w:r>
              <w:t xml:space="preserve"> útočné války proti Ukrajině projevil v roce 2024 v podobě zvýšení nákladů na zboží, služby a logistiku v důsledku inflace; vítá opatření Účetního dvora, která mají těmto dopadům čelit vypracováním podrobnějších analýz před uvedením na trh, aby se zajistilo realistické plánování a účinné zadávání veřejných zakázek; dále s uspokojením konstatuje, že náklady Účetního dvora na spotřebu energie (rozpočtová položka č. 2024) výrazně klesly z </w:t>
            </w:r>
            <w:r>
              <w:rPr>
                <w:b/>
                <w:i/>
              </w:rPr>
              <w:t>1 556 671</w:t>
            </w:r>
            <w:r>
              <w:t xml:space="preserve"> EUR v roce 2023 na </w:t>
            </w:r>
            <w:r>
              <w:rPr>
                <w:b/>
                <w:i/>
              </w:rPr>
              <w:t>887 827</w:t>
            </w:r>
            <w:r>
              <w:t> EUR v roce 2024, zejména v důsledku snížení pevné ceny elektřiny v souladu s interinstitucionální smlouvou s dotčeným poskytovatelem; uznává, že je třeba, aby všechny orgány Unie zlepšily své rozpočtové řízení, a to i tím, že při uzavírání smluv s poskytovateli služeb zohlední kolísání cen, zejména v odvětví energetiky;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rPr>
                <w:b/>
                <w:i/>
              </w:rPr>
              <w:t>s uspokojením</w:t>
            </w:r>
            <w:r>
              <w:t xml:space="preserve"> konstatuje, že podle dotazníku se rozpočtové prostředky Účetního dvora na publikace snížily </w:t>
            </w:r>
            <w:r>
              <w:rPr>
                <w:b/>
                <w:i/>
              </w:rPr>
              <w:t>z 810 000 EUR v roce 2014 na 300 000 EUR v roce 2024 v důsledku zvýšení objemu zpráv vypracovávaných interně a virtuálního šíření publikací</w:t>
            </w:r>
            <w:r>
              <w:t xml:space="preserve">; </w:t>
            </w:r>
            <w:r>
              <w:rPr>
                <w:b/>
                <w:i/>
              </w:rPr>
              <w:t>konstatuje, že odhady Účetního dvora pro tuto rozpočtovou položku se v následujících rozpočtových letech dále snižovaly;</w:t>
            </w:r>
            <w:r>
              <w:t xml:space="preserve"> </w:t>
            </w:r>
            <w:r>
              <w:rPr>
                <w:b/>
                <w:i/>
              </w:rPr>
              <w:t>dále</w:t>
            </w:r>
            <w:r>
              <w:t xml:space="preserve"> bere na vědomí </w:t>
            </w:r>
            <w:r>
              <w:rPr>
                <w:b/>
                <w:i/>
              </w:rPr>
              <w:t>tendenci Účetního dvora snižovat rozpočet na tlumočení a služby odborníků (konzultace, studie atd.) a plán vyřadit z provozu pevnou telefonní linku v zájmu dosažení dalších úspor</w:t>
            </w:r>
            <w:r>
              <w:t>;</w:t>
            </w:r>
          </w:p>
        </w:tc>
        <w:tc>
          <w:tcPr>
            <w:tcW w:w="4876" w:type="dxa"/>
            <w:tcBorders>
              <w:top w:val="nil"/>
              <w:left w:val="nil"/>
              <w:bottom w:val="nil"/>
              <w:right w:val="nil"/>
            </w:tcBorders>
          </w:tcPr>
          <w:p>
            <w:pPr>
              <w:pStyle w:val="Normal6a"/>
            </w:pPr>
            <w:r>
              <w:t>12.</w:t>
            </w:r>
            <w:r>
              <w:tab/>
            </w:r>
            <w:r>
              <w:rPr>
                <w:b/>
                <w:i/>
              </w:rPr>
              <w:t> </w:t>
            </w:r>
            <w:r>
              <w:t xml:space="preserve">konstatuje, že podle dotazníku se rozpočtové prostředky Účetního dvora na publikace </w:t>
            </w:r>
            <w:r>
              <w:rPr>
                <w:b/>
                <w:i/>
              </w:rPr>
              <w:t>v období 2014–2024 výrazně</w:t>
            </w:r>
            <w:r>
              <w:t xml:space="preserve"> snížily; bere na vědomí </w:t>
            </w:r>
            <w:r>
              <w:rPr>
                <w:b/>
                <w:i/>
              </w:rPr>
              <w:t>tento vývoj a zdůrazňuje, že by se měly i nadále zvažovat další úspory a zároveň zachovat transparentnost a dostupnost zpráv</w:t>
            </w:r>
            <w:r>
              <w: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16.</w:t>
            </w:r>
            <w:r>
              <w:tab/>
            </w:r>
            <w:r>
              <w:rPr>
                <w:b/>
                <w:i/>
              </w:rPr>
              <w:t>konstatuje, že v roce 2024 Účetní dvůr předložil 2 výroční zprávy, 3 zvláštní výroční zprávy, 28 zvláštních zpráv, 4 přezkumy a 3 stanoviska, celkem 40 položek (oproti 45 položkám v roce 2023);</w:t>
            </w:r>
            <w:r>
              <w:t xml:space="preserve"> </w:t>
            </w:r>
            <w:r>
              <w:rPr>
                <w:b/>
                <w:i/>
              </w:rPr>
              <w:t>vítá, že se Účetní dvůr v roce 2024 prostřednictvím zvláštních zpráv a přezkumů zaměřoval na naléhavé výzvy, kterým Unie čelí v klíčových oblastech, jako je bezpečnost dodávek plynu, investice do umělé inteligence, přizpůsobení se změně klimatu, čerpání prostředků z Nástroje pro oživení a odolnost, cesta k automobilům s nulovými emisemi, podpora uprchlíků v Turecku či průmyslová politika Unie v oblasti vodíku;</w:t>
            </w:r>
            <w:r>
              <w:t xml:space="preserve"> </w:t>
            </w:r>
            <w:r>
              <w:rPr>
                <w:b/>
                <w:i/>
              </w:rPr>
              <w:t>dále vítá plánované zprávy Účetního dvora o Nástroji pro oživení a odolnost v oblastech, jako je transparentnost a sledovatelnost, jakož i o architektuře a strategii Unie v boji proti podvodům a o podpoře Unie Ukrajině, Moldavsku a Gruzii;</w:t>
            </w:r>
            <w:r>
              <w:t xml:space="preserve"> </w:t>
            </w:r>
            <w:r>
              <w:rPr>
                <w:b/>
                <w:i/>
              </w:rPr>
              <w:t>bere na vědomí zlepšení, pokud jde o spokojenost zúčastněných stran s prací Účetního dvora, přičemž z průzkumu provedeného v roce 2024 vyplývá, že 89 % dotázaných (oproti 85 % v roce 2023) považovalo zprávy Účetního dvora za užitečné a že 82 % (oproti 78 %) považovalo činnost Účetního dvora za přínosnou;</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Ondřej Knotek, Virginie Joron, Julien Sanchez,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konstatuje, že v roce 2024 Účetní dvůr předložil 2 výroční zprávy, 3 zvláštní výroční zprávy, 28 zvláštních zpráv, 4 přezkumy a 3 stanoviska, celkem 40 položek (oproti 45 položkám v roce 2023); vítá, že se Účetní dvůr v roce 2024 prostřednictvím zvláštních zpráv a přezkumů zaměřoval na naléhavé výzvy, kterým Unie čelí v klíčových oblastech, jako </w:t>
            </w:r>
            <w:r>
              <w:rPr>
                <w:b/>
                <w:i/>
              </w:rPr>
              <w:t>je</w:t>
            </w:r>
            <w:r>
              <w:t xml:space="preserve"> bezpečnost dodávek plynu, investice do umělé inteligence, přizpůsobení se změně klimatu, čerpání prostředků z Nástroje pro oživení a odolnost, cesta k automobilům s nulovými emisemi, podpora uprchlíků v Turecku či průmyslová politika Unie v oblasti vodíku; dále vítá plánované zprávy Účetního dvora o Nástroji pro oživení a odolnost v oblastech, jako je transparentnost a sledovatelnost, jakož i o architektuře a strategii Unie v boji proti podvodům a o podpoře Unie Ukrajině, Moldavsku a Gruzii; bere na vědomí zlepšení, pokud jde o spokojenost zúčastněných stran s prací Účetního dvora, přičemž z průzkumu provedeného v roce 2024 vyplývá, že 89 % dotázaných (oproti 85 % v roce 2023) považovalo zprávy Účetního dvora za užitečné a že 82 % (oproti 78 %) považovalo činnost Účetního dvora za přínosnou;</w:t>
            </w:r>
          </w:p>
        </w:tc>
        <w:tc>
          <w:tcPr>
            <w:tcW w:w="4876" w:type="dxa"/>
            <w:tcBorders>
              <w:top w:val="nil"/>
              <w:left w:val="nil"/>
              <w:bottom w:val="nil"/>
              <w:right w:val="nil"/>
            </w:tcBorders>
          </w:tcPr>
          <w:p>
            <w:pPr>
              <w:pStyle w:val="Normal6a"/>
            </w:pPr>
            <w:r>
              <w:t>16.</w:t>
            </w:r>
            <w:r>
              <w:tab/>
            </w:r>
            <w:r>
              <w:t xml:space="preserve">konstatuje, že v roce 2024 Účetní dvůr předložil 2 výroční zprávy, 3 zvláštní výroční zprávy, 28 zvláštních zpráv, 4 přezkumy a 3 stanoviska, celkem 40 položek (oproti 45 položkám v roce 2023); vítá, že se Účetní dvůr v roce 2024 prostřednictvím zvláštních zpráv a přezkumů zaměřoval na naléhavé výzvy, kterým Unie čelí v klíčových oblastech, jako </w:t>
            </w:r>
            <w:r>
              <w:rPr>
                <w:b/>
                <w:i/>
              </w:rPr>
              <w:t>jsou finanční nástroje v politice soudržnosti, transparentnost financování EU poskytovaného nevládním organizacím, orgány EU bojující proti podvodům,</w:t>
            </w:r>
            <w:r>
              <w:t xml:space="preserve"> bezpečnost dodávek plynu, investice do umělé inteligence, přizpůsobení se změně klimatu, čerpání prostředků z Nástroje pro oživení a odolnost, cesta k automobilům s nulovými emisemi, podpora uprchlíků v Turecku či průmyslová politika Unie v oblasti vodíku; dále vítá plánované zprávy Účetního dvora o Nástroji pro oživení a odolnost v oblastech, jako je transparentnost a sledovatelnost, jakož i o architektuře a strategii Unie v boji proti podvodům a o podpoře Unie Ukrajině, Moldavsku a Gruzii;bere na vědomí zlepšení, pokud jde o spokojenost zúčastněných stran s prací Účetního dvora, přičemž z průzkumu provedeného v roce 2024 vyplývá, že 89 % dotázaných (oproti 85 % v roce 2023) považovalo zprávy Účetního dvora za užitečné a že 82 % (oproti 78 %) považovalo činnost Účetního dvora za přínosnou;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vyzývá Evropský účetní dvůr, aby poskytl podrobnější a systematičtější posouzení vedlejších účinků programů financovaných Unií na členské státy, a to jak na členské státy s vysokou, tak na členské státy s nízkou mírou čerpání evropských finančních prostředků;</w:t>
            </w:r>
            <w:r>
              <w:t xml:space="preserve"> </w:t>
            </w:r>
            <w:r>
              <w:rPr>
                <w:b/>
                <w:i/>
              </w:rPr>
              <w:t>zdůrazňuje, že komplexní analýza hospodářských, sociálních, správních a územních dopadů těchto vedlejších účinků, včetně přeshraničních a distribučních účinků, by posílila hodnocení dlouhodobého dopadu, přidané hodnoty a udržitelnosti výdajů EU a podpořila by informovanější tvorbu politik na úrovni Unie i na vnitrostátní úrovni;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Olivier Chastel, Gilles Boyer, Vlad Vasile-Voiculescu,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konstatuje, že Účetní dvůr má soubor klíčových ukazatelů výkonnosti (KPI), jimiž měří pokrok dosažený při plnění svých strategických cílů v souladu se strategií Účetního dvora na období 2021–2025; bere na vědomí strategické cíle Účetního dvora pro rok 2024: zlepšení vyvozování odpovědnosti, transparentnosti a auditních mechanismů, zaměření na oblasti a témata, v nichž mohou audity přinést největší přidanou hodnotu, a zajištění silné věrohodnosti auditu v náročném a měnícím se prostředí; vyzývá Účetní dvůr, aby v budoucnu předkládal své klíčové ukazatele výkonnosti, míru dosaženého pokroku a cíle v souhrnné podobě (ve formátu tabulky);</w:t>
            </w:r>
          </w:p>
        </w:tc>
        <w:tc>
          <w:tcPr>
            <w:tcW w:w="4876" w:type="dxa"/>
            <w:tcBorders>
              <w:top w:val="nil"/>
              <w:left w:val="nil"/>
              <w:bottom w:val="nil"/>
              <w:right w:val="nil"/>
            </w:tcBorders>
          </w:tcPr>
          <w:p>
            <w:pPr>
              <w:pStyle w:val="Normal6a"/>
            </w:pPr>
            <w:r>
              <w:t>17.</w:t>
            </w:r>
            <w:r>
              <w:tab/>
            </w:r>
            <w:r>
              <w:t xml:space="preserve">konstatuje, že Účetní dvůr má soubor klíčových ukazatelů výkonnosti (KPI), jimiž měří pokrok dosažený při plnění svých strategických cílů v souladu se strategií Účetního dvora na období 2021–2025; bere na vědomí strategické cíle Účetního dvora pro rok 2024: zlepšení vyvozování odpovědnosti, transparentnosti a auditních mechanismů, zaměření na oblasti a témata, v nichž mohou audity přinést největší přidanou hodnotu, a zajištění silné věrohodnosti auditu v náročném a měnícím se prostředí; vyzývá Účetní dvůr, aby v budoucnu předkládal své klíčové ukazatele výkonnosti, míru dosaženého pokroku a cíle v souhrnné podobě (ve formátu tabulky); </w:t>
            </w:r>
            <w:r>
              <w:rPr>
                <w:b/>
                <w:i/>
              </w:rPr>
              <w:t>vyzývá Účetní dvůr, aby dále rozvíjel klíčové ukazatele výkonnosti na základě výkonnosti a výsledků evropských politik s cílem jasně měřit dopad politik prováděných Komisí;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Dick Erixon, 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vyzývá Účetní dvůr, aby svá zjištění konsolidoval do srovnávací analýzy výkonnosti a aby vypracoval metodiku pro „kompas výkonnosti“ programů Unie;</w:t>
            </w:r>
            <w:r>
              <w:t xml:space="preserve"> </w:t>
            </w:r>
            <w:r>
              <w:rPr>
                <w:b/>
                <w:i/>
              </w:rPr>
              <w:t>domnívá se, že takový nástroj by při respektování rozmanitosti politik poskytl orgánu příslušnému k udělení absolutoria, činitelům s rozhodovací pravomocí a široké veřejnosti jasná vodítka ohledně toho, které programy účinně využívají zdroje a které by mohly být kandidáty na ukončení nebo zásadní restrukturalizaci;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na základě monitorovací zprávy konstatuje, že Komise souhlasila s tím, že Účetnímu dvoru poskytne manuální extrakci údajů z nástroje ARACHNE; vyjadřuje však politování nad tím, že přístup Účetního dvora k nástroji pro podávání zpráv o Nástroji pro oživení a odolnost FENIX zůstává otevřenou otázkou, neboť Komise poskytla Účetnímu dvoru přístup pouze k některým modulům nástroje FENIX; vítá zaznamenaný nárůst počtu uživatelů Účetního dvora, kteří mají přístup k nástroji FENIX; podporuje však žádost Účetního dvora, aby mu Komise co nejdříve udělila plnohodnotný přístup; připomíná, že Generální ředitelství Komise pro hospodářské a finanční záležitosti usiluje o to, aby měl Účetní dvůr přístup k souborům modulu FENIX do 2 týdnů od schválení žádosti o platbu; je však znepokojen tím, že v praxi tato lhůta často nebývá splněna a že v některých případech byla zjištěna zpoždění v délce až 2,5 měsíce, což významně zpomaluje předkládání závěrů Účetního dvora; připomíná Komisi její povinnost podle článku 263 finančního nařízení poskytnout Účetnímu dvoru komplexní přístup ke všem příslušným systémům a databázím (mimo jiné ARACHNE, FENIX, ARES);</w:t>
            </w:r>
          </w:p>
        </w:tc>
        <w:tc>
          <w:tcPr>
            <w:tcW w:w="4876" w:type="dxa"/>
            <w:tcBorders>
              <w:top w:val="nil"/>
              <w:left w:val="nil"/>
              <w:bottom w:val="nil"/>
              <w:right w:val="nil"/>
            </w:tcBorders>
          </w:tcPr>
          <w:p>
            <w:pPr>
              <w:pStyle w:val="Normal6a"/>
            </w:pPr>
            <w:r>
              <w:t>19.</w:t>
            </w:r>
            <w:r>
              <w:tab/>
            </w:r>
            <w:r>
              <w:t xml:space="preserve">na základě monitorovací zprávy konstatuje, že Komise souhlasila s tím, že Účetnímu dvoru poskytne manuální extrakci údajů z nástroje ARACHNE; vyjadřuje však politování nad tím, že přístup Účetního dvora k nástroji pro podávání zpráv o Nástroji pro oživení a odolnost FENIX zůstává otevřenou otázkou, neboť Komise poskytla Účetnímu dvoru přístup pouze k některým modulům nástroje FENIX; vítá zaznamenaný nárůst počtu uživatelů Účetního dvora, kteří mají přístup k nástroji FENIX; podporuje však žádost Účetního dvora, aby mu Komise co nejdříve udělila plnohodnotný přístup; připomíná, že Generální ředitelství Komise pro hospodářské a finanční záležitosti usiluje o to, aby měl Účetní dvůr přístup k souborům modulu FENIX do 2 týdnů od schválení žádosti o platbu; je však znepokojen tím, že v praxi tato lhůta často nebývá splněna a že v některých případech byla zjištěna zpoždění v délce až 2,5 měsíce, což významně zpomaluje předkládání závěrů Účetního dvora; připomíná Komisi její povinnost podle článku 263 finančního nařízení poskytnout Účetnímu dvoru komplexní přístup ke všem příslušným systémům a databázím (mimo jiné ARACHNE, FENIX, ARES); </w:t>
            </w:r>
            <w:r>
              <w:rPr>
                <w:b/>
                <w:i/>
              </w:rPr>
              <w:t>domnívá se, že přetrvávající zpoždění a částečný přístup ke klíčovým informačním systémům Komise, zejména k systémům FENIX a ARACHNE, narušují účinnost a včasnost auditní činnosti Účetního dvora týkající se vysoce rizikových výdajů, jako je Nástroj pro oživení a odolnost;</w:t>
            </w:r>
            <w:r>
              <w:t xml:space="preserve"> </w:t>
            </w:r>
            <w:r>
              <w:rPr>
                <w:b/>
                <w:i/>
              </w:rPr>
              <w:t>vyzývá Komisi, aby tuto situaci neprodleně napravila, a vyzývá Účetní dvůr, aby orgánu příslušnému k udělení absolutoria podal zprávu o konkrétních dosažených zlepšeních;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Olivier Chastel, Gilles Boyer, Vlad Vasile-Voiculescu,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na základě monitorovací zprávy konstatuje, že Komise souhlasila s tím, že Účetnímu dvoru poskytne manuální extrakci údajů z nástroje ARACHNE; vyjadřuje však politování nad tím, že přístup Účetního dvora k nástroji pro podávání zpráv o Nástroji pro oživení a odolnost FENIX zůstává otevřenou otázkou, neboť Komise poskytla Účetnímu dvoru přístup pouze k některým modulům nástroje FENIX; vítá zaznamenaný nárůst počtu uživatelů Účetního dvora, kteří mají přístup k nástroji FENIX; podporuje však žádost Účetního dvora, aby mu Komise co nejdříve udělila plnohodnotný přístup; připomíná, že Generální ředitelství Komise pro hospodářské a finanční záležitosti usiluje o to, aby měl Účetní dvůr přístup k souborům modulu FENIX do 2 týdnů od schválení žádosti o platbu; je však znepokojen tím, že v praxi tato lhůta často nebývá splněna a že v některých případech byla zjištěna zpoždění v délce až 2,5 měsíce, což významně zpomaluje předkládání závěrů Účetního dvora; připomíná Komisi její povinnost podle článku 263 finančního nařízení poskytnout Účetnímu dvoru komplexní přístup ke všem příslušným systémům a databázím (mimo jiné ARACHNE, FENIX, ARES);</w:t>
            </w:r>
          </w:p>
        </w:tc>
        <w:tc>
          <w:tcPr>
            <w:tcW w:w="4876" w:type="dxa"/>
            <w:tcBorders>
              <w:top w:val="nil"/>
              <w:left w:val="nil"/>
              <w:bottom w:val="nil"/>
              <w:right w:val="nil"/>
            </w:tcBorders>
          </w:tcPr>
          <w:p>
            <w:pPr>
              <w:pStyle w:val="Normal6a"/>
            </w:pPr>
            <w:r>
              <w:t>19.</w:t>
            </w:r>
            <w:r>
              <w:tab/>
            </w:r>
            <w:r>
              <w:t xml:space="preserve">na základě monitorovací zprávy konstatuje, že Komise souhlasila s tím, že Účetnímu dvoru poskytne manuální extrakci údajů z nástroje ARACHNE; vyjadřuje však politování nad tím, že přístup Účetního dvora k nástroji pro podávání zpráv o Nástroji pro oživení a odolnost FENIX </w:t>
            </w:r>
            <w:r>
              <w:rPr>
                <w:b/>
                <w:i/>
              </w:rPr>
              <w:t>stále</w:t>
            </w:r>
            <w:r>
              <w:t xml:space="preserve"> zůstává otevřenou otázkou, neboť Komise poskytla Účetnímu dvoru přístup pouze k některým modulům nástroje FENIX; vítá zaznamenaný nárůst počtu uživatelů Účetního dvora, kteří mají přístup k nástroji FENIX; podporuje však žádost Účetního dvora, aby mu Komise co nejdříve udělila plnohodnotný přístup; připomíná, že Generální ředitelství Komise pro hospodářské a finanční záležitosti usiluje o to, aby měl Účetní dvůr přístup k souborům modulu FENIX do 2 týdnů od schválení žádosti o platbu; je však znepokojen tím, že v praxi tato lhůta často nebývá splněna a že v některých případech byla zjištěna zpoždění v délce až 2,5 měsíce, což významně zpomaluje předkládání závěrů Účetního dvora; připomíná Komisi její povinnost podle článku 263 finančního nařízení poskytnout Účetnímu dvoru komplexní přístup ke všem příslušným systémům a databázím (mimo jiné ARACHNE, FENIX, ARES); </w:t>
            </w:r>
            <w:r>
              <w:rPr>
                <w:b/>
                <w:i/>
              </w:rPr>
              <w:t>žádá Komisi, aby neprodleně uzavřela závaznou interinstitucionální dohodu, která zajistí Účetnímu dvoru plný a systematický přístup ke všem příslušným databázím v reálném čase, včetně databází ARACHNE a FENIX;</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na základě monitorovací zprávy konstatuje, že Komise souhlasila s tím, že Účetnímu dvoru poskytne manuální extrakci údajů z nástroje ARACHNE; vyjadřuje však politování nad tím, že přístup Účetního dvora k nástroji pro podávání zpráv o Nástroji pro oživení a odolnost FENIX zůstává otevřenou otázkou, neboť Komise poskytla Účetnímu dvoru přístup pouze k některým modulům nástroje FENIX; vítá zaznamenaný nárůst počtu uživatelů Účetního dvora, kteří mají přístup k nástroji FENIX; podporuje však žádost Účetního dvora, aby mu Komise co nejdříve udělila plnohodnotný přístup; připomíná, že Generální ředitelství Komise pro hospodářské a finanční záležitosti usiluje o to, aby měl Účetní dvůr přístup k souborům modulu FENIX do 2 týdnů od schválení žádosti o platbu; je však znepokojen tím, že v praxi tato lhůta často nebývá splněna a že v některých případech byla zjištěna zpoždění v délce až 2,5 měsíce, což významně zpomaluje předkládání závěrů Účetního dvora; připomíná Komisi její povinnost podle článku 263 finančního nařízení poskytnout Účetnímu dvoru komplexní přístup ke všem příslušným systémům a databázím (mimo jiné ARACHNE, FENIX, ARES);</w:t>
            </w:r>
          </w:p>
        </w:tc>
        <w:tc>
          <w:tcPr>
            <w:tcW w:w="4876" w:type="dxa"/>
            <w:tcBorders>
              <w:top w:val="nil"/>
              <w:left w:val="nil"/>
              <w:bottom w:val="nil"/>
              <w:right w:val="nil"/>
            </w:tcBorders>
          </w:tcPr>
          <w:p>
            <w:pPr>
              <w:pStyle w:val="Normal6a"/>
            </w:pPr>
            <w:r>
              <w:t>19.</w:t>
            </w:r>
            <w:r>
              <w:tab/>
            </w:r>
            <w:r>
              <w:t xml:space="preserve">na základě monitorovací zprávy konstatuje, že Komise souhlasila s tím, že Účetnímu dvoru poskytne manuální extrakci údajů z nástroje ARACHNE; vyjadřuje však politování nad tím, že přístup Účetního dvora k nástroji pro podávání zpráv o Nástroji pro oživení a odolnost FENIX zůstává otevřenou otázkou, neboť Komise poskytla Účetnímu dvoru přístup pouze k některým modulům nástroje FENIX </w:t>
            </w:r>
            <w:r>
              <w:rPr>
                <w:b/>
                <w:i/>
              </w:rPr>
              <w:t>a informace, které tyto moduly obsahují, nejsou včas aktualizovány</w:t>
            </w:r>
            <w:r>
              <w:t>; vítá zaznamenaný nárůst počtu uživatelů Účetního dvora, kteří mají přístup k nástroji FENIX; podporuje však žádost Účetního dvora, aby mu Komise co nejdříve udělila plnohodnotný přístup; připomíná, že Generální ředitelství Komise pro hospodářské a finanční záležitosti usiluje o to, aby měl Účetní dvůr přístup k souborům modulu FENIX do 2 týdnů od schválení žádosti o platbu; je však znepokojen tím, že v praxi tato lhůta často nebývá splněna a že v některých případech byla zjištěna zpoždění v délce až 2,5 měsíce, což významně zpomaluje předkládání závěrů Účetního dvora; připomíná Komisi její povinnost podle článku 263 finančního nařízení poskytnout Účetnímu dvoru komplexní přístup ke všem příslušným systémům a databázím (mimo jiné ARACHNE, FENIX, ARES);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poukazuje na význam zadávání veřejných zakázek jako nástroje k prosazování cílů politik, včetně sociálních a environmentálních cílů;</w:t>
            </w:r>
            <w:r>
              <w:t xml:space="preserve"> </w:t>
            </w:r>
            <w:r>
              <w:rPr>
                <w:b/>
                <w:i/>
              </w:rPr>
              <w:t>vyzývá Účetní dvůr, aby posílil začlenění strategických kritérií sociální odpovědnosti a environmentální udržitelnosti do svých zadávacích řízení;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konstatuje, že na konci roku 2024 měl Účetní dvůr 961 zaměstnanců (pokles z 969 v roce 2023), včetně dočasných zaměstnanců (192 v roce 2024, pokles z 204 v roce 2023), smluvních zaměstnanců (84 v roce 2024, pokles z 86 v roce 2023) a vyslaných národních odborníků (26 v roce 2024, stejně jako v roce 2023); připomíná, že je třeba poskytovat zaměstnancům smlouvy na dobu neurčitou, aby bylo možné udržet jejich kvalifikaci a zajistit kontinuitu a produktivní pracovní prostředí;</w:t>
            </w:r>
          </w:p>
        </w:tc>
        <w:tc>
          <w:tcPr>
            <w:tcW w:w="4876" w:type="dxa"/>
            <w:tcBorders>
              <w:top w:val="nil"/>
              <w:left w:val="nil"/>
              <w:bottom w:val="nil"/>
              <w:right w:val="nil"/>
            </w:tcBorders>
          </w:tcPr>
          <w:p>
            <w:pPr>
              <w:pStyle w:val="Normal6a"/>
            </w:pPr>
            <w:r>
              <w:t>20.</w:t>
            </w:r>
            <w:r>
              <w:tab/>
            </w:r>
            <w:r>
              <w:t xml:space="preserve">konstatuje, že na konci roku 2024 měl Účetní dvůr 961 zaměstnanců (pokles z 969 v roce 2023), včetně dočasných zaměstnanců (192 v roce 2024, pokles z 204 v roce 2023), smluvních zaměstnanců (84 v roce 2024, pokles z 86 v roce 2023) a vyslaných národních odborníků (26 v roce 2024, stejně jako v roce 2023); připomíná, že je třeba poskytovat zaměstnancům smlouvy na dobu neurčitou, aby bylo možné udržet jejich kvalifikaci a zajistit kontinuitu a produktivní </w:t>
            </w:r>
            <w:r>
              <w:rPr>
                <w:b/>
                <w:i/>
              </w:rPr>
              <w:t>a stabilní</w:t>
            </w:r>
            <w:r>
              <w:t xml:space="preserve"> pracovní prostředí;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21.</w:t>
            </w:r>
            <w:r>
              <w:tab/>
            </w:r>
            <w:r>
              <w:rPr>
                <w:b/>
                <w:i/>
              </w:rPr>
              <w:t>konstatuje, že v roce 2024 tvořily 54 % zaměstnanců Účetního dvora ženy (nárůst oproti 53 % v roce 2023) a 47 % muži;</w:t>
            </w:r>
            <w:r>
              <w:t xml:space="preserve"> </w:t>
            </w:r>
            <w:r>
              <w:rPr>
                <w:b/>
                <w:i/>
              </w:rPr>
              <w:t>vyjadřuje politování nad tím, že ženy tvoří pouze 30 % vrcholového vedení Účetního dvora, což je stejný podíl jako v roce 2023;</w:t>
            </w:r>
            <w:r>
              <w:t xml:space="preserve"> </w:t>
            </w:r>
            <w:r>
              <w:rPr>
                <w:b/>
                <w:i/>
              </w:rPr>
              <w:t>vyjadřuje politování nad dalším poklesem podílu žen mezi vedoucími pracovníky na střední úrovni ze 40 % na 37,3 % v roce 2023;</w:t>
            </w:r>
            <w:r>
              <w:t xml:space="preserve"> </w:t>
            </w:r>
            <w:r>
              <w:rPr>
                <w:b/>
                <w:i/>
              </w:rPr>
              <w:t>připomíná skutečnost, že genderová rovnost je jednou ze zásad zakotvených ve Smlouvě, kterou by měly dodržovat všechny orgány, a vyzývá Účetní dvůr, aby pokračoval ve svém úsilí o podporu vyváženého zastoupení žen a mužů mezi vedoucími pracovníky na střední a vrcholné úrovni vedení;</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22.</w:t>
            </w:r>
            <w:r>
              <w:tab/>
            </w:r>
            <w:r>
              <w:rPr>
                <w:b/>
                <w:i/>
              </w:rPr>
              <w:t>konstatuje, že podle dotazníku Účetní dvůr v roce 2024 zaměstnával 64 stážistů, z nichž 59 pobíralo měsíční příspěvek;</w:t>
            </w:r>
            <w:r>
              <w:t xml:space="preserve"> </w:t>
            </w:r>
            <w:r>
              <w:rPr>
                <w:b/>
                <w:i/>
              </w:rPr>
              <w:t>vítá nový program profesního rozvoje Účetního dvora nazvaný TraineEca Career Development, jehož cílem je nabídnout pracovní příležitosti nejtalentovanějším stážistům;</w:t>
            </w:r>
            <w:r>
              <w:t xml:space="preserve"> </w:t>
            </w:r>
            <w:r>
              <w:rPr>
                <w:b/>
                <w:i/>
              </w:rPr>
              <w:t>dále bere na vědomí plán Účetního dvora nabídnout speciální stáže v oblasti umělé inteligence čerstvým absolventům vysokých škol a doktorandům v této oblasti;</w:t>
            </w:r>
            <w:r>
              <w:t xml:space="preserve"> </w:t>
            </w:r>
            <w:r>
              <w:rPr>
                <w:b/>
                <w:i/>
              </w:rPr>
              <w:t>opět zdůrazňuje, že za stáže by měla být vyplácena odměna v souladu s usnesením Parlamentu ze dne 15. června 2023 o kvalitních stážích v Unii (2020/2005 (INL)), které obsahuje výzvu, aby byly všechny stáže v Unii placené;</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konstatuje, že podle dotazníku Účetní dvůr v roce 2024 zaměstnával 64 stážistů, z nichž 59 pobíralo měsíční příspěvek; vítá nový program profesního rozvoje Účetního dvora nazvaný TraineEca Career Development, jehož cílem je nabídnout pracovní příležitosti nejtalentovanějším stážistům; dále bere na vědomí plán Účetního dvora nabídnout speciální stáže v oblasti umělé inteligence čerstvým absolventům vysokých škol a doktorandům v této oblasti; opět zdůrazňuje, že za stáže by měla být vyplácena odměna v souladu s usnesením Parlamentu ze dne 15. června 2023 o kvalitních stážích v Unii (2020/2005 (INL)), které obsahuje výzvu, aby byly všechny stáže v Unii placené;</w:t>
            </w:r>
          </w:p>
        </w:tc>
        <w:tc>
          <w:tcPr>
            <w:tcW w:w="4876" w:type="dxa"/>
            <w:tcBorders>
              <w:top w:val="nil"/>
              <w:left w:val="nil"/>
              <w:bottom w:val="nil"/>
              <w:right w:val="nil"/>
            </w:tcBorders>
          </w:tcPr>
          <w:p>
            <w:pPr>
              <w:pStyle w:val="Normal6a"/>
            </w:pPr>
            <w:r>
              <w:t>22.</w:t>
            </w:r>
            <w:r>
              <w:tab/>
            </w:r>
            <w:r>
              <w:t xml:space="preserve">konstatuje, že podle dotazníku Účetní dvůr v roce 2024 zaměstnával 64 stážistů, z nichž 59 pobíralo měsíční příspěvek; vítá nový program profesního rozvoje Účetního dvora nazvaný TraineEca Career Development, jehož cílem je nabídnout pracovní příležitosti nejtalentovanějším stážistům; dále bere na vědomí plán Účetního dvora nabídnout speciální stáže v oblasti umělé inteligence čerstvým absolventům vysokých škol a doktorandům v této oblasti; opět zdůrazňuje, že za stáže by měla být vyplácena odměna v souladu s usnesením Parlamentu ze dne 15. června 2023 o kvalitních stážích v Unii (2020/2005 (INL)), které obsahuje výzvu, aby byly všechny stáže v Unii placené; </w:t>
            </w:r>
            <w:r>
              <w:rPr>
                <w:b/>
                <w:i/>
              </w:rPr>
              <w:t>zdůrazňuje, že neplacené stáže představují formu vykořisťování mladých pracovníků a překážku pro rovné příležitosti;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konstatuje, že podle dotazníku představuje nábor úředníků pro Účetní dvůr v roce 2024 i nadále problém, a to z důvodu nedostatečné atraktivity Lucemburska jako místa výkonu zaměstnání nebo nezájmu mladých pracovníků o práci v oblasti auditu a kontroly; s uspokojením konstatuje, že Účetní dvůr tento problém řešil pořádáním pravidelných výběrových řízení zaměřených na stážisty Účetního dvora, pořádáním interních výběrových řízení s cílem udržet si nejtalentovanější uchazeče a zintenzivněním informačních činností; v této souvislosti uznává, že je zapotřebí konkurenční doložka, aby bylo možné pořádat výběrová řízení EPSO také výhradně pro Lucembursko; chválí Účetní dvůr za to, že se připojil k interinstitucionální dohodě, podle níž zaměstnanci přijatí orgány Unie se sídlem v Lucemburku dostávají od roku 2025 příspěvek na bydlení, který má kompenzovat vysoké životní náklady v Lucembursku;</w:t>
            </w:r>
          </w:p>
        </w:tc>
        <w:tc>
          <w:tcPr>
            <w:tcW w:w="4876" w:type="dxa"/>
            <w:tcBorders>
              <w:top w:val="nil"/>
              <w:left w:val="nil"/>
              <w:bottom w:val="nil"/>
              <w:right w:val="nil"/>
            </w:tcBorders>
          </w:tcPr>
          <w:p>
            <w:pPr>
              <w:pStyle w:val="Normal6a"/>
            </w:pPr>
            <w:r>
              <w:t>23.</w:t>
            </w:r>
            <w:r>
              <w:tab/>
            </w:r>
            <w:r>
              <w:t xml:space="preserve">konstatuje, že podle dotazníku představuje nábor úředníků pro Účetní dvůr v roce 2024 i nadále problém, a to z důvodu nedostatečné atraktivity Lucemburska jako místa výkonu zaměstnání nebo nezájmu mladých pracovníků o práci v oblasti auditu a kontroly; s uspokojením konstatuje, že Účetní dvůr tento problém řešil pořádáním pravidelných výběrových řízení zaměřených na stážisty Účetního dvora, pořádáním interních výběrových řízení s cílem udržet si nejtalentovanější uchazeče a zintenzivněním informačních činností; </w:t>
            </w:r>
            <w:r>
              <w:rPr>
                <w:b/>
                <w:i/>
              </w:rPr>
              <w:t>vybízí Účetní dvůr, aby pokračoval v tomto úsilí s cílem zajistit kontinuitu své činnosti;</w:t>
            </w:r>
            <w:r>
              <w:t xml:space="preserve"> v této souvislosti uznává, že je zapotřebí konkurenční doložka, aby bylo možné pořádat výběrová řízení EPSO také výhradně pro Lucembursko; chválí Účetní dvůr za to, že se připojil k interinstitucionální dohodě, podle níž zaměstnanci přijatí orgány Unie se sídlem v Lucemburku dostávají od roku 2025 příspěvek na bydlení, který má kompenzovat vysoké životní náklady v Lucembursku;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24.</w:t>
            </w:r>
            <w:r>
              <w:tab/>
            </w:r>
            <w:r>
              <w:rPr>
                <w:b/>
                <w:i/>
              </w:rPr>
              <w:t>je si vědom toho, že Účetní dvůr nemá žádnou úlohu v postupu výběru členů podle čl. 286 odst. 2 SFEU;</w:t>
            </w:r>
            <w:r>
              <w:t xml:space="preserve"> </w:t>
            </w:r>
            <w:r>
              <w:rPr>
                <w:b/>
                <w:i/>
              </w:rPr>
              <w:t>připomíná však, že mezi členy Účetního dvora stále existuje významná genderová nerovnováha, neboť z 27 členů je pouze 10 žen;</w:t>
            </w:r>
            <w:r>
              <w:t xml:space="preserve"> </w:t>
            </w:r>
            <w:r>
              <w:rPr>
                <w:b/>
                <w:i/>
              </w:rPr>
              <w:t>znovu vyzývá členské státy, aby navrhovaly kandidáty různých pohlaví s cílem dosáhnout vyváženějšího a reprezentativnějšího složení Účetního dvora;</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je si vědom toho, že Účetní dvůr nemá žádnou úlohu v postupu výběru členů podle čl. 286 odst. 2 SFEU; připomíná však, že mezi členy Účetního dvora stále existuje významná genderová nerovnováha, neboť z 27 členů je pouze 10 žen; znovu vyzývá členské státy, aby </w:t>
            </w:r>
            <w:r>
              <w:rPr>
                <w:b/>
                <w:i/>
              </w:rPr>
              <w:t>navrhovaly kandidáty různých pohlaví s cílem dosáhnout vyváženějšího a reprezentativnějšího složení Účetního dvora</w:t>
            </w:r>
            <w:r>
              <w:t>;</w:t>
            </w:r>
          </w:p>
        </w:tc>
        <w:tc>
          <w:tcPr>
            <w:tcW w:w="4876" w:type="dxa"/>
            <w:tcBorders>
              <w:top w:val="nil"/>
              <w:left w:val="nil"/>
              <w:bottom w:val="nil"/>
              <w:right w:val="nil"/>
            </w:tcBorders>
          </w:tcPr>
          <w:p>
            <w:pPr>
              <w:pStyle w:val="Normal6a"/>
            </w:pPr>
            <w:r>
              <w:t>24.</w:t>
            </w:r>
            <w:r>
              <w:tab/>
            </w:r>
            <w:r>
              <w:t xml:space="preserve">je si vědom toho, že Účetní dvůr nemá žádnou úlohu v postupu výběru členů podle čl. 286 odst. 2 SFEU; připomíná však, že mezi členy Účetního dvora stále existuje významná genderová nerovnováha, neboť z 27 členů je pouze 10 žen; znovu vyzývá členské státy, aby </w:t>
            </w:r>
            <w:r>
              <w:rPr>
                <w:b/>
                <w:i/>
              </w:rPr>
              <w:t>při navrhování kandidátů zohledňovaly potřebu vyváženého zastoupení žen a mužů a zároveň zajistily, aby nominace byly i nadále založeny na kritériích zásluh, kvalifikace a nezávislosti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je si vědom toho, že Účetní dvůr nemá žádnou úlohu v postupu výběru členů podle čl. 286 odst. 2 SFEU; připomíná však, že mezi členy Účetního dvora stále existuje významná genderová nerovnováha, neboť z 27 členů je pouze 10 žen; znovu vyzývá členské státy, aby navrhovaly kandidáty různých pohlaví s cílem dosáhnout vyváženějšího a reprezentativnějšího složení Účetního dvora;</w:t>
            </w:r>
          </w:p>
        </w:tc>
        <w:tc>
          <w:tcPr>
            <w:tcW w:w="4876" w:type="dxa"/>
            <w:tcBorders>
              <w:top w:val="nil"/>
              <w:left w:val="nil"/>
              <w:bottom w:val="nil"/>
              <w:right w:val="nil"/>
            </w:tcBorders>
          </w:tcPr>
          <w:p>
            <w:pPr>
              <w:pStyle w:val="Normal6a"/>
            </w:pPr>
            <w:r>
              <w:t>24.</w:t>
            </w:r>
            <w:r>
              <w:tab/>
            </w:r>
            <w:r>
              <w:t xml:space="preserve">je si vědom toho, že Účetní dvůr nemá žádnou úlohu v postupu výběru členů podle čl. 286 odst. 2 SFEU; připomíná však, že mezi členy Účetního dvora stále existuje významná genderová nerovnováha, neboť z 27 členů je pouze 10 žen; </w:t>
            </w:r>
            <w:r>
              <w:rPr>
                <w:b/>
                <w:i/>
              </w:rPr>
              <w:t>vyjadřuje politování nad tím, že několik členských států do sboru Účetního dvora nikdy nejmenovalo ženu;</w:t>
            </w:r>
            <w:r>
              <w:t xml:space="preserve"> znovu vyzývá členské státy, aby navrhovaly kandidáty různých pohlaví s cílem dosáhnout vyváženějšího a reprezentativnějšího složení Účetního dvora;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28.</w:t>
            </w:r>
            <w:r>
              <w:tab/>
            </w:r>
            <w:r>
              <w:rPr>
                <w:b/>
                <w:i/>
              </w:rPr>
              <w:t>konstatuje, že mezi zaměstnanci Účetního dvora je nedostatečně zastoupeno několik národností, zejména ze severských členských států;</w:t>
            </w:r>
            <w:r>
              <w:t xml:space="preserve"> </w:t>
            </w:r>
            <w:r>
              <w:rPr>
                <w:b/>
                <w:i/>
              </w:rPr>
              <w:t>konstatuje, že existuje riziko, že se situace bude dále zhoršovat v důsledku stárnutí zaměstnanců a nedostatečného náboru kandidátů z těchto členských států;</w:t>
            </w:r>
            <w:r>
              <w:t xml:space="preserve"> </w:t>
            </w:r>
            <w:r>
              <w:rPr>
                <w:b/>
                <w:i/>
              </w:rPr>
              <w:t>připomíná, že se Účetní dvůr opakovaně snaží tuto nerovnováhu řešit větší propagací výběrových řízení a oznámení o volném pracovním místě ve výrazně méně zastoupených členských státech, spoluprací s členy Účetního dvora při šíření jeho oznámení a oslovováním potenciálních uchazečů prostřednictvím účasti na veletrzích pracovních příležitostí v některých členských státech;</w:t>
            </w:r>
            <w:r>
              <w:t xml:space="preserve"> </w:t>
            </w:r>
            <w:r>
              <w:rPr>
                <w:b/>
                <w:i/>
              </w:rPr>
              <w:t>dále konstatuje, že podle zprávy o následných opatřeních vypracoval Účetní dvůr v nadcházejících pěti letech také akční plán s deseti opatřeními s cílem zvrátit současné nedostatečné zastoupení některých členských států;</w:t>
            </w:r>
            <w:r>
              <w:t xml:space="preserve"> </w:t>
            </w:r>
            <w:r>
              <w:rPr>
                <w:b/>
                <w:i/>
              </w:rPr>
              <w:t>vyzývá Účetní dvůr, aby orgán příslušný k udělení absolutoria průběžně informoval o pokroku a výsledcích provádění tohoto akčního plánu;</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konstatuje, že mezi zaměstnanci Účetního dvora je nedostatečně zastoupeno několik národností, zejména ze severských členských států; konstatuje, že existuje riziko, že se situace bude dále zhoršovat v důsledku stárnutí zaměstnanců a nedostatečného náboru kandidátů z těchto členských států; připomíná, že se Účetní dvůr opakovaně snaží tuto nerovnováhu řešit větší propagací výběrových řízení a oznámení o volném pracovním místě ve výrazně méně zastoupených členských státech, spoluprací s členy Účetního dvora při šíření jeho oznámení a oslovováním potenciálních uchazečů prostřednictvím účasti na veletrzích pracovních příležitostí v některých členských státech; dále konstatuje, že podle zprávy o následných opatřeních vypracoval Účetní dvůr v nadcházejících pěti letech také akční plán s deseti opatřeními s cílem zvrátit současné nedostatečné zastoupení některých členských států; vyzývá Účetní dvůr, aby orgán příslušný k udělení absolutoria průběžně informoval o pokroku a výsledcích provádění tohoto akčního plánu;</w:t>
            </w:r>
          </w:p>
        </w:tc>
        <w:tc>
          <w:tcPr>
            <w:tcW w:w="4876" w:type="dxa"/>
            <w:tcBorders>
              <w:top w:val="nil"/>
              <w:left w:val="nil"/>
              <w:bottom w:val="nil"/>
              <w:right w:val="nil"/>
            </w:tcBorders>
          </w:tcPr>
          <w:p>
            <w:pPr>
              <w:pStyle w:val="Normal6a"/>
            </w:pPr>
            <w:r>
              <w:t>28.</w:t>
            </w:r>
            <w:r>
              <w:tab/>
            </w:r>
            <w:r>
              <w:t xml:space="preserve">konstatuje, že mezi zaměstnanci Účetního dvora je nedostatečně zastoupeno několik národností, zejména ze severských členských států; konstatuje, že existuje riziko, že se situace bude dále zhoršovat v důsledku stárnutí zaměstnanců a nedostatečného náboru kandidátů z těchto členských států; připomíná, že se Účetní dvůr opakovaně snaží tuto nerovnováhu řešit větší propagací výběrových řízení a oznámení o volném pracovním místě ve výrazně méně zastoupených členských státech, spoluprací s členy Účetního dvora při šíření jeho oznámení a oslovováním potenciálních uchazečů prostřednictvím účasti na veletrzích pracovních příležitostí v některých členských státech; dále konstatuje, že podle zprávy o následných opatřeních vypracoval Účetní dvůr v nadcházejících pěti letech také akční plán s deseti opatřeními s cílem zvrátit současné nedostatečné zastoupení některých členských států; vyzývá Účetní dvůr, aby orgán příslušný k udělení absolutoria průběžně informoval o pokroku a výsledcích provádění tohoto akčního plánu; </w:t>
            </w:r>
            <w:r>
              <w:rPr>
                <w:b/>
                <w:i/>
              </w:rPr>
              <w:t>oceňuje úsilí, které Účetní dvůr dosud vynaložil při plnění svých povinností v souvislosti s Nástrojem pro oživení a odolnost, a to navzdory tomu, že nejsou k dispozici plně odpovídající zdroje;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Ondřej Knotek, Virginie Joron, Julien Sanchez,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připomíná skutečnost, že na konci roku 2023 bylo obsazeno všech 29 dodatečných pracovních míst (dočasných zaměstnanců) nezbytných pro audit Nástroje pro oživení a odolnost v hodnotě 723,8 miliardy EUR; chápe však, že významnost, složitost a vysoké částky a rychlé vyplácení z Nástroje pro oživení a odolnost nadále představují výzvu a že stávající zdroje nejsou dostatečné k systematickému zajištění souladu výdajů z Nástroje pro oživení a odolnost s pravidly Unie a vnitrostátními pravidly a k reakci na zvýšené aktivity Unie; v této souvislosti podporuje žádost Účetního dvora o přeměnu 29 dočasných zaměstnanců přijatých pro účely auditů souvisejících s Nástrojem pro oživení a odolnost na stálá pracovní místa;</w:t>
            </w:r>
          </w:p>
        </w:tc>
        <w:tc>
          <w:tcPr>
            <w:tcW w:w="4876" w:type="dxa"/>
            <w:tcBorders>
              <w:top w:val="nil"/>
              <w:left w:val="nil"/>
              <w:bottom w:val="nil"/>
              <w:right w:val="nil"/>
            </w:tcBorders>
          </w:tcPr>
          <w:p>
            <w:pPr>
              <w:pStyle w:val="Normal6a"/>
            </w:pPr>
            <w:r>
              <w:t>29.</w:t>
            </w:r>
            <w:r>
              <w:tab/>
            </w:r>
            <w:r>
              <w:t xml:space="preserve">připomíná skutečnost, že na konci roku 2023 bylo obsazeno všech 29 dodatečných pracovních míst (dočasných zaměstnanců) nezbytných pro audit Nástroje pro oživení a odolnost v hodnotě 723,8 miliardy EUR; chápe však, že významnost, složitost a vysoké částky a rychlé vyplácení z Nástroje pro oživení a odolnost nadále představují výzvu a že stávající zdroje nejsou dostatečné k systematickému zajištění souladu výdajů z Nástroje pro oživení a odolnost s pravidly Unie a vnitrostátními pravidly a k reakci na zvýšené aktivity Unie; v této souvislosti podporuje žádost Účetního dvora o přeměnu 29 dočasných zaměstnanců přijatých pro účely auditů souvisejících s Nástrojem pro oživení a odolnost na stálá pracovní místa; </w:t>
            </w:r>
            <w:r>
              <w:rPr>
                <w:b/>
                <w:i/>
              </w:rPr>
              <w:t>zdůrazňuje, že posuzování milníků a cílů je ze své podstaty složitější a časově náročnější, neboť jsou často kvalitativní povahy a týkají se spíše legislativních reforem, administrativních změn nebo správních struktur než kvantifikovatelných finančních údajů;</w:t>
            </w:r>
            <w:r>
              <w:t xml:space="preserve"> </w:t>
            </w:r>
            <w:r>
              <w:rPr>
                <w:b/>
                <w:i/>
              </w:rPr>
              <w:t>vyjadřuje znepokojení nad tím, že replikace nebo rozšíření podobných modelů financování založených na výkonnosti v příštím víceletém finančním rámci bez odpovídajících úprav metodik auditu, přístupu k informacím a zdrojům, by mohlo výrazně oslabit účinnou kontrolu, odpovědnost a jistotu ohledně výdajů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připomíná skutečnost, že na konci roku 2023 bylo obsazeno všech 29 dodatečných pracovních míst (dočasných zaměstnanců) nezbytných pro audit Nástroje pro oživení a odolnost v hodnotě 723,8 miliardy EUR; chápe však, že významnost, složitost a vysoké částky a rychlé vyplácení z Nástroje pro oživení a odolnost nadále představují výzvu a že stávající zdroje nejsou dostatečné k systematickému zajištění souladu výdajů z Nástroje pro oživení a odolnost s pravidly Unie a vnitrostátními pravidly a k reakci na zvýšené aktivity Unie; v této souvislosti podporuje žádost Účetního dvora o přeměnu 29 dočasných zaměstnanců přijatých pro účely auditů souvisejících s Nástrojem pro oživení a odolnost na stálá pracovní místa;</w:t>
            </w:r>
          </w:p>
        </w:tc>
        <w:tc>
          <w:tcPr>
            <w:tcW w:w="4876" w:type="dxa"/>
            <w:tcBorders>
              <w:top w:val="nil"/>
              <w:left w:val="nil"/>
              <w:bottom w:val="nil"/>
              <w:right w:val="nil"/>
            </w:tcBorders>
          </w:tcPr>
          <w:p>
            <w:pPr>
              <w:pStyle w:val="Normal6a"/>
            </w:pPr>
            <w:r>
              <w:t>29.</w:t>
            </w:r>
            <w:r>
              <w:tab/>
            </w:r>
            <w:r>
              <w:t xml:space="preserve">připomíná skutečnost, že na konci roku 2023 bylo obsazeno všech 29 dodatečných pracovních míst (dočasných zaměstnanců) nezbytných pro audit Nástroje pro oživení a odolnost v hodnotě 723,8 miliardy EUR; chápe však, že významnost, složitost a vysoké částky a rychlé vyplácení z Nástroje pro oživení a odolnost nadále představují výzvu a že stávající zdroje nejsou dostatečné k systematickému zajištění souladu výdajů z Nástroje pro oživení a odolnost s pravidly Unie a vnitrostátními pravidly a k reakci na zvýšené aktivity Unie; v této souvislosti podporuje žádost Účetního dvora o přeměnu 29 dočasných zaměstnanců přijatých pro účely auditů souvisejících s Nástrojem pro oživení a odolnost na stálá pracovní místa; </w:t>
            </w:r>
            <w:r>
              <w:rPr>
                <w:b/>
                <w:i/>
              </w:rPr>
              <w:t>zdůrazňuje, že je důležité zajistit, aby měl Účetní dvůr trvale k dispozici odpovídající počet zaměstnanců, a mohl tak plnit svůj mandát i další povinnosti vyplývající z nových finančních nástrojů, jako je nástroj Nástroj pro oživení a odolnost;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 xml:space="preserve">připomíná skutečnost, že na konci roku 2023 bylo obsazeno všech 29 dodatečných pracovních míst (dočasných zaměstnanců) nezbytných pro audit Nástroje pro oživení a odolnost v hodnotě 723,8 miliardy EUR; chápe však, že významnost, složitost a vysoké částky a rychlé vyplácení z Nástroje pro oživení a odolnost nadále představují výzvu a že stávající zdroje nejsou dostatečné k systematickému zajištění souladu výdajů z Nástroje pro oživení a odolnost s pravidly Unie a vnitrostátními pravidly a k reakci na zvýšené aktivity Unie; v této souvislosti podporuje žádost Účetního dvora o přeměnu 29 dočasných zaměstnanců </w:t>
            </w:r>
            <w:r>
              <w:rPr>
                <w:b/>
                <w:i/>
              </w:rPr>
              <w:t>přijatých pro účely auditů souvisejících</w:t>
            </w:r>
            <w:r>
              <w:t xml:space="preserve"> s Nástrojem pro oživení a odolnost na stálá pracovní místa;</w:t>
            </w:r>
          </w:p>
        </w:tc>
        <w:tc>
          <w:tcPr>
            <w:tcW w:w="4876" w:type="dxa"/>
            <w:tcBorders>
              <w:top w:val="nil"/>
              <w:left w:val="nil"/>
              <w:bottom w:val="nil"/>
              <w:right w:val="nil"/>
            </w:tcBorders>
          </w:tcPr>
          <w:p>
            <w:pPr>
              <w:pStyle w:val="Normal6a"/>
            </w:pPr>
            <w:r>
              <w:t>29.</w:t>
            </w:r>
            <w:r>
              <w:tab/>
            </w:r>
            <w:r>
              <w:t xml:space="preserve">připomíná skutečnost, že na konci roku 2023 bylo obsazeno všech 29 dodatečných pracovních míst (dočasných zaměstnanců) nezbytných pro audit Nástroje pro oživení a odolnost v hodnotě 723,8 miliardy EUR; chápe však, že významnost, složitost a vysoké částky a rychlé vyplácení z Nástroje pro oživení a odolnost nadále představují výzvu a že stávající zdroje nejsou dostatečné k systematickému zajištění souladu výdajů z Nástroje pro oživení a odolnost s pravidly Unie a vnitrostátními pravidly a k reakci na zvýšené aktivity Unie; v této souvislosti podporuje žádost Účetního dvora o přeměnu 29 dočasných zaměstnanců </w:t>
            </w:r>
            <w:r>
              <w:rPr>
                <w:b/>
                <w:i/>
              </w:rPr>
              <w:t>najatých pro audity související</w:t>
            </w:r>
            <w:r>
              <w:t xml:space="preserve"> s Nástrojem pro oživení a odolnost na stálá pracovní místa </w:t>
            </w:r>
            <w:r>
              <w:rPr>
                <w:b/>
                <w:i/>
              </w:rPr>
              <w:t>s cílem zajistit, aby byl Účetní dvůr strukturálně vybaven k auditu Nástroje pro oživení a odolnost a budoucích nástrojů založených na výkonnosti, včetně VFR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29a.</w:t>
            </w:r>
            <w:r>
              <w:tab/>
            </w:r>
            <w:r>
              <w:rPr>
                <w:b/>
                <w:i/>
              </w:rPr>
              <w:t>s uznáním konstatuje, že i v roce 2024 Účetní dvůr překročil cíl pro počet dní odborné přípravy, který je stanoven jako pět dní jiné než jazykové odborné přípravy ročně pro auditory (v souladu s doporučeními Mezinárodní federace účetních) a dva dny pro zaměstnance mimo audit (5,8 a 3,9);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konstatuje, že v roce 2024 bylo hlášeno 13 případů vyhoření, což je o 7 případů více než v roce 2023; vítá skutečnost, že Účetní dvůr podnikl několik kroků ke snížení rizika vzniku syndromu vyhoření zavedením plnohodnotného programu pro dobré pracovní podmínky a nabídl školení o odolnosti, zveřejnil a zavedl pokyny pro návrat do práce po dlouhodobé nemocenské, pokračoval v nabídce první pomoci v oblasti duševního zdraví a poskytoval finanční podporu pro zaměstnance, která pokryje náklady na 10 sezení s psychologem podle vlastního výběru; konstatuje zejména, že Účetní dvůr v roce 2024 uspořádal čtyři povinná školení pro vedoucí pracovníky, která byla zaměřena na dobré pracovní podmínky zaměstnanců, výkonnost, rovnováhu mezi pracovním a soukromým životem a prevenci vyhoření;</w:t>
            </w:r>
          </w:p>
        </w:tc>
        <w:tc>
          <w:tcPr>
            <w:tcW w:w="4876" w:type="dxa"/>
            <w:tcBorders>
              <w:top w:val="nil"/>
              <w:left w:val="nil"/>
              <w:bottom w:val="nil"/>
              <w:right w:val="nil"/>
            </w:tcBorders>
          </w:tcPr>
          <w:p>
            <w:pPr>
              <w:pStyle w:val="Normal6a"/>
            </w:pPr>
            <w:r>
              <w:t>31.</w:t>
            </w:r>
            <w:r>
              <w:tab/>
            </w:r>
            <w:r>
              <w:rPr>
                <w:b/>
                <w:i/>
              </w:rPr>
              <w:t>s vážným znepokojením</w:t>
            </w:r>
            <w:r>
              <w:t xml:space="preserve"> konstatuje, že v roce 2024 bylo hlášeno 13 případů vyhoření, což je o 7 případů více než v roce 2023</w:t>
            </w:r>
            <w:r>
              <w:rPr>
                <w:b/>
                <w:i/>
              </w:rPr>
              <w:t>;</w:t>
            </w:r>
            <w:r>
              <w:t xml:space="preserve"> </w:t>
            </w:r>
            <w:r>
              <w:rPr>
                <w:b/>
                <w:i/>
              </w:rPr>
              <w:t>vyzývá Účetní dvůr, aby provedl důkladnou a fakty podloženou analýzu důvodů tohoto výrazného nárůstu oznámených případů vyhoření v roce 2024</w:t>
            </w:r>
            <w:r>
              <w:t xml:space="preserve">; vítá skutečnost, že Účetní dvůr podnikl několik kroků ke snížení rizika vzniku syndromu vyhoření zavedením plnohodnotného programu pro dobré pracovní podmínky a nabídl školení o odolnosti, zveřejnil a zavedl pokyny pro návrat do práce po dlouhodobé nemocenské, pokračoval v nabídce první pomoci v oblasti duševního zdraví a poskytoval finanční podporu pro zaměstnance, která pokryje náklady na 10 sezení s psychologem podle vlastního výběru; konstatuje zejména, že Účetní dvůr v roce 2024 uspořádal čtyři povinná školení pro vedoucí pracovníky, která byla zaměřena na dobré pracovní podmínky zaměstnanců, výkonnost, rovnováhu mezi pracovním a soukromým životem a prevenci vyhoření; </w:t>
            </w:r>
            <w:r>
              <w:rPr>
                <w:b/>
                <w:i/>
              </w:rPr>
              <w:t>vyzývá Účetní dvůr, aby na základě zjištění této analýzy přezkoumal a odpovídajícím způsobem upravil svůj přístup s cílem účinně předcházet vyhoření a zlepšit pracovní prostředí;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konstatuje, že v roce 2024 bylo hlášeno 13 případů vyhoření, což je o 7 případů více než v roce 2023; vítá skutečnost, že Účetní dvůr podnikl několik kroků ke snížení rizika vzniku syndromu vyhoření zavedením plnohodnotného programu pro dobré pracovní podmínky a nabídl školení o odolnosti, zveřejnil a zavedl pokyny pro návrat do práce po dlouhodobé nemocenské, pokračoval v nabídce první pomoci v oblasti duševního zdraví a poskytoval finanční podporu pro zaměstnance, která pokryje náklady na 10 sezení s psychologem podle vlastního výběru; konstatuje zejména, že Účetní dvůr v roce 2024 uspořádal čtyři povinná školení pro vedoucí pracovníky, která byla zaměřena na dobré pracovní podmínky zaměstnanců, výkonnost, rovnováhu mezi pracovním a soukromým životem a prevenci vyhoření;</w:t>
            </w:r>
          </w:p>
        </w:tc>
        <w:tc>
          <w:tcPr>
            <w:tcW w:w="4876" w:type="dxa"/>
            <w:tcBorders>
              <w:top w:val="nil"/>
              <w:left w:val="nil"/>
              <w:bottom w:val="nil"/>
              <w:right w:val="nil"/>
            </w:tcBorders>
          </w:tcPr>
          <w:p>
            <w:pPr>
              <w:pStyle w:val="Normal6a"/>
            </w:pPr>
            <w:r>
              <w:t>31.</w:t>
            </w:r>
            <w:r>
              <w:tab/>
            </w:r>
            <w:r>
              <w:t>konstatuje, že v roce 2024 bylo hlášeno 13 případů vyhoření, což je o 7 případů více než v roce 2023</w:t>
            </w:r>
            <w:r>
              <w:rPr>
                <w:b/>
                <w:i/>
              </w:rPr>
              <w:t>;</w:t>
            </w:r>
            <w:r>
              <w:t xml:space="preserve"> </w:t>
            </w:r>
            <w:r>
              <w:rPr>
                <w:b/>
                <w:i/>
              </w:rPr>
              <w:t>se znepokojením bere na vědomí výrazný nárůst hlášených případů vyhoření v roce 2024;</w:t>
            </w:r>
            <w:r>
              <w:t xml:space="preserve"> </w:t>
            </w:r>
            <w:r>
              <w:rPr>
                <w:b/>
                <w:i/>
              </w:rPr>
              <w:t>vyzývá Účetní dvůr, aby dále analyzoval rozložení pracovní zátěže, organizační faktory a strukturální rizika a aby tato zjištění začlenil do svých postupů plánování a řízení lidských zdrojů</w:t>
            </w:r>
            <w:r>
              <w:t>; vítá skutečnost, že Účetní dvůr podnikl několik kroků ke snížení rizika vzniku syndromu vyhoření zavedením plnohodnotného programu pro dobré pracovní podmínky a nabídl školení o odolnosti, zveřejnil a zavedl pokyny pro návrat do práce po dlouhodobé nemocenské, pokračoval v nabídce první pomoci v oblasti duševního zdraví a poskytoval finanční podporu pro zaměstnance, která pokryje náklady na 10 sezení s psychologem podle vlastního výběru; konstatuje zejména, že Účetní dvůr v roce 2024 uspořádal čtyři povinná školení pro vedoucí pracovníky, která byla zaměřena na dobré pracovní podmínky zaměstnanců, výkonnost, rovnováhu mezi pracovním a soukromým životem a prevenci vyhoření;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33.</w:t>
            </w:r>
            <w:r>
              <w:tab/>
            </w:r>
            <w:r>
              <w:rPr>
                <w:b/>
                <w:i/>
              </w:rPr>
              <w:t>konstatuje, že podle dotazníku přijal Účetní dvůr v roce 2024 v souladu se svým akčním plánem pro rozmanitost a inkluzi na období 2021–2025 řadu opatření v různých oblastech, jako je nábor, odborná příprava, profesní rozvoj, pracovní podmínky či informovanost zaměstnanců;</w:t>
            </w:r>
            <w:r>
              <w:t xml:space="preserve"> </w:t>
            </w:r>
            <w:r>
              <w:rPr>
                <w:b/>
                <w:i/>
              </w:rPr>
              <w:t>konstatuje, že Účetní dvůr začleňuje hlediska rozmanitosti a inkluze do svých procesů řízení výkonnosti, hodnocení, certifikace a povyšování, jakož i do svých vzdělávacích programů, přičemž v roce 2024 podstoupilo dobrovolné hodnocení rozmanitosti a inkluze 13 vedoucích pracovníků;</w:t>
            </w:r>
            <w:r>
              <w:t xml:space="preserve"> </w:t>
            </w:r>
            <w:r>
              <w:rPr>
                <w:b/>
                <w:i/>
              </w:rPr>
              <w:t>vítá specializované školení pro ženy za účelem posilování dovedností potřebných k úspěšnému výkonu vedoucích pozic s názvem Women managers rise up:</w:t>
            </w:r>
            <w:r>
              <w:t xml:space="preserve"> </w:t>
            </w:r>
            <w:r>
              <w:rPr>
                <w:b/>
                <w:i/>
              </w:rPr>
              <w:t>skilling for success, které Účetní dvůr uspořádal s cílem podpořit ženy v jejich snaze o získání vedoucích pozic;</w:t>
            </w:r>
            <w:r>
              <w:t xml:space="preserve"> </w:t>
            </w:r>
            <w:r>
              <w:rPr>
                <w:b/>
                <w:i/>
              </w:rPr>
              <w:t>dále vítá nové programy pozitivních činností Účetního dvora pro stážisty a smluvní zaměstnance zaměřené na osoby se zdravotním postižením, kdy jsou osobám s uznaným zdravotním postižením nabízeny dvě stáže ročně;</w:t>
            </w:r>
            <w:r>
              <w:t xml:space="preserve"> </w:t>
            </w:r>
            <w:r>
              <w:rPr>
                <w:b/>
                <w:i/>
              </w:rPr>
              <w:t>s uspokojením konstatuje, že Účetní dvůr uspořádal v roce 2024 čtvrtý Týden povědomí o zdravotním postižení, v jehož rámci byl představen nový plán pro osoby se zdravotním postižením, který upozorňuje na úsilí Účetního dvora o vytvoření inkluzivnějšího pracoviště;</w:t>
            </w:r>
            <w:r>
              <w:t xml:space="preserve"> </w:t>
            </w:r>
            <w:r>
              <w:rPr>
                <w:b/>
                <w:i/>
              </w:rPr>
              <w:t>s uspokojením konstatuje, že za účelem zajištění transparentnosti a zapojení celé organizace zveřejňuje Účetní dvůr také přezkumy svého akčního plánu pro rozmanitost a inkluzi v polovině období;</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Olivier Chastel, Gilles Boyer, Vlad Vasile-Voiculescu,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znovu vyjadřuje hluboké znepokojení nad tím, že Účetní dvůr odmítl zbavit bývalého předsedu imunity, a nad rozhodnutím Účetního dvora zamítnout žádost Úřadu evropského veřejného žalobce (EPPO), aby několik zaměstnanců Účetního dvora mohlo svědčit v probíhajícím trestním vyšetřování; na základě monitorovací zprávy bere na vědomí postoj Účetního dvora, podle něhož Účetní dvůr nezrušil uvedenou imunitu, protože úřad EPPO neposkytl Účetnímu dvoru „dostatečné informace, které by mu umožnily získat představu, z jakých činů jsou dotyčné osoby obviněny a do jaké míry mohou tyto činy zakládat trestnou činnost“, přičemž na podporu svého postoje cituje judikaturu jako součást platného právního rámce; bere na vědomí, že dne 10. února 2025 podal úřad EPPO podle čl. 263 odst. 4 SFEU odvolání k Soudnímu dvoru Evropské unie (věc č. T-99/25) proti rozhodnutí Účetního dvora zamítnout žádost úřadu EPPO o povolení vyslechnutí několika zaměstnanců Účetního dvora v probíhajícím trestním vyšetřování; dále konstatuje, že uvedený opravný prostředek nenapadá skutečnost, že dotčené osoby nebyly zbaveny imunity; </w:t>
            </w:r>
            <w:r>
              <w:rPr>
                <w:b/>
                <w:i/>
              </w:rPr>
              <w:t>zdůrazňuje, že pravomoci orgánů Unie odepřít svým zaměstnancům souhlas, aby vypovídali jako svědci, se netýkají možnosti vyjádřit se ke skutkové podstatě soudních řízení, v nichž mají zaměstnanci svědčit, a lze se jich dovolávat pouze tehdy, kdy by byly ohroženy zájmy Unie, které musí mít pro Unii značný význam a zásadní důležitost;</w:t>
            </w:r>
            <w:r>
              <w:t xml:space="preserve"> </w:t>
            </w:r>
            <w:r>
              <w:rPr>
                <w:b/>
                <w:i/>
              </w:rPr>
              <w:t>naléhavě</w:t>
            </w:r>
            <w:r>
              <w:t xml:space="preserve"> vyzývá Účetní dvůr, aby v rámci své spolupráce s úřadem EPPO a dalšími subjekty Unie odpovědnými za boj proti podvodům a protiprávnímu jednání zachoval vysokou míru transparentnosti a odpovědnosti;</w:t>
            </w:r>
          </w:p>
        </w:tc>
        <w:tc>
          <w:tcPr>
            <w:tcW w:w="4876" w:type="dxa"/>
            <w:tcBorders>
              <w:top w:val="nil"/>
              <w:left w:val="nil"/>
              <w:bottom w:val="nil"/>
              <w:right w:val="nil"/>
            </w:tcBorders>
          </w:tcPr>
          <w:p>
            <w:pPr>
              <w:pStyle w:val="Normal6a"/>
            </w:pPr>
            <w:r>
              <w:t>35.</w:t>
            </w:r>
            <w:r>
              <w:tab/>
            </w:r>
            <w:r>
              <w:t xml:space="preserve">znovu vyjadřuje hluboké znepokojení nad tím, že Účetní dvůr odmítl zbavit bývalého předsedu imunity, a nad rozhodnutím Účetního dvora zamítnout žádost Úřadu evropského veřejného žalobce (EPPO), aby několik zaměstnanců Účetního dvora mohlo svědčit v probíhajícím trestním vyšetřování; na základě monitorovací zprávy bere na vědomí postoj Účetního dvora, podle něhož Účetní dvůr nezrušil uvedenou imunitu, protože úřad EPPO neposkytl Účetnímu dvoru „dostatečné informace, které by mu umožnily získat představu, z jakých činů jsou dotyčné osoby obviněny a do jaké míry mohou tyto činy zakládat trestnou činnost“, přičemž na podporu svého postoje cituje judikaturu jako součást platného právního rámce; bere na vědomí, že dne 10. února 2025 podal úřad EPPO podle čl. 263 odst. 4 SFEU odvolání k Soudnímu dvoru Evropské unie (věc č. T-99/25) proti rozhodnutí Účetního dvora zamítnout žádost úřadu EPPO o povolení vyslechnutí několika zaměstnanců Účetního dvora v probíhajícím trestním vyšetřování; dále konstatuje, že uvedený opravný prostředek nenapadá skutečnost, že dotčené osoby nebyly zbaveny imunity; vyzývá Účetní dvůr, aby v rámci své spolupráce s úřadem EPPO a dalšími subjekty Unie odpovědnými za boj proti podvodům a protiprávnímu jednání zachoval vysokou míru transparentnosti a odpovědnosti; </w:t>
            </w:r>
            <w:r>
              <w:rPr>
                <w:b/>
                <w:i/>
              </w:rPr>
              <w:t>naléhavě vyzývá Účetní dvůr, aby objasnil kritéria uplatňovaná při rozhodování o žádostech Úřadu evropského veřejného žalobce a zajistil, aby tato rozhodnutí nemohla být vnímána jako maření soudního vyšetřování;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znovu vyjadřuje hluboké znepokojení nad tím, že Účetní dvůr odmítl zbavit bývalého předsedu imunity, a nad rozhodnutím Účetního dvora zamítnout žádost Úřadu evropského veřejného žalobce (EPPO), aby několik zaměstnanců Účetního dvora mohlo svědčit v probíhajícím trestním vyšetřování; na základě monitorovací zprávy bere na vědomí postoj Účetního dvora, podle něhož Účetní dvůr nezrušil uvedenou imunitu, protože úřad EPPO neposkytl Účetnímu dvoru „dostatečné informace, které by mu umožnily získat představu, z jakých činů jsou dotyčné osoby obviněny a do jaké míry mohou tyto činy zakládat trestnou činnost“, přičemž na podporu svého postoje cituje judikaturu jako součást platného právního rámce; bere na vědomí, že dne 10. února 2025 podal úřad EPPO podle čl. 263 odst. 4 SFEU odvolání k Soudnímu dvoru Evropské unie (věc č. T-99/25) proti rozhodnutí Účetního dvora zamítnout žádost úřadu EPPO o povolení vyslechnutí několika zaměstnanců Účetního dvora v probíhajícím trestním vyšetřování; dále konstatuje, že uvedený opravný prostředek nenapadá skutečnost, že dotčené osoby nebyly zbaveny imunity; zdůrazňuje, že pravomoci orgánů Unie odepřít svým zaměstnancům souhlas, aby vypovídali jako svědci, se netýkají možnosti vyjádřit se ke skutkové podstatě soudních řízení, v nichž mají zaměstnanci svědčit, a lze se jich dovolávat pouze tehdy, kdy by byly ohroženy zájmy Unie, které musí mít pro Unii značný význam a zásadní důležitost; </w:t>
            </w:r>
            <w:r>
              <w:rPr>
                <w:b/>
                <w:i/>
              </w:rPr>
              <w:t>naléhavě vyzývá</w:t>
            </w:r>
            <w:r>
              <w:t xml:space="preserve"> Účetní dvůr</w:t>
            </w:r>
            <w:r>
              <w:rPr>
                <w:b/>
                <w:i/>
              </w:rPr>
              <w:t>, aby v rámci své spolupráce</w:t>
            </w:r>
            <w:r>
              <w:t xml:space="preserve"> s úřadem EPPO a </w:t>
            </w:r>
            <w:r>
              <w:rPr>
                <w:b/>
                <w:i/>
              </w:rPr>
              <w:t>dalšími subjekty Unie odpovědnými za boj proti podvodům a protiprávnímu jednání zachoval vysokou míru transparentnosti a odpovědnosti</w:t>
            </w:r>
            <w:r>
              <w:t>;</w:t>
            </w:r>
          </w:p>
        </w:tc>
        <w:tc>
          <w:tcPr>
            <w:tcW w:w="4876" w:type="dxa"/>
            <w:tcBorders>
              <w:top w:val="nil"/>
              <w:left w:val="nil"/>
              <w:bottom w:val="nil"/>
              <w:right w:val="nil"/>
            </w:tcBorders>
          </w:tcPr>
          <w:p>
            <w:pPr>
              <w:pStyle w:val="Normal6a"/>
            </w:pPr>
            <w:r>
              <w:t>35.</w:t>
            </w:r>
            <w:r>
              <w:tab/>
            </w:r>
            <w:r>
              <w:t xml:space="preserve">znovu vyjadřuje hluboké znepokojení nad tím, že Účetní dvůr odmítl zbavit bývalého předsedu imunity, a nad rozhodnutím Účetního dvora zamítnout žádost Úřadu evropského veřejného žalobce (EPPO), aby několik zaměstnanců Účetního dvora mohlo svědčit v probíhajícím trestním vyšetřování; na základě monitorovací zprávy bere na vědomí postoj Účetního dvora, podle něhož Účetní dvůr nezrušil uvedenou imunitu, protože úřad EPPO neposkytl Účetnímu dvoru „dostatečné informace, které by mu umožnily získat představu, z jakých činů jsou dotyčné osoby obviněny a do jaké míry mohou tyto činy zakládat trestnou činnost“, přičemž na podporu svého postoje cituje judikaturu jako součást platného právního rámce; bere na vědomí, že dne 10. února 2025 podal úřad EPPO podle čl. 263 odst. 4 SFEU odvolání k Soudnímu dvoru Evropské unie (věc č. T-99/25) proti rozhodnutí Účetního dvora zamítnout žádost úřadu EPPO o povolení vyslechnutí několika zaměstnanců Účetního dvora v probíhajícím trestním vyšetřování; dále konstatuje, že uvedený opravný prostředek nenapadá skutečnost, že dotčené osoby nebyly zbaveny imunity; zdůrazňuje, že pravomoci orgánů Unie odepřít svým zaměstnancům souhlas, aby vypovídali jako svědci, se netýkají možnosti vyjádřit se ke skutkové podstatě soudních řízení, v nichž mají zaměstnanci svědčit, a lze se jich dovolávat pouze tehdy, kdy by byly ohroženy zájmy Unie, které musí mít pro Unii značný význam a zásadní důležitost; </w:t>
            </w:r>
            <w:r>
              <w:rPr>
                <w:b/>
                <w:i/>
              </w:rPr>
              <w:t>zdůrazňuje, že povinnost loajální spolupráce orgánů Unie vyžaduje, aby povolení vyslechnout zaměstnance jako svědky v trestním vyšetřování byla zamítána pouze za zcela výjimečných okolností;</w:t>
            </w:r>
            <w:r>
              <w:t xml:space="preserve"> </w:t>
            </w:r>
            <w:r>
              <w:rPr>
                <w:b/>
                <w:i/>
              </w:rPr>
              <w:t>připomíná, že tato rozhodnutí nesmí zasahovat do posuzování skutkové podstaty trestního řízení;</w:t>
            </w:r>
            <w:r>
              <w:t xml:space="preserve"> </w:t>
            </w:r>
            <w:r>
              <w:rPr>
                <w:b/>
                <w:i/>
              </w:rPr>
              <w:t>opakuje, že očekává, že</w:t>
            </w:r>
            <w:r>
              <w:t xml:space="preserve"> Účetní dvůr </w:t>
            </w:r>
            <w:r>
              <w:rPr>
                <w:b/>
                <w:i/>
              </w:rPr>
              <w:t>zajistí plnou, včasnou a v dobré víře fungující spolupráci</w:t>
            </w:r>
            <w:r>
              <w:t xml:space="preserve"> s úřadem EPPO a </w:t>
            </w:r>
            <w:r>
              <w:rPr>
                <w:b/>
                <w:i/>
              </w:rPr>
              <w:t>bude řádně informovat orgán příslušný k udělení absolutoria o veškerém relevantním vývoji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znovu vyjadřuje hluboké znepokojení nad tím, že Účetní dvůr odmítl zbavit bývalého předsedu imunity, a nad rozhodnutím Účetního dvora zamítnout žádost Úřadu evropského veřejného žalobce (EPPO), aby několik zaměstnanců Účetního dvora mohlo svědčit v probíhajícím trestním vyšetřování; na základě monitorovací zprávy bere na vědomí postoj Účetního dvora, podle něhož Účetní dvůr nezrušil uvedenou imunitu, protože úřad EPPO neposkytl Účetnímu dvoru „dostatečné informace, které by mu umožnily získat představu, z jakých činů jsou dotyčné osoby obviněny a do jaké míry mohou tyto činy zakládat trestnou činnost“, přičemž na podporu svého postoje cituje judikaturu jako součást platného právního rámce; bere na vědomí, že dne 10. února 2025 podal úřad EPPO podle čl. 263 odst. 4 SFEU odvolání k Soudnímu dvoru Evropské unie (věc č. T-99/25) proti rozhodnutí Účetního dvora zamítnout žádost úřadu EPPO o povolení vyslechnutí několika zaměstnanců Účetního dvora v probíhajícím trestním vyšetřování; dále konstatuje, že uvedený opravný prostředek nenapadá skutečnost, že dotčené osoby nebyly zbaveny imunity; zdůrazňuje, že pravomoci orgánů Unie odepřít svým zaměstnancům souhlas, aby vypovídali jako svědci, se netýkají možnosti vyjádřit se ke skutkové podstatě soudních řízení, v nichž mají zaměstnanci svědčit, a lze se jich dovolávat pouze tehdy, kdy by byly ohroženy zájmy Unie, které musí mít pro Unii značný význam a zásadní důležitost; naléhavě vyzývá Účetní dvůr, aby v rámci své spolupráce s úřadem EPPO a dalšími subjekty Unie odpovědnými za boj proti podvodům a protiprávnímu jednání zachoval vysokou míru transparentnosti a odpovědnosti;</w:t>
            </w:r>
          </w:p>
        </w:tc>
        <w:tc>
          <w:tcPr>
            <w:tcW w:w="4876" w:type="dxa"/>
            <w:tcBorders>
              <w:top w:val="nil"/>
              <w:left w:val="nil"/>
              <w:bottom w:val="nil"/>
              <w:right w:val="nil"/>
            </w:tcBorders>
          </w:tcPr>
          <w:p>
            <w:pPr>
              <w:pStyle w:val="Normal6a"/>
            </w:pPr>
            <w:r>
              <w:t>35.</w:t>
            </w:r>
            <w:r>
              <w:tab/>
            </w:r>
            <w:r>
              <w:t xml:space="preserve">znovu vyjadřuje hluboké znepokojení nad tím, že Účetní dvůr odmítl zbavit bývalého předsedu imunity, a nad rozhodnutím Účetního dvora zamítnout žádost Úřadu evropského veřejného žalobce (EPPO), aby několik zaměstnanců Účetního dvora mohlo svědčit v probíhajícím trestním vyšetřování; na základě monitorovací zprávy bere na vědomí postoj Účetního dvora, podle něhož Účetní dvůr nezrušil uvedenou imunitu, protože úřad EPPO neposkytl Účetnímu dvoru „dostatečné informace, které by mu umožnily získat představu, z jakých činů jsou dotyčné osoby obviněny a do jaké míry mohou tyto činy zakládat trestnou činnost“, přičemž na podporu svého postoje cituje judikaturu jako součást platného právního rámce; bere na vědomí, že dne 10. února 2025 podal úřad EPPO podle čl. 263 odst. 4 SFEU odvolání k Soudnímu dvoru Evropské unie (věc č. T-99/25) proti rozhodnutí Účetního dvora zamítnout žádost úřadu EPPO o povolení vyslechnutí několika zaměstnanců Účetního dvora v probíhajícím trestním vyšetřování; dále konstatuje, že uvedený opravný prostředek nenapadá skutečnost, že dotčené osoby nebyly zbaveny imunity; zdůrazňuje, že pravomoci orgánů Unie odepřít svým zaměstnancům souhlas, aby vypovídali jako svědci, se netýkají možnosti vyjádřit se ke skutkové podstatě soudních řízení, v nichž mají zaměstnanci svědčit, a lze se jich dovolávat pouze tehdy, kdy by byly ohroženy zájmy Unie, které musí mít pro Unii značný význam a zásadní důležitost; naléhavě vyzývá Účetní dvůr, aby v rámci své spolupráce s úřadem EPPO a dalšími subjekty Unie odpovědnými za boj proti podvodům a protiprávnímu jednání zachoval vysokou míru transparentnosti a odpovědnosti </w:t>
            </w:r>
            <w:r>
              <w:rPr>
                <w:b/>
                <w:i/>
              </w:rPr>
              <w:t>a aby zajistil, že imunita nebude uplatňována s cílem bránit legitimním soudním řízením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rPr>
                <w:b/>
                <w:i/>
              </w:rPr>
              <w:t>znovu vyjadřuje hluboké znepokojení nad tím</w:t>
            </w:r>
            <w:r>
              <w:t>, že Účetní dvůr odmítl zbavit bývalého předsedu imunity, a nad rozhodnutím Účetního dvora zamítnout žádost Úřadu evropského veřejného žalobce (EPPO), aby několik zaměstnanců Účetního dvora mohlo svědčit v probíhajícím trestním vyšetřování; na základě monitorovací zprávy bere na vědomí postoj Účetního dvora, podle něhož Účetní dvůr nezrušil uvedenou imunitu, protože úřad EPPO neposkytl Účetnímu dvoru „dostatečné informace, které by mu umožnily získat představu, z jakých činů jsou dotyčné osoby obviněny a do jaké míry mohou tyto činy zakládat trestnou činnost“, přičemž na podporu svého postoje cituje judikaturu jako součást platného právního rámce; bere na vědomí, že dne 10. února 2025 podal úřad EPPO podle čl. 263 odst. 4 SFEU odvolání k Soudnímu dvoru Evropské unie (věc č. T-99/25) proti rozhodnutí Účetního dvora zamítnout žádost úřadu EPPO o povolení vyslechnutí několika zaměstnanců Účetního dvora v probíhajícím trestním vyšetřování; dále konstatuje, že uvedený opravný prostředek nenapadá skutečnost, že dotčené osoby nebyly zbaveny imunity; zdůrazňuje, že pravomoci orgánů Unie odepřít svým zaměstnancům souhlas, aby vypovídali jako svědci, se netýkají možnosti vyjádřit se ke skutkové podstatě soudních řízení, v nichž mají zaměstnanci svědčit, a lze se jich dovolávat pouze tehdy, kdy by byly ohroženy zájmy Unie, které musí mít pro Unii značný význam a zásadní důležitost; naléhavě vyzývá Účetní dvůr, aby v rámci své spolupráce s úřadem EPPO a dalšími subjekty Unie odpovědnými za boj proti podvodům a protiprávnímu jednání zachoval vysokou míru transparentnosti a odpovědnosti;</w:t>
            </w:r>
          </w:p>
        </w:tc>
        <w:tc>
          <w:tcPr>
            <w:tcW w:w="4876" w:type="dxa"/>
            <w:tcBorders>
              <w:top w:val="nil"/>
              <w:left w:val="nil"/>
              <w:bottom w:val="nil"/>
              <w:right w:val="nil"/>
            </w:tcBorders>
          </w:tcPr>
          <w:p>
            <w:pPr>
              <w:pStyle w:val="Normal6a"/>
            </w:pPr>
            <w:r>
              <w:t>35.</w:t>
            </w:r>
            <w:r>
              <w:tab/>
            </w:r>
            <w:r>
              <w:rPr>
                <w:b/>
                <w:i/>
              </w:rPr>
              <w:t>bere na vědomí</w:t>
            </w:r>
            <w:r>
              <w:t>, že Účetní dvůr odmítl zbavit bývalého předsedu imunity, a nad rozhodnutím Účetního dvora zamítnout žádost Úřadu evropského veřejného žalobce (EPPO), aby několik zaměstnanců Účetního dvora mohlo svědčit v probíhajícím trestním vyšetřování; na základě monitorovací zprávy bere na vědomí postoj Účetního dvora, podle něhož Účetní dvůr nezrušil uvedenou imunitu, protože úřad EPPO neposkytl Účetnímu dvoru „dostatečné informace, které by mu umožnily získat představu, z jakých činů jsou dotyčné osoby obviněny a do jaké míry mohou tyto činy zakládat trestnou činnost“, přičemž na podporu svého postoje cituje judikaturu jako součást platného právního rámce; bere na vědomí, že dne 10. února 2025 podal úřad EPPO podle čl. 263 odst. 4 SFEU odvolání k Soudnímu dvoru Evropské unie (věc č. T-99/25) proti rozhodnutí Účetního dvora zamítnout žádost úřadu EPPO o povolení vyslechnutí několika zaměstnanců Účetního dvora v probíhajícím trestním vyšetřování; dále konstatuje, že uvedený opravný prostředek nenapadá skutečnost, že dotčené osoby nebyly zbaveny imunity; zdůrazňuje, že pravomoci orgánů Unie odepřít svým zaměstnancům souhlas, aby vypovídali jako svědci, se netýkají možnosti vyjádřit se ke skutkové podstatě soudních řízení, v nichž mají zaměstnanci svědčit, a lze se jich dovolávat pouze tehdy, kdy by byly ohroženy zájmy Unie, které musí mít pro Unii značný význam a zásadní důležitost; naléhavě vyzývá Účetní dvůr, aby v rámci své spolupráce s úřadem EPPO a dalšími subjekty Unie odpovědnými za boj proti podvodům a protiprávnímu jednání zachoval vysokou míru transparentnosti a odpovědnosti;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35a.</w:t>
            </w:r>
            <w:r>
              <w:tab/>
            </w:r>
            <w:r>
              <w:rPr>
                <w:b/>
                <w:i/>
              </w:rPr>
              <w:t>vyzývá Účetní dvůr, aby v případech týkajících se rozhodnutí o zbavení imunity svých členů poskytl Parlamentu dostatečně podrobné odůvodnění, které nemá důvěrný charakter, s cílem umožnit smysluplnou demokratickou kontrolu při plném respektování soudních řízení a práv dotčených osob;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42.</w:t>
            </w:r>
            <w:r>
              <w:tab/>
            </w:r>
            <w:r>
              <w:t>připomíná, že Útvar interního auditu Účetního dvora (IAS) provedl audit etického rámce platného pro zaměstnance a členy Účetního dvora; konstatuje, že podle závěrečné zprávy (02/2023), kterou Účetní dvůr zaslal předsedovi Parlamentu dne 9. července 2024, a podle dotazníku vydal Útvar interního auditu 16 doporučení, z nichž 15 již bylo splněno, přičemž jedno, týkající se střetu zájmů zaměstnanců, dosud realizováno nebylo;</w:t>
            </w:r>
          </w:p>
        </w:tc>
        <w:tc>
          <w:tcPr>
            <w:tcW w:w="4876" w:type="dxa"/>
            <w:tcBorders>
              <w:top w:val="nil"/>
              <w:left w:val="nil"/>
              <w:bottom w:val="nil"/>
              <w:right w:val="nil"/>
            </w:tcBorders>
          </w:tcPr>
          <w:p>
            <w:pPr>
              <w:pStyle w:val="Normal6a"/>
            </w:pPr>
            <w:r>
              <w:t>42.</w:t>
            </w:r>
            <w:r>
              <w:tab/>
            </w:r>
            <w:r>
              <w:t xml:space="preserve">připomíná, že Útvar interního auditu Účetního dvora (IAS) provedl audit etického rámce platného pro zaměstnance a členy Účetního dvora; konstatuje, že podle závěrečné zprávy (02/2023), kterou Účetní dvůr zaslal předsedovi Parlamentu dne 9. července 2024, a podle dotazníku vydal Útvar interního auditu 16 doporučení, z nichž 15 již bylo splněno, přičemž jedno, týkající se střetu zájmů zaměstnanců, dosud realizováno nebylo; </w:t>
            </w:r>
            <w:r>
              <w:rPr>
                <w:b/>
                <w:i/>
              </w:rPr>
              <w:t>naléhavě vyzývá Účetní dvůr, aby neprodleně dokončil zbývající doporučení, a vyzývá jej, aby orgán příslušný k udělení absolutoria řádně informoval o pokroku dosaženém v tomto ohledu;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 xml:space="preserve">konstatuje, že podle zprávy Účetního dvora nebyly v roce 2024 zjištěny žádné případy korupce nebo podvodů ve vnitřních operacích Účetního dvora; oceňuje, že Účetní dvůr pořádá preventivní školení zaměřená na politiky a postupy boje proti korupci, kterých se v roce 2024 zúčastnilo celkem 10 osob; oceňuje skutečnost, že podle monitorovací zprávy vydal Účetní dvůr v roce 2024 jednotný konsolidovaný dokument o řešení </w:t>
            </w:r>
            <w:r>
              <w:rPr>
                <w:b/>
                <w:i/>
              </w:rPr>
              <w:t>podvodů</w:t>
            </w:r>
            <w:r>
              <w:t xml:space="preserve"> v rámci auditních činností </w:t>
            </w:r>
            <w:r>
              <w:rPr>
                <w:b/>
                <w:i/>
              </w:rPr>
              <w:t>EÚD</w:t>
            </w:r>
            <w:r>
              <w:t xml:space="preserve">, čímž harmonizoval způsob, jakým auditní senáty Účetního dvora řeší </w:t>
            </w:r>
            <w:r>
              <w:rPr>
                <w:b/>
                <w:i/>
              </w:rPr>
              <w:t>záležitosti související s podvody</w:t>
            </w:r>
            <w:r>
              <w:t>, které byly odhaleny během externího auditu; konstatuje, že riziko podvodů v souvislosti s vnitřními operacemi Účetního dvora je řízeno prostřednictvím rámce interní kontroly Účetního dvora, jehož cílem je předcházet veškerým nesrovnalostem týkajících se členů nebo zaměstnanců Účetního dvora, které by mohly mít dopad na finanční zájmy Unie, odhalovat je, napravovat a přijímat následná opatření; dále bere na vědomí názor Účetního dvora, že navržení samostatné strategie boje proti podvodům pro vnitřní operace by „by vzhledem k rozsáhlým kontrolám, které jsou již zavedeny, znamenalo nepřiměřenou administrativní zátěž“, ale nadále žádá Účetní dvůr, aby přijal strategii boje proti podvodům, která by se vztahovala na všechny druhy operací;</w:t>
            </w:r>
          </w:p>
        </w:tc>
        <w:tc>
          <w:tcPr>
            <w:tcW w:w="4876" w:type="dxa"/>
            <w:tcBorders>
              <w:top w:val="nil"/>
              <w:left w:val="nil"/>
              <w:bottom w:val="nil"/>
              <w:right w:val="nil"/>
            </w:tcBorders>
          </w:tcPr>
          <w:p>
            <w:pPr>
              <w:pStyle w:val="Normal6a"/>
            </w:pPr>
            <w:r>
              <w:t>43.</w:t>
            </w:r>
            <w:r>
              <w:tab/>
            </w:r>
            <w:r>
              <w:t xml:space="preserve">konstatuje, že podle zprávy Účetního dvora nebyly v roce 2024 zjištěny žádné případy korupce nebo podvodů ve vnitřních operacích Účetního dvora; oceňuje, že Účetní dvůr pořádá preventivní školení zaměřená na politiky a postupy boje proti korupci, kterých se v roce 2024 zúčastnilo celkem 10 osob; oceňuje skutečnost, že podle monitorovací zprávy vydal Účetní dvůr v roce 2024 jednotný konsolidovaný dokument o řešení </w:t>
            </w:r>
            <w:r>
              <w:rPr>
                <w:b/>
                <w:i/>
              </w:rPr>
              <w:t>záležitostí souvisejících s podvody</w:t>
            </w:r>
            <w:r>
              <w:t xml:space="preserve"> v rámci </w:t>
            </w:r>
            <w:r>
              <w:rPr>
                <w:b/>
                <w:i/>
              </w:rPr>
              <w:t>svých</w:t>
            </w:r>
            <w:r>
              <w:t xml:space="preserve"> auditních činností</w:t>
            </w:r>
            <w:r>
              <w:rPr>
                <w:b/>
                <w:i/>
              </w:rPr>
              <w:t>, který poskytuje auditorům Účetního dvora komplexní a podrobné pokyny</w:t>
            </w:r>
            <w:r>
              <w:t xml:space="preserve">, čímž harmonizoval způsob, jakým auditní senáty Účetního dvora řeší </w:t>
            </w:r>
            <w:r>
              <w:rPr>
                <w:b/>
                <w:i/>
              </w:rPr>
              <w:t>případy podezření z podvodu, korupce nebo jiného protiprávního jednání poškozujícího finanční zájmy Unie</w:t>
            </w:r>
            <w:r>
              <w:t>, které byly odhaleny během externího auditu</w:t>
            </w:r>
            <w:r>
              <w:rPr>
                <w:b/>
                <w:i/>
              </w:rPr>
              <w:t>, a přispěl k zajištění soudržnosti</w:t>
            </w:r>
            <w:r>
              <w:t>; konstatuje, že riziko podvodů v souvislosti s vnitřními operacemi Účetního dvora je řízeno prostřednictvím rámce interní kontroly Účetního dvora, jehož cílem je předcházet veškerým nesrovnalostem týkajících se členů nebo zaměstnanců Účetního dvora, které by mohly mít dopad na finanční zájmy Unie, odhalovat je, napravovat a přijímat následná opatření; dále bere na vědomí názor Účetního dvora, že navržení samostatné strategie boje proti podvodům pro vnitřní operace by „by vzhledem k rozsáhlým kontrolám, které jsou již zavedeny, znamenalo nepřiměřenou administrativní zátěž“, ale nadále žádá Účetní dvůr, aby přijal strategii boje proti podvodům, která by se vztahovala na všechny druhy operací;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44.</w:t>
            </w:r>
            <w:r>
              <w:tab/>
            </w:r>
            <w:r>
              <w:t xml:space="preserve">bere na vědomí názor Účetního dvora vyjádřený ve zprávě o následných opatřeních, že jeho úloha nezávislého externího auditního orgánu jej staví mimo typický okruh subjektů, které se snaží komunikovat s rozhodovacími orgány Unie a lobbovat u nich; je toho názoru, že tento argument nelze plně uplatnit, protože Účetní dvůr vydává zvláštní zprávy, v nichž zkoumá, zda byly splněny cíle politik a programů Unie, což dává jeho činnosti politický či poradní rozměr, třebaže Účetní dvůr není rozhodovacím orgánem; dále připomíná, že k rejstříku transparentnosti Unie se formálně připojily i další nerozhodovací a poradní orgány Unie; znovu proto vyzývá Účetní dvůr, aby se připojil k rejstříku transparentnosti </w:t>
            </w:r>
            <w:r>
              <w:rPr>
                <w:b/>
                <w:i/>
              </w:rPr>
              <w:t>a dodržel tak základní zásady transparentnosti, aniž by to bránilo plné</w:t>
            </w:r>
            <w:r>
              <w:t xml:space="preserve"> nezávislosti </w:t>
            </w:r>
            <w:r>
              <w:rPr>
                <w:b/>
                <w:i/>
              </w:rPr>
              <w:t>Účetního dvora</w:t>
            </w:r>
            <w:r>
              <w:t>;</w:t>
            </w:r>
          </w:p>
        </w:tc>
        <w:tc>
          <w:tcPr>
            <w:tcW w:w="4876" w:type="dxa"/>
            <w:tcBorders>
              <w:top w:val="nil"/>
              <w:left w:val="nil"/>
              <w:bottom w:val="nil"/>
              <w:right w:val="nil"/>
            </w:tcBorders>
          </w:tcPr>
          <w:p>
            <w:pPr>
              <w:pStyle w:val="Normal6a"/>
            </w:pPr>
            <w:r>
              <w:t>44.</w:t>
            </w:r>
            <w:r>
              <w:tab/>
            </w:r>
            <w:r>
              <w:t xml:space="preserve">bere na vědomí názor Účetního dvora vyjádřený ve zprávě o následných opatřeních, že jeho úloha nezávislého externího auditního orgánu jej staví mimo typický okruh subjektů, které se snaží komunikovat s rozhodovacími orgány Unie a lobbovat u nich; je toho názoru, že tento argument nelze plně uplatnit, protože Účetní dvůr vydává zvláštní zprávy, v nichž zkoumá, zda byly splněny cíle politik a programů Unie, což dává jeho činnosti politický či poradní rozměr, třebaže Účetní dvůr není rozhodovacím orgánem; dále připomíná, že k rejstříku transparentnosti Unie se formálně připojily i další nerozhodovací a poradní orgány Unie; znovu proto vyzývá Účetní dvůr, aby se </w:t>
            </w:r>
            <w:r>
              <w:rPr>
                <w:b/>
                <w:i/>
              </w:rPr>
              <w:t>neprodleně</w:t>
            </w:r>
            <w:r>
              <w:t xml:space="preserve"> připojil k rejstříku transparentnosti </w:t>
            </w:r>
            <w:r>
              <w:rPr>
                <w:b/>
                <w:i/>
              </w:rPr>
              <w:t>v souladu s postupy jiných subjektů Unie, které nemají rozhodovací pravomoc, s cílem posílit důvěru veřejnosti při plném zachování své</w:t>
            </w:r>
            <w:r>
              <w:t xml:space="preserve"> nezávislosti </w:t>
            </w:r>
            <w:r>
              <w:rPr>
                <w:b/>
                <w:i/>
              </w:rPr>
              <w:t>jako externího auditora Unie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46.</w:t>
            </w:r>
            <w:r>
              <w:tab/>
            </w:r>
            <w:r>
              <w:t>důrazně podporuje úsilí Účetního dvora o rozvoj znalostního ekosystému auditu prostřednictvím digitalizace; v této souvislosti konstatuje, že podle dotazníku provedl Účetní dvůr v roce 2024 několik iniciativ na posílení svých digitálních schopností a provozní účinnosti, včetně integrace informačních systémů pro audit, zvýšení interoperability mezi systémy a aplikacemi, zavedení asistenta pro čtení dokumentů (DORA) na podporu řízení znalostí při auditních činnostech, spuštění služby BibliotECA Discovery Collections Service a přijetí nové politiky digitální archivace; zdůrazňuje, že spojení digitalizace s větším počtem kontrol na místě by mělo vést k účinnějším a přesnějším výsledkům auditů;</w:t>
            </w:r>
          </w:p>
        </w:tc>
        <w:tc>
          <w:tcPr>
            <w:tcW w:w="4876" w:type="dxa"/>
            <w:tcBorders>
              <w:top w:val="nil"/>
              <w:left w:val="nil"/>
              <w:bottom w:val="nil"/>
              <w:right w:val="nil"/>
            </w:tcBorders>
          </w:tcPr>
          <w:p>
            <w:pPr>
              <w:pStyle w:val="Normal6a"/>
            </w:pPr>
            <w:r>
              <w:t>46.</w:t>
            </w:r>
            <w:r>
              <w:tab/>
            </w:r>
            <w:r>
              <w:t xml:space="preserve">důrazně podporuje úsilí Účetního dvora o rozvoj znalostního ekosystému auditu prostřednictvím digitalizace; v této souvislosti konstatuje, že podle dotazníku provedl Účetní dvůr v roce 2024 několik iniciativ na posílení svých digitálních schopností a provozní účinnosti, včetně integrace informačních systémů pro audit, zvýšení interoperability mezi systémy a aplikacemi, zavedení asistenta pro čtení dokumentů (DORA) na podporu řízení znalostí při auditních činnostech, spuštění služby BibliotECA Discovery Collections Service a přijetí nové politiky digitální archivace; zdůrazňuje, že spojení digitalizace s větším počtem kontrol na místě by mělo vést k účinnějším a přesnějším výsledkům auditů; </w:t>
            </w:r>
            <w:r>
              <w:rPr>
                <w:b/>
                <w:i/>
              </w:rPr>
              <w:t>vybízí k dalším investicím do auditních nástrojů podporovaných umělou inteligencí a interoperability systémů s cílem zvýšit přesnost auditu, snížit administrativní zátěž a maximalizovat efektivnost nákladů;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47.</w:t>
            </w:r>
            <w:r>
              <w:tab/>
            </w:r>
            <w:r>
              <w:t xml:space="preserve">oceňuje zveřejnění výchozí strategie Účetního dvora pro umělou inteligenci a plánu zavádění umělé inteligence na období 2024–2025; s uspokojením konstatuje, že podle dotazníku dosahuje Účetní dvůr při provádění této strategie stabilního pokroku, přičemž se zaměřuje mimo jiné na testování nástrojů, jako jsou Microsoft Copilot a GPT@EC, a přípravu na jejich zavádění, zvyšování povědomí zaměstnanců prostřednictvím cíleného školení v oblasti umělé inteligence, jakož i na testování aplikací umělé inteligence v rámci auditní činnosti a sdílení předběžných zjištění; </w:t>
            </w:r>
            <w:r>
              <w:rPr>
                <w:b/>
                <w:i/>
              </w:rPr>
              <w:t>dále vítá posílení správy Účetního dvora v oblasti umělé inteligence, kdy</w:t>
            </w:r>
            <w:r>
              <w:t xml:space="preserve"> Účetní dvůr </w:t>
            </w:r>
            <w:r>
              <w:rPr>
                <w:b/>
                <w:i/>
              </w:rPr>
              <w:t>v roce 2024 zřídil poradní výbor pro umělou inteligenci a jmenoval zpravodaje pro umělou inteligenci;</w:t>
            </w:r>
            <w:r>
              <w:t xml:space="preserve"> </w:t>
            </w:r>
            <w:r>
              <w:rPr>
                <w:b/>
                <w:i/>
              </w:rPr>
              <w:t>s uspokojením konstatuje, že poradní výbor pro umělou inteligenci, jehož úkolem je podporovat Účetní dvůr a poskytovat mu poradenství při plnění jeho povinností vyplývajících z právního a etického rámce upravujícího používání umělé inteligence, je složen ze zaměstnanců s různými odbornými znalostmi, aby byl zajištěn komplexní přístup a pochopení dopadu</w:t>
            </w:r>
            <w:r>
              <w:t xml:space="preserve"> umělé inteligence;</w:t>
            </w:r>
          </w:p>
        </w:tc>
        <w:tc>
          <w:tcPr>
            <w:tcW w:w="4876" w:type="dxa"/>
            <w:tcBorders>
              <w:top w:val="nil"/>
              <w:left w:val="nil"/>
              <w:bottom w:val="nil"/>
              <w:right w:val="nil"/>
            </w:tcBorders>
          </w:tcPr>
          <w:p>
            <w:pPr>
              <w:pStyle w:val="Normal6a"/>
            </w:pPr>
            <w:r>
              <w:t>47.</w:t>
            </w:r>
            <w:r>
              <w:tab/>
            </w:r>
            <w:r>
              <w:t xml:space="preserve">oceňuje zveřejnění výchozí strategie Účetního dvora pro umělou inteligenci a plánu zavádění umělé inteligence na období 2024–2025; s uspokojením konstatuje, že podle dotazníku dosahuje Účetní dvůr při provádění této strategie stabilního pokroku, přičemž se zaměřuje mimo jiné na testování nástrojů, jako jsou Microsoft Copilot a GPT@EC, a přípravu na jejich zavádění, zvyšování povědomí zaměstnanců prostřednictvím cíleného školení v oblasti umělé inteligence, jakož i na testování aplikací umělé inteligence v rámci auditní činnosti a sdílení předběžných zjištění; </w:t>
            </w:r>
            <w:r>
              <w:rPr>
                <w:b/>
                <w:i/>
              </w:rPr>
              <w:t>bere na vědomí, že</w:t>
            </w:r>
            <w:r>
              <w:t xml:space="preserve"> Účetní dvůr </w:t>
            </w:r>
            <w:r>
              <w:rPr>
                <w:b/>
                <w:i/>
              </w:rPr>
              <w:t>vypracoval strategii pro využívání nástrojů</w:t>
            </w:r>
            <w:r>
              <w:t xml:space="preserve"> umělé inteligence; </w:t>
            </w:r>
            <w:r>
              <w:rPr>
                <w:b/>
                <w:i/>
              </w:rPr>
              <w:t>zdůrazňuje, že jejich používání by mělo být přísně omezeno na činnosti související s auditem a mělo by být pravidelně vyhodnocováno z hlediska poměru nákladů a přínosů, zabezpečení údajů a přidané hodnoty;</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47.</w:t>
            </w:r>
            <w:r>
              <w:tab/>
            </w:r>
            <w:r>
              <w:t>oceňuje zveřejnění výchozí strategie Účetního dvora pro umělou inteligenci a plánu zavádění umělé inteligence na období 2024–2025; s uspokojením konstatuje, že podle dotazníku dosahuje Účetní dvůr při provádění této strategie stabilního pokroku, přičemž se zaměřuje mimo jiné na testování nástrojů, jako jsou Microsoft Copilot a GPT@EC, a přípravu na jejich zavádění, zvyšování povědomí zaměstnanců prostřednictvím cíleného školení v oblasti umělé inteligence, jakož i na testování aplikací umělé inteligence v rámci auditní činnosti a sdílení předběžných zjištění; dále vítá posílení správy Účetního dvora v oblasti umělé inteligence, kdy Účetní dvůr v roce 2024 zřídil poradní výbor pro umělou inteligenci a jmenoval zpravodaje pro umělou inteligenci; s uspokojením konstatuje, že poradní výbor pro umělou inteligenci, jehož úkolem je podporovat Účetní dvůr a poskytovat mu poradenství při plnění jeho povinností vyplývajících z právního a etického rámce upravujícího používání umělé inteligence, je složen ze zaměstnanců s různými odbornými znalostmi, aby byl zajištěn komplexní přístup a pochopení dopadu umělé inteligence;</w:t>
            </w:r>
          </w:p>
        </w:tc>
        <w:tc>
          <w:tcPr>
            <w:tcW w:w="4876" w:type="dxa"/>
            <w:tcBorders>
              <w:top w:val="nil"/>
              <w:left w:val="nil"/>
              <w:bottom w:val="nil"/>
              <w:right w:val="nil"/>
            </w:tcBorders>
          </w:tcPr>
          <w:p>
            <w:pPr>
              <w:pStyle w:val="Normal6a"/>
            </w:pPr>
            <w:r>
              <w:t>47.</w:t>
            </w:r>
            <w:r>
              <w:tab/>
            </w:r>
            <w:r>
              <w:t xml:space="preserve">oceňuje zveřejnění výchozí strategie Účetního dvora pro umělou inteligenci a plánu zavádění umělé inteligence na období 2024–2025; s uspokojením konstatuje, že podle dotazníku dosahuje Účetní dvůr při provádění této strategie stabilního pokroku, přičemž se zaměřuje mimo jiné na testování nástrojů, jako jsou Microsoft Copilot a GPT@EC, a přípravu na jejich zavádění, zvyšování povědomí zaměstnanců prostřednictvím cíleného školení v oblasti umělé inteligence, jakož i na testování aplikací umělé inteligence v rámci auditní činnosti a sdílení předběžných zjištění; dále vítá posílení správy Účetního dvora v oblasti umělé inteligence, kdy Účetní dvůr v roce 2024 zřídil poradní výbor pro umělou inteligenci a jmenoval zpravodaje pro umělou inteligenci; s uspokojením konstatuje, že poradní výbor pro umělou inteligenci, jehož úkolem je podporovat Účetní dvůr a poskytovat mu poradenství při plnění jeho povinností vyplývajících z právního a etického rámce upravujícího používání umělé inteligence, je složen ze zaměstnanců s různými odbornými znalostmi, aby byl zajištěn komplexní přístup a pochopení dopadu umělé inteligence; </w:t>
            </w:r>
            <w:r>
              <w:rPr>
                <w:b/>
                <w:i/>
              </w:rPr>
              <w:t>vyzývá Účetní dvůr, aby v rámci své strategie pro umělou inteligenci vypracoval jasné ukazatele pro posuzování přidané hodnoty, rizik a omezení auditních nástrojů podporovaných umělou inteligencí a aby Parlamentu pravidelně podával zprávy o jejich dopadu na kvalitu auditu, transparentnost a odpovědnost;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47.</w:t>
            </w:r>
            <w:r>
              <w:tab/>
            </w:r>
            <w:r>
              <w:t>oceňuje zveřejnění výchozí strategie Účetního dvora pro umělou inteligenci a plánu zavádění umělé inteligence na období 2024–2025; s uspokojením konstatuje, že podle dotazníku dosahuje Účetní dvůr při provádění této strategie stabilního pokroku, přičemž se zaměřuje mimo jiné na testování nástrojů, jako jsou Microsoft Copilot a GPT@EC, a přípravu na jejich zavádění, zvyšování povědomí zaměstnanců prostřednictvím cíleného školení v oblasti umělé inteligence, jakož i na testování aplikací umělé inteligence v rámci auditní činnosti a sdílení předběžných zjištění; dále vítá posílení správy Účetního dvora v oblasti umělé inteligence, kdy Účetní dvůr v roce 2024 zřídil poradní výbor pro umělou inteligenci a jmenoval zpravodaje pro umělou inteligenci; s uspokojením konstatuje, že poradní výbor pro umělou inteligenci, jehož úkolem je podporovat Účetní dvůr a poskytovat mu poradenství při plnění jeho povinností vyplývajících z právního a etického rámce upravujícího používání umělé inteligence, je složen ze zaměstnanců s různými odbornými znalostmi, aby byl zajištěn komplexní přístup a pochopení dopadu umělé inteligence;</w:t>
            </w:r>
          </w:p>
        </w:tc>
        <w:tc>
          <w:tcPr>
            <w:tcW w:w="4876" w:type="dxa"/>
            <w:tcBorders>
              <w:top w:val="nil"/>
              <w:left w:val="nil"/>
              <w:bottom w:val="nil"/>
              <w:right w:val="nil"/>
            </w:tcBorders>
          </w:tcPr>
          <w:p>
            <w:pPr>
              <w:pStyle w:val="Normal6a"/>
            </w:pPr>
            <w:r>
              <w:t>47.</w:t>
            </w:r>
            <w:r>
              <w:tab/>
            </w:r>
            <w:r>
              <w:t xml:space="preserve">oceňuje zveřejnění výchozí strategie Účetního dvora pro umělou inteligenci a plánu zavádění umělé inteligence na období 2024–2025; s uspokojením konstatuje, že podle dotazníku dosahuje Účetní dvůr při provádění této strategie stabilního pokroku, přičemž se zaměřuje mimo jiné na testování nástrojů, jako jsou Microsoft Copilot a GPT@EC, a přípravu na jejich zavádění, zvyšování povědomí zaměstnanců prostřednictvím cíleného školení v oblasti umělé inteligence, jakož i na testování aplikací umělé inteligence v rámci auditní činnosti a sdílení předběžných zjištění; dále vítá posílení správy Účetního dvora v oblasti umělé inteligence, kdy Účetní dvůr v roce 2024 zřídil poradní výbor pro umělou inteligenci a jmenoval zpravodaje pro umělou inteligenci; s uspokojením konstatuje, že poradní výbor pro umělou inteligenci, jehož úkolem je podporovat Účetní dvůr a poskytovat mu poradenství při plnění jeho povinností vyplývajících z právního a etického rámce upravujícího používání umělé inteligence, je složen ze zaměstnanců s různými odbornými znalostmi, aby byl zajištěn komplexní přístup a pochopení dopadu umělé inteligence; </w:t>
            </w:r>
            <w:r>
              <w:rPr>
                <w:b/>
                <w:i/>
              </w:rPr>
              <w:t>zdůrazňuje, že umělá inteligence musí být využívána tak, aby byly zaručeny přísné zásady etického využívání, transparentnosti, ochrany údajů, lidského dohledu a ochrany před algoritmickou předpojatostí nebo zneužitím;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49.</w:t>
            </w:r>
            <w:r>
              <w:tab/>
            </w:r>
            <w:r>
              <w:rPr>
                <w:b/>
                <w:i/>
              </w:rPr>
              <w:t>se znepokojením konstatuje, že Účetní dvůr se stal terčem kybernetického útoku, k němuž se přihlásila jedna proruská skupina a který vyřadil z provozu veřejné internetové stránky EÚD, a to v rámci koordinované akce, jejímž záměrem bylo destabilizovat volby do Evropského parlamentu v roce 2024;</w:t>
            </w:r>
            <w:r>
              <w:t xml:space="preserve"> </w:t>
            </w:r>
            <w:r>
              <w:rPr>
                <w:b/>
                <w:i/>
              </w:rPr>
              <w:t>vítá závazek Účetního dvora přehodnocovat rizika kybernetické bezpečnosti nejméně každé dva roky;</w:t>
            </w:r>
            <w:r>
              <w:t xml:space="preserve"> </w:t>
            </w:r>
            <w:r>
              <w:rPr>
                <w:b/>
                <w:i/>
              </w:rPr>
              <w:t>vybízí k pokračujícímu provádění pravidelného školení zaměstnanců o kybernetických hrozbách s cílem posílit institucionální odolnost;</w:t>
            </w:r>
            <w:r>
              <w:t xml:space="preserve"> </w:t>
            </w:r>
            <w:r>
              <w:rPr>
                <w:b/>
                <w:i/>
              </w:rPr>
              <w:t>vyzývá Účetní dvůr, aby informoval orgán příslušný k udělení absolutoria o výsledku případného posouzení rizik v oblasti kybernetické bezpečnosti, které by Účetní dvůr mohl provést v souvislosti s prováděním nařízení (EU, Euratom) 2023/2841</w:t>
            </w:r>
            <w:r>
              <w:rPr>
                <w:b/>
                <w:i/>
                <w:vertAlign w:val="superscript"/>
              </w:rPr>
              <w:t>1</w:t>
            </w:r>
            <w:r>
              <w:rPr>
                <w:b/>
                <w:i/>
              </w:rPr>
              <w:t>;</w:t>
            </w:r>
          </w:p>
        </w:tc>
        <w:tc>
          <w:tcPr>
            <w:tcW w:w="4876" w:type="dxa"/>
            <w:tcBorders>
              <w:top w:val="nil"/>
              <w:left w:val="nil"/>
              <w:bottom w:val="nil"/>
              <w:right w:val="nil"/>
            </w:tcBorders>
          </w:tcPr>
          <w:p>
            <w:pPr>
              <w:pStyle w:val="Normal6a"/>
            </w:pPr>
            <w:r>
              <w:rPr>
                <w:b/>
                <w:i/>
              </w:rPr>
              <w:t>vypouští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w:t>
            </w:r>
            <w:r>
              <w:t xml:space="preserve"> </w:t>
            </w:r>
            <w:r>
              <w:rPr>
                <w:b/>
                <w:i/>
              </w:rPr>
              <w:t>Nařízení Evropského parlamentu a Rady (EU, Euratom) 2023/2841 ze dne 13. prosince 2023, kterým se stanoví opatření k zajištění vysoké společné úrovně kybernetické bezpečnosti v orgánech, institucích a jiných subjektech Unie (OJ L, 2023/2841, 18.12.2023, ELI: http://data.europa.eu/eli/reg/2023/2841/oj).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50.</w:t>
            </w:r>
            <w:r>
              <w:tab/>
            </w:r>
            <w:r>
              <w:t>vítá plánované iniciativy na rok 2025, jejichž cílem je dále posílit digitální transformaci a kybernetickou bezpečnost, jako je zavedení asistenta Microsoft Copilot, provedení místních modelů generativní umělé inteligence a instalace biometrického ověření na noteboocích; bere rovněž na vědomí plán Účetního dvora modernizovat svou IT infrastrukturu pomocí nových serverů, instalovat nové kapacity na podporu hybridních schůzí a posílit spolupráci s interinstitucionálním výborem pro digitální transformaci v oblasti nově vznikajících technologií, jako je umělá inteligence;</w:t>
            </w:r>
          </w:p>
        </w:tc>
        <w:tc>
          <w:tcPr>
            <w:tcW w:w="4876" w:type="dxa"/>
            <w:tcBorders>
              <w:top w:val="nil"/>
              <w:left w:val="nil"/>
              <w:bottom w:val="nil"/>
              <w:right w:val="nil"/>
            </w:tcBorders>
          </w:tcPr>
          <w:p>
            <w:pPr>
              <w:pStyle w:val="Normal6a"/>
            </w:pPr>
            <w:r>
              <w:t>50.</w:t>
            </w:r>
            <w:r>
              <w:tab/>
            </w:r>
            <w:r>
              <w:t xml:space="preserve">vítá plánované iniciativy na rok 2025, jejichž cílem je dále posílit digitální transformaci a kybernetickou bezpečnost, jako je zavedení asistenta Microsoft Copilot, provedení místních modelů generativní umělé inteligence a instalace biometrického ověření na noteboocích; bere rovněž na vědomí plán Účetního dvora modernizovat svou IT infrastrukturu pomocí nových serverů, instalovat nové kapacity na podporu hybridních schůzí a posílit spolupráci s interinstitucionálním výborem pro digitální transformaci v oblasti nově vznikajících technologií, jako je umělá inteligence; </w:t>
            </w:r>
            <w:r>
              <w:rPr>
                <w:b/>
                <w:i/>
              </w:rPr>
              <w:t>zdůrazňuje, že dodatečné výdaje na hybridní schůze a technickou infrastrukturu by měly být vynakládány pouze na základě jasné analýzy potřeb a v rámci stávajících rozpočtových limitů;</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Dílčí nadpis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Životní prostředí a udržitelnost</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56.</w:t>
            </w:r>
            <w:r>
              <w:tab/>
            </w:r>
            <w:r>
              <w:rPr>
                <w:b/>
                <w:i/>
              </w:rPr>
              <w:t>s uspokojením vítá pokračující úsilí Účetního dvora o to, aby se stal udržitelným orgánem;</w:t>
            </w:r>
            <w:r>
              <w:t xml:space="preserve"> </w:t>
            </w:r>
            <w:r>
              <w:rPr>
                <w:b/>
                <w:i/>
              </w:rPr>
              <w:t>konstatuje, že Účetní dvůr vydal v roce 2024 svou čtvrtou zprávu o udržitelnosti obsahující hodnocení ekonomických, sociálních a environmentálních dopadů jeho činnosti;</w:t>
            </w:r>
            <w:r>
              <w:t xml:space="preserve"> </w:t>
            </w:r>
            <w:r>
              <w:rPr>
                <w:b/>
                <w:i/>
              </w:rPr>
              <w:t>s uspokojením konstatuje, že 91 % zvláštních zpráv a přezkumů Účetního dvora zveřejněných v roce 2024 se týkalo témat souvisejících s cíli OSN v oblasti udržitelného rozvoje;</w:t>
            </w:r>
            <w:r>
              <w:t xml:space="preserve"> </w:t>
            </w:r>
            <w:r>
              <w:rPr>
                <w:b/>
                <w:i/>
              </w:rPr>
              <w:t>vítá skutečnost, že 40 % veřejných zakázek Účetního dvora zahrnovalo kritéria zeleného a oběhového hospodářství a 98 % nákupů zboží a služeb Účetního dvora v roce 2024 pocházelo od místních dodavatelů;</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57.</w:t>
            </w:r>
            <w:r>
              <w:tab/>
            </w:r>
            <w:r>
              <w:rPr>
                <w:b/>
                <w:i/>
              </w:rPr>
              <w:t>konstatuje, že Účetní dvůr je držitelem certifikátu EMAS a od roku 2014 má zavedenu politiku v oblasti životního prostředí, která byla v roce 2025 aktualizována;</w:t>
            </w:r>
            <w:r>
              <w:t xml:space="preserve"> </w:t>
            </w:r>
            <w:r>
              <w:rPr>
                <w:b/>
                <w:i/>
              </w:rPr>
              <w:t>konstatuje, že Účetní dvůr měří svou uhlíkovou stopu pomocí nejnovější verze metody „Bilan Carbon“, která zahrnuje měření na provozní (činnosti Účetního dvora) i organizační (tři budovy v Lucemburku) úrovni;</w:t>
            </w:r>
            <w:r>
              <w:t xml:space="preserve"> </w:t>
            </w:r>
            <w:r>
              <w:rPr>
                <w:b/>
                <w:i/>
              </w:rPr>
              <w:t>konstatuje, že celkové emise skleníkových plynů Účetního dvora v roce 2024 činily 9 108 tun CO</w:t>
            </w:r>
            <w:r>
              <w:rPr>
                <w:b/>
                <w:i/>
                <w:vertAlign w:val="subscript"/>
              </w:rPr>
              <w:t>2</w:t>
            </w:r>
            <w:r>
              <w:rPr>
                <w:b/>
                <w:i/>
              </w:rPr>
              <w:t>, což představuje pokles o 15 % ve srovnání s emisemi v roce 2014, ale nárůst o 1,6 % ve srovnání s emisemi v roce 2023;</w:t>
            </w:r>
            <w:r>
              <w:t xml:space="preserve"> </w:t>
            </w:r>
            <w:r>
              <w:rPr>
                <w:b/>
                <w:i/>
              </w:rPr>
              <w:t>konstatuje, že na celkových emisích Účetního dvora v roce 2024 se nejvíce podílely nákupy zboží a služeb (31 %) a osobní doprava (29 %);</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Ondřej Knotek, Julien Sanchez, 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57a.</w:t>
            </w:r>
            <w:r>
              <w:tab/>
            </w:r>
            <w:r>
              <w:rPr>
                <w:b/>
                <w:i/>
              </w:rPr>
              <w:t>zdůrazňuje, že iniciativy v oblasti životního prostředí v orgánech Unie musí zůstat nákladově efektivní a technologicky neutrální;</w:t>
            </w:r>
            <w:r>
              <w:t xml:space="preserve"> </w:t>
            </w:r>
            <w:r>
              <w:rPr>
                <w:b/>
                <w:i/>
              </w:rPr>
              <w:t>vyzývá Účetní dvůr, aby poskytl transparentní analýzu nákladů a přínosů svých zelených investic a postupů zadávání veřejných zakázek a aby zajistil, že environmentální hlediska nebudou převažovat nad účinností nebo rozpočtovou kázní;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58.</w:t>
            </w:r>
            <w:r>
              <w:tab/>
            </w:r>
            <w:r>
              <w:rPr>
                <w:b/>
                <w:i/>
              </w:rPr>
              <w:t>s uspokojením bere na vědomí environmentální prohlášení Účetního dvora, v němž jsou uvedeny výsledky za rok 2024, včetně již přijatých a plánovaných opatření, jejichž cílem je snížit dopad činností Účetního dvora na životní prostředí a dosáhnout ročních cílů v oblasti vlivu činnosti Účetního dvora na životní prostředí nebo je překonat;</w:t>
            </w:r>
            <w:r>
              <w:t xml:space="preserve"> </w:t>
            </w:r>
            <w:r>
              <w:rPr>
                <w:b/>
                <w:i/>
              </w:rPr>
              <w:t>konstatuje, že Účetní dvůr měří vliv své činnosti na životní prostředí pomocí souboru ukazatelů a kritérií excelence;</w:t>
            </w:r>
            <w:r>
              <w:t xml:space="preserve"> </w:t>
            </w:r>
            <w:r>
              <w:rPr>
                <w:b/>
                <w:i/>
              </w:rPr>
              <w:t>konstatuje, že Účetní dvůr má v rámci svého programu pro životní prostředí na období 2023–2025 soubor obecných a specifických cílů, z nichž většiny bylo dosaženo v roce 2024, zejména pokud jde o snížení spotřeby energie Účetního dvora (elektřina: −24 %;</w:t>
            </w:r>
            <w:r>
              <w:t xml:space="preserve"> </w:t>
            </w:r>
            <w:r>
              <w:rPr>
                <w:b/>
                <w:i/>
              </w:rPr>
              <w:t>vytápění: −21,80 %), emise do ovzduší (−30 %) a spotřeba vody (−45 %) a zvýšení počtu zadávacích řízení, která zahrnují environmentální kritéria (více než 30 %);</w:t>
            </w:r>
            <w:r>
              <w:t xml:space="preserve"> </w:t>
            </w:r>
            <w:r>
              <w:rPr>
                <w:b/>
                <w:i/>
              </w:rPr>
              <w:t>bere však na vědomí i změnu trendu, pokud jde o počet vytištěných stran (+9,1 %) a snížení roční produkce odpadu (+27,50 %);</w:t>
            </w:r>
            <w:r>
              <w:t xml:space="preserve"> </w:t>
            </w:r>
            <w:r>
              <w:rPr>
                <w:b/>
                <w:i/>
              </w:rPr>
              <w:t>oceňuje opatření Účetního dvora, která mají vyvážit jeho nepříznivý dopad na biologickou rozmanitost;</w:t>
            </w:r>
            <w:r>
              <w:t xml:space="preserve"> </w:t>
            </w:r>
            <w:r>
              <w:rPr>
                <w:b/>
                <w:i/>
              </w:rPr>
              <w:t>bere na vědomí, že Účetní dvůr má ve svých prostorách několik včelstev produkujících med, který sbírají dobrovolníci z řad zaměstnanců, a že se podílí na iniciativách zaměřených na výsadbu stromů v Lucembursku a účastní se dalších ekologických aktivit v rámci účasti Účetního dvora na interinstitucionálních dnech EU v rámci programu EMAS 2024;</w:t>
            </w:r>
            <w:r>
              <w:t xml:space="preserve"> </w:t>
            </w:r>
            <w:r>
              <w:rPr>
                <w:b/>
                <w:i/>
              </w:rPr>
              <w:t>vítá skutečnost, že počet zaměstnanců využívajících městská sdílená kola se zvýšil ze 172 v roce 2023 na 201 v roce 2024;</w:t>
            </w:r>
            <w:r>
              <w:t xml:space="preserve"> </w:t>
            </w:r>
            <w:r>
              <w:rPr>
                <w:b/>
                <w:i/>
              </w:rPr>
              <w:t>vítá podporu Účetního dvora pro využívání mobility při dojíždění, jako je jízda na kole, tím, že pokrývá náklady na předplatné systému sdílení jízdních kol města Lucemburk nebo veřejnou dopravu tím, že částečně proplácí předplatní jízdenku pro přeshraniční zaměstnance, přičemž počet zaměstnanců využívajících tohoto typu systému náhrad se zvýšil z 28 v roce 2023 na 30 v roce 2024;</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Olivier Chastel, Gilles Boyer, Vlad Vasile-Voiculescu,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63a.</w:t>
            </w:r>
            <w:r>
              <w:tab/>
            </w:r>
            <w:r>
              <w:rPr>
                <w:b/>
                <w:i/>
              </w:rPr>
              <w:t>zdůrazňuje důležitou úlohu EÚD ve struktuře boje proti podvodům;</w:t>
            </w:r>
            <w:r>
              <w:t xml:space="preserve"> </w:t>
            </w:r>
            <w:r>
              <w:rPr>
                <w:b/>
                <w:i/>
              </w:rPr>
              <w:t>zdůrazňuje, že v jeho auditech a zvláštních zprávách jsou systematicky identifikovány nedostatky, nesrovnalosti a rizika, čímž spouští nápravná a vymáhací opatření ke zpětnému získání prostředků prováděné Komisí, členskými státy a dalšími aktéry struktury boje proti podvodům;</w:t>
            </w:r>
            <w:r>
              <w:t xml:space="preserve"> </w:t>
            </w:r>
            <w:r>
              <w:rPr>
                <w:b/>
                <w:i/>
              </w:rPr>
              <w:t>zdůrazňuje, že prostřednictvím této funkce dohledu EÚD nejen zvyšuje transparentnost a odpovědnost, ale také posiluje celkovou kapacitu systému EU v oblasti kontroly a odhalování a zajišťuje, aby byly veřejné finanční prostředky řádně spravovány a chráněny před podvody a zneužíváním;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65.</w:t>
            </w:r>
            <w:r>
              <w:tab/>
            </w:r>
            <w:r>
              <w:rPr>
                <w:b/>
                <w:i/>
              </w:rPr>
              <w:t>znovu vyjadřuje politování nad tím, že navzdory lepšímu přístupu k dokumentům a informacím Evropské investiční banky (EIB) nemá Účetní dvůr mandát provádět audit operací financovaných z vlastních prostředků EIB;</w:t>
            </w:r>
            <w:r>
              <w:t xml:space="preserve"> </w:t>
            </w:r>
            <w:r>
              <w:rPr>
                <w:b/>
                <w:i/>
              </w:rPr>
              <w:t>požaduje, aby byl tento mandát Účetnímu dvoru udělen vzhledem k poslání EIB naplňovat cíle Unie a k jejímu rostoucímu významu v hospodářském a politickém prostředí Unie, který překračuje pouhé využívání rozpočtu Unie k zaručení jejích činností;</w:t>
            </w:r>
            <w:r>
              <w:t xml:space="preserve"> připomíná, že </w:t>
            </w:r>
            <w:r>
              <w:rPr>
                <w:b/>
                <w:i/>
              </w:rPr>
              <w:t>Účetní dvůr ve zvláštní zprávě 05/2023 nazvané Finanční prostředí EU – Nesourodý soubor nástrojů vyžadující další zjednodušení a lepší vyvozování odpovědnosti, uvedl, že u všech typů financování politik Unie je třeba definovat mandáty veřejného auditu</w:t>
            </w:r>
            <w:r>
              <w:t>;</w:t>
            </w:r>
          </w:p>
        </w:tc>
        <w:tc>
          <w:tcPr>
            <w:tcW w:w="4876" w:type="dxa"/>
            <w:tcBorders>
              <w:top w:val="nil"/>
              <w:left w:val="nil"/>
              <w:bottom w:val="nil"/>
              <w:right w:val="nil"/>
            </w:tcBorders>
          </w:tcPr>
          <w:p>
            <w:pPr>
              <w:pStyle w:val="Normal6a"/>
            </w:pPr>
            <w:r>
              <w:t>65.</w:t>
            </w:r>
            <w:r>
              <w:tab/>
            </w:r>
            <w:r>
              <w:t xml:space="preserve">připomíná, že </w:t>
            </w:r>
            <w:r>
              <w:rPr>
                <w:b/>
                <w:i/>
              </w:rPr>
              <w:t>jakékoli rozšíření auditního mandátu Účetního dvora, pokud jde o Evropskou investiční banku, vyžaduje jasný právní základ a pečlivé posouzení odpovědností</w:t>
            </w:r>
            <w:r>
              <w: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68.</w:t>
            </w:r>
            <w:r>
              <w:tab/>
            </w:r>
            <w:r>
              <w:rPr>
                <w:b/>
                <w:i/>
              </w:rPr>
              <w:t>Podporuje strategii Účetního dvora v oblasti rozšiřování využívání médií, díky níž bylo v roce 2024 zveřejněno rekordních více než 24 000 tiskových článků online, které se týkaly auditních zpráv Účetního dvora, jiných publikací nebo Účetního dvora obecně, což potvrzuje rostoucí trend v poskytování informací pozorovaný v posledních letech (2023:</w:t>
            </w:r>
            <w:r>
              <w:t xml:space="preserve"> </w:t>
            </w:r>
            <w:r>
              <w:rPr>
                <w:b/>
                <w:i/>
              </w:rPr>
              <w:t>22 000;</w:t>
            </w:r>
            <w:r>
              <w:t xml:space="preserve"> </w:t>
            </w:r>
            <w:r>
              <w:rPr>
                <w:b/>
                <w:i/>
              </w:rPr>
              <w:t>2022:</w:t>
            </w:r>
            <w:r>
              <w:t xml:space="preserve"> </w:t>
            </w:r>
            <w:r>
              <w:rPr>
                <w:b/>
                <w:i/>
              </w:rPr>
              <w:t>20 000;</w:t>
            </w:r>
            <w:r>
              <w:t xml:space="preserve"> </w:t>
            </w:r>
            <w:r>
              <w:rPr>
                <w:b/>
                <w:i/>
              </w:rPr>
              <w:t>2021:</w:t>
            </w:r>
            <w:r>
              <w:t xml:space="preserve"> </w:t>
            </w:r>
            <w:r>
              <w:rPr>
                <w:b/>
                <w:i/>
              </w:rPr>
              <w:t>18 000);</w:t>
            </w:r>
            <w:r>
              <w:t xml:space="preserve"> </w:t>
            </w:r>
            <w:r>
              <w:rPr>
                <w:b/>
                <w:i/>
              </w:rPr>
              <w:t>s uspokojením konstatuje, že podle zprávy Účetního dvora došlo k nárůstu počtu návštěvníků internetových stránek Účetního dvora, které byly spuštěny v roce 2023, přičemž v roce 2024 jich bylo 780 000 (2023:</w:t>
            </w:r>
            <w:r>
              <w:t xml:space="preserve"> </w:t>
            </w:r>
            <w:r>
              <w:rPr>
                <w:b/>
                <w:i/>
              </w:rPr>
              <w:t>700 000), bylo zaznamenáno 1 295 025 unikátních zobrazení stránek a 56 440 stažení;</w:t>
            </w:r>
            <w:r>
              <w:t xml:space="preserve"> </w:t>
            </w:r>
            <w:r>
              <w:rPr>
                <w:b/>
                <w:i/>
              </w:rPr>
              <w:t>vítá skutečnost, že do konce roku 2024 měly čtyři hlavní účty Účetního dvora na sociálních sítích (X, LinkedIn, Facebook, Instagram) více než 61 500 sledujících, přičemž v roce 2023 jich bylo 55 000 a v roce 2022 49 500;</w:t>
            </w:r>
            <w:r>
              <w:t xml:space="preserve"> </w:t>
            </w:r>
            <w:r>
              <w:rPr>
                <w:b/>
                <w:i/>
              </w:rPr>
              <w:t>chválí Účetní dvůr za to, že v listopadu 2024 zahájil vydávání svého prvního měsíčního zpravodaje na síti LinkedIn (ECA Insights), který přináší nejdůležitější informace o nedávných zprávách a náhledy nadcházejících auditů a který do konce tohoto roku přilákal více než 8 500 odběratelů;</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69.</w:t>
            </w:r>
            <w:r>
              <w:tab/>
            </w:r>
            <w:r>
              <w:rPr>
                <w:b/>
                <w:i/>
              </w:rPr>
              <w:t>vítá skutečnost, že Účetní dvůr má digitálně přístupné internetové stránky (úroveň A++), které dvakrát ročně kontroluje externí konzultant s cílem posoudit, zda internetové stránky splňují příslušné normy přístupnosti, a zjistit překážky přístupnosti pro uživatele se zdravotním postižením;</w:t>
            </w:r>
            <w:r>
              <w:t xml:space="preserve"> </w:t>
            </w:r>
            <w:r>
              <w:rPr>
                <w:b/>
                <w:i/>
              </w:rPr>
              <w:t>oceňuje, že celkově je přístupnost hodnocena jako velmi dobrá, a konstatuje, že na základě auditu byla navržena některá doporučení k dalšímu zlepšování a udržování přístupnosti webových stránek;</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70.</w:t>
            </w:r>
            <w:r>
              <w:tab/>
            </w:r>
            <w:r>
              <w:t xml:space="preserve">konstatuje, že roce 2024 Účetní dvůr vydal 44 tiskových zpráv ve 24 jazycích EU a také různá informační sdělení, sdělení pro média a okamžitě použitelná zvuková prohlášení v některých jazycích; konstatuje dále, že Účetní dvůr v uvedeném roce v souvislosti s výroční zprávou uspořádal 20 tiskových konferencí online a dalších 14 tiskových konferencí zaměřených na jednotlivé země; zdůrazňuje, že </w:t>
            </w:r>
            <w:r>
              <w:rPr>
                <w:b/>
                <w:i/>
              </w:rPr>
              <w:t>celkem se tiskových konferencí</w:t>
            </w:r>
            <w:r>
              <w:t xml:space="preserve"> Účetního dvora </w:t>
            </w:r>
            <w:r>
              <w:rPr>
                <w:b/>
                <w:i/>
              </w:rPr>
              <w:t>zúčastnilo 876 novinářů, z nichž většina zastupovala významné sdělovací prostředky z členských států</w:t>
            </w:r>
            <w:r>
              <w:t>;</w:t>
            </w:r>
          </w:p>
        </w:tc>
        <w:tc>
          <w:tcPr>
            <w:tcW w:w="4876" w:type="dxa"/>
            <w:tcBorders>
              <w:top w:val="nil"/>
              <w:left w:val="nil"/>
              <w:bottom w:val="nil"/>
              <w:right w:val="nil"/>
            </w:tcBorders>
          </w:tcPr>
          <w:p>
            <w:pPr>
              <w:pStyle w:val="Normal6a"/>
            </w:pPr>
            <w:r>
              <w:t>70.</w:t>
            </w:r>
            <w:r>
              <w:tab/>
            </w:r>
            <w:r>
              <w:t xml:space="preserve">konstatuje, že roce 2024 Účetní dvůr vydal 44 tiskových zpráv ve 24 jazycích EU a také různá informační sdělení, sdělení pro média a okamžitě použitelná zvuková prohlášení v některých jazycích; konstatuje dále, že Účetní dvůr v uvedeném roce v souvislosti s výroční zprávou uspořádal 20 tiskových konferencí online a dalších 14 tiskových konferencí zaměřených na jednotlivé země; </w:t>
            </w:r>
            <w:r>
              <w:rPr>
                <w:b/>
                <w:i/>
              </w:rPr>
              <w:t>bere tyto činnosti na vědomí a</w:t>
            </w:r>
            <w:r>
              <w:t xml:space="preserve"> zdůrazňuje, že </w:t>
            </w:r>
            <w:r>
              <w:rPr>
                <w:b/>
                <w:i/>
              </w:rPr>
              <w:t>komunikace</w:t>
            </w:r>
            <w:r>
              <w:t xml:space="preserve"> Účetního dvora </w:t>
            </w:r>
            <w:r>
              <w:rPr>
                <w:b/>
                <w:i/>
              </w:rPr>
              <w:t>by měla zůstat striktně omezena na věcné sdělování výsledků auditu</w:t>
            </w:r>
            <w:r>
              <w: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70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70b.</w:t>
            </w:r>
            <w:r>
              <w:tab/>
            </w:r>
            <w:r>
              <w:rPr>
                <w:b/>
                <w:i/>
              </w:rPr>
              <w:t>vítá zvláštní zprávu Evropského účetního dvora 11/2025:</w:t>
            </w:r>
            <w:r>
              <w:t xml:space="preserve"> </w:t>
            </w:r>
            <w:r>
              <w:rPr>
                <w:b/>
                <w:i/>
              </w:rPr>
              <w:t>Transparentnost financování EU pro nevládní organizace;</w:t>
            </w:r>
            <w:r>
              <w:t xml:space="preserve"> </w:t>
            </w:r>
            <w:r>
              <w:rPr>
                <w:b/>
                <w:i/>
              </w:rPr>
              <w:t>se znepokojením bere na vědomí problémy, které jsou v ní uvedeny, včetně nedostatků v oblasti transparentnosti, klasifikace a dohledu;</w:t>
            </w:r>
            <w:r>
              <w:t xml:space="preserve"> </w:t>
            </w:r>
            <w:r>
              <w:rPr>
                <w:b/>
                <w:i/>
              </w:rPr>
              <w:t>zdůrazňuje, že je třeba, aby EÚD pokračoval ve svém monitorování a podávání zpráv o těchto otázkách a posílil tuto svoji činnost s cílem zajistit plný soulad s finančními pravidly, požadavky na transparentnost a základními hodnotami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70a.</w:t>
            </w:r>
            <w:r>
              <w:tab/>
            </w:r>
            <w:r>
              <w:rPr>
                <w:b/>
                <w:i/>
              </w:rPr>
              <w:t>vybízí v této souvislosti Účetní dvůr, aby vypracoval zvláštní zprávu o finančních prostředcích EU poskytovaných nevládním organizacím působícím v Gaze a organizacím, které se podílejí na tvorbě palestinských školních učebnic;</w:t>
            </w:r>
            <w:r>
              <w:t xml:space="preserve"> </w:t>
            </w:r>
            <w:r>
              <w:rPr>
                <w:b/>
                <w:i/>
              </w:rPr>
              <w:t>zdůrazňuje, že tato kontrola má zásadní význam pro zajištění toho, aby finanční prostředky EU nebyly přímo ani nepřímo přesměrovány na teroristické organizace nebo jejich přidružené subjekty, ani aby nebyly používány způsobem, který podporuje nenávist, radikalizaci nebo podněcování k násilí, a aby byl zajištěn plný soulad s finančními pravidly EU, normami transparentnosti a základními hodnotami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71.</w:t>
            </w:r>
            <w:r>
              <w:tab/>
            </w:r>
            <w:r>
              <w:rPr>
                <w:b/>
                <w:i/>
              </w:rPr>
              <w:t>vítá skutečnost, že v zájmu většího zapojení veřejnosti Účetní dvůr od roku 2024 poskytuje občanům možnost přispívat k jeho pracovnímu programu podáváním návrhů na audit prostřednictvím internetových stránek Účetního dvora;</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782.521</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46</w:t>
    </w:r>
    <w:r>
      <w:fldChar w:fldCharType="end"/>
    </w:r>
    <w:r>
      <w:t>/</w:t>
    </w:r>
    <w:r>
      <w:fldChar w:fldCharType="begin"/>
    </w:r>
    <w:r>
      <w:instrText xml:space="preserve"> NUMPAGES </w:instrText>
    </w:r>
    <w:r>
      <w:fldChar w:fldCharType="separate"/>
    </w:r>
    <w:r>
      <w:t>46</w:t>
    </w:r>
    <w:r>
      <w:fldChar w:fldCharType="end"/>
    </w:r>
    <w:r>
      <w:tab/>
    </w:r>
    <w:r>
      <w:rPr>
        <w:rStyle w:val="HideTWBExt"/>
      </w:rPr>
      <w:t>&lt;PathFdR&gt;</w:t>
    </w:r>
    <w:r>
      <w:t>AM\1336164CS.docx</w:t>
    </w:r>
    <w:r>
      <w:rPr>
        <w:rStyle w:val="HideTWBExt"/>
      </w:rPr>
      <w:t>&lt;/PathFdR&gt;</w:t>
    </w:r>
  </w:p>
  <w:p>
    <w:pPr>
      <w:pStyle w:val="EPFooter2"/>
    </w:pPr>
    <w:r>
      <w:t>CS</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AM\1336164CS.docx</w:t>
    </w:r>
    <w:r>
      <w:rPr>
        <w:rStyle w:val="HideTWBExt"/>
      </w:rPr>
      <w:t>&lt;/PathFdR&gt;</w:t>
    </w:r>
    <w:r>
      <w:tab/>
    </w:r>
    <w:r>
      <w:fldChar w:fldCharType="begin"/>
    </w:r>
    <w:r>
      <w:instrText xml:space="preserve"> PAGE </w:instrText>
    </w:r>
    <w:r>
      <w:fldChar w:fldCharType="separate"/>
    </w:r>
    <w:r>
      <w:t>45</w:t>
    </w:r>
    <w:r>
      <w:fldChar w:fldCharType="end"/>
    </w:r>
    <w:r>
      <w:t>/</w:t>
    </w:r>
    <w:r>
      <w:fldChar w:fldCharType="begin"/>
    </w:r>
    <w:r>
      <w:instrText xml:space="preserve"> NUMPAGES </w:instrText>
    </w:r>
    <w:r>
      <w:fldChar w:fldCharType="separate"/>
    </w:r>
    <w:r>
      <w:t>46</w:t>
    </w:r>
    <w:r>
      <w:fldChar w:fldCharType="end"/>
    </w:r>
    <w:r>
      <w:tab/>
    </w:r>
    <w:r>
      <w:t>PE</w:t>
    </w:r>
    <w:r>
      <w:rPr>
        <w:rStyle w:val="HideTWBExt"/>
      </w:rPr>
      <w:t>&lt;NoPE&gt;</w:t>
    </w:r>
    <w:r>
      <w:t>782.521</w:t>
    </w:r>
    <w:r>
      <w:rPr>
        <w:rStyle w:val="HideTWBExt"/>
      </w:rPr>
      <w:t>&lt;/NoPE&gt;</w:t>
    </w:r>
    <w:r>
      <w:rPr>
        <w:rStyle w:val="HideTWBExt"/>
      </w:rPr>
      <w:t>&lt;Version&gt;</w:t>
    </w:r>
    <w:r>
      <w:t>v01-00</w:t>
    </w:r>
    <w:r>
      <w:rPr>
        <w:rStyle w:val="HideTWBExt"/>
      </w:rPr>
      <w:t>&lt;/Version&gt;</w:t>
    </w:r>
  </w:p>
  <w:p>
    <w:pPr>
      <w:pStyle w:val="EPFooter2"/>
    </w:pPr>
    <w:r>
      <w:tab/>
    </w:r>
    <w:r>
      <w:tab/>
    </w:r>
    <w:r>
      <w:t>CS</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AM\1336164CS.docx</w:t>
    </w:r>
    <w:r>
      <w:rPr>
        <w:rStyle w:val="HideTWBExt"/>
      </w:rPr>
      <w:t>&lt;/PathFdR&gt;</w:t>
    </w:r>
    <w:r>
      <w:tab/>
    </w:r>
    <w:r>
      <w:tab/>
    </w:r>
    <w:r>
      <w:t>PE</w:t>
    </w:r>
    <w:r>
      <w:rPr>
        <w:rStyle w:val="HideTWBExt"/>
      </w:rPr>
      <w:t>&lt;NoPE&gt;</w:t>
    </w:r>
    <w:r>
      <w:t>782.521</w:t>
    </w:r>
    <w:r>
      <w:rPr>
        <w:rStyle w:val="HideTWBExt"/>
      </w:rPr>
      <w:t>&lt;/NoPE&gt;</w:t>
    </w:r>
    <w:r>
      <w:rPr>
        <w:rStyle w:val="HideTWBExt"/>
      </w:rPr>
      <w:t>&lt;Version&gt;</w:t>
    </w:r>
    <w:r>
      <w:t>v01-00</w:t>
    </w:r>
    <w:r>
      <w:rPr>
        <w:rStyle w:val="HideTWBExt"/>
      </w:rPr>
      <w:t>&lt;/Version&gt;</w:t>
    </w:r>
  </w:p>
  <w:p>
    <w:pPr>
      <w:pStyle w:val="EPFooter2"/>
    </w:pPr>
    <w:r>
      <w:t>CS</w:t>
    </w:r>
    <w:r>
      <w:tab/>
    </w:r>
    <w:r>
      <w:rPr>
        <w:rStyle w:val="EPFooter2Motto"/>
      </w:rPr>
      <w:t>Jednotná v rozmanitosti</w:t>
    </w:r>
    <w:r>
      <w:tab/>
    </w:r>
    <w:r>
      <w:t>CS</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cs-CZ"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46</Pages>
  <Words>12747</Words>
  <Characters>74889</Characters>
  <Application>Microsoft Office Word</Application>
  <DocSecurity>0</DocSecurity>
  <Lines>1</Lines>
  <Paragraphs>534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1336164</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376506</vt:lpwstr>
  </property>
  <property fmtid="{D5CDD505-2E9C-101B-9397-08002B2CF9AE}" pid="7" name="dmxml.render.traceId">
    <vt:lpwstr>698ca299679047e339e9dc37c2a2777c</vt:lpwstr>
  </property>
  <property fmtid="{D5CDD505-2E9C-101B-9397-08002B2CF9AE}" pid="8" name="FooterPath">
    <vt:lpwstr>AM\1336164CS.docx</vt:lpwstr>
  </property>
  <property fmtid="{D5CDD505-2E9C-101B-9397-08002B2CF9AE}" pid="9" name="PE Number">
    <vt:lpwstr>782.521</vt:lpwstr>
  </property>
  <property fmtid="{D5CDD505-2E9C-101B-9397-08002B2CF9AE}" pid="10" name="UID">
    <vt:lpwstr>eu.europa.europarl-DIN1-2026-0000016605_01.00-cs-01.00_text-xml</vt:lpwstr>
  </property>
</Properties>
</file>