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Euroopan parlamentti</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{CONT}</w:t>
      </w:r>
      <w:r>
        <w:t>Talousarvion valvontavaliokunta</w:t>
      </w:r>
      <w:r>
        <w:rPr>
          <w:rStyle w:val="HideTWBExt"/>
        </w:rPr>
        <w:t>&lt;/Commission&gt;</w:t>
      </w:r>
    </w:p>
    <w:p>
      <w:pPr>
        <w:pStyle w:val="LineBottom"/>
      </w:pPr>
      <w:r>
        <w:t xml:space="preserve"> </w:t>
      </w:r>
    </w:p>
    <w:p>
      <w:pPr>
        <w:pStyle w:val="CoverReference"/>
      </w:pPr>
      <w:r>
        <w:rPr>
          <w:rStyle w:val="HideTWBExt"/>
        </w:rPr>
        <w:t>&lt;RefProc&gt;</w:t>
      </w:r>
      <w:r>
        <w:t>2025/2149</w:t>
      </w:r>
      <w:r>
        <w:rPr>
          <w:rStyle w:val="HideTWBExt"/>
        </w:rPr>
        <w:t>&lt;/RefProc&gt;</w:t>
      </w:r>
      <w:r>
        <w:rPr>
          <w:rStyle w:val="HideTWBExt"/>
        </w:rPr>
        <w:t>&lt;RefTypeProc&gt;</w:t>
      </w:r>
      <w:r>
        <w:t>(DEC)</w:t>
      </w:r>
      <w:r>
        <w:rPr>
          <w:rStyle w:val="HideTWBExt"/>
        </w:rPr>
        <w:t>&lt;/RefTypeProc&gt;</w:t>
      </w:r>
    </w:p>
    <w:p>
      <w:pPr>
        <w:pStyle w:val="CoverDate"/>
      </w:pPr>
      <w:r>
        <w:rPr>
          <w:rStyle w:val="HideTWBExt"/>
        </w:rPr>
        <w:t>&lt;Date&gt;</w:t>
      </w:r>
      <w:r>
        <w:rPr>
          <w:rStyle w:val="HideTWBInt"/>
        </w:rPr>
        <w:t>{28/01/2026}</w:t>
      </w:r>
      <w:r>
        <w:t>28.1.2026</w:t>
      </w:r>
      <w:r>
        <w:rPr>
          <w:rStyle w:val="HideTWBExt"/>
        </w:rPr>
        <w:t>&lt;/Date&gt;</w:t>
      </w:r>
    </w:p>
    <w:p>
      <w:pPr>
        <w:pStyle w:val="CoverDocType"/>
      </w:pPr>
      <w:r>
        <w:rPr>
          <w:rStyle w:val="HideTWBExt"/>
        </w:rPr>
        <w:t>&lt;TypeAM&gt;</w:t>
      </w:r>
      <w:r>
        <w:t>TARKISTUKSET</w:t>
      </w:r>
      <w:r>
        <w:rPr>
          <w:rStyle w:val="HideTWBExt"/>
        </w:rPr>
        <w:t>&lt;/TypeAM&gt;</w:t>
      </w:r>
    </w:p>
    <w:p>
      <w:pPr>
        <w:pStyle w:val="CoverDocType24a"/>
      </w:pPr>
      <w:r>
        <w:rPr>
          <w:rStyle w:val="HideTWBExt"/>
        </w:rPr>
        <w:t>&lt;RangeAM&gt;</w:t>
      </w:r>
      <w:r>
        <w:t>1</w:t>
      </w:r>
      <w:r>
        <w:t xml:space="preserve"> - </w:t>
      </w:r>
      <w:r>
        <w:t>58</w:t>
      </w:r>
      <w:r>
        <w:rPr>
          <w:rStyle w:val="HideTWBExt"/>
        </w:rPr>
        <w:t>&lt;/RangeAM&gt;</w:t>
      </w:r>
    </w:p>
    <w:p>
      <w:pPr>
        <w:pStyle w:val="CoverBold"/>
      </w:pPr>
      <w:r>
        <w:rPr>
          <w:rStyle w:val="HideTWBExt"/>
        </w:rPr>
        <w:t>&lt;TitreType&gt;</w:t>
      </w:r>
      <w:r>
        <w:t>Mietintöluonnos</w:t>
      </w:r>
      <w:r>
        <w:rPr>
          <w:rStyle w:val="HideTWBExt"/>
        </w:rPr>
        <w:t>&lt;/TitreType&gt;</w:t>
      </w:r>
    </w:p>
    <w:p>
      <w:pPr>
        <w:pStyle w:val="CoverBold"/>
      </w:pPr>
      <w:r>
        <w:rPr>
          <w:rStyle w:val="HideTWBExt"/>
        </w:rPr>
        <w:t>&lt;Rapporteur&gt;</w:t>
      </w:r>
      <w:r>
        <w:t>Pasquale Tridico</w:t>
      </w:r>
      <w:r>
        <w:rPr>
          <w:rStyle w:val="HideTWBExt"/>
        </w:rPr>
        <w:t>&lt;/Rapporteur&gt;</w:t>
      </w:r>
    </w:p>
    <w:p>
      <w:pPr>
        <w:pStyle w:val="CoverNormal24a"/>
      </w:pPr>
      <w:r>
        <w:rPr>
          <w:rStyle w:val="HideTWBExt"/>
        </w:rPr>
        <w:t>&lt;DocRefPE&gt;</w:t>
      </w:r>
      <w:r>
        <w:t>(PE778.062v01-00)</w:t>
      </w:r>
      <w:r>
        <w:rPr>
          <w:rStyle w:val="HideTWBExt"/>
        </w:rPr>
        <w:t>&lt;/DocRefPE&gt;</w:t>
      </w:r>
    </w:p>
    <w:p>
      <w:pPr>
        <w:pStyle w:val="CoverNormal"/>
      </w:pPr>
      <w:r>
        <w:rPr>
          <w:rStyle w:val="HideTWBExt"/>
        </w:rPr>
        <w:t>&lt;Titre&gt;</w:t>
      </w:r>
      <w:r>
        <w:t>Vastuuvapaus 2024: EU:n yleinen talousarvio – Tilintarkastustuomioistuin</w:t>
      </w:r>
      <w:r>
        <w:rPr>
          <w:rStyle w:val="HideTWBExt"/>
        </w:rPr>
        <w:t>&lt;/Titre&gt;</w:t>
      </w:r>
    </w:p>
    <w:p>
      <w:pPr>
        <w:pStyle w:val="CoverNormal24a"/>
      </w:pPr>
      <w:r>
        <w:rPr>
          <w:rStyle w:val="HideTWBExt"/>
        </w:rPr>
        <w:t>&lt;DocRef&gt;</w:t>
      </w:r>
      <w:r>
        <w:t>(2025/2149(DEC))</w:t>
      </w:r>
      <w:r>
        <w:rPr>
          <w:rStyle w:val="HideTWBExt"/>
        </w:rPr>
        <w:t>&lt;/DocRef&gt;</w:t>
      </w:r>
    </w:p>
    <w:p>
      <w:r>
        <w:br w:type="page"/>
      </w:r>
      <w:r>
        <w:t>AM_Com_NonLegReport</w:t>
      </w:r>
    </w:p>
    <w:p>
      <w:pPr>
        <w:pStyle w:val="AmNumberTabs"/>
      </w:pPr>
      <w:r>
        <w:br w:type="page"/>
      </w:r>
      <w:r>
        <w:rPr>
          <w:rStyle w:val="HideTWBExt"/>
        </w:rPr>
        <w:t>&lt;RepeatBlock-Amend&gt;</w:t>
      </w:r>
      <w:r>
        <w:rPr>
          <w:rStyle w:val="HideTWBExt"/>
        </w:rPr>
        <w:t>&lt;Amend&gt;</w:t>
      </w:r>
      <w:r>
        <w:t>Tarkistus</w:t>
      </w:r>
      <w:r>
        <w:tab/>
      </w:r>
      <w:r>
        <w:tab/>
      </w:r>
      <w:r>
        <w:rPr>
          <w:rStyle w:val="HideTWBExt"/>
        </w:rPr>
        <w:t>&lt;NumAm&gt;</w:t>
      </w:r>
      <w:r>
        <w:t>1</w:t>
      </w:r>
      <w:r>
        <w:rPr>
          <w:rStyle w:val="HideTWBExt"/>
        </w:rPr>
        <w:t>&lt;/NumAm&gt;</w:t>
      </w:r>
    </w:p>
    <w:p>
      <w:pPr>
        <w:pStyle w:val="NormalBold"/>
      </w:pPr>
      <w:r>
        <w:rPr>
          <w:rStyle w:val="HideTWBExt"/>
          <w:b w:val="0"/>
        </w:rPr>
        <w:t>&lt;RepeatBlock-By&gt;</w:t>
      </w:r>
      <w:r>
        <w:rPr>
          <w:rStyle w:val="HideTWBExt"/>
          <w:b w:val="0"/>
        </w:rPr>
        <w:t>&lt;Members&gt;</w:t>
      </w:r>
      <w:r>
        <w:t>Csaba Molnár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panee merkille, että tilintarkastustuomioistuimen talousarvio kuuluu monivuotisen rahoituskehyksen otsakkeeseen 7 ”EU:n yleinen hallinto”, jonka määrä vuonna </w:t>
            </w:r>
            <w:r>
              <w:rPr>
                <w:b/>
                <w:i/>
              </w:rPr>
              <w:t>2023</w:t>
            </w:r>
            <w:r>
              <w:t xml:space="preserve"> oli 13,3 miljardia euroa (eli 6,9 prosenttia unionin koko talousarviosta); panee merkille, että tilintarkastustuomioistuimen noin 0,2 miljardin euron talousarvio on noin 1,5 prosenttia kaikista unionin hallintomenoista;</w:t>
            </w:r>
          </w:p>
        </w:tc>
        <w:tc>
          <w:tcPr>
            <w:tcW w:w="4876" w:type="dxa"/>
            <w:tcBorders>
              <w:top w:val="nil"/>
              <w:left w:val="nil"/>
              <w:bottom w:val="nil"/>
              <w:right w:val="nil"/>
            </w:tcBorders>
          </w:tcPr>
          <w:p>
            <w:pPr>
              <w:pStyle w:val="Normal6a"/>
            </w:pPr>
            <w:r>
              <w:t>1.</w:t>
            </w:r>
            <w:r>
              <w:tab/>
            </w:r>
            <w:r>
              <w:t xml:space="preserve">panee merkille, että tilintarkastustuomioistuimen talousarvio kuuluu monivuotisen rahoituskehyksen otsakkeeseen 7 ”EU:n yleinen hallinto”, jonka määrä vuonna </w:t>
            </w:r>
            <w:r>
              <w:rPr>
                <w:b/>
                <w:i/>
              </w:rPr>
              <w:t>2024</w:t>
            </w:r>
            <w:r>
              <w:t xml:space="preserve"> oli 13,3 miljardia euroa (eli 6,9 prosenttia unionin koko talousarviosta); panee merkille, että tilintarkastustuomioistuimen noin 0,2 miljardin euron talousarvio on noin 1,5 prosenttia kaikista unionin hallintomenoista;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w:t>
      </w:r>
      <w:r>
        <w:rPr>
          <w:rStyle w:val="HideTWBExt"/>
        </w:rPr>
        <w:t>&lt;/NumAm&gt;</w:t>
      </w:r>
    </w:p>
    <w:p>
      <w:pPr>
        <w:pStyle w:val="NormalBold"/>
      </w:pPr>
      <w:r>
        <w:rPr>
          <w:rStyle w:val="HideTWBExt"/>
          <w:b w:val="0"/>
        </w:rPr>
        <w:t>&lt;RepeatBlock-By&gt;</w:t>
      </w:r>
      <w:r>
        <w:rPr>
          <w:rStyle w:val="HideTWBExt"/>
          <w:b w:val="0"/>
        </w:rPr>
        <w:t>&lt;Members&gt;</w:t>
      </w:r>
      <w:r>
        <w:t>Csaba Molnár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5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a.</w:t>
            </w:r>
            <w:r>
              <w:tab/>
            </w:r>
            <w:r>
              <w:rPr>
                <w:b/>
                <w:i/>
              </w:rPr>
              <w:t>panee merkille tilintarkastustuomioistuimen 1. lokakuuta 2025 antaman ilmoituksen, että se ottaa varainhoitovuodesta 2025 alkaen käyttöön tarkistetun tarkastustavan yhteisyrityksiä varten;</w:t>
            </w:r>
            <w:r>
              <w:t xml:space="preserve"> </w:t>
            </w:r>
            <w:r>
              <w:rPr>
                <w:b/>
                <w:i/>
              </w:rPr>
              <w:t>panee merkille, että muutos johtui muun muassa henkilöstökapasiteetin rajoituksista ja siitä, että komission sisäinen tarkastus, joka oli aiemmin huolehtinut yhteisyritysten tarkastuksista, lopetti Horisontti Eurooppa ‐puiteohjelman yhteisyritysten tarkastukset, mikä rajoitti täydentävän tarkastusvarmuuden saatavuutta;</w:t>
            </w:r>
            <w:r>
              <w:t xml:space="preserve"> </w:t>
            </w:r>
            <w:r>
              <w:rPr>
                <w:b/>
                <w:i/>
              </w:rPr>
              <w:t>panee lisäksi merkille, että uudessa lähestymistavassa on määritelty tarkastusotoksen asianmukainen koko ja tarkastustyön yhdenmukaistaminen kaikissa yhteisyrityksissä ja siinä annetaan kaksi erillistä tarkastuslausumaa, joiden tueksi annetaan muita temaattisia kertomuksia ja erityiskertomuksia;</w:t>
            </w:r>
            <w:r>
              <w:t xml:space="preserve"> </w:t>
            </w:r>
            <w:r>
              <w:rPr>
                <w:b/>
                <w:i/>
              </w:rPr>
              <w:t>kehottaa tilintarkastustuomioistuinta varmistamaan, että tarkistettu menetelmä pannaan täytäntöön oikea-aikaisesti ja että se täyttää edelleen korkeimmat vaatimukset, jotka koskevat tarkastusten laatua, luotettavuutta ja varmuutta unionin taloudellisten etujen suojaamisesta;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3</w:t>
      </w:r>
      <w:r>
        <w:rPr>
          <w:rStyle w:val="HideTWBExt"/>
        </w:rPr>
        <w:t>&lt;/NumAm&gt;</w:t>
      </w:r>
    </w:p>
    <w:p>
      <w:pPr>
        <w:pStyle w:val="NormalBold"/>
      </w:pPr>
      <w:r>
        <w:rPr>
          <w:rStyle w:val="HideTWBExt"/>
          <w:b w:val="0"/>
        </w:rPr>
        <w:t>&lt;RepeatBlock-By&gt;</w:t>
      </w:r>
      <w:r>
        <w:rPr>
          <w:rStyle w:val="HideTWBExt"/>
          <w:b w:val="0"/>
        </w:rPr>
        <w:t>&lt;Members&gt;</w:t>
      </w:r>
      <w:r>
        <w:t>Caterina Chinnici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7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panee merkille, että maksusitoumusmäärärahojen ja maksumäärärahojen käyttöasteet olivat vuonna 2024 edelleen korkeat, lähes samat kuin vuonna 2023, sillä määrärahojen käyttöaste vuonna 2024 oli 97,30 prosenttia ja maksujen osuus sitoumusten kokonaismäärästä 94,81 prosenttia; panee merkille, että vuoden lopussa peruuntuneiden määrärahojen määrä kasvoi vuoden 2023 noin 3,4 miljoonasta eurosta 4,4 miljoonaan euroon vuonna 2024; antaa tilintarkastustuomioistuimelle tunnustusta siitä, että se on pitänyt laskujen keskimääräisen maksuajan alle 11 päivässä vuonna 2024;</w:t>
            </w:r>
          </w:p>
        </w:tc>
        <w:tc>
          <w:tcPr>
            <w:tcW w:w="4876" w:type="dxa"/>
            <w:tcBorders>
              <w:top w:val="nil"/>
              <w:left w:val="nil"/>
              <w:bottom w:val="nil"/>
              <w:right w:val="nil"/>
            </w:tcBorders>
          </w:tcPr>
          <w:p>
            <w:pPr>
              <w:pStyle w:val="Normal6a"/>
            </w:pPr>
            <w:r>
              <w:t>7.</w:t>
            </w:r>
            <w:r>
              <w:tab/>
            </w:r>
            <w:r>
              <w:t xml:space="preserve">panee merkille, että maksusitoumusmäärärahojen ja maksumäärärahojen käyttöasteet olivat vuonna 2024 edelleen korkeat, lähes samat kuin vuonna 2023, sillä määrärahojen käyttöaste vuonna 2024 oli 97,30 prosenttia ja maksujen osuus sitoumusten kokonaismäärästä 94,81 prosenttia; panee merkille, että vuoden lopussa peruuntuneiden määrärahojen määrä kasvoi vuoden 2023 noin 3,4 miljoonasta eurosta 4,4 miljoonaan euroon vuonna 2024; antaa tilintarkastustuomioistuimelle tunnustusta siitä, että se on pitänyt laskujen keskimääräisen maksuajan alle 11 päivässä vuonna 2024; </w:t>
            </w:r>
            <w:r>
              <w:rPr>
                <w:b/>
                <w:i/>
              </w:rPr>
              <w:t>kannustaa tilintarkastustuomioistuinta noudattamaan tiukkaa menokuria, asettamaan edelleen etusijalle toiminnan tehokkuuden ja vähentämään edelleen määrärahojen peruuttamista vuoden lopussa, sillä siten voidaan parantaa sen määrärahojen käytön tehokkuutta ja rahalle saatavaa vastinetta;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4</w:t>
      </w:r>
      <w:r>
        <w:rPr>
          <w:rStyle w:val="HideTWBExt"/>
        </w:rPr>
        <w:t>&lt;/NumAm&gt;</w:t>
      </w:r>
    </w:p>
    <w:p>
      <w:pPr>
        <w:pStyle w:val="NormalBold"/>
      </w:pPr>
      <w:r>
        <w:rPr>
          <w:rStyle w:val="HideTWBExt"/>
          <w:b w:val="0"/>
        </w:rPr>
        <w:t>&lt;RepeatBlock-By&gt;</w:t>
      </w:r>
      <w:r>
        <w:rPr>
          <w:rStyle w:val="HideTWBExt"/>
          <w:b w:val="0"/>
        </w:rPr>
        <w:t>&lt;Members&gt;</w:t>
      </w:r>
      <w:r>
        <w:t>Caterina Chinnici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9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panee merkille, että kyselyn mukaan Venäjän Ukrainaa vastaan käymän hyökkäyssodan vaikutukset olivat havaittavissa tilintarkastustuomioistuimessa, sillä tavaroiden, palvelujen ja logistiikan kustannukset nousivat inflaation vuoksi vuonna 2024; pitää hyvänä sitä, että tilintarkastustuomioistuin pyrkii torjumaan tällaisia vaikutuksia laatimalla jo ennen julkisten hankintojen avaamista kilpailulle yksityiskohtaisempia analyyseja, joilla varmistetaan realistinen suunnittelu ja tehokkaat hankinnat; panee lisäksi tyytyväisenä merkille, että tilintarkastustuomioistuimen energiankulutuskustannukset (budjettikohta nro 2024) laskivat </w:t>
            </w:r>
            <w:r>
              <w:rPr>
                <w:b/>
                <w:i/>
              </w:rPr>
              <w:t>vuonna</w:t>
            </w:r>
            <w:r>
              <w:t xml:space="preserve"> 2024 merkittävästi eli 1 556 671 eurosta </w:t>
            </w:r>
            <w:r>
              <w:rPr>
                <w:b/>
                <w:i/>
              </w:rPr>
              <w:t>vuonna 2023 887 827</w:t>
            </w:r>
            <w:r>
              <w:t xml:space="preserve"> euroon, mikä johtui pääasiassa kiinteän sähkön hinnan alenemisesta asianomaisen palveluntarjoajan kanssa tehdyn toimielinten välisen sopimuksen mukaisesti; toteaa, että kaikkien unionin toimielinten on syytä parantaa talousarviohallintoaan, myös ottamalla huomioon hintojen epävakaus, varsinkin energia-alalla, kun ne tekevät sopimuksia palveluntarjoajien kanssa;</w:t>
            </w:r>
          </w:p>
        </w:tc>
        <w:tc>
          <w:tcPr>
            <w:tcW w:w="4876" w:type="dxa"/>
            <w:tcBorders>
              <w:top w:val="nil"/>
              <w:left w:val="nil"/>
              <w:bottom w:val="nil"/>
              <w:right w:val="nil"/>
            </w:tcBorders>
          </w:tcPr>
          <w:p>
            <w:pPr>
              <w:pStyle w:val="Normal6a"/>
            </w:pPr>
            <w:r>
              <w:t>9.</w:t>
            </w:r>
            <w:r>
              <w:tab/>
            </w:r>
            <w:r>
              <w:t xml:space="preserve">panee merkille, että kyselyn mukaan Venäjän Ukrainaa vastaan käymän </w:t>
            </w:r>
            <w:r>
              <w:rPr>
                <w:b/>
                <w:i/>
              </w:rPr>
              <w:t>laittoman</w:t>
            </w:r>
            <w:r>
              <w:t xml:space="preserve"> hyökkäyssodan vaikutukset olivat havaittavissa tilintarkastustuomioistuimessa, sillä tavaroiden, palvelujen ja logistiikan kustannukset nousivat inflaation vuoksi vuonna 2024; pitää hyvänä sitä, että tilintarkastustuomioistuin pyrkii torjumaan tällaisia vaikutuksia laatimalla jo ennen julkisten hankintojen avaamista kilpailulle yksityiskohtaisempia analyyseja, joilla varmistetaan realistinen suunnittelu ja tehokkaat hankinnat; panee lisäksi tyytyväisenä merkille, että tilintarkastustuomioistuimen energiankulutuskustannukset (budjettikohta nro 2024) laskivat </w:t>
            </w:r>
            <w:r>
              <w:rPr>
                <w:b/>
                <w:i/>
              </w:rPr>
              <w:t>vuodesta 2023 vuoteen</w:t>
            </w:r>
            <w:r>
              <w:t xml:space="preserve"> 2024 merkittävästi eli 1 556 671 eurosta </w:t>
            </w:r>
            <w:r>
              <w:rPr>
                <w:b/>
                <w:i/>
              </w:rPr>
              <w:t>887 827</w:t>
            </w:r>
            <w:r>
              <w:t> euroon, mikä johtui pääasiassa kiinteän sähkön hinnan alenemisesta asianomaisen palveluntarjoajan kanssa tehdyn toimielinten välisen sopimuksen mukaisesti; toteaa, että kaikkien unionin toimielinten on syytä parantaa talousarviohallintoaan, myös ottamalla huomioon hintojen epävakaus, varsinkin energia-alalla, kun ne tekevät sopimuksia palveluntarjoajien kanssa;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5</w:t>
      </w:r>
      <w:r>
        <w:rPr>
          <w:rStyle w:val="HideTWBExt"/>
        </w:rPr>
        <w:t>&lt;/NumAm&gt;</w:t>
      </w:r>
    </w:p>
    <w:p>
      <w:pPr>
        <w:pStyle w:val="NormalBold"/>
      </w:pPr>
      <w:r>
        <w:rPr>
          <w:rStyle w:val="HideTWBExt"/>
          <w:b w:val="0"/>
        </w:rPr>
        <w:t>&lt;RepeatBlock-By&gt;</w:t>
      </w:r>
      <w:r>
        <w:rPr>
          <w:rStyle w:val="HideTWBExt"/>
          <w:b w:val="0"/>
        </w:rPr>
        <w:t>&lt;Members&gt;</w:t>
      </w:r>
      <w:r>
        <w:t>Arno Bausemer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12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panee </w:t>
            </w:r>
            <w:r>
              <w:rPr>
                <w:b/>
                <w:i/>
              </w:rPr>
              <w:t>tyytyväisenä</w:t>
            </w:r>
            <w:r>
              <w:t xml:space="preserve"> merkille, että kyselyn mukaan </w:t>
            </w:r>
            <w:r>
              <w:rPr>
                <w:b/>
                <w:i/>
              </w:rPr>
              <w:t>julkaisuja koskevan</w:t>
            </w:r>
            <w:r>
              <w:t xml:space="preserve"> tilintarkastustuomioistuimen </w:t>
            </w:r>
            <w:r>
              <w:rPr>
                <w:b/>
                <w:i/>
              </w:rPr>
              <w:t>budjettikohdan</w:t>
            </w:r>
            <w:r>
              <w:t xml:space="preserve"> määrärahat </w:t>
            </w:r>
            <w:r>
              <w:rPr>
                <w:b/>
                <w:i/>
              </w:rPr>
              <w:t>vähenivät 810 000 eurosta (vuonna 2014) 300 000 euroon (vuonna 2024) sekä sen vuoksi, että kertomusten laatiminen tilintarkastustuomioistuimen sisällä lisääntyi, että julkaisujen virtuaalisen myynninedistämisen vuoksi</w:t>
            </w:r>
            <w:r>
              <w:t>; panee merkille</w:t>
            </w:r>
            <w:r>
              <w:rPr>
                <w:b/>
                <w:i/>
              </w:rPr>
              <w:t>, että tilintarkastustuomioistuimen antamat arviot tätä budjettikohtaa varten ovat tätä seuraavina vuosina</w:t>
            </w:r>
            <w:r>
              <w:t xml:space="preserve"> edelleen </w:t>
            </w:r>
            <w:r>
              <w:rPr>
                <w:b/>
                <w:i/>
              </w:rPr>
              <w:t>pienentyneet;</w:t>
            </w:r>
            <w:r>
              <w:t xml:space="preserve"> </w:t>
            </w:r>
            <w:r>
              <w:rPr>
                <w:b/>
                <w:i/>
              </w:rPr>
              <w:t>panee lisäksi merkille tilintarkastustuomioistuimen pyrkimyksen vähentää tulkkauksen ja asiantuntijapalvelujen (kuulemiset, tutkimukset jne.) määrärahoja sekä suunnitelman poistaa käytöstä kiinteät puhelinlinjat lisäsäästöjen aikaansaamiseksi</w:t>
            </w:r>
            <w:r>
              <w:t>;</w:t>
            </w:r>
          </w:p>
        </w:tc>
        <w:tc>
          <w:tcPr>
            <w:tcW w:w="4876" w:type="dxa"/>
            <w:tcBorders>
              <w:top w:val="nil"/>
              <w:left w:val="nil"/>
              <w:bottom w:val="nil"/>
              <w:right w:val="nil"/>
            </w:tcBorders>
          </w:tcPr>
          <w:p>
            <w:pPr>
              <w:pStyle w:val="Normal6a"/>
            </w:pPr>
            <w:r>
              <w:t>12.</w:t>
            </w:r>
            <w:r>
              <w:tab/>
            </w:r>
            <w:r>
              <w:t xml:space="preserve">panee merkille, että kyselyn mukaan tilintarkastustuomioistuimen </w:t>
            </w:r>
            <w:r>
              <w:rPr>
                <w:b/>
                <w:i/>
              </w:rPr>
              <w:t>julkaisuihin tarkoitetut</w:t>
            </w:r>
            <w:r>
              <w:t xml:space="preserve"> määrärahat </w:t>
            </w:r>
            <w:r>
              <w:rPr>
                <w:b/>
                <w:i/>
              </w:rPr>
              <w:t>ovat vähentyneet huomattavasti vuosina 2014–2024</w:t>
            </w:r>
            <w:r>
              <w:t xml:space="preserve">; panee merkille </w:t>
            </w:r>
            <w:r>
              <w:rPr>
                <w:b/>
                <w:i/>
              </w:rPr>
              <w:t>tämän kehityksen ja korostaa, että mahdollisuuksia lisäsäästöihin olisi</w:t>
            </w:r>
            <w:r>
              <w:t xml:space="preserve"> edelleen </w:t>
            </w:r>
            <w:r>
              <w:rPr>
                <w:b/>
                <w:i/>
              </w:rPr>
              <w:t>selvitettävä siten, että samalla säilytetään kertomusten avoimuus ja saatavuus</w:t>
            </w:r>
            <w:r>
              <w:t>;</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6</w:t>
      </w:r>
      <w:r>
        <w:rPr>
          <w:rStyle w:val="HideTWBExt"/>
        </w:rPr>
        <w:t>&lt;/NumAm&gt;</w:t>
      </w:r>
    </w:p>
    <w:p>
      <w:pPr>
        <w:pStyle w:val="NormalBold"/>
      </w:pPr>
      <w:r>
        <w:rPr>
          <w:rStyle w:val="HideTWBExt"/>
          <w:b w:val="0"/>
        </w:rPr>
        <w:t>&lt;RepeatBlock-By&gt;</w:t>
      </w:r>
      <w:r>
        <w:rPr>
          <w:rStyle w:val="HideTWBExt"/>
          <w:b w:val="0"/>
        </w:rPr>
        <w:t>&lt;Members&gt;</w:t>
      </w:r>
      <w:r>
        <w:t>Arno Bausemer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16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16.</w:t>
            </w:r>
            <w:r>
              <w:tab/>
            </w:r>
            <w:r>
              <w:rPr>
                <w:b/>
                <w:i/>
              </w:rPr>
              <w:t>panee merkille, että vuoden 2024 aikana tilintarkastustuomioistuin julkaisi kaksi vuosikertomusta, kolme erityisvuosikertomusta, 28 erityiskertomusta, neljä katsausta ja kolme lausuntoa eli yhteensä 40 julkaisua (eli vähemmän kuin vuonna 2023, jolloin julkaisuja oli 45);</w:t>
            </w:r>
            <w:r>
              <w:t xml:space="preserve"> </w:t>
            </w:r>
            <w:r>
              <w:rPr>
                <w:b/>
                <w:i/>
              </w:rPr>
              <w:t>panee tyytyväisenä merkille, että tilintarkastustuomioistuin keskittyi vuonna 2024 erityiskertomuksissaan ja katsauksissaan päivänpolttaviin haasteisiin, joita unionilla on edessään sellaisissa keskeisissä kysymyksissä kuin kaasun toimitusvarmuus, investoinnit tekoälyyn, ilmastonmuutokseen sopeutuminen, elpymis- ja palautumistukivälineen hyödyntäminen, siirtyminen päästöttömiin autoihin, pakolaisten tukeminen Turkissa ja vetyä koskeva unionin teollisuuspolitiikka;</w:t>
            </w:r>
            <w:r>
              <w:t xml:space="preserve"> </w:t>
            </w:r>
            <w:r>
              <w:rPr>
                <w:b/>
                <w:i/>
              </w:rPr>
              <w:t>panee lisäksi tyytyväisenä merkille tilintarkastustuomioistuimen suunnittelemat kertomukset elpymis- ja palautumistukivälineestä avoimuuden ja jäljitettävyyden kaltaisilla aloilla samoin kuin unionin rakenteesta ja strategiasta petosten torjunnassa sekä unionin tuesta Ukrainalle, Moldovalle ja Georgialle;</w:t>
            </w:r>
            <w:r>
              <w:t xml:space="preserve"> </w:t>
            </w:r>
            <w:r>
              <w:rPr>
                <w:b/>
                <w:i/>
              </w:rPr>
              <w:t>panee merkille, että sidosryhmien tyytyväisyys tilintarkastustuomioistuimen työhön on parantunut ja että vuonna 2024 tehdyn kyselytutkimuksen mukaan 89 prosenttia vastaajista (verrattuna 85 prosenttiin vuonna 2023) piti tilintarkastustuomioistuimen kertomuksia hyödyllisinä ja 82 prosenttia (verrattuna aiempaan 78 prosenttiin) piti tilintarkastustuomioistuimen työtä vaikuttavana;</w:t>
            </w:r>
          </w:p>
        </w:tc>
        <w:tc>
          <w:tcPr>
            <w:tcW w:w="4876" w:type="dxa"/>
            <w:tcBorders>
              <w:top w:val="nil"/>
              <w:left w:val="nil"/>
              <w:bottom w:val="nil"/>
              <w:right w:val="nil"/>
            </w:tcBorders>
          </w:tcPr>
          <w:p>
            <w:pPr>
              <w:pStyle w:val="Normal6a"/>
            </w:pPr>
            <w:r>
              <w:rPr>
                <w:b/>
                <w:i/>
              </w:rPr>
              <w:t>Poistetaan.</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7</w:t>
      </w:r>
      <w:r>
        <w:rPr>
          <w:rStyle w:val="HideTWBExt"/>
        </w:rPr>
        <w:t>&lt;/NumAm&gt;</w:t>
      </w:r>
    </w:p>
    <w:p>
      <w:pPr>
        <w:pStyle w:val="NormalBold"/>
      </w:pPr>
      <w:r>
        <w:rPr>
          <w:rStyle w:val="HideTWBExt"/>
          <w:b w:val="0"/>
        </w:rPr>
        <w:t>&lt;RepeatBlock-By&gt;</w:t>
      </w:r>
      <w:r>
        <w:rPr>
          <w:rStyle w:val="HideTWBExt"/>
          <w:b w:val="0"/>
        </w:rPr>
        <w:t>&lt;Members&gt;</w:t>
      </w:r>
      <w:r>
        <w:t>Ondřej Knotek, Virginie Joron, Julien Sanchez, Tamás Deutsch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16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panee merkille, että vuoden 2024 aikana tilintarkastustuomioistuin julkaisi kaksi vuosikertomusta, kolme erityisvuosikertomusta, 28 erityiskertomusta, neljä katsausta ja kolme lausuntoa eli yhteensä 40 julkaisua (eli vähemmän kuin vuonna 2023, jolloin julkaisuja oli 45); panee tyytyväisenä merkille, että tilintarkastustuomioistuin keskittyi vuonna 2024 erityiskertomuksissaan ja katsauksissaan päivänpolttaviin haasteisiin, joita unionilla on edessään sellaisissa keskeisissä kysymyksissä kuin kaasun toimitusvarmuus, investoinnit tekoälyyn, ilmastonmuutokseen sopeutuminen, elpymis- ja palautumistukivälineen hyödyntäminen, siirtyminen päästöttömiin autoihin, pakolaisten tukeminen Turkissa ja vetyä koskeva unionin teollisuuspolitiikka; panee lisäksi tyytyväisenä merkille tilintarkastustuomioistuimen suunnittelemat kertomukset elpymis- ja palautumistukivälineestä avoimuuden ja jäljitettävyyden kaltaisilla aloilla samoin kuin unionin rakenteesta ja strategiasta petosten torjunnassa sekä unionin tuesta Ukrainalle, Moldovalle ja Georgialle; panee merkille, että sidosryhmien tyytyväisyys tilintarkastustuomioistuimen työhön on parantunut ja että vuonna 2024 tehdyn kyselytutkimuksen mukaan 89 prosenttia vastaajista (verrattuna 85 prosenttiin vuonna 2023) piti tilintarkastustuomioistuimen kertomuksia hyödyllisinä ja 82 prosenttia (verrattuna aiempaan 78 prosenttiin) piti tilintarkastustuomioistuimen työtä vaikuttavana;</w:t>
            </w:r>
          </w:p>
        </w:tc>
        <w:tc>
          <w:tcPr>
            <w:tcW w:w="4876" w:type="dxa"/>
            <w:tcBorders>
              <w:top w:val="nil"/>
              <w:left w:val="nil"/>
              <w:bottom w:val="nil"/>
              <w:right w:val="nil"/>
            </w:tcBorders>
          </w:tcPr>
          <w:p>
            <w:pPr>
              <w:pStyle w:val="Normal6a"/>
            </w:pPr>
            <w:r>
              <w:t>16.</w:t>
            </w:r>
            <w:r>
              <w:tab/>
            </w:r>
            <w:r>
              <w:t xml:space="preserve">panee merkille, että vuoden 2024 aikana tilintarkastustuomioistuin julkaisi kaksi vuosikertomusta, kolme erityisvuosikertomusta, 28 erityiskertomusta, neljä katsausta ja kolme lausuntoa eli yhteensä 40 julkaisua (eli vähemmän kuin vuonna 2023, jolloin julkaisuja oli 45); panee tyytyväisenä merkille, että tilintarkastustuomioistuin keskittyi vuonna 2024 erityiskertomuksissaan ja katsauksissaan päivänpolttaviin haasteisiin, joita unionilla on edessään sellaisissa keskeisissä kysymyksissä kuin </w:t>
            </w:r>
            <w:r>
              <w:rPr>
                <w:b/>
                <w:i/>
              </w:rPr>
              <w:t>koheesiopolitiikan rahoitusvälineet, kansalaisjärjestöille myönnettävän EU-rahoituksen avoimuus, EU:n petostentorjuntaelimet,</w:t>
            </w:r>
            <w:r>
              <w:t xml:space="preserve"> kaasun toimitusvarmuus, investoinnit tekoälyyn, ilmastonmuutokseen sopeutuminen, elpymis- ja palautumistukivälineen hyödyntäminen, siirtyminen päästöttömiin autoihin, pakolaisten tukeminen Turkissa ja vetyä koskeva unionin teollisuuspolitiikka; panee lisäksi tyytyväisenä merkille tilintarkastustuomioistuimen suunnittelemat kertomukset elpymis- ja palautumistukivälineestä avoimuuden ja jäljitettävyyden kaltaisilla aloilla samoin kuin unionin rakenteesta ja strategiasta petosten torjunnassa sekä unionin tuesta Ukrainalle, Moldovalle ja Georgialle; panee merkille, että sidosryhmien tyytyväisyys tilintarkastustuomioistuimen työhön on parantunut ja että vuonna 2024 tehdyn kyselytutkimuksen mukaan 89 prosenttia vastaajista (verrattuna 85 prosenttiin vuonna 2023) piti tilintarkastustuomioistuimen kertomuksia hyödyllisinä ja 82 prosenttia (verrattuna aiempaan 78 prosenttiin) piti tilintarkastustuomioistuimen työtä vaikuttavana;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8</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16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 a.</w:t>
            </w:r>
            <w:r>
              <w:tab/>
            </w:r>
            <w:r>
              <w:rPr>
                <w:b/>
                <w:i/>
              </w:rPr>
              <w:t>kehottaa Euroopan tilintarkastustuomioistuinta arvioimaan yksityiskohtaisemmin ja järjestelmällisemmin unionin rahoittamien ohjelmien heijastusvaikutuksia jäsenvaltioihin sekä niissä jäsenvaltioissa, joissa unionin varojen käyttöaste on korkea, että niissä jäsenvaltioissa, joissa se on alhainen;</w:t>
            </w:r>
            <w:r>
              <w:t xml:space="preserve"> </w:t>
            </w:r>
            <w:r>
              <w:rPr>
                <w:b/>
                <w:i/>
              </w:rPr>
              <w:t>korostaa, että kattava analyysi tällaisten heijastusvaikutusten taloudellisista, sosiaalisista, hallinnollisista ja alueellisista vaikutuksista, mukaan lukien rajatylittävät ja jakaumavaikutukset, vahvistaisi EU:n menojen pitkän aikavälin vaikutusten, lisäarvon ja kestävyyden arviointia ja tukisi paremmin tietoon perustuvaa päätöksentekoa sekä unionin että kansallisella tasolla;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9</w:t>
      </w:r>
      <w:r>
        <w:rPr>
          <w:rStyle w:val="HideTWBExt"/>
        </w:rPr>
        <w:t>&lt;/NumAm&gt;</w:t>
      </w:r>
    </w:p>
    <w:p>
      <w:pPr>
        <w:pStyle w:val="NormalBold"/>
      </w:pPr>
      <w:r>
        <w:rPr>
          <w:rStyle w:val="HideTWBExt"/>
          <w:b w:val="0"/>
        </w:rPr>
        <w:t>&lt;RepeatBlock-By&gt;</w:t>
      </w:r>
      <w:r>
        <w:rPr>
          <w:rStyle w:val="HideTWBExt"/>
          <w:b w:val="0"/>
        </w:rPr>
        <w:t>&lt;Members&gt;</w:t>
      </w:r>
      <w:r>
        <w:t>Olivier Chastel, Gilles Boyer, Vlad Vasile-Voiculescu, Michal Wiezik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17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panee merkille, että tilintarkastustuomioistuimella on joukko keskeisiä tulosindikaattoreita, joilla mitataan edistymistä sen strategisten tavoitteiden saavuttamisessa tilintarkastustuomioistuimen vuosien 2021–2025 strategian mukaisesti; panee merkille tilintarkastustuomioistuimen strategiset tavoitteet vuodeksi 2024: tilivelvollisuuden, läpinäkyvyyden ja tarkastusjärjestelyjen parantaminen, tarkastusten kohdentaminen sellaisille aloille ja sellaisiin aiheisiin, joiden osalta tilintarkastustuomioistuin voi tuottaa eniten lisäarvoa ja vahvan tarkastusvarmuuden tuottaminen haastavassa ja muuttuvassa toimintaympäristössä; kehottaa tilintarkastustuomioistuinta esittämään tulevaisuudessa niin keskeiset tulosindikaattorinsa kuin sen, missä määrin edistystä on saavutettu, samoin kuin tavoitteet tiivistetysti (taulukkomuodossa);</w:t>
            </w:r>
          </w:p>
        </w:tc>
        <w:tc>
          <w:tcPr>
            <w:tcW w:w="4876" w:type="dxa"/>
            <w:tcBorders>
              <w:top w:val="nil"/>
              <w:left w:val="nil"/>
              <w:bottom w:val="nil"/>
              <w:right w:val="nil"/>
            </w:tcBorders>
          </w:tcPr>
          <w:p>
            <w:pPr>
              <w:pStyle w:val="Normal6a"/>
            </w:pPr>
            <w:r>
              <w:t>17.</w:t>
            </w:r>
            <w:r>
              <w:tab/>
            </w:r>
            <w:r>
              <w:t xml:space="preserve">panee merkille, että tilintarkastustuomioistuimella on joukko keskeisiä tulosindikaattoreita, joilla mitataan edistymistä sen strategisten tavoitteiden saavuttamisessa tilintarkastustuomioistuimen vuosien 2021–2025 strategian mukaisesti; panee merkille tilintarkastustuomioistuimen strategiset tavoitteet vuodeksi 2024: tilivelvollisuuden, läpinäkyvyyden ja tarkastusjärjestelyjen parantaminen, tarkastusten kohdentaminen sellaisille aloille ja sellaisiin aiheisiin, joiden osalta tilintarkastustuomioistuin voi tuottaa eniten lisäarvoa ja vahvan tarkastusvarmuuden tuottaminen haastavassa ja muuttuvassa toimintaympäristössä; kehottaa tilintarkastustuomioistuinta esittämään tulevaisuudessa niin keskeiset tulosindikaattorinsa kuin sen, missä määrin edistystä on saavutettu, samoin kuin tavoitteet tiivistetysti (taulukkomuodossa); </w:t>
            </w:r>
            <w:r>
              <w:rPr>
                <w:b/>
                <w:i/>
              </w:rPr>
              <w:t>kehottaa tilintarkastustuomioistuinta kehittämään edelleen EU:n politiikkojen vaikuttavuuteen ja tuloksiin perustuvia keskeisiä tulosindikaattoreita, jotta voidaan mitata selkeästi komission harjoittaman politiikan vaikutusta;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10</w:t>
      </w:r>
      <w:r>
        <w:rPr>
          <w:rStyle w:val="HideTWBExt"/>
        </w:rPr>
        <w:t>&lt;/NumAm&gt;</w:t>
      </w:r>
    </w:p>
    <w:p>
      <w:pPr>
        <w:pStyle w:val="NormalBold"/>
      </w:pPr>
      <w:r>
        <w:rPr>
          <w:rStyle w:val="HideTWBExt"/>
          <w:b w:val="0"/>
        </w:rPr>
        <w:t>&lt;RepeatBlock-By&gt;</w:t>
      </w:r>
      <w:r>
        <w:rPr>
          <w:rStyle w:val="HideTWBExt"/>
          <w:b w:val="0"/>
        </w:rPr>
        <w:t>&lt;Members&gt;</w:t>
      </w:r>
      <w:r>
        <w:t>Dick Erixon, Şerban Dimitrie Sturdza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17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 a.</w:t>
            </w:r>
            <w:r>
              <w:tab/>
            </w:r>
            <w:r>
              <w:rPr>
                <w:b/>
                <w:i/>
              </w:rPr>
              <w:t>kehottaa tilintarkastustuomioistuinta yhdistämään havaintonsa vertailevaan tuloksellisuusanalyysiin ja kehittämään menetelmän unionin ohjelmien ”tuloskompassia” varten;</w:t>
            </w:r>
            <w:r>
              <w:t xml:space="preserve"> </w:t>
            </w:r>
            <w:r>
              <w:rPr>
                <w:b/>
                <w:i/>
              </w:rPr>
              <w:t>katsoo, että tällainen väline antaisi vastuuvapauden myöntävälle viranomaiselle, päättäjille ja suurelle yleisölle selkeää opastusta siitä, missä ohjelmissa resursseja käytetään tehokkaasti ja minkä ohjelmien lakkauttamista tai rakenteen perustavanlaatuista muutosta voitaisiin harkita, ja samalla voitaisiin ottaa huomioon toimintapolitiikkojen moninaisuus;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11</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Verts/ALE-ryhmän puolesta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19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panee seurantakertomuksesta merkille, että komissio on luvannut toimittaa tilintarkastustuomioistuimelle Arachne-välineestä manuaalisesti poimittuja tietoja; pitää kuitenkin valitettavana, että tilintarkastustuomioistuimen pääsy elpymis- ja palautumistukivälineen FENIX-raportointivälineeseen on edelleen avoin kysymys, sillä komissio antaa tilintarkastustuomioistuimelle pääsyn vain joihinkin FENIX‑moduuleista; panee tyytyväisenä merkille, että tilintarkastustuomioistuimen FENIXin käyttäjämäärän on raportoitu lisääntyneen; antaa tästä huolimatta tukensa tilintarkastustuomioistuimen pyynnölle, että komissio antaisi sille mahdollisimman pian mahdollisuuden käyttää välinettä kaikilta osin; muistuttaa, että komission talouden ja rahoituksen pääosasto on pyrkinyt antamaan tilintarkastustuomioistuimelle pääsyn FENIX-tiedostoihin kahden viikon kuluessa maksupyynnön hyväksymisestä; on kuitenkin huolissaan siitä, että tätä määräaikaa ei monissa tapauksissa käytännössä noudateta ja että joissakin tapauksissa on ilmennyt jopa 2,5 kuukauden viiveitä, mikä on merkittävästi hidastanut tilintarkastustuomioistuimen havaintojen toimittamista; muistuttaa komissiota sen varainhoitoasetuksen 263 artiklan mukaisesta velvollisuudesta antaa tilintarkastustuomioistuimelle kattava pääsy kaikkiin asiaankuuluviin järjestelmiin ja tietokantoihin (muun muassa Arachne, FENIX ja ARES);</w:t>
            </w:r>
          </w:p>
        </w:tc>
        <w:tc>
          <w:tcPr>
            <w:tcW w:w="4876" w:type="dxa"/>
            <w:tcBorders>
              <w:top w:val="nil"/>
              <w:left w:val="nil"/>
              <w:bottom w:val="nil"/>
              <w:right w:val="nil"/>
            </w:tcBorders>
          </w:tcPr>
          <w:p>
            <w:pPr>
              <w:pStyle w:val="Normal6a"/>
            </w:pPr>
            <w:r>
              <w:t>19.</w:t>
            </w:r>
            <w:r>
              <w:tab/>
            </w:r>
            <w:r>
              <w:t xml:space="preserve">panee seurantakertomuksesta merkille, että komissio on luvannut toimittaa tilintarkastustuomioistuimelle Arachne-välineestä manuaalisesti poimittuja tietoja; pitää kuitenkin valitettavana, että tilintarkastustuomioistuimen pääsy elpymis- ja palautumistukivälineen FENIX-raportointivälineeseen on edelleen avoin kysymys, sillä komissio antaa tilintarkastustuomioistuimelle pääsyn vain joihinkin FENIX‑moduuleista; panee tyytyväisenä merkille, että tilintarkastustuomioistuimen FENIXin käyttäjämäärän on raportoitu lisääntyneen; antaa tästä huolimatta tukensa tilintarkastustuomioistuimen pyynnölle, että komissio antaisi sille mahdollisimman pian mahdollisuuden käyttää välinettä kaikilta osin; muistuttaa, että komission talouden ja rahoituksen pääosasto on pyrkinyt antamaan tilintarkastustuomioistuimelle pääsyn FENIX-tiedostoihin kahden viikon kuluessa maksupyynnön hyväksymisestä; on kuitenkin huolissaan siitä, että tätä määräaikaa ei monissa tapauksissa käytännössä noudateta ja että joissakin tapauksissa on ilmennyt jopa 2,5 kuukauden viiveitä, mikä on merkittävästi hidastanut tilintarkastustuomioistuimen havaintojen toimittamista; muistuttaa komissiota sen varainhoitoasetuksen 263 artiklan mukaisesta velvollisuudesta antaa tilintarkastustuomioistuimelle kattava pääsy kaikkiin asiaankuuluviin järjestelmiin ja tietokantoihin (muun muassa Arachne, FENIX ja ARES); </w:t>
            </w:r>
            <w:r>
              <w:rPr>
                <w:b/>
                <w:i/>
              </w:rPr>
              <w:t>katsoo, että jatkuvat viivästykset ja vain osittainen pääsy komission keskeisiin tietojärjestelmiin, erityisesti FENIX- ja Arachne-järjestelmiin, heikentävät tilintarkastustuomioistuimen tarkastustyön vaikuttavuutta ja oikea-aikaisuutta suuririskisten menojen, kuten elpymis- ja palautumistukivälineen osalta;</w:t>
            </w:r>
            <w:r>
              <w:t xml:space="preserve"> </w:t>
            </w:r>
            <w:r>
              <w:rPr>
                <w:b/>
                <w:i/>
              </w:rPr>
              <w:t>kehottaa komissiota korjaamaan tilanteen viipymättä ja kehottaa tilintarkastustuomioistuinta raportoimaan vastuuvapauden myöntävälle viranomaiselle aikaansaaduista konkreettisista parannuksista;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12</w:t>
      </w:r>
      <w:r>
        <w:rPr>
          <w:rStyle w:val="HideTWBExt"/>
        </w:rPr>
        <w:t>&lt;/NumAm&gt;</w:t>
      </w:r>
    </w:p>
    <w:p>
      <w:pPr>
        <w:pStyle w:val="NormalBold"/>
      </w:pPr>
      <w:r>
        <w:rPr>
          <w:rStyle w:val="HideTWBExt"/>
          <w:b w:val="0"/>
        </w:rPr>
        <w:t>&lt;RepeatBlock-By&gt;</w:t>
      </w:r>
      <w:r>
        <w:rPr>
          <w:rStyle w:val="HideTWBExt"/>
          <w:b w:val="0"/>
        </w:rPr>
        <w:t>&lt;Members&gt;</w:t>
      </w:r>
      <w:r>
        <w:t>Olivier Chastel, Gilles Boyer, Vlad Vasile-Voiculescu, Michal Wiezik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19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panee seurantakertomuksesta merkille, että komissio on luvannut toimittaa tilintarkastustuomioistuimelle Arachne-välineestä manuaalisesti poimittuja tietoja; pitää kuitenkin valitettavana, että tilintarkastustuomioistuimen pääsy elpymis- ja palautumistukivälineen FENIX-raportointivälineeseen on edelleen avoin kysymys, sillä komissio antaa tilintarkastustuomioistuimelle pääsyn vain joihinkin FENIX‑moduuleista; panee tyytyväisenä merkille, että tilintarkastustuomioistuimen FENIXin käyttäjämäärän on raportoitu lisääntyneen; antaa tästä huolimatta tukensa tilintarkastustuomioistuimen pyynnölle, että komissio antaisi sille mahdollisimman pian mahdollisuuden käyttää välinettä kaikilta osin; muistuttaa, että komission talouden ja rahoituksen pääosasto on pyrkinyt antamaan tilintarkastustuomioistuimelle pääsyn FENIX-tiedostoihin kahden viikon kuluessa maksupyynnön hyväksymisestä; on kuitenkin huolissaan siitä, että tätä määräaikaa ei monissa tapauksissa käytännössä noudateta ja että joissakin tapauksissa on ilmennyt jopa 2,5 kuukauden viiveitä, mikä on merkittävästi hidastanut tilintarkastustuomioistuimen havaintojen toimittamista; muistuttaa komissiota sen varainhoitoasetuksen 263 artiklan mukaisesta velvollisuudesta antaa tilintarkastustuomioistuimelle kattava pääsy kaikkiin asiaankuuluviin järjestelmiin ja tietokantoihin (muun muassa Arachne, FENIX ja ARES);</w:t>
            </w:r>
          </w:p>
        </w:tc>
        <w:tc>
          <w:tcPr>
            <w:tcW w:w="4876" w:type="dxa"/>
            <w:tcBorders>
              <w:top w:val="nil"/>
              <w:left w:val="nil"/>
              <w:bottom w:val="nil"/>
              <w:right w:val="nil"/>
            </w:tcBorders>
          </w:tcPr>
          <w:p>
            <w:pPr>
              <w:pStyle w:val="Normal6a"/>
            </w:pPr>
            <w:r>
              <w:t>19.</w:t>
            </w:r>
            <w:r>
              <w:tab/>
            </w:r>
            <w:r>
              <w:t xml:space="preserve">panee seurantakertomuksesta merkille, että komissio on luvannut toimittaa tilintarkastustuomioistuimelle Arachne-välineestä manuaalisesti poimittuja tietoja; pitää kuitenkin valitettavana, että tilintarkastustuomioistuimen pääsy elpymis- ja palautumistukivälineen FENIX-raportointivälineeseen on edelleen avoin kysymys, sillä komissio antaa tilintarkastustuomioistuimelle pääsyn vain joihinkin FENIX‑moduuleista; panee tyytyväisenä merkille, että tilintarkastustuomioistuimen FENIXin käyttäjämäärän on raportoitu lisääntyneen; antaa tästä huolimatta tukensa tilintarkastustuomioistuimen pyynnölle, että komissio antaisi sille mahdollisimman pian mahdollisuuden käyttää välinettä kaikilta osin; muistuttaa, että komission talouden ja rahoituksen pääosasto on pyrkinyt antamaan tilintarkastustuomioistuimelle pääsyn FENIX-tiedostoihin kahden viikon kuluessa maksupyynnön hyväksymisestä; on kuitenkin huolissaan siitä, että tätä määräaikaa ei monissa tapauksissa käytännössä noudateta ja että joissakin tapauksissa on ilmennyt jopa 2,5 kuukauden viiveitä, mikä on merkittävästi hidastanut tilintarkastustuomioistuimen havaintojen toimittamista; muistuttaa komissiota sen varainhoitoasetuksen 263 artiklan mukaisesta velvollisuudesta antaa tilintarkastustuomioistuimelle kattava pääsy kaikkiin asiaankuuluviin järjestelmiin ja tietokantoihin (muun muassa Arachne, FENIX ja ARES); </w:t>
            </w:r>
            <w:r>
              <w:rPr>
                <w:b/>
                <w:i/>
              </w:rPr>
              <w:t>pyytää komissiota ottamaan viipymättä käyttöön sitovan toimielinten välisen järjestelyn, jolla varmistetaan tilintarkastustuomioistuimen kattava, järjestelmällinen ja reaaliaikainen pääsy kaikkiin asiaankuuluviin tietokantoihin, Arachne ja FENIX mukaan luettuina;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13</w:t>
      </w:r>
      <w:r>
        <w:rPr>
          <w:rStyle w:val="HideTWBExt"/>
        </w:rPr>
        <w:t>&lt;/NumAm&gt;</w:t>
      </w:r>
    </w:p>
    <w:p>
      <w:pPr>
        <w:pStyle w:val="NormalBold"/>
      </w:pPr>
      <w:r>
        <w:rPr>
          <w:rStyle w:val="HideTWBExt"/>
          <w:b w:val="0"/>
        </w:rPr>
        <w:t>&lt;RepeatBlock-By&gt;</w:t>
      </w:r>
      <w:r>
        <w:rPr>
          <w:rStyle w:val="HideTWBExt"/>
          <w:b w:val="0"/>
        </w:rPr>
        <w:t>&lt;Members&gt;</w:t>
      </w:r>
      <w:r>
        <w:t>Caterina Chinnici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19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panee seurantakertomuksesta merkille, että komissio on luvannut toimittaa tilintarkastustuomioistuimelle Arachne-välineestä manuaalisesti poimittuja tietoja; pitää kuitenkin valitettavana, että tilintarkastustuomioistuimen pääsy elpymis- ja palautumistukivälineen FENIX-raportointivälineeseen on edelleen avoin kysymys, sillä komissio antaa tilintarkastustuomioistuimelle pääsyn vain joihinkin FENIX‑moduuleista; panee tyytyväisenä merkille, että tilintarkastustuomioistuimen FENIXin käyttäjämäärän on raportoitu lisääntyneen; antaa tästä huolimatta tukensa tilintarkastustuomioistuimen pyynnölle, että komissio antaisi sille mahdollisimman pian mahdollisuuden käyttää välinettä kaikilta osin; muistuttaa, että komission talouden ja rahoituksen pääosasto on pyrkinyt antamaan tilintarkastustuomioistuimelle pääsyn FENIX-tiedostoihin kahden viikon kuluessa maksupyynnön hyväksymisestä; on kuitenkin huolissaan siitä, että tätä määräaikaa ei monissa tapauksissa käytännössä noudateta ja että joissakin tapauksissa on ilmennyt jopa 2,5 kuukauden viiveitä, mikä on merkittävästi hidastanut tilintarkastustuomioistuimen havaintojen toimittamista; muistuttaa komissiota sen varainhoitoasetuksen 263 artiklan mukaisesta velvollisuudesta antaa tilintarkastustuomioistuimelle kattava pääsy kaikkiin asiaankuuluviin järjestelmiin ja tietokantoihin (muun muassa Arachne, FENIX ja ARES);</w:t>
            </w:r>
          </w:p>
        </w:tc>
        <w:tc>
          <w:tcPr>
            <w:tcW w:w="4876" w:type="dxa"/>
            <w:tcBorders>
              <w:top w:val="nil"/>
              <w:left w:val="nil"/>
              <w:bottom w:val="nil"/>
              <w:right w:val="nil"/>
            </w:tcBorders>
          </w:tcPr>
          <w:p>
            <w:pPr>
              <w:pStyle w:val="Normal6a"/>
            </w:pPr>
            <w:r>
              <w:t>19.</w:t>
            </w:r>
            <w:r>
              <w:tab/>
            </w:r>
            <w:r>
              <w:t>panee seurantakertomuksesta merkille, että komissio on luvannut toimittaa tilintarkastustuomioistuimelle Arachne-välineestä manuaalisesti poimittuja tietoja; pitää kuitenkin valitettavana, että tilintarkastustuomioistuimen pääsy elpymis- ja palautumistukivälineen FENIX-raportointivälineeseen on edelleen avoin kysymys, sillä komissio antaa tilintarkastustuomioistuimelle pääsyn vain joihinkin FENIX‑moduuleista</w:t>
            </w:r>
            <w:r>
              <w:rPr>
                <w:b/>
                <w:i/>
              </w:rPr>
              <w:t> eikä niiden sisältämiä tietoja päivitetä oikea-aikaisesti</w:t>
            </w:r>
            <w:r>
              <w:t>; panee tyytyväisenä merkille, että tilintarkastustuomioistuimen FENIXin käyttäjämäärän on raportoitu lisääntyneen; antaa tästä huolimatta tukensa tilintarkastustuomioistuimen pyynnölle, että komissio antaisi sille mahdollisimman pian mahdollisuuden käyttää välinettä kaikilta osin; muistuttaa, että komission talouden ja rahoituksen pääosasto on pyrkinyt antamaan tilintarkastustuomioistuimelle pääsyn FENIX-tiedostoihin kahden viikon kuluessa maksupyynnön hyväksymisestä; on kuitenkin huolissaan siitä, että tätä määräaikaa ei monissa tapauksissa käytännössä noudateta ja että joissakin tapauksissa on ilmennyt jopa 2,5 kuukauden viiveitä, mikä on merkittävästi hidastanut tilintarkastustuomioistuimen havaintojen toimittamista; muistuttaa komissiota sen varainhoitoasetuksen 263 artiklan mukaisesta velvollisuudesta antaa tilintarkastustuomioistuimelle kattava pääsy kaikkiin asiaankuuluviin järjestelmiin ja tietokantoihin (muun muassa Arachne, FENIX ja ARES);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14</w:t>
      </w:r>
      <w:r>
        <w:rPr>
          <w:rStyle w:val="HideTWBExt"/>
        </w:rPr>
        <w:t>&lt;/NumAm&gt;</w:t>
      </w:r>
    </w:p>
    <w:p>
      <w:pPr>
        <w:pStyle w:val="NormalBold"/>
      </w:pPr>
      <w:r>
        <w:rPr>
          <w:rStyle w:val="HideTWBExt"/>
          <w:b w:val="0"/>
        </w:rPr>
        <w:t>&lt;RepeatBlock-By&gt;</w:t>
      </w:r>
      <w:r>
        <w:rPr>
          <w:rStyle w:val="HideTWBExt"/>
          <w:b w:val="0"/>
        </w:rPr>
        <w:t>&lt;Members&gt;</w:t>
      </w:r>
      <w:r>
        <w:t>Csaba Molnár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19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 a.</w:t>
            </w:r>
            <w:r>
              <w:tab/>
            </w:r>
            <w:r>
              <w:rPr>
                <w:b/>
                <w:i/>
              </w:rPr>
              <w:t>korostaa hankintojen merkitystä välineenä, jolla edistetään politiikkatavoitteita, myös sosiaalisia ja ympäristötavoitteita;</w:t>
            </w:r>
            <w:r>
              <w:t xml:space="preserve"> </w:t>
            </w:r>
            <w:r>
              <w:rPr>
                <w:b/>
                <w:i/>
              </w:rPr>
              <w:t>kehottaa tilintarkastustuomioistuinta vahvistamaan yhteiskuntavastuuta ja ympäristökestävyyttä koskevien strategisten kriteerien sisällyttämistä hankintamenettelyihinsä;</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15</w:t>
      </w:r>
      <w:r>
        <w:rPr>
          <w:rStyle w:val="HideTWBExt"/>
        </w:rPr>
        <w:t>&lt;/NumAm&gt;</w:t>
      </w:r>
    </w:p>
    <w:p>
      <w:pPr>
        <w:pStyle w:val="NormalBold"/>
      </w:pPr>
      <w:r>
        <w:rPr>
          <w:rStyle w:val="HideTWBExt"/>
          <w:b w:val="0"/>
        </w:rPr>
        <w:t>&lt;RepeatBlock-By&gt;</w:t>
      </w:r>
      <w:r>
        <w:rPr>
          <w:rStyle w:val="HideTWBExt"/>
          <w:b w:val="0"/>
        </w:rPr>
        <w:t>&lt;Members&gt;</w:t>
      </w:r>
      <w:r>
        <w:t>Csaba Molnár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20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 xml:space="preserve">panee merkille, että tilintarkastustuomioistuimessa oli vuoden 2024 lopussa 961 henkilöstön jäsentä (969 vuonna 2023), mukaan lukien väliaikaiset toimihenkilöt (192 vuonna 2024, 204 vuonna 2023), sopimussuhteiset toimihenkilöt (84 vuonna 2024, 86 vuonna 2023) ja kansalliset asiantuntijat (26 vuonna 2024 samoin kuin vuonna 2023); muistuttaa, että on tärkeää tarjota työntekijöille vakituisia työsopimuksia taitojen ylläpitämiseksi </w:t>
            </w:r>
            <w:r>
              <w:rPr>
                <w:b/>
                <w:i/>
              </w:rPr>
              <w:t>ja jatkuvuuden ja tuottavan työympäristön varmistamiseksi</w:t>
            </w:r>
            <w:r>
              <w:t>;</w:t>
            </w:r>
          </w:p>
        </w:tc>
        <w:tc>
          <w:tcPr>
            <w:tcW w:w="4876" w:type="dxa"/>
            <w:tcBorders>
              <w:top w:val="nil"/>
              <w:left w:val="nil"/>
              <w:bottom w:val="nil"/>
              <w:right w:val="nil"/>
            </w:tcBorders>
          </w:tcPr>
          <w:p>
            <w:pPr>
              <w:pStyle w:val="Normal6a"/>
            </w:pPr>
            <w:r>
              <w:t>20.</w:t>
            </w:r>
            <w:r>
              <w:tab/>
            </w:r>
            <w:r>
              <w:t>panee merkille, että tilintarkastustuomioistuimessa oli vuoden 2024 lopussa 961 henkilöstön jäsentä (969 vuonna 2023), mukaan lukien väliaikaiset toimihenkilöt (192 vuonna 2024, 204 vuonna 2023), sopimussuhteiset toimihenkilöt (84 vuonna 2024, 86 vuonna 2023) ja kansalliset asiantuntijat (26 vuonna 2024 samoin kuin vuonna 2023); muistuttaa, että on tärkeää tarjota työntekijöille vakituisia työsopimuksia taitojen ylläpitämiseksi</w:t>
            </w:r>
            <w:r>
              <w:rPr>
                <w:b/>
                <w:i/>
              </w:rPr>
              <w:t>, jotta varmistetaan jatkuvuus sekä tuottava ja vakaa työympäristö</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16</w:t>
      </w:r>
      <w:r>
        <w:rPr>
          <w:rStyle w:val="HideTWBExt"/>
        </w:rPr>
        <w:t>&lt;/NumAm&gt;</w:t>
      </w:r>
    </w:p>
    <w:p>
      <w:pPr>
        <w:pStyle w:val="NormalBold"/>
      </w:pPr>
      <w:r>
        <w:rPr>
          <w:rStyle w:val="HideTWBExt"/>
          <w:b w:val="0"/>
        </w:rPr>
        <w:t>&lt;RepeatBlock-By&gt;</w:t>
      </w:r>
      <w:r>
        <w:rPr>
          <w:rStyle w:val="HideTWBExt"/>
          <w:b w:val="0"/>
        </w:rPr>
        <w:t>&lt;Members&gt;</w:t>
      </w:r>
      <w:r>
        <w:t>Arno Bausemer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21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21.</w:t>
            </w:r>
            <w:r>
              <w:tab/>
            </w:r>
            <w:r>
              <w:rPr>
                <w:b/>
                <w:i/>
              </w:rPr>
              <w:t>panee merkille, että 54 prosenttia tilintarkastustuomioistuimen henkilöstöstä vuonna 2024 oli naisia (verrattuna 53 prosenttiin vuonna 2023) ja 47 prosenttia miehiä;</w:t>
            </w:r>
            <w:r>
              <w:t xml:space="preserve"> </w:t>
            </w:r>
            <w:r>
              <w:rPr>
                <w:b/>
                <w:i/>
              </w:rPr>
              <w:t>pitää valitettavana, että naisten osuus tilintarkastustuomioistuimen ylimmästä johdosta on vain 30 prosenttia eli osuus on sama kuin vuonna 2023;</w:t>
            </w:r>
            <w:r>
              <w:t xml:space="preserve"> </w:t>
            </w:r>
            <w:r>
              <w:rPr>
                <w:b/>
                <w:i/>
              </w:rPr>
              <w:t>pitää lisäksi valitettavana, että naisten osuus keskijohdon tehtävissä laski 40 prosentista 37,30 prosenttiin vuonna 2023;</w:t>
            </w:r>
            <w:r>
              <w:t xml:space="preserve"> </w:t>
            </w:r>
            <w:r>
              <w:rPr>
                <w:b/>
                <w:i/>
              </w:rPr>
              <w:t>muistuttaa, että sukupuolten tasa-arvo on perussopimuksiin perustuva periaate, jota kaikkien toimielinten olisi noudatettava, ja kehottaa tilintarkastustuomioistuinta jatkamaan toimia sukupuolten tasapuolisen edustuksen edistämiseksi keskijohdossa ja ylemmässä johdossa;</w:t>
            </w:r>
          </w:p>
        </w:tc>
        <w:tc>
          <w:tcPr>
            <w:tcW w:w="4876" w:type="dxa"/>
            <w:tcBorders>
              <w:top w:val="nil"/>
              <w:left w:val="nil"/>
              <w:bottom w:val="nil"/>
              <w:right w:val="nil"/>
            </w:tcBorders>
          </w:tcPr>
          <w:p>
            <w:pPr>
              <w:pStyle w:val="Normal6a"/>
            </w:pPr>
            <w:r>
              <w:rPr>
                <w:b/>
                <w:i/>
              </w:rPr>
              <w:t>Poistetaan.</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17</w:t>
      </w:r>
      <w:r>
        <w:rPr>
          <w:rStyle w:val="HideTWBExt"/>
        </w:rPr>
        <w:t>&lt;/NumAm&gt;</w:t>
      </w:r>
    </w:p>
    <w:p>
      <w:pPr>
        <w:pStyle w:val="NormalBold"/>
      </w:pPr>
      <w:r>
        <w:rPr>
          <w:rStyle w:val="HideTWBExt"/>
          <w:b w:val="0"/>
        </w:rPr>
        <w:t>&lt;RepeatBlock-By&gt;</w:t>
      </w:r>
      <w:r>
        <w:rPr>
          <w:rStyle w:val="HideTWBExt"/>
          <w:b w:val="0"/>
        </w:rPr>
        <w:t>&lt;Members&gt;</w:t>
      </w:r>
      <w:r>
        <w:t>Arno Bausemer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22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22.</w:t>
            </w:r>
            <w:r>
              <w:tab/>
            </w:r>
            <w:r>
              <w:rPr>
                <w:b/>
                <w:i/>
              </w:rPr>
              <w:t>panee merkille, että kyselyn mukaan tilintarkastustuomioistuimen palveluksessa oli 64 harjoittelijaa, joista 59 sai kuukausikorvausta vuonna 2024;</w:t>
            </w:r>
            <w:r>
              <w:t xml:space="preserve"> </w:t>
            </w:r>
            <w:r>
              <w:rPr>
                <w:b/>
                <w:i/>
              </w:rPr>
              <w:t>pitää myönteisenä tilintarkastustuomioistuimen uutta TraineEca Career Development- ohjelmaa, jonka tavoitteena on tarjota työmahdollisuuksia ansioituneimmille harjoittelijoille;</w:t>
            </w:r>
            <w:r>
              <w:t xml:space="preserve"> </w:t>
            </w:r>
            <w:r>
              <w:rPr>
                <w:b/>
                <w:i/>
              </w:rPr>
              <w:t>panee lisäksi merkille tilintarkastustuomioistuimen suunnitelman tarjota tekoälyalan erityisharjoittelupaikkoja alan korkeakoulututkinnon hiljattain suorittaneille ja väitöskirjatutkijoille;</w:t>
            </w:r>
            <w:r>
              <w:t xml:space="preserve"> </w:t>
            </w:r>
            <w:r>
              <w:rPr>
                <w:b/>
                <w:i/>
              </w:rPr>
              <w:t>painottaa uudelleen, että harjoittelujen olisi oltava palkallisia parlamentin 15. kesäkuuta 2023 laadukkaista harjoittelupaikoista EU:ssa antaman päätöslauselman (2020/2005(INL)) mukaisesti, jossa vaaditaan kaikkien harjoittelujen palkallisuutta unionissa;</w:t>
            </w:r>
          </w:p>
        </w:tc>
        <w:tc>
          <w:tcPr>
            <w:tcW w:w="4876" w:type="dxa"/>
            <w:tcBorders>
              <w:top w:val="nil"/>
              <w:left w:val="nil"/>
              <w:bottom w:val="nil"/>
              <w:right w:val="nil"/>
            </w:tcBorders>
          </w:tcPr>
          <w:p>
            <w:pPr>
              <w:pStyle w:val="Normal6a"/>
            </w:pPr>
            <w:r>
              <w:rPr>
                <w:b/>
                <w:i/>
              </w:rPr>
              <w:t>Poistetaan.</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18</w:t>
      </w:r>
      <w:r>
        <w:rPr>
          <w:rStyle w:val="HideTWBExt"/>
        </w:rPr>
        <w:t>&lt;/NumAm&gt;</w:t>
      </w:r>
    </w:p>
    <w:p>
      <w:pPr>
        <w:pStyle w:val="NormalBold"/>
      </w:pPr>
      <w:r>
        <w:rPr>
          <w:rStyle w:val="HideTWBExt"/>
          <w:b w:val="0"/>
        </w:rPr>
        <w:t>&lt;RepeatBlock-By&gt;</w:t>
      </w:r>
      <w:r>
        <w:rPr>
          <w:rStyle w:val="HideTWBExt"/>
          <w:b w:val="0"/>
        </w:rPr>
        <w:t>&lt;Members&gt;</w:t>
      </w:r>
      <w:r>
        <w:t>Csaba Molnár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22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panee merkille, että kyselyn mukaan tilintarkastustuomioistuimen palveluksessa oli 64 harjoittelijaa, joista 59 sai kuukausikorvausta vuonna 2024; pitää myönteisenä tilintarkastustuomioistuimen uutta TraineEca Career Development- ohjelmaa, jonka tavoitteena on tarjota työmahdollisuuksia ansioituneimmille harjoittelijoille; panee lisäksi merkille tilintarkastustuomioistuimen suunnitelman tarjota tekoälyalan erityisharjoittelupaikkoja alan korkeakoulututkinnon hiljattain suorittaneille ja väitöskirjatutkijoille; painottaa uudelleen, että harjoittelujen olisi oltava palkallisia parlamentin 15. kesäkuuta 2023 laadukkaista harjoittelupaikoista EU:ssa antaman päätöslauselman (2020/2005(INL)) mukaisesti, jossa vaaditaan kaikkien harjoittelujen palkallisuutta unionissa;</w:t>
            </w:r>
          </w:p>
        </w:tc>
        <w:tc>
          <w:tcPr>
            <w:tcW w:w="4876" w:type="dxa"/>
            <w:tcBorders>
              <w:top w:val="nil"/>
              <w:left w:val="nil"/>
              <w:bottom w:val="nil"/>
              <w:right w:val="nil"/>
            </w:tcBorders>
          </w:tcPr>
          <w:p>
            <w:pPr>
              <w:pStyle w:val="Normal6a"/>
            </w:pPr>
            <w:r>
              <w:t>22.</w:t>
            </w:r>
            <w:r>
              <w:tab/>
            </w:r>
            <w:r>
              <w:t xml:space="preserve">panee merkille, että kyselyn mukaan tilintarkastustuomioistuimen palveluksessa oli 64 harjoittelijaa, joista 59 sai kuukausikorvausta vuonna 2024; pitää myönteisenä tilintarkastustuomioistuimen uutta TraineEca Career Development- ohjelmaa, jonka tavoitteena on tarjota työmahdollisuuksia ansioituneimmille harjoittelijoille; panee lisäksi merkille tilintarkastustuomioistuimen suunnitelman tarjota tekoälyalan erityisharjoittelupaikkoja alan korkeakoulututkinnon hiljattain suorittaneille ja väitöskirjatutkijoille; painottaa uudelleen, että harjoittelujen olisi oltava palkallisia parlamentin 15. kesäkuuta 2023 laadukkaista harjoittelupaikoista EU:ssa antaman päätöslauselman (2020/2005(INL)) mukaisesti, jossa vaaditaan kaikkien harjoittelujen palkallisuutta unionissa; </w:t>
            </w:r>
            <w:r>
              <w:rPr>
                <w:b/>
                <w:i/>
              </w:rPr>
              <w:t>korostaa, että palkattomat harjoittelut ovat yksi nuorten työntekijöiden hyväksikäytön muoto ja yhdenvertaisten mahdollisuuksien este;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19</w:t>
      </w:r>
      <w:r>
        <w:rPr>
          <w:rStyle w:val="HideTWBExt"/>
        </w:rPr>
        <w:t>&lt;/NumAm&gt;</w:t>
      </w:r>
    </w:p>
    <w:p>
      <w:pPr>
        <w:pStyle w:val="NormalBold"/>
      </w:pPr>
      <w:r>
        <w:rPr>
          <w:rStyle w:val="HideTWBExt"/>
          <w:b w:val="0"/>
        </w:rPr>
        <w:t>&lt;RepeatBlock-By&gt;</w:t>
      </w:r>
      <w:r>
        <w:rPr>
          <w:rStyle w:val="HideTWBExt"/>
          <w:b w:val="0"/>
        </w:rPr>
        <w:t>&lt;Members&gt;</w:t>
      </w:r>
      <w:r>
        <w:t>Caterina Chinnici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23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panee merkille, että kyselyn mukaan virkamiesten rekrytointi oli edelleen vuonna 2024 haaste tilintarkastustuomioistuimelle sen vuoksi, ettei Luxemburg ole houkutteleva työskentelypaikkakunta tai nuoret työntekijät eivät ole kiinnostuneita tarkastus- ja valvontatehtävistä; panee tyytyväisenä merkille, että tilintarkastustuomioistuin on puuttunut tähän ongelmaan järjestämällä säännöllisesti tilintarkastustuomioistuimen harjoittelijoille suunnattuja valintamenettelyjä, järjestämällä sisäisiä kilpailuja, jotta ansioituneimmista osaajista voidaan pitää kiinni, ja lisäämällä tiedotustoimia; toteaa tässä yhteydessä, että tarvitaan kilpailuja koskeva lauseke, jotta EPSOn kilpailuja voidaan järjestää myös yksinomaan Luxemburgia varten; antaa tilintarkastustuomioistuimelle tunnustusta siitä, että se on liittynyt toimielinten väliseen sopimukseen, jonka nojalla Luxemburgiin sijoittautuneiden unionin toimielinten palkkaama henkilöstö saa vuodesta 2025 alkaen asumiskorvauksen korvauksena Luxemburgin korkeista elinkustannuksista;</w:t>
            </w:r>
          </w:p>
        </w:tc>
        <w:tc>
          <w:tcPr>
            <w:tcW w:w="4876" w:type="dxa"/>
            <w:tcBorders>
              <w:top w:val="nil"/>
              <w:left w:val="nil"/>
              <w:bottom w:val="nil"/>
              <w:right w:val="nil"/>
            </w:tcBorders>
          </w:tcPr>
          <w:p>
            <w:pPr>
              <w:pStyle w:val="Normal6a"/>
            </w:pPr>
            <w:r>
              <w:t>23.</w:t>
            </w:r>
            <w:r>
              <w:tab/>
            </w:r>
            <w:r>
              <w:t xml:space="preserve">panee merkille, että kyselyn mukaan virkamiesten rekrytointi oli edelleen vuonna 2024 haaste tilintarkastustuomioistuimelle sen vuoksi, ettei Luxemburg ole houkutteleva työskentelypaikkakunta tai nuoret työntekijät eivät ole kiinnostuneita tarkastus- ja valvontatehtävistä; panee tyytyväisenä merkille, että tilintarkastustuomioistuin on puuttunut tähän ongelmaan järjestämällä säännöllisesti tilintarkastustuomioistuimen harjoittelijoille suunnattuja valintamenettelyjä, järjestämällä sisäisiä kilpailuja, jotta ansioituneimmista osaajista voidaan pitää kiinni, ja lisäämällä tiedotustoimia; </w:t>
            </w:r>
            <w:r>
              <w:rPr>
                <w:b/>
                <w:i/>
              </w:rPr>
              <w:t>kannustaa tilintarkastustuomioistuinta jatkamaan näitä toimia toimintansa jatkuvuuden turvaamiseksi;</w:t>
            </w:r>
            <w:r>
              <w:t xml:space="preserve"> toteaa tässä yhteydessä, että tarvitaan kilpailuja koskeva lauseke, jotta EPSOn kilpailuja voidaan järjestää myös yksinomaan Luxemburgia varten; antaa tilintarkastustuomioistuimelle tunnustusta siitä, että se on liittynyt toimielinten väliseen sopimukseen, jonka nojalla Luxemburgiin sijoittautuneiden unionin toimielinten palkkaama henkilöstö saa vuodesta 2025 alkaen asumiskorvauksen korvauksena Luxemburgin korkeista elinkustannuksista;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20</w:t>
      </w:r>
      <w:r>
        <w:rPr>
          <w:rStyle w:val="HideTWBExt"/>
        </w:rPr>
        <w:t>&lt;/NumAm&gt;</w:t>
      </w:r>
    </w:p>
    <w:p>
      <w:pPr>
        <w:pStyle w:val="NormalBold"/>
      </w:pPr>
      <w:r>
        <w:rPr>
          <w:rStyle w:val="HideTWBExt"/>
          <w:b w:val="0"/>
        </w:rPr>
        <w:t>&lt;RepeatBlock-By&gt;</w:t>
      </w:r>
      <w:r>
        <w:rPr>
          <w:rStyle w:val="HideTWBExt"/>
          <w:b w:val="0"/>
        </w:rPr>
        <w:t>&lt;Members&gt;</w:t>
      </w:r>
      <w:r>
        <w:t>Arno Bausemer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24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24.</w:t>
            </w:r>
            <w:r>
              <w:tab/>
            </w:r>
            <w:r>
              <w:rPr>
                <w:b/>
                <w:i/>
              </w:rPr>
              <w:t>on tietoinen siitä, että tilintarkastustuomioistuin ei SEUT-sopimuksen 286 artiklan 2 kohdan mukaisesti osallistu jäsenten valintamenettelyyn;</w:t>
            </w:r>
            <w:r>
              <w:t xml:space="preserve"> </w:t>
            </w:r>
            <w:r>
              <w:rPr>
                <w:b/>
                <w:i/>
              </w:rPr>
              <w:t>muistuttaa kuitenkin, että tilintarkastustuomioistuimen jäsenten sukupuolijakauma on edelleen merkittävästi epätasapainossa, sillä 27 jäsenestä vain 10 on naisia;</w:t>
            </w:r>
            <w:r>
              <w:t xml:space="preserve"> </w:t>
            </w:r>
            <w:r>
              <w:rPr>
                <w:b/>
                <w:i/>
              </w:rPr>
              <w:t>kehottaa jälleen jäsenvaltioita ehdottamaan eri sukupuolia edustavia ehdokkaita, joilla pyritään tilintarkastustuomioistuimen tasapainoisempaan ja edustavampaan kokoonpanoon;</w:t>
            </w:r>
          </w:p>
        </w:tc>
        <w:tc>
          <w:tcPr>
            <w:tcW w:w="4876" w:type="dxa"/>
            <w:tcBorders>
              <w:top w:val="nil"/>
              <w:left w:val="nil"/>
              <w:bottom w:val="nil"/>
              <w:right w:val="nil"/>
            </w:tcBorders>
          </w:tcPr>
          <w:p>
            <w:pPr>
              <w:pStyle w:val="Normal6a"/>
            </w:pPr>
            <w:r>
              <w:rPr>
                <w:b/>
                <w:i/>
              </w:rPr>
              <w:t>Poistetaan.</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21</w:t>
      </w:r>
      <w:r>
        <w:rPr>
          <w:rStyle w:val="HideTWBExt"/>
        </w:rPr>
        <w:t>&lt;/NumAm&gt;</w:t>
      </w:r>
    </w:p>
    <w:p>
      <w:pPr>
        <w:pStyle w:val="NormalBold"/>
      </w:pPr>
      <w:r>
        <w:rPr>
          <w:rStyle w:val="HideTWBExt"/>
          <w:b w:val="0"/>
        </w:rPr>
        <w:t>&lt;RepeatBlock-By&gt;</w:t>
      </w:r>
      <w:r>
        <w:rPr>
          <w:rStyle w:val="HideTWBExt"/>
          <w:b w:val="0"/>
        </w:rPr>
        <w:t>&lt;Members&gt;</w:t>
      </w:r>
      <w:r>
        <w:t>Caterina Chinnici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24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 xml:space="preserve">on tietoinen siitä, että tilintarkastustuomioistuin ei SEUT-sopimuksen 286 artiklan 2 kohdan mukaisesti osallistu jäsenten valintamenettelyyn; muistuttaa kuitenkin, että tilintarkastustuomioistuimen jäsenten sukupuolijakauma on edelleen merkittävästi epätasapainossa, sillä 27 jäsenestä vain 10 on naisia; kehottaa jälleen jäsenvaltioita </w:t>
            </w:r>
            <w:r>
              <w:rPr>
                <w:b/>
                <w:i/>
              </w:rPr>
              <w:t>ehdottamaan eri sukupuolia edustavia</w:t>
            </w:r>
            <w:r>
              <w:t xml:space="preserve"> ehdokkaita</w:t>
            </w:r>
            <w:r>
              <w:rPr>
                <w:b/>
                <w:i/>
              </w:rPr>
              <w:t>, joilla pyritään tilintarkastustuomioistuimen tasapainoisempaan ja edustavampaan kokoonpanoon</w:t>
            </w:r>
            <w:r>
              <w:t>;</w:t>
            </w:r>
          </w:p>
        </w:tc>
        <w:tc>
          <w:tcPr>
            <w:tcW w:w="4876" w:type="dxa"/>
            <w:tcBorders>
              <w:top w:val="nil"/>
              <w:left w:val="nil"/>
              <w:bottom w:val="nil"/>
              <w:right w:val="nil"/>
            </w:tcBorders>
          </w:tcPr>
          <w:p>
            <w:pPr>
              <w:pStyle w:val="Normal6a"/>
            </w:pPr>
            <w:r>
              <w:t>24.</w:t>
            </w:r>
            <w:r>
              <w:tab/>
            </w:r>
            <w:r>
              <w:t xml:space="preserve">on tietoinen siitä, että tilintarkastustuomioistuin ei SEUT-sopimuksen 286 artiklan 2 kohdan mukaisesti osallistu jäsenten valintamenettelyyn; muistuttaa kuitenkin, että tilintarkastustuomioistuimen jäsenten sukupuolijakauma on edelleen merkittävästi epätasapainossa, sillä 27 jäsenestä vain 10 on naisia; kehottaa jälleen jäsenvaltioita </w:t>
            </w:r>
            <w:r>
              <w:rPr>
                <w:b/>
                <w:i/>
              </w:rPr>
              <w:t>ottamaan huomioon sukupuolten tasapuolisen edustuksen tarpeen</w:t>
            </w:r>
            <w:r>
              <w:t xml:space="preserve"> ehdokkaita </w:t>
            </w:r>
            <w:r>
              <w:rPr>
                <w:b/>
                <w:i/>
              </w:rPr>
              <w:t>ehdottaessaan ja varmistamaan samalla, että nimitykset perustuvat edelleen ansioihin, pätevyyteen ja riippumattomuuteen liittyviin kriteereihin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22</w:t>
      </w:r>
      <w:r>
        <w:rPr>
          <w:rStyle w:val="HideTWBExt"/>
        </w:rPr>
        <w:t>&lt;/NumAm&gt;</w:t>
      </w:r>
    </w:p>
    <w:p>
      <w:pPr>
        <w:pStyle w:val="NormalBold"/>
      </w:pPr>
      <w:r>
        <w:rPr>
          <w:rStyle w:val="HideTWBExt"/>
          <w:b w:val="0"/>
        </w:rPr>
        <w:t>&lt;RepeatBlock-By&gt;</w:t>
      </w:r>
      <w:r>
        <w:rPr>
          <w:rStyle w:val="HideTWBExt"/>
          <w:b w:val="0"/>
        </w:rPr>
        <w:t>&lt;Members&gt;</w:t>
      </w:r>
      <w:r>
        <w:t>Csaba Molnár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24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on tietoinen siitä, että tilintarkastustuomioistuin ei SEUT-sopimuksen 286 artiklan 2 kohdan mukaisesti osallistu jäsenten valintamenettelyyn; muistuttaa kuitenkin, että tilintarkastustuomioistuimen jäsenten sukupuolijakauma on edelleen merkittävästi epätasapainossa, sillä 27 jäsenestä vain 10 on naisia; kehottaa jälleen jäsenvaltioita ehdottamaan eri sukupuolia edustavia ehdokkaita, joilla pyritään tilintarkastustuomioistuimen tasapainoisempaan ja edustavampaan kokoonpanoon;</w:t>
            </w:r>
          </w:p>
        </w:tc>
        <w:tc>
          <w:tcPr>
            <w:tcW w:w="4876" w:type="dxa"/>
            <w:tcBorders>
              <w:top w:val="nil"/>
              <w:left w:val="nil"/>
              <w:bottom w:val="nil"/>
              <w:right w:val="nil"/>
            </w:tcBorders>
          </w:tcPr>
          <w:p>
            <w:pPr>
              <w:pStyle w:val="Normal6a"/>
            </w:pPr>
            <w:r>
              <w:t>24.</w:t>
            </w:r>
            <w:r>
              <w:tab/>
            </w:r>
            <w:r>
              <w:t xml:space="preserve">on tietoinen siitä, että tilintarkastustuomioistuin ei SEUT-sopimuksen 286 artiklan 2 kohdan mukaisesti osallistu jäsenten valintamenettelyyn; muistuttaa kuitenkin, että tilintarkastustuomioistuimen jäsenten sukupuolijakauma on edelleen merkittävästi epätasapainossa, sillä 27 jäsenestä vain 10 on naisia; </w:t>
            </w:r>
            <w:r>
              <w:rPr>
                <w:b/>
                <w:i/>
              </w:rPr>
              <w:t>pitää valitettavana, että useat jäsenvaltiot eivät ole koskaan nimittäneet naista tilintarkastustuomioistuimeen;</w:t>
            </w:r>
            <w:r>
              <w:t xml:space="preserve"> kehottaa jälleen jäsenvaltioita ehdottamaan eri sukupuolia edustavia ehdokkaita, joilla pyritään tilintarkastustuomioistuimen tasapainoisempaan ja edustavampaan kokoonpanoon;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23</w:t>
      </w:r>
      <w:r>
        <w:rPr>
          <w:rStyle w:val="HideTWBExt"/>
        </w:rPr>
        <w:t>&lt;/NumAm&gt;</w:t>
      </w:r>
    </w:p>
    <w:p>
      <w:pPr>
        <w:pStyle w:val="NormalBold"/>
      </w:pPr>
      <w:r>
        <w:rPr>
          <w:rStyle w:val="HideTWBExt"/>
          <w:b w:val="0"/>
        </w:rPr>
        <w:t>&lt;RepeatBlock-By&gt;</w:t>
      </w:r>
      <w:r>
        <w:rPr>
          <w:rStyle w:val="HideTWBExt"/>
          <w:b w:val="0"/>
        </w:rPr>
        <w:t>&lt;Members&gt;</w:t>
      </w:r>
      <w:r>
        <w:t>Arno Bausemer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28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28.</w:t>
            </w:r>
            <w:r>
              <w:tab/>
            </w:r>
            <w:r>
              <w:rPr>
                <w:b/>
                <w:i/>
              </w:rPr>
              <w:t>panee merkille, että useat kansalaisuudet, erityisesti pohjoismaisten jäsenvaltioiden kansalaisuudet, ovat aliedustettuina tilintarkastustuomioistuimen henkilöstössä;</w:t>
            </w:r>
            <w:r>
              <w:t xml:space="preserve"> </w:t>
            </w:r>
            <w:r>
              <w:rPr>
                <w:b/>
                <w:i/>
              </w:rPr>
              <w:t>toteaa, että on olemassa riski, että tilanne heikkenee entisestään henkilöstön ikääntymisen ja sen vuoksi, että rekrytointi kyseisistä jäsenvaltioista on vähäistä;</w:t>
            </w:r>
            <w:r>
              <w:t xml:space="preserve"> </w:t>
            </w:r>
            <w:r>
              <w:rPr>
                <w:b/>
                <w:i/>
              </w:rPr>
              <w:t>muistuttaa, että tilintarkastustuomioistuimessa pyritään jo korjaamaan tätä epätasapainoa esimerkiksi tuomalla tilintarkastustuomioistuimen kilpailuja ja avoimia toimia koskevia ilmoituksia paremmin esiin merkittävästi aliedustettuina olevissa jäsenvaltioissa, tekemällä yhteistyötä tilintarkastustuomioistuimen jäsenten kanssa sen ilmoitusten levittämiseksi ja pyrkimällä tavoittamaan potentiaalisia hakijoita osallistumalla uramessuille tietyissä jäsenvaltioissa;</w:t>
            </w:r>
            <w:r>
              <w:t xml:space="preserve"> </w:t>
            </w:r>
            <w:r>
              <w:rPr>
                <w:b/>
                <w:i/>
              </w:rPr>
              <w:t>panee lisäksi merkille, että seurantakertomuksen mukaan tilintarkastustuomioistuin on myös laatinut toimintasuunnitelman, johon sisältyy seuraaville viidelle vuodelle kymmenen toimea, joiden avulla pyritään kääntämään tiettyjen jäsenvaltioiden nykyisen aliedustuksen suuntaus;</w:t>
            </w:r>
            <w:r>
              <w:t xml:space="preserve"> </w:t>
            </w:r>
            <w:r>
              <w:rPr>
                <w:b/>
                <w:i/>
              </w:rPr>
              <w:t>kehottaa tilintarkastustuomioistuinta tiedottamaan vastuuvapauden myöntävälle viranomaiselle tämän toimintasuunnitelman täytäntöönpanon avulla saavutetusta edistyksestä ja tuloksista;</w:t>
            </w:r>
          </w:p>
        </w:tc>
        <w:tc>
          <w:tcPr>
            <w:tcW w:w="4876" w:type="dxa"/>
            <w:tcBorders>
              <w:top w:val="nil"/>
              <w:left w:val="nil"/>
              <w:bottom w:val="nil"/>
              <w:right w:val="nil"/>
            </w:tcBorders>
          </w:tcPr>
          <w:p>
            <w:pPr>
              <w:pStyle w:val="Normal6a"/>
            </w:pPr>
            <w:r>
              <w:rPr>
                <w:b/>
                <w:i/>
              </w:rPr>
              <w:t>Poistetaan.</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24</w:t>
      </w:r>
      <w:r>
        <w:rPr>
          <w:rStyle w:val="HideTWBExt"/>
        </w:rPr>
        <w:t>&lt;/NumAm&gt;</w:t>
      </w:r>
    </w:p>
    <w:p>
      <w:pPr>
        <w:pStyle w:val="NormalBold"/>
      </w:pPr>
      <w:r>
        <w:rPr>
          <w:rStyle w:val="HideTWBExt"/>
          <w:b w:val="0"/>
        </w:rPr>
        <w:t>&lt;RepeatBlock-By&gt;</w:t>
      </w:r>
      <w:r>
        <w:rPr>
          <w:rStyle w:val="HideTWBExt"/>
          <w:b w:val="0"/>
        </w:rPr>
        <w:t>&lt;Members&gt;</w:t>
      </w:r>
      <w:r>
        <w:t>Caterina Chinnici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28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t>panee merkille, että useat kansalaisuudet, erityisesti pohjoismaisten jäsenvaltioiden kansalaisuudet, ovat aliedustettuina tilintarkastustuomioistuimen henkilöstössä; toteaa, että on olemassa riski, että tilanne heikkenee entisestään henkilöstön ikääntymisen ja sen vuoksi, että rekrytointi kyseisistä jäsenvaltioista on vähäistä; muistuttaa, että tilintarkastustuomioistuimessa pyritään jo korjaamaan tätä epätasapainoa esimerkiksi tuomalla tilintarkastustuomioistuimen kilpailuja ja avoimia toimia koskevia ilmoituksia paremmin esiin merkittävästi aliedustettuina olevissa jäsenvaltioissa, tekemällä yhteistyötä tilintarkastustuomioistuimen jäsenten kanssa sen ilmoitusten levittämiseksi ja pyrkimällä tavoittamaan potentiaalisia hakijoita osallistumalla uramessuille tietyissä jäsenvaltioissa; panee lisäksi merkille, että seurantakertomuksen mukaan tilintarkastustuomioistuin on myös laatinut toimintasuunnitelman, johon sisältyy seuraaville viidelle vuodelle kymmenen toimea, joiden avulla pyritään kääntämään tiettyjen jäsenvaltioiden nykyisen aliedustuksen suuntaus; kehottaa tilintarkastustuomioistuinta tiedottamaan vastuuvapauden myöntävälle viranomaiselle tämän toimintasuunnitelman täytäntöönpanon avulla saavutetusta edistyksestä ja tuloksista;</w:t>
            </w:r>
          </w:p>
        </w:tc>
        <w:tc>
          <w:tcPr>
            <w:tcW w:w="4876" w:type="dxa"/>
            <w:tcBorders>
              <w:top w:val="nil"/>
              <w:left w:val="nil"/>
              <w:bottom w:val="nil"/>
              <w:right w:val="nil"/>
            </w:tcBorders>
          </w:tcPr>
          <w:p>
            <w:pPr>
              <w:pStyle w:val="Normal6a"/>
            </w:pPr>
            <w:r>
              <w:t>28.</w:t>
            </w:r>
            <w:r>
              <w:tab/>
            </w:r>
            <w:r>
              <w:t xml:space="preserve">panee merkille, että useat kansalaisuudet, erityisesti pohjoismaisten jäsenvaltioiden kansalaisuudet, ovat aliedustettuina tilintarkastustuomioistuimen henkilöstössä; toteaa, että on olemassa riski, että tilanne heikkenee entisestään henkilöstön ikääntymisen ja sen vuoksi, että rekrytointi kyseisistä jäsenvaltioista on vähäistä; muistuttaa, että tilintarkastustuomioistuimessa pyritään jo korjaamaan tätä epätasapainoa esimerkiksi tuomalla tilintarkastustuomioistuimen kilpailuja ja avoimia toimia koskevia ilmoituksia paremmin esiin merkittävästi aliedustettuina olevissa jäsenvaltioissa, tekemällä yhteistyötä tilintarkastustuomioistuimen jäsenten kanssa sen ilmoitusten levittämiseksi ja pyrkimällä tavoittamaan potentiaalisia hakijoita osallistumalla uramessuille tietyissä jäsenvaltioissa; panee lisäksi merkille, että seurantakertomuksen mukaan tilintarkastustuomioistuin on myös laatinut toimintasuunnitelman, johon sisältyy seuraaville viidelle vuodelle kymmenen toimea, joiden avulla pyritään kääntämään tiettyjen jäsenvaltioiden nykyisen aliedustuksen suuntaus; kehottaa tilintarkastustuomioistuinta tiedottamaan vastuuvapauden myöntävälle viranomaiselle tämän toimintasuunnitelman täytäntöönpanon avulla saavutetusta edistyksestä ja tuloksista; </w:t>
            </w:r>
            <w:r>
              <w:rPr>
                <w:b/>
                <w:i/>
              </w:rPr>
              <w:t>panee tyytyväisenä merkille tilintarkastustuomioistuimen toteuttamat toimet elpymis- ja palautumistukivälinettä koskevien tehtäviensä hoitamiseksi, vaikka resurssit eivät ole olleet täysin riittävät;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25</w:t>
      </w:r>
      <w:r>
        <w:rPr>
          <w:rStyle w:val="HideTWBExt"/>
        </w:rPr>
        <w:t>&lt;/NumAm&gt;</w:t>
      </w:r>
    </w:p>
    <w:p>
      <w:pPr>
        <w:pStyle w:val="NormalBold"/>
      </w:pPr>
      <w:r>
        <w:rPr>
          <w:rStyle w:val="HideTWBExt"/>
          <w:b w:val="0"/>
        </w:rPr>
        <w:t>&lt;RepeatBlock-By&gt;</w:t>
      </w:r>
      <w:r>
        <w:rPr>
          <w:rStyle w:val="HideTWBExt"/>
          <w:b w:val="0"/>
        </w:rPr>
        <w:t>&lt;Members&gt;</w:t>
      </w:r>
      <w:r>
        <w:t>Ondřej Knotek, Virginie Joron, Julien Sanchez, Tamás Deutsch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29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29.</w:t>
            </w:r>
            <w:r>
              <w:tab/>
            </w:r>
            <w:r>
              <w:t>muistuttaa, että vuoden 2023 lopussa kaikki elpymis- ja palautumistukivälineen 723,8 miljardin euron määrärahojen tarkastusta varten tarvittavat 29 (väliaikaisen toimihenkilön) lisätointa oli täytetty; ymmärtää kuitenkin, että elpymis- ja palautumistukivälineen olennaisuus ja monimutkaisuus sekä siihen liittyvät suuret summat ja nopeat maksut aiheuttavat edelleen haasteita ja että nykyiset resurssit eivät ole riittäviä, jotta voidaan järjestelmällisesti varmistaa, että elpymis- ja palautumistukivälineen menot ovat unionin ja kansallisten sääntöjen mukaisia ja että niiden avulla voidaan vastata unionin lisääntyneeseen toimintaan; tukee näin ollen tilintarkastustuomioistuimen pyyntöä muuttaa elpymis- ja palautumistukivälineeseen liittyviä tarkastuksia varten palkattujen 29 väliaikaisen toimihenkilön paikat vakinaisiksi toimiksi;</w:t>
            </w:r>
          </w:p>
        </w:tc>
        <w:tc>
          <w:tcPr>
            <w:tcW w:w="4876" w:type="dxa"/>
            <w:tcBorders>
              <w:top w:val="nil"/>
              <w:left w:val="nil"/>
              <w:bottom w:val="nil"/>
              <w:right w:val="nil"/>
            </w:tcBorders>
          </w:tcPr>
          <w:p>
            <w:pPr>
              <w:pStyle w:val="Normal6a"/>
            </w:pPr>
            <w:r>
              <w:t>29.</w:t>
            </w:r>
            <w:r>
              <w:tab/>
            </w:r>
            <w:r>
              <w:t xml:space="preserve">muistuttaa, että vuoden 2023 lopussa kaikki elpymis- ja palautumistukivälineen 723,8 miljardin euron määrärahojen tarkastusta varten tarvittavat 29 (väliaikaisen toimihenkilön) lisätointa oli täytetty; ymmärtää kuitenkin, että elpymis- ja palautumistukivälineen olennaisuus ja monimutkaisuus sekä siihen liittyvät suuret summat ja nopeat maksut aiheuttavat edelleen haasteita ja että nykyiset resurssit eivät ole riittäviä, jotta voidaan järjestelmällisesti varmistaa, että elpymis- ja palautumistukivälineen menot ovat unionin ja kansallisten sääntöjen mukaisia ja että niiden avulla voidaan vastata unionin lisääntyneeseen toimintaan; tukee näin ollen tilintarkastustuomioistuimen pyyntöä muuttaa elpymis- ja palautumistukivälineeseen liittyviä tarkastuksia varten palkattujen 29 väliaikaisen toimihenkilön paikat vakinaisiksi toimiksi; </w:t>
            </w:r>
            <w:r>
              <w:rPr>
                <w:b/>
                <w:i/>
              </w:rPr>
              <w:t>korostaa, että välitavoitteiden ja tavoitteiden arviointi on luonnostaan monimutkaisempaa ja vie enemmän aikaa, koska ne ovat usein luonteeltaan laadullisia ja liittyvät pikemminkin lainsäädäntöuudistuksiin, hallinnollisiin muutoksiin tai hallintorakenteisiin kuin määrällisesti ilmaistavissa oleviin rahoitustietoihin;</w:t>
            </w:r>
            <w:r>
              <w:t xml:space="preserve"> </w:t>
            </w:r>
            <w:r>
              <w:rPr>
                <w:b/>
                <w:i/>
              </w:rPr>
              <w:t>on huolissaan siitä, että samankaltaisten tulosperusteisten rahoitusmallien toisintaminen tai laajentaminen seuraavassa monivuotisessa rahoituskehyksessä ilman vastaavia mukautuksia tarkastusmenetelmiin, tietojen saatavuuteen ja resursseihin voisi heikentää merkittävästi unionin menoihin liittyvää vaikuttavaa valvontaa, vastuuvelvollisuutta ja varmuutta;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26</w:t>
      </w:r>
      <w:r>
        <w:rPr>
          <w:rStyle w:val="HideTWBExt"/>
        </w:rPr>
        <w:t>&lt;/NumAm&gt;</w:t>
      </w:r>
    </w:p>
    <w:p>
      <w:pPr>
        <w:pStyle w:val="NormalBold"/>
      </w:pPr>
      <w:r>
        <w:rPr>
          <w:rStyle w:val="HideTWBExt"/>
          <w:b w:val="0"/>
        </w:rPr>
        <w:t>&lt;RepeatBlock-By&gt;</w:t>
      </w:r>
      <w:r>
        <w:rPr>
          <w:rStyle w:val="HideTWBExt"/>
          <w:b w:val="0"/>
        </w:rPr>
        <w:t>&lt;Members&gt;</w:t>
      </w:r>
      <w:r>
        <w:t>Csaba Molnár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29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29.</w:t>
            </w:r>
            <w:r>
              <w:tab/>
            </w:r>
            <w:r>
              <w:t>muistuttaa, että vuoden 2023 lopussa kaikki elpymis- ja palautumistukivälineen 723,8 miljardin euron määrärahojen tarkastusta varten tarvittavat 29 (väliaikaisen toimihenkilön) lisätointa oli täytetty; ymmärtää kuitenkin, että elpymis- ja palautumistukivälineen olennaisuus ja monimutkaisuus sekä siihen liittyvät suuret summat ja nopeat maksut aiheuttavat edelleen haasteita ja että nykyiset resurssit eivät ole riittäviä, jotta voidaan järjestelmällisesti varmistaa, että elpymis- ja palautumistukivälineen menot ovat unionin ja kansallisten sääntöjen mukaisia ja että niiden avulla voidaan vastata unionin lisääntyneeseen toimintaan; tukee näin ollen tilintarkastustuomioistuimen pyyntöä muuttaa elpymis- ja palautumistukivälineeseen liittyviä tarkastuksia varten palkattujen 29 väliaikaisen toimihenkilön paikat vakinaisiksi toimiksi;</w:t>
            </w:r>
          </w:p>
        </w:tc>
        <w:tc>
          <w:tcPr>
            <w:tcW w:w="4876" w:type="dxa"/>
            <w:tcBorders>
              <w:top w:val="nil"/>
              <w:left w:val="nil"/>
              <w:bottom w:val="nil"/>
              <w:right w:val="nil"/>
            </w:tcBorders>
          </w:tcPr>
          <w:p>
            <w:pPr>
              <w:pStyle w:val="Normal6a"/>
            </w:pPr>
            <w:r>
              <w:t>29.</w:t>
            </w:r>
            <w:r>
              <w:tab/>
            </w:r>
            <w:r>
              <w:t xml:space="preserve">muistuttaa, että vuoden 2023 lopussa kaikki elpymis- ja palautumistukivälineen 723,8 miljardin euron määrärahojen tarkastusta varten tarvittavat 29 (väliaikaisen toimihenkilön) lisätointa oli täytetty; ymmärtää kuitenkin, että elpymis- ja palautumistukivälineen olennaisuus ja monimutkaisuus sekä siihen liittyvät suuret summat ja nopeat maksut aiheuttavat edelleen haasteita ja että nykyiset resurssit eivät ole riittäviä, jotta voidaan järjestelmällisesti varmistaa, että elpymis- ja palautumistukivälineen menot ovat unionin ja kansallisten sääntöjen mukaisia ja että niiden avulla voidaan vastata unionin lisääntyneeseen toimintaan; tukee näin ollen tilintarkastustuomioistuimen pyyntöä muuttaa elpymis- ja palautumistukivälineeseen liittyviä tarkastuksia varten palkattujen 29 väliaikaisen toimihenkilön paikat vakinaisiksi toimiksi; </w:t>
            </w:r>
            <w:r>
              <w:rPr>
                <w:b/>
                <w:i/>
              </w:rPr>
              <w:t>pitää tärkeänä varmistaa, että tilintarkastustuomioistuimella on jatkuvasti riittävät henkilöresurssit, jotta se voi täyttää sekä toimeksiantonsa että uusista rahoitusvälineistä, kuten elpymis- ja palautumistukivälineestä, johtuvat muut tehtävänsä;</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27</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Verts/ALE-ryhmän puolesta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29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29.</w:t>
            </w:r>
            <w:r>
              <w:tab/>
            </w:r>
            <w:r>
              <w:t>muistuttaa, että vuoden 2023 lopussa kaikki elpymis- ja palautumistukivälineen 723,8 miljardin euron määrärahojen tarkastusta varten tarvittavat 29 (väliaikaisen toimihenkilön) lisätointa oli täytetty; ymmärtää kuitenkin, että elpymis- ja palautumistukivälineen olennaisuus ja monimutkaisuus sekä siihen liittyvät suuret summat ja nopeat maksut aiheuttavat edelleen haasteita ja että nykyiset resurssit eivät ole riittäviä, jotta voidaan järjestelmällisesti varmistaa, että elpymis- ja palautumistukivälineen menot ovat unionin ja kansallisten sääntöjen mukaisia ja että niiden avulla voidaan vastata unionin lisääntyneeseen toimintaan; tukee näin ollen tilintarkastustuomioistuimen pyyntöä muuttaa elpymis- ja palautumistukivälineeseen liittyviä tarkastuksia varten palkattujen 29 väliaikaisen toimihenkilön paikat vakinaisiksi toimiksi;</w:t>
            </w:r>
          </w:p>
        </w:tc>
        <w:tc>
          <w:tcPr>
            <w:tcW w:w="4876" w:type="dxa"/>
            <w:tcBorders>
              <w:top w:val="nil"/>
              <w:left w:val="nil"/>
              <w:bottom w:val="nil"/>
              <w:right w:val="nil"/>
            </w:tcBorders>
          </w:tcPr>
          <w:p>
            <w:pPr>
              <w:pStyle w:val="Normal6a"/>
            </w:pPr>
            <w:r>
              <w:t>29.</w:t>
            </w:r>
            <w:r>
              <w:tab/>
            </w:r>
            <w:r>
              <w:t xml:space="preserve">muistuttaa, että vuoden 2023 lopussa kaikki elpymis- ja palautumistukivälineen 723,8 miljardin euron määrärahojen tarkastusta varten tarvittavat 29 (väliaikaisen toimihenkilön) lisätointa oli täytetty; ymmärtää kuitenkin, että elpymis- ja palautumistukivälineen olennaisuus ja monimutkaisuus sekä siihen liittyvät suuret summat ja nopeat maksut aiheuttavat edelleen haasteita ja että nykyiset resurssit eivät ole riittäviä, jotta voidaan järjestelmällisesti varmistaa, että elpymis- ja palautumistukivälineen menot ovat unionin ja kansallisten sääntöjen mukaisia ja että niiden avulla voidaan vastata unionin lisääntyneeseen toimintaan; tukee näin ollen tilintarkastustuomioistuimen pyyntöä muuttaa elpymis- ja palautumistukivälineeseen liittyviä tarkastuksia varten palkattujen 29 väliaikaisen toimihenkilön paikat vakinaisiksi toimiksi </w:t>
            </w:r>
            <w:r>
              <w:rPr>
                <w:b/>
                <w:i/>
              </w:rPr>
              <w:t>sen varmistamiseksi, että tilintarkastustuomioistuimella on rakenteelliset valmiudet tarkastaa elpymis- ja palautumistukiväline ja tulevat tulosperusteiset välineet, myös monivuotinen rahoituskehys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28</w:t>
      </w:r>
      <w:r>
        <w:rPr>
          <w:rStyle w:val="HideTWBExt"/>
        </w:rPr>
        <w:t>&lt;/NumAm&gt;</w:t>
      </w:r>
    </w:p>
    <w:p>
      <w:pPr>
        <w:pStyle w:val="NormalBold"/>
      </w:pPr>
      <w:r>
        <w:rPr>
          <w:rStyle w:val="HideTWBExt"/>
          <w:b w:val="0"/>
        </w:rPr>
        <w:t>&lt;RepeatBlock-By&gt;</w:t>
      </w:r>
      <w:r>
        <w:rPr>
          <w:rStyle w:val="HideTWBExt"/>
          <w:b w:val="0"/>
        </w:rPr>
        <w:t>&lt;Members&gt;</w:t>
      </w:r>
      <w:r>
        <w:t>Caterina Chinnici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29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29 a.</w:t>
            </w:r>
            <w:r>
              <w:tab/>
            </w:r>
            <w:r>
              <w:rPr>
                <w:b/>
                <w:i/>
              </w:rPr>
              <w:t>panee tyytyväisenä merkille, että tilintarkastustuomioistuin ylitti myös vuonna 2024 täydennyskoulutusta koskevan tavoitteen, joka on kansainvälisen tilintarkastajaliiton suositusten mukaisesti kielikoulutusta lukuun ottamatta viisi koulutuspäivää vuodessa tarkastajien osalta ja kaksi päivää muun henkilöstön osalta (5,8 ja 3,9 päivää);</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29</w:t>
      </w:r>
      <w:r>
        <w:rPr>
          <w:rStyle w:val="HideTWBExt"/>
        </w:rPr>
        <w:t>&lt;/NumAm&gt;</w:t>
      </w:r>
    </w:p>
    <w:p>
      <w:pPr>
        <w:pStyle w:val="NormalBold"/>
      </w:pPr>
      <w:r>
        <w:rPr>
          <w:rStyle w:val="HideTWBExt"/>
          <w:b w:val="0"/>
        </w:rPr>
        <w:t>&lt;RepeatBlock-By&gt;</w:t>
      </w:r>
      <w:r>
        <w:rPr>
          <w:rStyle w:val="HideTWBExt"/>
          <w:b w:val="0"/>
        </w:rPr>
        <w:t>&lt;Members&gt;</w:t>
      </w:r>
      <w:r>
        <w:t>Csaba Molnár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31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31.</w:t>
            </w:r>
            <w:r>
              <w:tab/>
            </w:r>
            <w:r>
              <w:rPr>
                <w:b/>
                <w:i/>
              </w:rPr>
              <w:t>toteaa</w:t>
            </w:r>
            <w:r>
              <w:t>, että vuonna 2024 raportoitiin 13 työuupumustapausta, mikä on enemmän kuin vuonna 2023, jolloin tapauksia oli seitsemän; pitää myönteisenä, että tilintarkastustuomioistuin toteutti useita toimia työuupumusriskin vähentämiseksi ottamalla käyttöön kattavan hyvinvointiohjelman, tarjoamalla resilienssikoulutusta, julkaisemalla ja panemalla täytäntöön suuntaviivat työhön paluulle pitkän sairauspoissaolon jälkeen, jatkamalla mielenterveyden ensiavun tarjoamista ja tarjoamalla työntekijöille taloudellista tukea, joka kattaa kymmenestä keskustelusta heidän itse valitsemansa psykologin kanssa aiheutuvat kustannukset; panee erityisesti merkille, että tilintarkastustuomioistuin järjesti vuonna 2024 johtajille neljä pakollista koulutustilaisuutta, joissa keskityttiin henkilöstön hyvinvointiin, suorituskykyyn, työ- ja yksityiselämän tasapainoon ja työuupumuksen ehkäisemiseen;</w:t>
            </w:r>
          </w:p>
        </w:tc>
        <w:tc>
          <w:tcPr>
            <w:tcW w:w="4876" w:type="dxa"/>
            <w:tcBorders>
              <w:top w:val="nil"/>
              <w:left w:val="nil"/>
              <w:bottom w:val="nil"/>
              <w:right w:val="nil"/>
            </w:tcBorders>
          </w:tcPr>
          <w:p>
            <w:pPr>
              <w:pStyle w:val="Normal6a"/>
            </w:pPr>
            <w:r>
              <w:t>31.</w:t>
            </w:r>
            <w:r>
              <w:tab/>
            </w:r>
            <w:r>
              <w:rPr>
                <w:b/>
                <w:i/>
              </w:rPr>
              <w:t>pitää erittäin huolestuttavana</w:t>
            </w:r>
            <w:r>
              <w:t>, että vuonna 2024 raportoitiin 13 työuupumustapausta, mikä on enemmän kuin vuonna 2023, jolloin tapauksia oli seitsemän</w:t>
            </w:r>
            <w:r>
              <w:rPr>
                <w:b/>
                <w:i/>
              </w:rPr>
              <w:t>;</w:t>
            </w:r>
            <w:r>
              <w:t xml:space="preserve"> </w:t>
            </w:r>
            <w:r>
              <w:rPr>
                <w:b/>
                <w:i/>
              </w:rPr>
              <w:t>kehottaa tilintarkastustuomioistuinta tekemään perusteellisen ja näyttöön perustuvan analyysin syistä, joiden vuoksi ilmoitettujen työuupumustapausten määrä kasvoi merkittävästi vuonna 2024</w:t>
            </w:r>
            <w:r>
              <w:t xml:space="preserve">; pitää myönteisenä, että tilintarkastustuomioistuin toteutti useita toimia työuupumusriskin vähentämiseksi ottamalla käyttöön kattavan hyvinvointiohjelman, tarjoamalla resilienssikoulutusta, julkaisemalla ja panemalla täytäntöön suuntaviivat työhön paluulle pitkän sairauspoissaolon jälkeen, jatkamalla mielenterveyden ensiavun tarjoamista ja tarjoamalla työntekijöille taloudellista tukea, joka kattaa kymmenestä keskustelusta heidän itse valitsemansa psykologin kanssa aiheutuvat kustannukset; panee erityisesti merkille, että tilintarkastustuomioistuin järjesti vuonna 2024 johtajille neljä pakollista koulutustilaisuutta, joissa keskityttiin henkilöstön hyvinvointiin, suorituskykyyn, työ- ja yksityiselämän tasapainoon ja työuupumuksen ehkäisemiseen; </w:t>
            </w:r>
            <w:r>
              <w:rPr>
                <w:b/>
                <w:i/>
              </w:rPr>
              <w:t>kehottaa tilintarkastustuomioistuinta tämän analyysin tulosten perusteella tarkistamaan ja mukauttamaan lähestymistapaansa vastaavasti, jotta voidaan tehokkaasti ehkäistä työuupumusta ja parantaa työympäristöä;</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30</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Verts/ALE-ryhmän puolesta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31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31.</w:t>
            </w:r>
            <w:r>
              <w:tab/>
            </w:r>
            <w:r>
              <w:t>toteaa, että vuonna 2024 raportoitiin 13 työuupumustapausta, mikä on enemmän kuin vuonna 2023, jolloin tapauksia oli seitsemän; pitää myönteisenä, että tilintarkastustuomioistuin toteutti useita toimia työuupumusriskin vähentämiseksi ottamalla käyttöön kattavan hyvinvointiohjelman, tarjoamalla resilienssikoulutusta, julkaisemalla ja panemalla täytäntöön suuntaviivat työhön paluulle pitkän sairauspoissaolon jälkeen, jatkamalla mielenterveyden ensiavun tarjoamista ja tarjoamalla työntekijöille taloudellista tukea, joka kattaa kymmenestä keskustelusta heidän itse valitsemansa psykologin kanssa aiheutuvat kustannukset; panee erityisesti merkille, että tilintarkastustuomioistuin järjesti vuonna 2024 johtajille neljä pakollista koulutustilaisuutta, joissa keskityttiin henkilöstön hyvinvointiin, suorituskykyyn, työ- ja yksityiselämän tasapainoon ja työuupumuksen ehkäisemiseen;</w:t>
            </w:r>
          </w:p>
        </w:tc>
        <w:tc>
          <w:tcPr>
            <w:tcW w:w="4876" w:type="dxa"/>
            <w:tcBorders>
              <w:top w:val="nil"/>
              <w:left w:val="nil"/>
              <w:bottom w:val="nil"/>
              <w:right w:val="nil"/>
            </w:tcBorders>
          </w:tcPr>
          <w:p>
            <w:pPr>
              <w:pStyle w:val="Normal6a"/>
            </w:pPr>
            <w:r>
              <w:t>31.</w:t>
            </w:r>
            <w:r>
              <w:tab/>
            </w:r>
            <w:r>
              <w:t>toteaa, että vuonna 2024 raportoitiin 13 työuupumustapausta, mikä on enemmän kuin vuonna 2023, jolloin tapauksia oli seitsemän</w:t>
            </w:r>
            <w:r>
              <w:rPr>
                <w:b/>
                <w:i/>
              </w:rPr>
              <w:t>;</w:t>
            </w:r>
            <w:r>
              <w:t xml:space="preserve"> </w:t>
            </w:r>
            <w:r>
              <w:rPr>
                <w:b/>
                <w:i/>
              </w:rPr>
              <w:t>panee huolestuneena merkille ilmoitettujen työuupumustapausten merkittävän lisääntymisen vuonna 2024;</w:t>
            </w:r>
            <w:r>
              <w:t xml:space="preserve"> </w:t>
            </w:r>
            <w:r>
              <w:rPr>
                <w:b/>
                <w:i/>
              </w:rPr>
              <w:t>kehottaa tilintarkastustuomioistuinta analysoimaan edelleen työmäärän jakautumista, organisatorisia tekijöitä ja rakenteellisia riskejä ja sisällyttämään havainnot henkilöstöresurssien suunnittelu- ja hallinnointikäytäntöihinsä</w:t>
            </w:r>
            <w:r>
              <w:t>; pitää myönteisenä, että tilintarkastustuomioistuin toteutti useita toimia työuupumusriskin vähentämiseksi ottamalla käyttöön kattavan hyvinvointiohjelman, tarjoamalla resilienssikoulutusta, julkaisemalla ja panemalla täytäntöön suuntaviivat työhön paluulle pitkän sairauspoissaolon jälkeen, jatkamalla mielenterveyden ensiavun tarjoamista ja tarjoamalla työntekijöille taloudellista tukea, joka kattaa kymmenestä keskustelusta heidän itse valitsemansa psykologin kanssa aiheutuvat kustannukset; panee erityisesti merkille, että tilintarkastustuomioistuin järjesti vuonna 2024 johtajille neljä pakollista koulutustilaisuutta, joissa keskityttiin henkilöstön hyvinvointiin, suorituskykyyn, työ- ja yksityiselämän tasapainoon ja työuupumuksen ehkäisemiseen;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31</w:t>
      </w:r>
      <w:r>
        <w:rPr>
          <w:rStyle w:val="HideTWBExt"/>
        </w:rPr>
        <w:t>&lt;/NumAm&gt;</w:t>
      </w:r>
    </w:p>
    <w:p>
      <w:pPr>
        <w:pStyle w:val="NormalBold"/>
      </w:pPr>
      <w:r>
        <w:rPr>
          <w:rStyle w:val="HideTWBExt"/>
          <w:b w:val="0"/>
        </w:rPr>
        <w:t>&lt;RepeatBlock-By&gt;</w:t>
      </w:r>
      <w:r>
        <w:rPr>
          <w:rStyle w:val="HideTWBExt"/>
          <w:b w:val="0"/>
        </w:rPr>
        <w:t>&lt;Members&gt;</w:t>
      </w:r>
      <w:r>
        <w:t>Arno Bausemer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33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33.</w:t>
            </w:r>
            <w:r>
              <w:tab/>
            </w:r>
            <w:r>
              <w:rPr>
                <w:b/>
                <w:i/>
              </w:rPr>
              <w:t>panee merkille, että kyselyn mukaan tilintarkastustuomioistuin toteutti vuonna 2024 monimuotoisuutta ja osallisuutta koskevan toimintasuunnitelmansa 2021–2025 mukaisesti monia toimia eri aloilla, joista esimerkkeinä ovat mm. rekrytointi, koulutus, urakehitys, työolot ja henkilöstön tietoisuuden lisääminen;</w:t>
            </w:r>
            <w:r>
              <w:t xml:space="preserve"> </w:t>
            </w:r>
            <w:r>
              <w:rPr>
                <w:b/>
                <w:i/>
              </w:rPr>
              <w:t>panee merkille, että tilintarkastustuomioistuin integroi monimuotoisuuden ja osallisuuden niin menettelyihin, joita se soveltaa työsuoritusten johtamiseen, arviointiin, sertifiointiin ja ylennyksiin liittyviin menettelyihin sekä koulutusohjelmiinsa ja että 13 johtajaa teki monimuotoisuutta ja osallisuutta koskevan vapaaehtoisen arvioinnin vuonna 2024;</w:t>
            </w:r>
            <w:r>
              <w:t xml:space="preserve"> </w:t>
            </w:r>
            <w:r>
              <w:rPr>
                <w:b/>
                <w:i/>
              </w:rPr>
              <w:t>panee tyytyväisenä merkille erityiskoulutuksen ”Women managers rise up: skilling for success”, jonka tilintarkastustuomioistuin järjesti kannustaakseen naisia johtotehtäviin;</w:t>
            </w:r>
            <w:r>
              <w:t xml:space="preserve"> </w:t>
            </w:r>
            <w:r>
              <w:rPr>
                <w:b/>
                <w:i/>
              </w:rPr>
              <w:t>panee lisäksi tyytyväisenä merkille tilintarkastustuomioistuimen uudet harjoittelijoita ja sopimussuhteisia toimihenkilöitä koskevat positiivisten erityistoimien ohjelmat, joiden kohderyhmänä ovat vammaiset henkilöt ja joiden puitteissa tarjotaan vuosittain harjoittelujakso kahdelle henkilölle, joilla on tunnustettu vamma;</w:t>
            </w:r>
            <w:r>
              <w:t xml:space="preserve"> </w:t>
            </w:r>
            <w:r>
              <w:rPr>
                <w:b/>
                <w:i/>
              </w:rPr>
              <w:t>panee tyytyväisenä merkille, että tilintarkastustuomioistuin järjesti vuonna 2024 neljännen tilintarkastustuomioistuimen vammaistietoisuuden teemaviikon, jonka aikana lanseerattiin uusi vammaisia koskeva etenemissuunnitelma, jossa tuodaan esiin tilintarkastustuomioistuimen pyrkimys olla entistä osallistavampi työpaikka;</w:t>
            </w:r>
            <w:r>
              <w:t xml:space="preserve"> </w:t>
            </w:r>
            <w:r>
              <w:rPr>
                <w:b/>
                <w:i/>
              </w:rPr>
              <w:t>panee tyytyväisenä merkille, että tilintarkastustuomioistuin julkaisee myös monimuotoisuutta ja osallisuutta koskevaan toimintasuunnitelmaansa liittyvät väliarvioinnit varmistaakseen avoimuuden ja sitoutumisen koko organisaatiossa;</w:t>
            </w:r>
          </w:p>
        </w:tc>
        <w:tc>
          <w:tcPr>
            <w:tcW w:w="4876" w:type="dxa"/>
            <w:tcBorders>
              <w:top w:val="nil"/>
              <w:left w:val="nil"/>
              <w:bottom w:val="nil"/>
              <w:right w:val="nil"/>
            </w:tcBorders>
          </w:tcPr>
          <w:p>
            <w:pPr>
              <w:pStyle w:val="Normal6a"/>
            </w:pPr>
            <w:r>
              <w:rPr>
                <w:b/>
                <w:i/>
              </w:rPr>
              <w:t>Poistetaan.</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32</w:t>
      </w:r>
      <w:r>
        <w:rPr>
          <w:rStyle w:val="HideTWBExt"/>
        </w:rPr>
        <w:t>&lt;/NumAm&gt;</w:t>
      </w:r>
    </w:p>
    <w:p>
      <w:pPr>
        <w:pStyle w:val="NormalBold"/>
      </w:pPr>
      <w:r>
        <w:rPr>
          <w:rStyle w:val="HideTWBExt"/>
          <w:b w:val="0"/>
        </w:rPr>
        <w:t>&lt;RepeatBlock-By&gt;</w:t>
      </w:r>
      <w:r>
        <w:rPr>
          <w:rStyle w:val="HideTWBExt"/>
          <w:b w:val="0"/>
        </w:rPr>
        <w:t>&lt;Members&gt;</w:t>
      </w:r>
      <w:r>
        <w:t>Olivier Chastel, Gilles Boyer, Vlad Vasile-Voiculescu, Michal Wiezik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35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35.</w:t>
            </w:r>
            <w:r>
              <w:tab/>
            </w:r>
            <w:r>
              <w:t xml:space="preserve">toistaa syvän huolensa siitä, että tilintarkastustuomioistuin on kieltäytynyt pidättämästä entisen presidenttinsä koskemattomuutta, ja siitä, että tilintarkastustuomioistuin on päätöksellään hylännyt Euroopan syyttäjänviraston (EPPO) pyynnön sallia useiden tilintarkastustuomioistuimen henkilöstön jäsenten todistavan meneillään olevassa rikostutkinnassa; panee seurantakertomuksesta merkille tilintarkastustuomioistuimen kannan, jonka mukaan se ei pidättänyt presidenttinsä koskemattomuutta, koska EPPO ei toimittanut tilintarkastustuomioistuimelle riittäviä tietoja, joiden perusteella se olisi voinut ymmärtää, mistä toimista asianomaisia henkilöitä syytetään ja missä määrin tällaiset toimet voivat olla rikollista toimintaa, ja viittaa oikeuskäytäntöön osana tilintarkastustuomioistuimen kannan tueksi sovellettavaa oikeudellista kehystä; panee merkille, että EPPO haki 10. helmikuuta 2025 Euroopan unionin tuomioistuimelta muutosta (asia T-99/25) SEUT-sopimuksen 263 artiklan 4 kohdan nojalla tilintarkastustuomioistuimen päätökseen hylätä EPPOn pyyntö sallia useiden tilintarkastustuomioistuimen henkilöstön jäsenten todistaa meneillään olevassa rikostutkinnassa; panee lisäksi merkille, että edellä mainitussa valituksessa ei kyseenalaistettu asianomaisten henkilöiden koskemattomuuden pidättämättä jättämistä; </w:t>
            </w:r>
            <w:r>
              <w:rPr>
                <w:b/>
                <w:i/>
              </w:rPr>
              <w:t>korostaa, että unionin toimielinten valtuudet evätä henkilöstönsä jäseniltä lupa tulla kuulluksi todistajana eivät sisällä mahdollisuutta ottaa kantaa niiden oikeudellisten menettelyjen perusteisiin, joissa henkilöstön jäsenten on määrä todistaa, ja että niihin voidaan vedota vain tilanteissa, joissa unionin edut, joiden on oltava unionille erittäin tärkeitä ja elintärkeitä, olisivat vaarassa;</w:t>
            </w:r>
            <w:r>
              <w:t xml:space="preserve"> kehottaa tilintarkastustuomioistuinta säilyttämään avoimuuden ja vastuuvelvollisuuden korkean tason EPPOn ja muiden petosten ja väärinkäytösten torjunnasta vastaavien unionin elinten kanssa tekemässään yhteistyössä;</w:t>
            </w:r>
          </w:p>
        </w:tc>
        <w:tc>
          <w:tcPr>
            <w:tcW w:w="4876" w:type="dxa"/>
            <w:tcBorders>
              <w:top w:val="nil"/>
              <w:left w:val="nil"/>
              <w:bottom w:val="nil"/>
              <w:right w:val="nil"/>
            </w:tcBorders>
          </w:tcPr>
          <w:p>
            <w:pPr>
              <w:pStyle w:val="Normal6a"/>
            </w:pPr>
            <w:r>
              <w:t>35.</w:t>
            </w:r>
            <w:r>
              <w:tab/>
            </w:r>
            <w:r>
              <w:t xml:space="preserve">toistaa syvän huolensa siitä, että tilintarkastustuomioistuin on kieltäytynyt pidättämästä entisen presidenttinsä koskemattomuutta, ja siitä, että tilintarkastustuomioistuin on päätöksellään hylännyt Euroopan syyttäjänviraston (EPPO) pyynnön sallia useiden tilintarkastustuomioistuimen henkilöstön jäsenten todistavan meneillään olevassa rikostutkinnassa; panee seurantakertomuksesta merkille tilintarkastustuomioistuimen kannan, jonka mukaan se ei pidättänyt presidenttinsä koskemattomuutta, koska EPPO ei toimittanut tilintarkastustuomioistuimelle riittäviä tietoja, joiden perusteella se olisi voinut ymmärtää, mistä toimista asianomaisia henkilöitä syytetään ja missä määrin tällaiset toimet voivat olla rikollista toimintaa, ja viittaa oikeuskäytäntöön osana tilintarkastustuomioistuimen kannan tueksi sovellettavaa oikeudellista kehystä; panee merkille, että EPPO haki 10. helmikuuta 2025 Euroopan unionin tuomioistuimelta muutosta (asia T-99/25) SEUT-sopimuksen 263 artiklan 4 kohdan nojalla tilintarkastustuomioistuimen päätökseen hylätä EPPOn pyyntö sallia useiden tilintarkastustuomioistuimen henkilöstön jäsenten todistaa meneillään olevassa rikostutkinnassa; panee lisäksi merkille, että edellä mainitussa valituksessa ei kyseenalaistettu asianomaisten henkilöiden koskemattomuuden pidättämättä jättämistä; kehottaa tilintarkastustuomioistuinta säilyttämään avoimuuden ja vastuuvelvollisuuden korkean tason EPPOn ja muiden petosten ja väärinkäytösten torjunnasta vastaavien unionin elinten kanssa tekemässään yhteistyössä; </w:t>
            </w:r>
            <w:r>
              <w:rPr>
                <w:b/>
                <w:i/>
              </w:rPr>
              <w:t>kehottaa tilintarkastustuomioistuinta selventämään kriteerejä, joita sovelletaan päätettäessä EPPOn pyynnöistä, ja varmistamaan, ettei synny käsitystä, että tällaiset päätökset olisivat oikeudellisen tutkinnan esteinä;</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33</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Verts/ALE-ryhmän puolesta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35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35.</w:t>
            </w:r>
            <w:r>
              <w:tab/>
            </w:r>
            <w:r>
              <w:t xml:space="preserve">toistaa syvän huolensa siitä, että tilintarkastustuomioistuin on kieltäytynyt pidättämästä entisen presidenttinsä koskemattomuutta, ja siitä, että tilintarkastustuomioistuin on päätöksellään hylännyt Euroopan syyttäjänviraston (EPPO) pyynnön sallia useiden tilintarkastustuomioistuimen henkilöstön jäsenten todistavan meneillään olevassa rikostutkinnassa; panee seurantakertomuksesta merkille tilintarkastustuomioistuimen kannan, jonka mukaan se ei pidättänyt presidenttinsä koskemattomuutta, koska EPPO ei toimittanut tilintarkastustuomioistuimelle riittäviä tietoja, joiden perusteella se olisi voinut ymmärtää, mistä toimista asianomaisia henkilöitä syytetään ja missä määrin tällaiset toimet voivat olla rikollista toimintaa, ja viittaa oikeuskäytäntöön osana tilintarkastustuomioistuimen kannan tueksi sovellettavaa oikeudellista kehystä; panee merkille, että EPPO haki 10. helmikuuta 2025 Euroopan unionin tuomioistuimelta muutosta (asia T-99/25) SEUT-sopimuksen 263 artiklan 4 kohdan nojalla tilintarkastustuomioistuimen päätökseen hylätä EPPOn pyyntö sallia useiden tilintarkastustuomioistuimen henkilöstön jäsenten todistaa meneillään olevassa rikostutkinnassa; panee lisäksi merkille, että edellä mainitussa valituksessa ei kyseenalaistettu asianomaisten henkilöiden koskemattomuuden pidättämättä jättämistä; korostaa, että unionin toimielinten valtuudet evätä henkilöstönsä jäseniltä lupa tulla kuulluksi todistajana eivät sisällä mahdollisuutta ottaa kantaa niiden oikeudellisten menettelyjen perusteisiin, joissa henkilöstön jäsenten on määrä todistaa, ja että niihin voidaan vedota vain tilanteissa, joissa unionin edut, joiden on oltava unionille erittäin tärkeitä ja elintärkeitä, olisivat vaarassa; </w:t>
            </w:r>
            <w:r>
              <w:rPr>
                <w:b/>
                <w:i/>
              </w:rPr>
              <w:t>kehottaa tilintarkastustuomioistuinta säilyttämään avoimuuden ja vastuuvelvollisuuden korkean tason EPPOn ja muiden petosten ja väärinkäytösten torjunnasta vastaavien</w:t>
            </w:r>
            <w:r>
              <w:t xml:space="preserve"> unionin </w:t>
            </w:r>
            <w:r>
              <w:rPr>
                <w:b/>
                <w:i/>
              </w:rPr>
              <w:t>elinten</w:t>
            </w:r>
            <w:r>
              <w:t xml:space="preserve"> kanssa </w:t>
            </w:r>
            <w:r>
              <w:rPr>
                <w:b/>
                <w:i/>
              </w:rPr>
              <w:t>tekemässään yhteistyössä</w:t>
            </w:r>
            <w:r>
              <w:t>;</w:t>
            </w:r>
          </w:p>
        </w:tc>
        <w:tc>
          <w:tcPr>
            <w:tcW w:w="4876" w:type="dxa"/>
            <w:tcBorders>
              <w:top w:val="nil"/>
              <w:left w:val="nil"/>
              <w:bottom w:val="nil"/>
              <w:right w:val="nil"/>
            </w:tcBorders>
          </w:tcPr>
          <w:p>
            <w:pPr>
              <w:pStyle w:val="Normal6a"/>
            </w:pPr>
            <w:r>
              <w:t>35.</w:t>
            </w:r>
            <w:r>
              <w:tab/>
            </w:r>
            <w:r>
              <w:t xml:space="preserve">toistaa syvän huolensa siitä, että tilintarkastustuomioistuin on kieltäytynyt pidättämästä entisen presidenttinsä koskemattomuutta, ja siitä, että tilintarkastustuomioistuin on päätöksellään hylännyt Euroopan syyttäjänviraston (EPPO) pyynnön sallia useiden tilintarkastustuomioistuimen henkilöstön jäsenten todistavan meneillään olevassa rikostutkinnassa; panee seurantakertomuksesta merkille tilintarkastustuomioistuimen kannan, jonka mukaan se ei pidättänyt presidenttinsä koskemattomuutta, koska EPPO ei toimittanut tilintarkastustuomioistuimelle riittäviä tietoja, joiden perusteella se olisi voinut ymmärtää, mistä toimista asianomaisia henkilöitä syytetään ja missä määrin tällaiset toimet voivat olla rikollista toimintaa, ja viittaa oikeuskäytäntöön osana tilintarkastustuomioistuimen kannan tueksi sovellettavaa oikeudellista kehystä; panee merkille, että EPPO haki 10. helmikuuta 2025 Euroopan unionin tuomioistuimelta muutosta (asia T-99/25) SEUT-sopimuksen 263 artiklan 4 kohdan nojalla tilintarkastustuomioistuimen päätökseen hylätä EPPOn pyyntö sallia useiden tilintarkastustuomioistuimen henkilöstön jäsenten todistaa meneillään olevassa rikostutkinnassa; panee lisäksi merkille, että edellä mainitussa valituksessa ei kyseenalaistettu asianomaisten henkilöiden koskemattomuuden pidättämättä jättämistä; korostaa, että unionin toimielinten valtuudet evätä henkilöstönsä jäseniltä lupa tulla kuulluksi todistajana eivät sisällä mahdollisuutta ottaa kantaa niiden oikeudellisten menettelyjen perusteisiin, joissa henkilöstön jäsenten on määrä todistaa, ja että niihin voidaan vedota vain tilanteissa, joissa unionin edut, joiden on oltava unionille erittäin tärkeitä ja elintärkeitä, olisivat vaarassa; </w:t>
            </w:r>
            <w:r>
              <w:rPr>
                <w:b/>
                <w:i/>
              </w:rPr>
              <w:t>korostaa, että</w:t>
            </w:r>
            <w:r>
              <w:t xml:space="preserve"> unionin </w:t>
            </w:r>
            <w:r>
              <w:rPr>
                <w:b/>
                <w:i/>
              </w:rPr>
              <w:t>toimielinten vilpittömän yhteistyön velvoite edellyttää, että lupa kuulla henkilöstöä todistajina rikostutkinnassa evätään ainoastaan täysin poikkeuksellisissa olosuhteissa;</w:t>
            </w:r>
            <w:r>
              <w:t xml:space="preserve"> </w:t>
            </w:r>
            <w:r>
              <w:rPr>
                <w:b/>
                <w:i/>
              </w:rPr>
              <w:t>muistuttaa, että tällaiset päätökset eivät saa haitata rikosoikeudellisten menettelyjen perusteiden arviointia;</w:t>
            </w:r>
            <w:r>
              <w:t xml:space="preserve"> </w:t>
            </w:r>
            <w:r>
              <w:rPr>
                <w:b/>
                <w:i/>
              </w:rPr>
              <w:t>toistaa odottavansa, että tilintarkastustuomioistuin varmistaa täysipainoisen, oikea-aikaisen ja vilpittömän yhteistyön Euroopan syyttäjänviraston</w:t>
            </w:r>
            <w:r>
              <w:t xml:space="preserve"> kanssa </w:t>
            </w:r>
            <w:r>
              <w:rPr>
                <w:b/>
                <w:i/>
              </w:rPr>
              <w:t>ja tiedottaa vastuuvapauden myöntävälle viranomaiselle asianmukaisesti kaikesta asiaan liittyvästä kehityksestä</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34</w:t>
      </w:r>
      <w:r>
        <w:rPr>
          <w:rStyle w:val="HideTWBExt"/>
        </w:rPr>
        <w:t>&lt;/NumAm&gt;</w:t>
      </w:r>
    </w:p>
    <w:p>
      <w:pPr>
        <w:pStyle w:val="NormalBold"/>
      </w:pPr>
      <w:r>
        <w:rPr>
          <w:rStyle w:val="HideTWBExt"/>
          <w:b w:val="0"/>
        </w:rPr>
        <w:t>&lt;RepeatBlock-By&gt;</w:t>
      </w:r>
      <w:r>
        <w:rPr>
          <w:rStyle w:val="HideTWBExt"/>
          <w:b w:val="0"/>
        </w:rPr>
        <w:t>&lt;Members&gt;</w:t>
      </w:r>
      <w:r>
        <w:t>Csaba Molnár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35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35.</w:t>
            </w:r>
            <w:r>
              <w:tab/>
            </w:r>
            <w:r>
              <w:t>toistaa syvän huolensa siitä, että tilintarkastustuomioistuin on kieltäytynyt pidättämästä entisen presidenttinsä koskemattomuutta, ja siitä, että tilintarkastustuomioistuin on päätöksellään hylännyt Euroopan syyttäjänviraston (EPPO) pyynnön sallia useiden tilintarkastustuomioistuimen henkilöstön jäsenten todistavan meneillään olevassa rikostutkinnassa; panee seurantakertomuksesta merkille tilintarkastustuomioistuimen kannan, jonka mukaan se ei pidättänyt presidenttinsä koskemattomuutta, koska EPPO ei toimittanut tilintarkastustuomioistuimelle riittäviä tietoja, joiden perusteella se olisi voinut ymmärtää, mistä toimista asianomaisia henkilöitä syytetään ja missä määrin tällaiset toimet voivat olla rikollista toimintaa, ja viittaa oikeuskäytäntöön osana tilintarkastustuomioistuimen kannan tueksi sovellettavaa oikeudellista kehystä; panee merkille, että EPPO haki 10. helmikuuta 2025 Euroopan unionin tuomioistuimelta muutosta (asia T-99/25) SEUT-sopimuksen 263 artiklan 4 kohdan nojalla tilintarkastustuomioistuimen päätökseen hylätä EPPOn pyyntö sallia useiden tilintarkastustuomioistuimen henkilöstön jäsenten todistaa meneillään olevassa rikostutkinnassa; panee lisäksi merkille, että edellä mainitussa valituksessa ei kyseenalaistettu asianomaisten henkilöiden koskemattomuuden pidättämättä jättämistä; korostaa, että unionin toimielinten valtuudet evätä henkilöstönsä jäseniltä lupa tulla kuulluksi todistajana eivät sisällä mahdollisuutta ottaa kantaa niiden oikeudellisten menettelyjen perusteisiin, joissa henkilöstön jäsenten on määrä todistaa, ja että niihin voidaan vedota vain tilanteissa, joissa unionin edut, joiden on oltava unionille erittäin tärkeitä ja elintärkeitä, olisivat vaarassa; kehottaa tilintarkastustuomioistuinta säilyttämään avoimuuden ja vastuuvelvollisuuden korkean tason EPPOn ja muiden petosten ja väärinkäytösten torjunnasta vastaavien unionin elinten kanssa tekemässään yhteistyössä;</w:t>
            </w:r>
          </w:p>
        </w:tc>
        <w:tc>
          <w:tcPr>
            <w:tcW w:w="4876" w:type="dxa"/>
            <w:tcBorders>
              <w:top w:val="nil"/>
              <w:left w:val="nil"/>
              <w:bottom w:val="nil"/>
              <w:right w:val="nil"/>
            </w:tcBorders>
          </w:tcPr>
          <w:p>
            <w:pPr>
              <w:pStyle w:val="Normal6a"/>
            </w:pPr>
            <w:r>
              <w:t>35.</w:t>
            </w:r>
            <w:r>
              <w:tab/>
            </w:r>
            <w:r>
              <w:t xml:space="preserve">toistaa syvän huolensa siitä, että tilintarkastustuomioistuin on kieltäytynyt pidättämästä entisen presidenttinsä koskemattomuutta, ja siitä, että tilintarkastustuomioistuin on päätöksellään hylännyt Euroopan syyttäjänviraston (EPPO) pyynnön sallia useiden tilintarkastustuomioistuimen henkilöstön jäsenten todistavan meneillään olevassa rikostutkinnassa; panee seurantakertomuksesta merkille tilintarkastustuomioistuimen kannan, jonka mukaan se ei pidättänyt presidenttinsä koskemattomuutta, koska EPPO ei toimittanut tilintarkastustuomioistuimelle riittäviä tietoja, joiden perusteella se olisi voinut ymmärtää, mistä toimista asianomaisia henkilöitä syytetään ja missä määrin tällaiset toimet voivat olla rikollista toimintaa, ja viittaa oikeuskäytäntöön osana tilintarkastustuomioistuimen kannan tueksi sovellettavaa oikeudellista kehystä; panee merkille, että EPPO haki 10. helmikuuta 2025 Euroopan unionin tuomioistuimelta muutosta (asia T-99/25) SEUT-sopimuksen 263 artiklan 4 kohdan nojalla tilintarkastustuomioistuimen päätökseen hylätä EPPOn pyyntö sallia useiden tilintarkastustuomioistuimen henkilöstön jäsenten todistaa meneillään olevassa rikostutkinnassa; panee lisäksi merkille, että edellä mainitussa valituksessa ei kyseenalaistettu asianomaisten henkilöiden koskemattomuuden pidättämättä jättämistä; korostaa, että unionin toimielinten valtuudet evätä henkilöstönsä jäseniltä lupa tulla kuulluksi todistajana eivät sisällä mahdollisuutta ottaa kantaa niiden oikeudellisten menettelyjen perusteisiin, joissa henkilöstön jäsenten on määrä todistaa, ja että niihin voidaan vedota vain tilanteissa, joissa unionin edut, joiden on oltava unionille erittäin tärkeitä ja elintärkeitä, olisivat vaarassa; kehottaa tilintarkastustuomioistuinta säilyttämään avoimuuden ja vastuuvelvollisuuden korkean tason EPPOn ja muiden petosten ja väärinkäytösten torjunnasta vastaavien unionin elinten kanssa tekemässään yhteistyössä </w:t>
            </w:r>
            <w:r>
              <w:rPr>
                <w:b/>
                <w:i/>
              </w:rPr>
              <w:t>ja varmistamaan, että koskemattomuuteen ei vedota laillisten oikeudenkäyntien estämiseksi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35</w:t>
      </w:r>
      <w:r>
        <w:rPr>
          <w:rStyle w:val="HideTWBExt"/>
        </w:rPr>
        <w:t>&lt;/NumAm&gt;</w:t>
      </w:r>
    </w:p>
    <w:p>
      <w:pPr>
        <w:pStyle w:val="NormalBold"/>
      </w:pPr>
      <w:r>
        <w:rPr>
          <w:rStyle w:val="HideTWBExt"/>
          <w:b w:val="0"/>
        </w:rPr>
        <w:t>&lt;RepeatBlock-By&gt;</w:t>
      </w:r>
      <w:r>
        <w:rPr>
          <w:rStyle w:val="HideTWBExt"/>
          <w:b w:val="0"/>
        </w:rPr>
        <w:t>&lt;Members&gt;</w:t>
      </w:r>
      <w:r>
        <w:t>Caterina Chinnici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35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35.</w:t>
            </w:r>
            <w:r>
              <w:tab/>
            </w:r>
            <w:r>
              <w:rPr>
                <w:b/>
                <w:i/>
              </w:rPr>
              <w:t>toistaa syvän huolensa siitä</w:t>
            </w:r>
            <w:r>
              <w:t>, että tilintarkastustuomioistuin on kieltäytynyt pidättämästä entisen presidenttinsä koskemattomuutta, ja siitä, että tilintarkastustuomioistuin on päätöksellään hylännyt Euroopan syyttäjänviraston (EPPO) pyynnön sallia useiden tilintarkastustuomioistuimen henkilöstön jäsenten todistavan meneillään olevassa rikostutkinnassa; panee seurantakertomuksesta merkille tilintarkastustuomioistuimen kannan, jonka mukaan se ei pidättänyt presidenttinsä koskemattomuutta, koska EPPO ei toimittanut tilintarkastustuomioistuimelle riittäviä tietoja, joiden perusteella se olisi voinut ymmärtää, mistä toimista asianomaisia henkilöitä syytetään ja missä määrin tällaiset toimet voivat olla rikollista toimintaa, ja viittaa oikeuskäytäntöön osana tilintarkastustuomioistuimen kannan tueksi sovellettavaa oikeudellista kehystä; panee merkille, että EPPO haki 10. helmikuuta 2025 Euroopan unionin tuomioistuimelta muutosta (asia T-99/25) SEUT-sopimuksen 263 artiklan 4 kohdan nojalla tilintarkastustuomioistuimen päätökseen hylätä EPPOn pyyntö sallia useiden tilintarkastustuomioistuimen henkilöstön jäsenten todistaa meneillään olevassa rikostutkinnassa; panee lisäksi merkille, että edellä mainitussa valituksessa ei kyseenalaistettu asianomaisten henkilöiden koskemattomuuden pidättämättä jättämistä; korostaa, että unionin toimielinten valtuudet evätä henkilöstönsä jäseniltä lupa tulla kuulluksi todistajana eivät sisällä mahdollisuutta ottaa kantaa niiden oikeudellisten menettelyjen perusteisiin, joissa henkilöstön jäsenten on määrä todistaa, ja että niihin voidaan vedota vain tilanteissa, joissa unionin edut, joiden on oltava unionille erittäin tärkeitä ja elintärkeitä, olisivat vaarassa; kehottaa tilintarkastustuomioistuinta säilyttämään avoimuuden ja vastuuvelvollisuuden korkean tason EPPOn ja muiden petosten ja väärinkäytösten torjunnasta vastaavien unionin elinten kanssa tekemässään yhteistyössä;</w:t>
            </w:r>
          </w:p>
        </w:tc>
        <w:tc>
          <w:tcPr>
            <w:tcW w:w="4876" w:type="dxa"/>
            <w:tcBorders>
              <w:top w:val="nil"/>
              <w:left w:val="nil"/>
              <w:bottom w:val="nil"/>
              <w:right w:val="nil"/>
            </w:tcBorders>
          </w:tcPr>
          <w:p>
            <w:pPr>
              <w:pStyle w:val="Normal6a"/>
            </w:pPr>
            <w:r>
              <w:t>35.</w:t>
            </w:r>
            <w:r>
              <w:tab/>
            </w:r>
            <w:r>
              <w:rPr>
                <w:b/>
                <w:i/>
              </w:rPr>
              <w:t>panee merkille</w:t>
            </w:r>
            <w:r>
              <w:t>, että tilintarkastustuomioistuin on kieltäytynyt pidättämästä entisen presidenttinsä koskemattomuutta, ja siitä, että tilintarkastustuomioistuin on päätöksellään hylännyt Euroopan syyttäjänviraston (EPPO) pyynnön sallia useiden tilintarkastustuomioistuimen henkilöstön jäsenten todistavan meneillään olevassa rikostutkinnassa; panee seurantakertomuksesta merkille tilintarkastustuomioistuimen kannan, jonka mukaan se ei pidättänyt presidenttinsä koskemattomuutta, koska EPPO ei toimittanut tilintarkastustuomioistuimelle riittäviä tietoja, joiden perusteella se olisi voinut ymmärtää, mistä toimista asianomaisia henkilöitä syytetään ja missä määrin tällaiset toimet voivat olla rikollista toimintaa, ja viittaa oikeuskäytäntöön osana tilintarkastustuomioistuimen kannan tueksi sovellettavaa oikeudellista kehystä; panee merkille, että EPPO haki 10. helmikuuta 2025 Euroopan unionin tuomioistuimelta muutosta (asia T-99/25) SEUT-sopimuksen 263 artiklan 4 kohdan nojalla tilintarkastustuomioistuimen päätökseen hylätä EPPOn pyyntö sallia useiden tilintarkastustuomioistuimen henkilöstön jäsenten todistaa meneillään olevassa rikostutkinnassa; panee lisäksi merkille, että edellä mainitussa valituksessa ei kyseenalaistettu asianomaisten henkilöiden koskemattomuuden pidättämättä jättämistä; korostaa, että unionin toimielinten valtuudet evätä henkilöstönsä jäseniltä lupa tulla kuulluksi todistajana eivät sisällä mahdollisuutta ottaa kantaa niiden oikeudellisten menettelyjen perusteisiin, joissa henkilöstön jäsenten on määrä todistaa, ja että niihin voidaan vedota vain tilanteissa, joissa unionin edut, joiden on oltava unionille erittäin tärkeitä ja elintärkeitä, olisivat vaarassa; kehottaa tilintarkastustuomioistuinta säilyttämään avoimuuden ja vastuuvelvollisuuden korkean tason EPPOn ja muiden petosten ja väärinkäytösten torjunnasta vastaavien unionin elinten kanssa tekemässään yhteistyössä;</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36</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Verts/ALE-ryhmän puolesta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35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35 a.</w:t>
            </w:r>
            <w:r>
              <w:tab/>
            </w:r>
            <w:r>
              <w:rPr>
                <w:b/>
                <w:i/>
              </w:rPr>
              <w:t>kehottaa tilintarkastustuomioistuinta tapauksissa, joihin liittyy sen jäsenten koskemattomuuden pidättämistä koskevia päätöksiä, antamaan parlamentille riittävän yksityiskohtaiset, ei-luottamukselliset perustelut merkityksellisen demokraattisen valvonnan mahdollistamiseksi kunnioittaen samalla kaikilta osin oikeudenkäyntejä ja asianomaisten henkilöiden oikeuksia;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37</w:t>
      </w:r>
      <w:r>
        <w:rPr>
          <w:rStyle w:val="HideTWBExt"/>
        </w:rPr>
        <w:t>&lt;/NumAm&gt;</w:t>
      </w:r>
    </w:p>
    <w:p>
      <w:pPr>
        <w:pStyle w:val="NormalBold"/>
      </w:pPr>
      <w:r>
        <w:rPr>
          <w:rStyle w:val="HideTWBExt"/>
          <w:b w:val="0"/>
        </w:rPr>
        <w:t>&lt;RepeatBlock-By&gt;</w:t>
      </w:r>
      <w:r>
        <w:rPr>
          <w:rStyle w:val="HideTWBExt"/>
          <w:b w:val="0"/>
        </w:rPr>
        <w:t>&lt;Members&gt;</w:t>
      </w:r>
      <w:r>
        <w:t>Csaba Molnár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42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42.</w:t>
            </w:r>
            <w:r>
              <w:tab/>
            </w:r>
            <w:r>
              <w:t>muistuttaa, että tilintarkastustuomioistuimen sisäisen tarkastuksen toimiala (IAS) on tarkastanut tilintarkastustuomioistuimen henkilöstöön ja jäseniin sovellettavat eettiset toimintapuitteet; panee merkille, että tilintarkastustuomioistuimen parlamentin puhemiehelle 9. heinäkuuta 2024 lähettämän lopullisen kertomuksen (02/2023) ja kyselyn mukaan sisäisessä tarkastuksessa annettiin 16 suositusta, joista 15 on jo käsitelty ja joista yksi, joka koskee henkilöstön eturistiriitoja, on vielä käsiteltävänä;</w:t>
            </w:r>
          </w:p>
        </w:tc>
        <w:tc>
          <w:tcPr>
            <w:tcW w:w="4876" w:type="dxa"/>
            <w:tcBorders>
              <w:top w:val="nil"/>
              <w:left w:val="nil"/>
              <w:bottom w:val="nil"/>
              <w:right w:val="nil"/>
            </w:tcBorders>
          </w:tcPr>
          <w:p>
            <w:pPr>
              <w:pStyle w:val="Normal6a"/>
            </w:pPr>
            <w:r>
              <w:t>42.</w:t>
            </w:r>
            <w:r>
              <w:tab/>
            </w:r>
            <w:r>
              <w:t xml:space="preserve">muistuttaa, että tilintarkastustuomioistuimen sisäisen tarkastuksen toimiala (IAS) on tarkastanut tilintarkastustuomioistuimen henkilöstöön ja jäseniin sovellettavat eettiset toimintapuitteet; panee merkille, että tilintarkastustuomioistuimen parlamentin puhemiehelle 9. heinäkuuta 2024 lähettämän lopullisen kertomuksen (02/2023) ja kyselyn mukaan sisäisessä tarkastuksessa annettiin 16 suositusta, joista 15 on jo käsitelty ja joista yksi, joka koskee henkilöstön eturistiriitoja, on vielä käsiteltävänä; </w:t>
            </w:r>
            <w:r>
              <w:rPr>
                <w:b/>
                <w:i/>
              </w:rPr>
              <w:t>kehottaa tilintarkastustuomioistuinta saattamaan jäljellä olevan suosituksen käsittelyn viipymättä päätökseen ja kehottaa sitä tiedottamaan vastuuvapauden myöntävälle viranomaiselle asianmukaisesti tässä asiassa saavutetusta edistyksestä;</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38</w:t>
      </w:r>
      <w:r>
        <w:rPr>
          <w:rStyle w:val="HideTWBExt"/>
        </w:rPr>
        <w:t>&lt;/NumAm&gt;</w:t>
      </w:r>
    </w:p>
    <w:p>
      <w:pPr>
        <w:pStyle w:val="NormalBold"/>
      </w:pPr>
      <w:r>
        <w:rPr>
          <w:rStyle w:val="HideTWBExt"/>
          <w:b w:val="0"/>
        </w:rPr>
        <w:t>&lt;RepeatBlock-By&gt;</w:t>
      </w:r>
      <w:r>
        <w:rPr>
          <w:rStyle w:val="HideTWBExt"/>
          <w:b w:val="0"/>
        </w:rPr>
        <w:t>&lt;Members&gt;</w:t>
      </w:r>
      <w:r>
        <w:t>Caterina Chinnici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43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43.</w:t>
            </w:r>
            <w:r>
              <w:tab/>
            </w:r>
            <w:r>
              <w:t xml:space="preserve">panee merkille, että tilintarkastustuomioistuimen vuosikertomuksen mukaan vuonna 2024 ei havaittu yhtään korruptio- tai petostapausta tilintarkastustuomioistuimen sisäisissä toimissa; arvostaa sitä, että tilintarkastustuomioistuin järjesti ennaltaehkäisevää koulutusta korruptiontorjuntapolitiikoista ja -menettelyistä ja että vuonna 2024 järjestettiin kymmenen koulutustilaisuutta, joihin osallistui yhteensä 257 henkilöä; arvostaa sitä, että seurantakertomuksen mukaan tilintarkastustuomioistuin julkaisi vuonna 2024 yhden konsolidoidun asiakirjan </w:t>
            </w:r>
            <w:r>
              <w:rPr>
                <w:b/>
                <w:i/>
              </w:rPr>
              <w:t>petostentorjunnasta tarkastustoimintansa</w:t>
            </w:r>
            <w:r>
              <w:t xml:space="preserve"> yhteydessä ja yhdenmukaisti siten tapaa, jolla tilintarkastustuomioistuimen tarkastusjaostot käsittelevät ulkoisen tarkastustyön aikana </w:t>
            </w:r>
            <w:r>
              <w:rPr>
                <w:b/>
                <w:i/>
              </w:rPr>
              <w:t>esiin tulleita petoksiin liittyviä asioita</w:t>
            </w:r>
            <w:r>
              <w:t>; panee merkille, että tilintarkastustuomioistuimen sisäisiin toimiin liittyvää petosriskiä hallitaan tilintarkastustuomioistuimen sisäisen valvonnan kehyksellä, jonka tarkoituksena on ehkäistä, havaita, korjata ja seurata tilintarkastustuomioistuimen jäseniin tai henkilöstöön liittyviä sääntöjenvastaisuuksia, jotka voivat vaikuttaa unionin taloudellisiin etuihin; panee lisäksi merkille tilintarkastustuomioistuimen näkemyksen, jonka mukaan erillisen petostentorjuntastrategian suunnittelu sisäisiä toimia varten ”aiheuttaisi kohtuutonta hallinnollista rasitetta, kun otetaan huomioon jo käytössä olevat laajat tarkastukset”, mutta pyytää edelleen tilintarkastustuomioistuinta hyväksymään petostentorjuntastrategian, joka kattaa kaikentyyppiset toimet;</w:t>
            </w:r>
          </w:p>
        </w:tc>
        <w:tc>
          <w:tcPr>
            <w:tcW w:w="4876" w:type="dxa"/>
            <w:tcBorders>
              <w:top w:val="nil"/>
              <w:left w:val="nil"/>
              <w:bottom w:val="nil"/>
              <w:right w:val="nil"/>
            </w:tcBorders>
          </w:tcPr>
          <w:p>
            <w:pPr>
              <w:pStyle w:val="Normal6a"/>
            </w:pPr>
            <w:r>
              <w:t>43.</w:t>
            </w:r>
            <w:r>
              <w:tab/>
            </w:r>
            <w:r>
              <w:t>panee merkille, että tilintarkastustuomioistuimen vuosikertomuksen mukaan vuonna 2024 ei havaittu yhtään korruptio- tai petostapausta tilintarkastustuomioistuimen sisäisissä toimissa; arvostaa sitä, että tilintarkastustuomioistuin järjesti ennaltaehkäisevää koulutusta korruptiontorjuntapolitiikoista ja -menettelyistä ja että vuonna 2024 järjestettiin kymmenen koulutustilaisuutta, joihin osallistui yhteensä 257 henkilöä; arvostaa sitä, että seurantakertomuksen mukaan tilintarkastustuomioistuin julkaisi vuonna 2024 yhden konsolidoidun asiakirjan</w:t>
            </w:r>
            <w:r>
              <w:rPr>
                <w:b/>
                <w:i/>
              </w:rPr>
              <w:t>, jossa käsitellään petoksiin liittyviä kysymyksiä sen tarkastustoiminnan</w:t>
            </w:r>
            <w:r>
              <w:t xml:space="preserve"> yhteydessä </w:t>
            </w:r>
            <w:r>
              <w:rPr>
                <w:b/>
                <w:i/>
              </w:rPr>
              <w:t>ja annetaan kattavia ja yksityiskohtaisia ohjeita tilintarkastustuomioistuimen tarkastajille,</w:t>
            </w:r>
            <w:r>
              <w:t xml:space="preserve"> ja yhdenmukaisti siten tapaa, jolla tilintarkastustuomioistuimen tarkastusjaostot käsittelevät ulkoisen tarkastustyön aikana </w:t>
            </w:r>
            <w:r>
              <w:rPr>
                <w:b/>
                <w:i/>
              </w:rPr>
              <w:t>paljastuneita petos- tai korruptioepäilyjä tai epäilyjä muusta laittomasta toiminnasta, joka vaikuttaa unionin taloudellisiin etuihin, ja että näin edistetään johdonmukaisuuden varmistamista</w:t>
            </w:r>
            <w:r>
              <w:t>; panee merkille, että tilintarkastustuomioistuimen sisäisiin toimiin liittyvää petosriskiä hallitaan tilintarkastustuomioistuimen sisäisen valvonnan kehyksellä, jonka tarkoituksena on ehkäistä, havaita, korjata ja seurata tilintarkastustuomioistuimen jäseniin tai henkilöstöön liittyviä sääntöjenvastaisuuksia, jotka voivat vaikuttaa unionin taloudellisiin etuihin; panee lisäksi merkille tilintarkastustuomioistuimen näkemyksen, jonka mukaan erillisen petostentorjuntastrategian suunnittelu sisäisiä toimia varten ”aiheuttaisi kohtuutonta hallinnollista rasitetta, kun otetaan huomioon jo käytössä olevat laajat tarkastukset”, mutta pyytää edelleen tilintarkastustuomioistuinta hyväksymään petostentorjuntastrategian, joka kattaa kaikentyyppiset toimet;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39</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Verts/ALE-ryhmän puolesta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44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44.</w:t>
            </w:r>
            <w:r>
              <w:tab/>
            </w:r>
            <w:r>
              <w:t xml:space="preserve">panee merkille seurantakertomuksessa esitetyn tilintarkastustuomioistuimen näkemyksen, jonka mukaan se ei riippumattomana ulkoisena tarkastuselimenä toimiessaan kuulu tyypillisesti yhteisöihin, jotka pyrkivät olemaan vuorovaikutuksessa unionin päätöksentekoelinten kanssa ja ajamaan niiden etuja; katsoo, että tämä väite ei päde kaikilta osin, koska tilintarkastustuomioistuin antaa erityiskertomuksia, joissa se tutkii, onko unionin politiikkojen ja ohjelmien tavoitteet saavutettu, mikä antaa tilintarkastustuomioistuimen työlle joko poliittisen tai neuvoa-antavan ulottuvuuden, vaikka tilintarkastustuomioistuin ei olisikaan päätöksentekoelin; muistuttaa lisäksi, että unionin avoimuusrekisteriin on virallisesti liittynyt muita unionin elimiä, jotka eivät ole päätöksentekoelimiä tai neuvoa-antavia elimiä; toistaa </w:t>
            </w:r>
            <w:r>
              <w:rPr>
                <w:b/>
                <w:i/>
              </w:rPr>
              <w:t>kehottavansa tilintarkastustuomioistuinta liittymään</w:t>
            </w:r>
            <w:r>
              <w:t xml:space="preserve"> avoimuusrekisteriin</w:t>
            </w:r>
            <w:r>
              <w:rPr>
                <w:b/>
                <w:i/>
              </w:rPr>
              <w:t>, mikä mahdollistaisi avoimuuden perusperiaatteiden noudattamisen synnyttämättä esteitä</w:t>
            </w:r>
            <w:r>
              <w:t xml:space="preserve"> tilintarkastustuomioistuimen </w:t>
            </w:r>
            <w:r>
              <w:rPr>
                <w:b/>
                <w:i/>
              </w:rPr>
              <w:t>täydelle riippumattomuudelle</w:t>
            </w:r>
            <w:r>
              <w:t>;</w:t>
            </w:r>
          </w:p>
        </w:tc>
        <w:tc>
          <w:tcPr>
            <w:tcW w:w="4876" w:type="dxa"/>
            <w:tcBorders>
              <w:top w:val="nil"/>
              <w:left w:val="nil"/>
              <w:bottom w:val="nil"/>
              <w:right w:val="nil"/>
            </w:tcBorders>
          </w:tcPr>
          <w:p>
            <w:pPr>
              <w:pStyle w:val="Normal6a"/>
            </w:pPr>
            <w:r>
              <w:t>44.</w:t>
            </w:r>
            <w:r>
              <w:tab/>
            </w:r>
            <w:r>
              <w:t xml:space="preserve">panee merkille seurantakertomuksessa esitetyn tilintarkastustuomioistuimen näkemyksen, jonka mukaan se ei riippumattomana ulkoisena tarkastuselimenä toimiessaan kuulu tyypillisesti yhteisöihin, jotka pyrkivät olemaan vuorovaikutuksessa unionin päätöksentekoelinten kanssa ja ajamaan niiden etuja; katsoo, että tämä väite ei päde kaikilta osin, koska tilintarkastustuomioistuin antaa erityiskertomuksia, joissa se tutkii, onko unionin politiikkojen ja ohjelmien tavoitteet saavutettu, mikä antaa tilintarkastustuomioistuimen työlle joko poliittisen tai neuvoa-antavan ulottuvuuden, vaikka tilintarkastustuomioistuin ei olisikaan päätöksentekoelin; muistuttaa lisäksi, että unionin avoimuusrekisteriin on virallisesti liittynyt muita unionin elimiä, jotka eivät ole päätöksentekoelimiä tai neuvoa-antavia elimiä; toistaa </w:t>
            </w:r>
            <w:r>
              <w:rPr>
                <w:b/>
                <w:i/>
              </w:rPr>
              <w:t>tilintarkastustuomioistuimelle esittämänsä kehotuksen liittyä viipymättä</w:t>
            </w:r>
            <w:r>
              <w:t xml:space="preserve"> avoimuusrekisteriin </w:t>
            </w:r>
            <w:r>
              <w:rPr>
                <w:b/>
                <w:i/>
              </w:rPr>
              <w:t>noudattaen muiden sellaisten unionin elinten käytäntöjä, jotka eivät ole päätöksentekoelimiä, jotta voidaan vahvistaa kansalaisten luottamusta ja säilyttää samalla</w:t>
            </w:r>
            <w:r>
              <w:t xml:space="preserve"> tilintarkastustuomioistuimen </w:t>
            </w:r>
            <w:r>
              <w:rPr>
                <w:b/>
                <w:i/>
              </w:rPr>
              <w:t>riippumattomuus unionin ulkoisena tarkastajana kaikilta osin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40</w:t>
      </w:r>
      <w:r>
        <w:rPr>
          <w:rStyle w:val="HideTWBExt"/>
        </w:rPr>
        <w:t>&lt;/NumAm&gt;</w:t>
      </w:r>
    </w:p>
    <w:p>
      <w:pPr>
        <w:pStyle w:val="NormalBold"/>
      </w:pPr>
      <w:r>
        <w:rPr>
          <w:rStyle w:val="HideTWBExt"/>
          <w:b w:val="0"/>
        </w:rPr>
        <w:t>&lt;RepeatBlock-By&gt;</w:t>
      </w:r>
      <w:r>
        <w:rPr>
          <w:rStyle w:val="HideTWBExt"/>
          <w:b w:val="0"/>
        </w:rPr>
        <w:t>&lt;Members&gt;</w:t>
      </w:r>
      <w:r>
        <w:t>Caterina Chinnici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46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46.</w:t>
            </w:r>
            <w:r>
              <w:tab/>
            </w:r>
            <w:r>
              <w:t>tukee voimakkaasti tilintarkastustuomioistuimen pyrkimyksiä kehittää tarkastustietämystä kokoava ekosysteemi digitalisaation avulla; panee tässä yhteydessä merkille, että kyselyn mukaan tilintarkastustuomioistuin toteutti vuonna 2024 useita aloitteita digitaalisten valmiuksiensa ja operatiivisen tehokkuutensa parantamiseksi, mukaan lukien tarkastustietojärjestelmien integrointi, järjestelmien ja sovellusten yhteentoimivuuden lisääminen, asiakirjahallintoavustajan (DORA) käyttöönotto tietämyksenhallinnan tukemiseksi tarkastustoimissa, BibliotECAn Discovery Collections -palvelun käynnistäminen ja uuden digitaalista arkistointia koskevan toimintapolitiikan hyväksyminen; painottaa, että digitalisoinnin liittäminen siihen, että paikan päällä tehtävien käyntien määrää lisätään, johtanee tehokkaampiin ja tarkempiin tarkastustuloksiin;</w:t>
            </w:r>
          </w:p>
        </w:tc>
        <w:tc>
          <w:tcPr>
            <w:tcW w:w="4876" w:type="dxa"/>
            <w:tcBorders>
              <w:top w:val="nil"/>
              <w:left w:val="nil"/>
              <w:bottom w:val="nil"/>
              <w:right w:val="nil"/>
            </w:tcBorders>
          </w:tcPr>
          <w:p>
            <w:pPr>
              <w:pStyle w:val="Normal6a"/>
            </w:pPr>
            <w:r>
              <w:t>46.</w:t>
            </w:r>
            <w:r>
              <w:tab/>
            </w:r>
            <w:r>
              <w:t xml:space="preserve">tukee voimakkaasti tilintarkastustuomioistuimen pyrkimyksiä kehittää tarkastustietämystä kokoava ekosysteemi digitalisaation avulla; panee tässä yhteydessä merkille, että kyselyn mukaan tilintarkastustuomioistuin toteutti vuonna 2024 useita aloitteita digitaalisten valmiuksiensa ja operatiivisen tehokkuutensa parantamiseksi, mukaan lukien tarkastustietojärjestelmien integrointi, järjestelmien ja sovellusten yhteentoimivuuden lisääminen, asiakirjahallintoavustajan (DORA) käyttöönotto tietämyksenhallinnan tukemiseksi tarkastustoimissa, BibliotECAn Discovery Collections -palvelun käynnistäminen ja uuden digitaalista arkistointia koskevan toimintapolitiikan hyväksyminen; painottaa, että digitalisoinnin liittäminen siihen, että paikan päällä tehtävien käyntien määrää lisätään, johtanee tehokkaampiin ja tarkempiin tarkastustuloksiin; </w:t>
            </w:r>
            <w:r>
              <w:rPr>
                <w:b/>
                <w:i/>
              </w:rPr>
              <w:t>kannustaa tekemään lisäinvestointeja tekoälyavusteisiin tarkastusvälineisiin ja järjestelmien yhteentoimivuuteen, jotta voidaan parantaa tarkastusten tarkkuutta, vähentää hallinnollista rasitetta ja maksimoida rahalle saatava vastine;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41</w:t>
      </w:r>
      <w:r>
        <w:rPr>
          <w:rStyle w:val="HideTWBExt"/>
        </w:rPr>
        <w:t>&lt;/NumAm&gt;</w:t>
      </w:r>
    </w:p>
    <w:p>
      <w:pPr>
        <w:pStyle w:val="NormalBold"/>
      </w:pPr>
      <w:r>
        <w:rPr>
          <w:rStyle w:val="HideTWBExt"/>
          <w:b w:val="0"/>
        </w:rPr>
        <w:t>&lt;RepeatBlock-By&gt;</w:t>
      </w:r>
      <w:r>
        <w:rPr>
          <w:rStyle w:val="HideTWBExt"/>
          <w:b w:val="0"/>
        </w:rPr>
        <w:t>&lt;Members&gt;</w:t>
      </w:r>
      <w:r>
        <w:t>Arno Bausemer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47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47.</w:t>
            </w:r>
            <w:r>
              <w:tab/>
            </w:r>
            <w:r>
              <w:t xml:space="preserve">arvostaa tilintarkastustuomioistuimen tekoälyä koskevan alustavan strategian ja käyttöönottoa koskevan etenemissuunnitelman 2024–2025 julkaisemista; panee tyytyväisenä merkille, että kyselyn mukaan tilintarkastustuomioistuin edistyi tasaisesti kyseisen strategian täytäntöönpanossa ja keskittyi muun muassa testaamaan Microsoft Copilotin ja GPT@EC kaltaisten välineiden käyttöönottoa ja valmistautumaan siihen, lisäämään henkilöstön tietoisuutta kohdennetulla tekoälykoulutuksella sekä testaamaan tekoälysovelluksia tarkastustyössä ja jakamaan alustavia havaintoja; </w:t>
            </w:r>
            <w:r>
              <w:rPr>
                <w:b/>
                <w:i/>
              </w:rPr>
              <w:t>suhtautuu lisäksi myönteisesti tilintarkastustuomioistuimen tekoälyn hallintorakenteen vahvistamiseen ja siihen</w:t>
            </w:r>
            <w:r>
              <w:t xml:space="preserve">, että tilintarkastustuomioistuin </w:t>
            </w:r>
            <w:r>
              <w:rPr>
                <w:b/>
                <w:i/>
              </w:rPr>
              <w:t>perusti tekoälyä käsittelevän neuvoa-antavan komitean ja nimitti tekoäly-yhteyshenkilön vuonna 2024;</w:t>
            </w:r>
            <w:r>
              <w:t xml:space="preserve"> </w:t>
            </w:r>
            <w:r>
              <w:rPr>
                <w:b/>
                <w:i/>
              </w:rPr>
              <w:t>panee tyytyväisenä merkille, että tekoälyä käsittelevä neuvoa-antava komitea, jonka tehtävänä on tukea ja neuvoa tilintarkastustuomioistuinta sen tekoälyn</w:t>
            </w:r>
            <w:r>
              <w:t xml:space="preserve"> käyttöä </w:t>
            </w:r>
            <w:r>
              <w:rPr>
                <w:b/>
                <w:i/>
              </w:rPr>
              <w:t>koskevasta oikeudellisesta ja eettisestä kehyksestä johtuvien velvoitteiden täyttämisessä, koostuu henkilöstöstä, jolla on monenlaista asiantuntemusta, jotta voidaan varmistaa kattava lähestymistapa ja ymmärrys tekoälyn vaikutuksista</w:t>
            </w:r>
            <w:r>
              <w:t>;</w:t>
            </w:r>
          </w:p>
        </w:tc>
        <w:tc>
          <w:tcPr>
            <w:tcW w:w="4876" w:type="dxa"/>
            <w:tcBorders>
              <w:top w:val="nil"/>
              <w:left w:val="nil"/>
              <w:bottom w:val="nil"/>
              <w:right w:val="nil"/>
            </w:tcBorders>
          </w:tcPr>
          <w:p>
            <w:pPr>
              <w:pStyle w:val="Normal6a"/>
            </w:pPr>
            <w:r>
              <w:t>47.</w:t>
            </w:r>
            <w:r>
              <w:tab/>
            </w:r>
            <w:r>
              <w:t>arvostaa tilintarkastustuomioistuimen tekoälyä koskevan alustavan strategian ja käyttöönottoa koskevan etenemissuunnitelman 2024–2025 julkaisemista; panee tyytyväisenä merkille, että kyselyn mukaan tilintarkastustuomioistuin edistyi tasaisesti kyseisen strategian täytäntöönpanossa ja keskittyi muun muassa testaamaan Microsoft Copilotin ja GPT@EC</w:t>
            </w:r>
            <w:r>
              <w:rPr>
                <w:b/>
                <w:i/>
              </w:rPr>
              <w:t>:n</w:t>
            </w:r>
            <w:r>
              <w:t xml:space="preserve"> kaltaisten välineiden käyttöönottoa ja valmistautumaan siihen, lisäämään henkilöstön tietoisuutta kohdennetulla tekoälykoulutuksella sekä testaamaan tekoälysovelluksia tarkastustyössä ja jakamaan alustavia havaintoja; </w:t>
            </w:r>
            <w:r>
              <w:rPr>
                <w:b/>
                <w:i/>
              </w:rPr>
              <w:t>panee merkille</w:t>
            </w:r>
            <w:r>
              <w:t xml:space="preserve">, että tilintarkastustuomioistuin </w:t>
            </w:r>
            <w:r>
              <w:rPr>
                <w:b/>
                <w:i/>
              </w:rPr>
              <w:t>on laatinut tekoälyvälineiden</w:t>
            </w:r>
            <w:r>
              <w:t xml:space="preserve"> käyttöä </w:t>
            </w:r>
            <w:r>
              <w:rPr>
                <w:b/>
                <w:i/>
              </w:rPr>
              <w:t>koskevan strategian;</w:t>
            </w:r>
            <w:r>
              <w:t xml:space="preserve"> </w:t>
            </w:r>
            <w:r>
              <w:rPr>
                <w:b/>
                <w:i/>
              </w:rPr>
              <w:t>korostaa, että tällaisten välineiden käyttö on rajoitettava tiukasti tarkastuksiin liittyviin toimiin ja että niiden kustannusvaikuttavuutta, tietoturvaa ja lisäarvoa on arvioitava säännöllisesti</w:t>
            </w:r>
            <w:r>
              <w:t>;</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42</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Verts/ALE-ryhmän puolesta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47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47.</w:t>
            </w:r>
            <w:r>
              <w:tab/>
            </w:r>
            <w:r>
              <w:t>arvostaa tilintarkastustuomioistuimen tekoälyä koskevan alustavan strategian ja käyttöönottoa koskevan etenemissuunnitelman 2024–2025 julkaisemista; panee tyytyväisenä merkille, että kyselyn mukaan tilintarkastustuomioistuin edistyi tasaisesti kyseisen strategian täytäntöönpanossa ja keskittyi muun muassa testaamaan Microsoft Copilotin ja GPT@EC kaltaisten välineiden käyttöönottoa ja valmistautumaan siihen, lisäämään henkilöstön tietoisuutta kohdennetulla tekoälykoulutuksella sekä testaamaan tekoälysovelluksia tarkastustyössä ja jakamaan alustavia havaintoja; suhtautuu lisäksi myönteisesti tilintarkastustuomioistuimen tekoälyn hallintorakenteen vahvistamiseen ja siihen, että tilintarkastustuomioistuin perusti tekoälyä käsittelevän neuvoa-antavan komitean ja nimitti tekoäly-yhteyshenkilön vuonna 2024; panee tyytyväisenä merkille, että tekoälyä käsittelevä neuvoa-antava komitea, jonka tehtävänä on tukea ja neuvoa tilintarkastustuomioistuinta sen tekoälyn käyttöä koskevasta oikeudellisesta ja eettisestä kehyksestä johtuvien velvoitteiden täyttämisessä, koostuu henkilöstöstä, jolla on monenlaista asiantuntemusta, jotta voidaan varmistaa kattava lähestymistapa ja ymmärrys tekoälyn vaikutuksista;</w:t>
            </w:r>
          </w:p>
        </w:tc>
        <w:tc>
          <w:tcPr>
            <w:tcW w:w="4876" w:type="dxa"/>
            <w:tcBorders>
              <w:top w:val="nil"/>
              <w:left w:val="nil"/>
              <w:bottom w:val="nil"/>
              <w:right w:val="nil"/>
            </w:tcBorders>
          </w:tcPr>
          <w:p>
            <w:pPr>
              <w:pStyle w:val="Normal6a"/>
            </w:pPr>
            <w:r>
              <w:t>47.</w:t>
            </w:r>
            <w:r>
              <w:tab/>
            </w:r>
            <w:r>
              <w:t>arvostaa tilintarkastustuomioistuimen tekoälyä koskevan alustavan strategian ja käyttöönottoa koskevan etenemissuunnitelman 2024–2025 julkaisemista; panee tyytyväisenä merkille, että kyselyn mukaan tilintarkastustuomioistuin edistyi tasaisesti kyseisen strategian täytäntöönpanossa ja keskittyi muun muassa testaamaan Microsoft Copilotin ja GPT@EC</w:t>
            </w:r>
            <w:r>
              <w:rPr>
                <w:b/>
                <w:i/>
              </w:rPr>
              <w:t>:n</w:t>
            </w:r>
            <w:r>
              <w:t xml:space="preserve"> kaltaisten välineiden käyttöönottoa ja valmistautumaan siihen, lisäämään henkilöstön tietoisuutta kohdennetulla tekoälykoulutuksella sekä testaamaan tekoälysovelluksia tarkastustyössä ja jakamaan alustavia havaintoja; suhtautuu lisäksi myönteisesti tilintarkastustuomioistuimen tekoälyn hallintorakenteen vahvistamiseen ja siihen, että tilintarkastustuomioistuin perusti tekoälyä käsittelevän neuvoa-antavan komitean ja nimitti tekoäly-yhteyshenkilön vuonna 2024; panee tyytyväisenä merkille, että tekoälyä käsittelevä neuvoa-antava komitea, jonka tehtävänä on tukea ja neuvoa tilintarkastustuomioistuinta sen tekoälyn käyttöä koskevasta oikeudellisesta ja eettisestä kehyksestä johtuvien velvoitteiden täyttämisessä, koostuu henkilöstöstä, jolla on monenlaista asiantuntemusta, jotta voidaan varmistaa kattava lähestymistapa ja ymmärrys tekoälyn vaikutuksista; </w:t>
            </w:r>
            <w:r>
              <w:rPr>
                <w:b/>
                <w:i/>
              </w:rPr>
              <w:t>kehottaa tilintarkastustuomioistuinta kehittämään osana tekoälystrategiaansa selkeitä indikaattoreita, joilla arvioidaan tekoälyavusteisten tarkastusvälineiden lisäarvoa, riskejä ja rajoituksia, ja raportoimaan säännöllisesti parlamentille niiden vaikutuksesta tarkastusten laatuun sekä avoimuuteen ja vastuuvelvollisuuteen;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43</w:t>
      </w:r>
      <w:r>
        <w:rPr>
          <w:rStyle w:val="HideTWBExt"/>
        </w:rPr>
        <w:t>&lt;/NumAm&gt;</w:t>
      </w:r>
    </w:p>
    <w:p>
      <w:pPr>
        <w:pStyle w:val="NormalBold"/>
      </w:pPr>
      <w:r>
        <w:rPr>
          <w:rStyle w:val="HideTWBExt"/>
          <w:b w:val="0"/>
        </w:rPr>
        <w:t>&lt;RepeatBlock-By&gt;</w:t>
      </w:r>
      <w:r>
        <w:rPr>
          <w:rStyle w:val="HideTWBExt"/>
          <w:b w:val="0"/>
        </w:rPr>
        <w:t>&lt;Members&gt;</w:t>
      </w:r>
      <w:r>
        <w:t>Csaba Molnár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47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47.</w:t>
            </w:r>
            <w:r>
              <w:tab/>
            </w:r>
            <w:r>
              <w:t>arvostaa tilintarkastustuomioistuimen tekoälyä koskevan alustavan strategian ja käyttöönottoa koskevan etenemissuunnitelman 2024–2025 julkaisemista; panee tyytyväisenä merkille, että kyselyn mukaan tilintarkastustuomioistuin edistyi tasaisesti kyseisen strategian täytäntöönpanossa ja keskittyi muun muassa testaamaan Microsoft Copilotin ja GPT@EC kaltaisten välineiden käyttöönottoa ja valmistautumaan siihen, lisäämään henkilöstön tietoisuutta kohdennetulla tekoälykoulutuksella sekä testaamaan tekoälysovelluksia tarkastustyössä ja jakamaan alustavia havaintoja; suhtautuu lisäksi myönteisesti tilintarkastustuomioistuimen tekoälyn hallintorakenteen vahvistamiseen ja siihen, että tilintarkastustuomioistuin perusti tekoälyä käsittelevän neuvoa-antavan komitean ja nimitti tekoäly-yhteyshenkilön vuonna 2024; panee tyytyväisenä merkille, että tekoälyä käsittelevä neuvoa-antava komitea, jonka tehtävänä on tukea ja neuvoa tilintarkastustuomioistuinta sen tekoälyn käyttöä koskevasta oikeudellisesta ja eettisestä kehyksestä johtuvien velvoitteiden täyttämisessä, koostuu henkilöstöstä, jolla on monenlaista asiantuntemusta, jotta voidaan varmistaa kattava lähestymistapa ja ymmärrys tekoälyn vaikutuksista;</w:t>
            </w:r>
          </w:p>
        </w:tc>
        <w:tc>
          <w:tcPr>
            <w:tcW w:w="4876" w:type="dxa"/>
            <w:tcBorders>
              <w:top w:val="nil"/>
              <w:left w:val="nil"/>
              <w:bottom w:val="nil"/>
              <w:right w:val="nil"/>
            </w:tcBorders>
          </w:tcPr>
          <w:p>
            <w:pPr>
              <w:pStyle w:val="Normal6a"/>
            </w:pPr>
            <w:r>
              <w:t>47.</w:t>
            </w:r>
            <w:r>
              <w:tab/>
            </w:r>
            <w:r>
              <w:t>arvostaa tilintarkastustuomioistuimen tekoälyä koskevan alustavan strategian ja käyttöönottoa koskevan etenemissuunnitelman 2024–2025 julkaisemista; panee tyytyväisenä merkille, että kyselyn mukaan tilintarkastustuomioistuin edistyi tasaisesti kyseisen strategian täytäntöönpanossa ja keskittyi muun muassa testaamaan Microsoft Copilotin ja GPT@EC</w:t>
            </w:r>
            <w:r>
              <w:rPr>
                <w:b/>
                <w:i/>
              </w:rPr>
              <w:t>:n</w:t>
            </w:r>
            <w:r>
              <w:t xml:space="preserve"> kaltaisten välineiden käyttöönottoa ja valmistautumaan siihen, lisäämään henkilöstön tietoisuutta kohdennetulla tekoälykoulutuksella sekä testaamaan tekoälysovelluksia tarkastustyössä ja jakamaan alustavia havaintoja; suhtautuu lisäksi myönteisesti tilintarkastustuomioistuimen tekoälyn hallintorakenteen vahvistamiseen ja siihen, että tilintarkastustuomioistuin perusti tekoälyä käsittelevän neuvoa-antavan komitean ja nimitti tekoäly-yhteyshenkilön vuonna 2024; panee tyytyväisenä merkille, että tekoälyä käsittelevä neuvoa-antava komitea, jonka tehtävänä on tukea ja neuvoa tilintarkastustuomioistuinta sen tekoälyn käyttöä koskevasta oikeudellisesta ja eettisestä kehyksestä johtuvien velvoitteiden täyttämisessä, koostuu henkilöstöstä, jolla on monenlaista asiantuntemusta, jotta voidaan varmistaa kattava lähestymistapa ja ymmärrys tekoälyn vaikutuksista; </w:t>
            </w:r>
            <w:r>
              <w:rPr>
                <w:b/>
                <w:i/>
              </w:rPr>
              <w:t>korostaa, että tekoälyn käytössä on noudatettava tiukkoja periaatteita, jotka koskevat eettistä käyttöä, avoimuutta, tietosuojaa, ihmisen suorittamaa valvontaa ja suojautumista algoritmien vinoumilta ja väärinkäytöltä;</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44</w:t>
      </w:r>
      <w:r>
        <w:rPr>
          <w:rStyle w:val="HideTWBExt"/>
        </w:rPr>
        <w:t>&lt;/NumAm&gt;</w:t>
      </w:r>
    </w:p>
    <w:p>
      <w:pPr>
        <w:pStyle w:val="NormalBold"/>
      </w:pPr>
      <w:r>
        <w:rPr>
          <w:rStyle w:val="HideTWBExt"/>
          <w:b w:val="0"/>
        </w:rPr>
        <w:t>&lt;RepeatBlock-By&gt;</w:t>
      </w:r>
      <w:r>
        <w:rPr>
          <w:rStyle w:val="HideTWBExt"/>
          <w:b w:val="0"/>
        </w:rPr>
        <w:t>&lt;Members&gt;</w:t>
      </w:r>
      <w:r>
        <w:t>Arno Bausemer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49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49.</w:t>
            </w:r>
            <w:r>
              <w:tab/>
            </w:r>
            <w:r>
              <w:rPr>
                <w:b/>
                <w:i/>
              </w:rPr>
              <w:t>panee huolestuneena merkille, että tilintarkastustuomioistuin oli kohteena kyberhyökkäyksessä, josta venäläinen ryhmä otti vastuun ja jossa tilintarkastustuomioistuimen julkinen verkkosivusto ajettiin alas osana koordinoitua toimintaa, jolla pyrittiin horjuttamaan vuoden 2024 EU-vaaleja;</w:t>
            </w:r>
            <w:r>
              <w:t xml:space="preserve"> </w:t>
            </w:r>
            <w:r>
              <w:rPr>
                <w:b/>
                <w:i/>
              </w:rPr>
              <w:t>suhtautuu myönteisesti tilintarkastustuomioistuimen sitoumukseen arvioida uudelleen kyberturvallisuusriskejä vähintään joka toinen vuosi;</w:t>
            </w:r>
            <w:r>
              <w:t xml:space="preserve"> </w:t>
            </w:r>
            <w:r>
              <w:rPr>
                <w:b/>
                <w:i/>
              </w:rPr>
              <w:t>kannustaa jatkamaan kyberuhkia koskevan säännöllisen henkilöstön koulutuksen järjestämistä toimielinten häiriönsietokyvyn parantamiseksi;</w:t>
            </w:r>
            <w:r>
              <w:t xml:space="preserve"> </w:t>
            </w:r>
            <w:r>
              <w:rPr>
                <w:b/>
                <w:i/>
              </w:rPr>
              <w:t>kehottaa tilintarkastustuomioistuinta tiedottamaan vastuuvapauden myöntävälle viranomaiselle asetuksen (EU, Euratom) 2023/2841</w:t>
            </w:r>
            <w:r>
              <w:rPr>
                <w:b/>
                <w:i/>
                <w:vertAlign w:val="superscript"/>
              </w:rPr>
              <w:t>1</w:t>
            </w:r>
            <w:r>
              <w:rPr>
                <w:b/>
                <w:i/>
              </w:rPr>
              <w:t>täytäntöönpanon yhteydessä mahdollisesti tekemiensä kyberturvallisuusriskien arviointien tuloksista;</w:t>
            </w:r>
          </w:p>
        </w:tc>
        <w:tc>
          <w:tcPr>
            <w:tcW w:w="4876" w:type="dxa"/>
            <w:tcBorders>
              <w:top w:val="nil"/>
              <w:left w:val="nil"/>
              <w:bottom w:val="nil"/>
              <w:right w:val="nil"/>
            </w:tcBorders>
          </w:tcPr>
          <w:p>
            <w:pPr>
              <w:pStyle w:val="Normal6a"/>
            </w:pPr>
            <w:r>
              <w:rPr>
                <w:b/>
                <w:i/>
              </w:rPr>
              <w:t>Poistetaan.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1</w:t>
            </w:r>
            <w:r>
              <w:t xml:space="preserve"> </w:t>
            </w:r>
            <w:r>
              <w:rPr>
                <w:b/>
                <w:i/>
              </w:rPr>
              <w:t>Euroopan parlamentin ja neuvoston asetus (EU, Euratom) 2023/2841, annettu 13 päivänä joulukuuta 2023, toimenpiteistä kyberturvallisuuden yhteisen korkean tason varmistamiseksi unionin toimielimissä, elimissä, toimistoissa ja virastoissa (EUVL L, 2023/2841, 18.12.2023, ELI: http://data.europa.eu/eli/reg/2023/2841/oj).</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45</w:t>
      </w:r>
      <w:r>
        <w:rPr>
          <w:rStyle w:val="HideTWBExt"/>
        </w:rPr>
        <w:t>&lt;/NumAm&gt;</w:t>
      </w:r>
    </w:p>
    <w:p>
      <w:pPr>
        <w:pStyle w:val="NormalBold"/>
      </w:pPr>
      <w:r>
        <w:rPr>
          <w:rStyle w:val="HideTWBExt"/>
          <w:b w:val="0"/>
        </w:rPr>
        <w:t>&lt;RepeatBlock-By&gt;</w:t>
      </w:r>
      <w:r>
        <w:rPr>
          <w:rStyle w:val="HideTWBExt"/>
          <w:b w:val="0"/>
        </w:rPr>
        <w:t>&lt;Members&gt;</w:t>
      </w:r>
      <w:r>
        <w:t>Arno Bausemer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50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50.</w:t>
            </w:r>
            <w:r>
              <w:tab/>
            </w:r>
            <w:r>
              <w:t xml:space="preserve">suhtautuu myönteisesti vuodeksi 2025 suunniteltuihin aloitteisiin, joilla pyritään vahvistamaan edelleen digitalisaatiota ja kyberturvallisuutta, kuten Microsoft Copilot </w:t>
            </w:r>
            <w:r>
              <w:rPr>
                <w:b/>
                <w:i/>
              </w:rPr>
              <w:t>‑</w:t>
            </w:r>
            <w:r>
              <w:t>ohjelmiston käyttöönotto, paikallisten generatiivisten tekoälymallien käyttöönotto ja biometrisen tunnistuksen asentaminen kannettaviin tietokoneisiin; panee myös merkille tilintarkastustuomioistuimen suunnitelman parantaa tietotekniikkainfrastruktuuriaan uusilla palvelimilla, asentaa uusia valmiuksia hybridikokousten tueksi ja vahvistaa yhteistyötään digitaalista muutosta käsittelevän toimielinten välisen komitean kanssa tekoälyn kaltaisten kehittyvien teknologioiden alalla;</w:t>
            </w:r>
          </w:p>
        </w:tc>
        <w:tc>
          <w:tcPr>
            <w:tcW w:w="4876" w:type="dxa"/>
            <w:tcBorders>
              <w:top w:val="nil"/>
              <w:left w:val="nil"/>
              <w:bottom w:val="nil"/>
              <w:right w:val="nil"/>
            </w:tcBorders>
          </w:tcPr>
          <w:p>
            <w:pPr>
              <w:pStyle w:val="Normal6a"/>
            </w:pPr>
            <w:r>
              <w:t>50.</w:t>
            </w:r>
            <w:r>
              <w:tab/>
            </w:r>
            <w:r>
              <w:t xml:space="preserve">suhtautuu myönteisesti vuodeksi 2025 suunniteltuihin aloitteisiin, joilla pyritään vahvistamaan edelleen digitalisaatiota ja kyberturvallisuutta, kuten Microsoft Copilot </w:t>
            </w:r>
            <w:r>
              <w:rPr>
                <w:b/>
                <w:i/>
              </w:rPr>
              <w:t>-</w:t>
            </w:r>
            <w:r>
              <w:t xml:space="preserve">ohjelmiston käyttöönotto, paikallisten generatiivisten tekoälymallien käyttöönotto ja biometrisen tunnistuksen asentaminen kannettaviin tietokoneisiin; panee myös merkille tilintarkastustuomioistuimen suunnitelman parantaa tietotekniikkainfrastruktuuriaan uusilla palvelimilla, asentaa uusia valmiuksia hybridikokousten tueksi ja vahvistaa yhteistyötään digitaalista muutosta käsittelevän toimielinten välisen komitean kanssa tekoälyn kaltaisten kehittyvien teknologioiden alalla; </w:t>
            </w:r>
            <w:r>
              <w:rPr>
                <w:b/>
                <w:i/>
              </w:rPr>
              <w:t>korostaa, että hybridikokouksiin ja tekniseen infrastruktuuriin liittyviä menoja olisi lisättävä ainoastaan selkeän tarveanalyysin perusteella ja nykyisten talousarvion enimmäismäärien puitteissa;</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46</w:t>
      </w:r>
      <w:r>
        <w:rPr>
          <w:rStyle w:val="HideTWBExt"/>
        </w:rPr>
        <w:t>&lt;/NumAm&gt;</w:t>
      </w:r>
    </w:p>
    <w:p>
      <w:pPr>
        <w:pStyle w:val="NormalBold"/>
      </w:pPr>
      <w:r>
        <w:rPr>
          <w:rStyle w:val="HideTWBExt"/>
          <w:b w:val="0"/>
        </w:rPr>
        <w:t>&lt;RepeatBlock-By&gt;</w:t>
      </w:r>
      <w:r>
        <w:rPr>
          <w:rStyle w:val="HideTWBExt"/>
          <w:b w:val="0"/>
        </w:rPr>
        <w:t>&lt;Members&gt;</w:t>
      </w:r>
      <w:r>
        <w:t>Arno Bausemer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7 alaotsikko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Ympäristö ja kestävä kehitys</w:t>
            </w:r>
          </w:p>
        </w:tc>
        <w:tc>
          <w:tcPr>
            <w:tcW w:w="4876" w:type="dxa"/>
            <w:tcBorders>
              <w:top w:val="nil"/>
              <w:left w:val="nil"/>
              <w:bottom w:val="nil"/>
              <w:right w:val="nil"/>
            </w:tcBorders>
          </w:tcPr>
          <w:p>
            <w:pPr>
              <w:pStyle w:val="Normal6a"/>
            </w:pPr>
            <w:r>
              <w:rPr>
                <w:b/>
                <w:i/>
              </w:rPr>
              <w:t>Poistetaan.</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47</w:t>
      </w:r>
      <w:r>
        <w:rPr>
          <w:rStyle w:val="HideTWBExt"/>
        </w:rPr>
        <w:t>&lt;/NumAm&gt;</w:t>
      </w:r>
    </w:p>
    <w:p>
      <w:pPr>
        <w:pStyle w:val="NormalBold"/>
      </w:pPr>
      <w:r>
        <w:rPr>
          <w:rStyle w:val="HideTWBExt"/>
          <w:b w:val="0"/>
        </w:rPr>
        <w:t>&lt;RepeatBlock-By&gt;</w:t>
      </w:r>
      <w:r>
        <w:rPr>
          <w:rStyle w:val="HideTWBExt"/>
          <w:b w:val="0"/>
        </w:rPr>
        <w:t>&lt;Members&gt;</w:t>
      </w:r>
      <w:r>
        <w:t>Arno Bausemer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56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56.</w:t>
            </w:r>
            <w:r>
              <w:tab/>
            </w:r>
            <w:r>
              <w:rPr>
                <w:b/>
                <w:i/>
              </w:rPr>
              <w:t>panee tyytyväisenä merkille, että tilintarkastustuomioistuin edistää jatkuvasti toimintansa kestävyyttä;</w:t>
            </w:r>
            <w:r>
              <w:t xml:space="preserve"> </w:t>
            </w:r>
            <w:r>
              <w:rPr>
                <w:b/>
                <w:i/>
              </w:rPr>
              <w:t>panee merkille, että tilintarkastustuomioistuin antoi vuonna 2024 neljännen kestävyysraporttinsa, jossa mitataan tilintarkastustuomioistuimen toiminnan taloudellisia, sosiaalisia ja ympäristövaikutuksia;</w:t>
            </w:r>
            <w:r>
              <w:t xml:space="preserve"> </w:t>
            </w:r>
            <w:r>
              <w:rPr>
                <w:b/>
                <w:i/>
              </w:rPr>
              <w:t>panee tyytyväisenä merkille, että 91 prosentissa vuonna 2024 julkaistuista tilintarkastustuomioistuimen erityiskertomuksista ja katsauksista käsiteltiin Yhdistyneiden kansakuntien kestävän kehityksen tavoitteiden kannalta merkityksellisiä aiheita;</w:t>
            </w:r>
            <w:r>
              <w:t xml:space="preserve"> </w:t>
            </w:r>
            <w:r>
              <w:rPr>
                <w:b/>
                <w:i/>
              </w:rPr>
              <w:t>panee tyytyväisenä merkille, että 40 prosenttiin tilintarkastustuomioistuimen hankintasopimuksista sisältyi vihreää taloutta ja kiertotaloutta koskevia kriteerejä ja että 98 prosenttia tilintarkastustuomioistuimen tavara- ja palveluhankinnoista tehtiin vuonna 2024 paikallisilta toimittajilta;</w:t>
            </w:r>
          </w:p>
        </w:tc>
        <w:tc>
          <w:tcPr>
            <w:tcW w:w="4876" w:type="dxa"/>
            <w:tcBorders>
              <w:top w:val="nil"/>
              <w:left w:val="nil"/>
              <w:bottom w:val="nil"/>
              <w:right w:val="nil"/>
            </w:tcBorders>
          </w:tcPr>
          <w:p>
            <w:pPr>
              <w:pStyle w:val="Normal6a"/>
            </w:pPr>
            <w:r>
              <w:rPr>
                <w:b/>
                <w:i/>
              </w:rPr>
              <w:t>Poistetaan.</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48</w:t>
      </w:r>
      <w:r>
        <w:rPr>
          <w:rStyle w:val="HideTWBExt"/>
        </w:rPr>
        <w:t>&lt;/NumAm&gt;</w:t>
      </w:r>
    </w:p>
    <w:p>
      <w:pPr>
        <w:pStyle w:val="NormalBold"/>
      </w:pPr>
      <w:r>
        <w:rPr>
          <w:rStyle w:val="HideTWBExt"/>
          <w:b w:val="0"/>
        </w:rPr>
        <w:t>&lt;RepeatBlock-By&gt;</w:t>
      </w:r>
      <w:r>
        <w:rPr>
          <w:rStyle w:val="HideTWBExt"/>
          <w:b w:val="0"/>
        </w:rPr>
        <w:t>&lt;Members&gt;</w:t>
      </w:r>
      <w:r>
        <w:t>Arno Bausemer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57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57.</w:t>
            </w:r>
            <w:r>
              <w:tab/>
            </w:r>
            <w:r>
              <w:rPr>
                <w:b/>
                <w:i/>
              </w:rPr>
              <w:t>panee merkille, että tilintarkastustuomioistuin on saanut EMAS-sertifioinnin ja että sillä on ollut vuodesta 2014 lähtien ympäristöpolitiikka, jota päivitettiin vuonna 2025;</w:t>
            </w:r>
            <w:r>
              <w:t xml:space="preserve"> </w:t>
            </w:r>
            <w:r>
              <w:rPr>
                <w:b/>
                <w:i/>
              </w:rPr>
              <w:t>panee merkille, että tilintarkastustuomioistuin mittaa hiilijalanjälkeään käyttämällä ”Bilan Carbon” -menetelmän viimeisintä versiota, jota sovelletaan sekä operationaalisella (tilintarkastustuomioistuimen toiminta) että organisatorisella (Luxemburgin kolme rakennusta) tasolla;</w:t>
            </w:r>
            <w:r>
              <w:t xml:space="preserve"> </w:t>
            </w:r>
            <w:r>
              <w:rPr>
                <w:b/>
                <w:i/>
              </w:rPr>
              <w:t>panee merkille, että tilintarkastustuomioistuimen kasvihuonekaasujen kokonaispäästöt vuonna 2024 olivat 9 108 tonnia hiilidioksidia, mikä merkitsee 15 prosentin vähennystä vuoden 2014 päästöihin verrattuna mutta 1,60 prosentin lisäystä vuoden 2023 päästöihin verrattuna;</w:t>
            </w:r>
            <w:r>
              <w:t xml:space="preserve"> </w:t>
            </w:r>
            <w:r>
              <w:rPr>
                <w:b/>
                <w:i/>
              </w:rPr>
              <w:t>panee merkille, että tilintarkastustuomioistuimen kokonaispäästöihin vaikuttivat vuonna 2024 eniten tavaroiden ja palvelujen ostot (31 prosenttia) ja henkilöliikenne (29 prosenttia);</w:t>
            </w:r>
          </w:p>
        </w:tc>
        <w:tc>
          <w:tcPr>
            <w:tcW w:w="4876" w:type="dxa"/>
            <w:tcBorders>
              <w:top w:val="nil"/>
              <w:left w:val="nil"/>
              <w:bottom w:val="nil"/>
              <w:right w:val="nil"/>
            </w:tcBorders>
          </w:tcPr>
          <w:p>
            <w:pPr>
              <w:pStyle w:val="Normal6a"/>
            </w:pPr>
            <w:r>
              <w:rPr>
                <w:b/>
                <w:i/>
              </w:rPr>
              <w:t>Poistetaan.</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49</w:t>
      </w:r>
      <w:r>
        <w:rPr>
          <w:rStyle w:val="HideTWBExt"/>
        </w:rPr>
        <w:t>&lt;/NumAm&gt;</w:t>
      </w:r>
    </w:p>
    <w:p>
      <w:pPr>
        <w:pStyle w:val="NormalBold"/>
      </w:pPr>
      <w:r>
        <w:rPr>
          <w:rStyle w:val="HideTWBExt"/>
          <w:b w:val="0"/>
        </w:rPr>
        <w:t>&lt;RepeatBlock-By&gt;</w:t>
      </w:r>
      <w:r>
        <w:rPr>
          <w:rStyle w:val="HideTWBExt"/>
          <w:b w:val="0"/>
        </w:rPr>
        <w:t>&lt;Members&gt;</w:t>
      </w:r>
      <w:r>
        <w:t>Ondřej Knotek, Julien Sanchez, Virginie Joron, Tamás Deutsch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57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57 a.</w:t>
            </w:r>
            <w:r>
              <w:tab/>
            </w:r>
            <w:r>
              <w:rPr>
                <w:b/>
                <w:i/>
              </w:rPr>
              <w:t>korostaa, että unionin toimielinten ympäristöaloitteiden on edelleen oltava kustannustehokkaita ja teknologianeutraaleja;</w:t>
            </w:r>
            <w:r>
              <w:t xml:space="preserve"> </w:t>
            </w:r>
            <w:r>
              <w:rPr>
                <w:b/>
                <w:i/>
              </w:rPr>
              <w:t>kehottaa tilintarkastustuomioistuinta esittämään avoimen kustannus-hyötyanalyysin vihreistä investoinneistaan ja ympäristöä säästävistä hankintakäytännöistään ja varmistamaan, ettei ympäristönäkökohtia pidetä tärkeämpinä kuin tehokkuutta tai talousarviota koskevaa kurinalaisuutta;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50</w:t>
      </w:r>
      <w:r>
        <w:rPr>
          <w:rStyle w:val="HideTWBExt"/>
        </w:rPr>
        <w:t>&lt;/NumAm&gt;</w:t>
      </w:r>
    </w:p>
    <w:p>
      <w:pPr>
        <w:pStyle w:val="NormalBold"/>
      </w:pPr>
      <w:r>
        <w:rPr>
          <w:rStyle w:val="HideTWBExt"/>
          <w:b w:val="0"/>
        </w:rPr>
        <w:t>&lt;RepeatBlock-By&gt;</w:t>
      </w:r>
      <w:r>
        <w:rPr>
          <w:rStyle w:val="HideTWBExt"/>
          <w:b w:val="0"/>
        </w:rPr>
        <w:t>&lt;Members&gt;</w:t>
      </w:r>
      <w:r>
        <w:t>Arno Bausemer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58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58.</w:t>
            </w:r>
            <w:r>
              <w:tab/>
            </w:r>
            <w:r>
              <w:rPr>
                <w:b/>
                <w:i/>
              </w:rPr>
              <w:t>panee tyytyväisenä merkille tilintarkastustuomioistuimen ympäristöselonteon, jossa esitetään vuoden 2024 tulokset, mukaan lukien jo toteutetut toimet ja täytäntöönpantaviksi suunnitellut toimet, joilla pyritään vähentämään tilintarkastustuomioistuimen toiminnan ympäristövaikutuksia ja saavuttamaan tai ylittämään sen vuotuiset ympäristönsuojelun tasoa koskevat tavoitteet;</w:t>
            </w:r>
            <w:r>
              <w:t xml:space="preserve"> </w:t>
            </w:r>
            <w:r>
              <w:rPr>
                <w:b/>
                <w:i/>
              </w:rPr>
              <w:t>panee merkille, että tilintarkastustuomioistuin mittaa ympäristönsuojelun tasoaan käyttämällä erilaisia indikaattoreita ja vertailuesimerkkejä huipputason osaamisesta;</w:t>
            </w:r>
            <w:r>
              <w:t xml:space="preserve"> </w:t>
            </w:r>
            <w:r>
              <w:rPr>
                <w:b/>
                <w:i/>
              </w:rPr>
              <w:t>panee merkille, että tilintarkastustuomioistuimella on vuosien 2023–2025 ympäristöohjelmassaan joukko yleisiä ja erityisiä tavoitteita, joista suurin osa saavutettiin vuonna 2024, erityisesti tilintarkastustuomioistuimen energiankulutuksen vähentämisen osalta (sähkö: ‑24 prosenttia;</w:t>
            </w:r>
            <w:r>
              <w:t xml:space="preserve"> </w:t>
            </w:r>
            <w:r>
              <w:rPr>
                <w:b/>
                <w:i/>
              </w:rPr>
              <w:t>lämmitys: -21,80 prosenttia), ilmaan joutuvat päästöt (‑30 prosenttia) ja vedenkulutus (-45 prosenttia) sekä ympäristökriteereitä sisältävien hankintamenettelyjen määrän lisääminen (yli 30 prosenttia);</w:t>
            </w:r>
            <w:r>
              <w:t xml:space="preserve"> </w:t>
            </w:r>
            <w:r>
              <w:rPr>
                <w:b/>
                <w:i/>
              </w:rPr>
              <w:t>panee kuitenkin merkille päinvastaisen kehityssuunnan painettujen sivujen määrässä (+9,1 prosenttia) ja vuotuisessa jätteen määrässä (+27,50 prosenttia);</w:t>
            </w:r>
            <w:r>
              <w:t xml:space="preserve"> </w:t>
            </w:r>
            <w:r>
              <w:rPr>
                <w:b/>
                <w:i/>
              </w:rPr>
              <w:t>arvostaa tilintarkastustuomioistuimen toimia, joilla pyritään tasapainottamaan biologiseen monimuotoisuuteen kohdistuvia kielteisiä vaikutuksia;</w:t>
            </w:r>
            <w:r>
              <w:t xml:space="preserve"> </w:t>
            </w:r>
            <w:r>
              <w:rPr>
                <w:b/>
                <w:i/>
              </w:rPr>
              <w:t>panee merkille, että tilintarkastustuomioistuimella on tiloissaan useita mehiläisyhdyskuntia, joissa tuotetaan vapaaehtoisten henkilöstön jäsenten keräämää hunajaa, se osallistuu aloitteisiin, joissa istutetaan puita Luxemburgiin, ja että se oli osallisena myös muissa ympäristötoimissa osallistuessaan EU:n toimielinten välisiin EMAS-päiviin vuonna 2024;</w:t>
            </w:r>
            <w:r>
              <w:t xml:space="preserve"> </w:t>
            </w:r>
            <w:r>
              <w:rPr>
                <w:b/>
                <w:i/>
              </w:rPr>
              <w:t>pitää myönteisenä, että kaupunkipyöriä käyttävän henkilöstön määrä kasvoi 172:sta vuonna 2023 201:een vuonna 2024;</w:t>
            </w:r>
            <w:r>
              <w:t xml:space="preserve"> </w:t>
            </w:r>
            <w:r>
              <w:rPr>
                <w:b/>
                <w:i/>
              </w:rPr>
              <w:t>panee tyytyväisenä merkille, että tilintarkastustuomioistuin tukee liikkumista työmatkoilla, kuten pyöräilyä, kattamalla Luxemburgin kaupungin polkupyörien yhteiskäyttöjärjestelmän liittymiskulut tai korvaamalla rajat ylittävän henkilöstön kausiliput julkisessa liikenteessä osittain ja että tämäntyyppistä korvausjärjestelmää hyödyntävän henkilöstön määrä kasvoi 28:sta 30:een vuosina 2023–2024;</w:t>
            </w:r>
          </w:p>
        </w:tc>
        <w:tc>
          <w:tcPr>
            <w:tcW w:w="4876" w:type="dxa"/>
            <w:tcBorders>
              <w:top w:val="nil"/>
              <w:left w:val="nil"/>
              <w:bottom w:val="nil"/>
              <w:right w:val="nil"/>
            </w:tcBorders>
          </w:tcPr>
          <w:p>
            <w:pPr>
              <w:pStyle w:val="Normal6a"/>
            </w:pPr>
            <w:r>
              <w:rPr>
                <w:b/>
                <w:i/>
              </w:rPr>
              <w:t>Poistetaan.</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51</w:t>
      </w:r>
      <w:r>
        <w:rPr>
          <w:rStyle w:val="HideTWBExt"/>
        </w:rPr>
        <w:t>&lt;/NumAm&gt;</w:t>
      </w:r>
    </w:p>
    <w:p>
      <w:pPr>
        <w:pStyle w:val="NormalBold"/>
      </w:pPr>
      <w:r>
        <w:rPr>
          <w:rStyle w:val="HideTWBExt"/>
          <w:b w:val="0"/>
        </w:rPr>
        <w:t>&lt;RepeatBlock-By&gt;</w:t>
      </w:r>
      <w:r>
        <w:rPr>
          <w:rStyle w:val="HideTWBExt"/>
          <w:b w:val="0"/>
        </w:rPr>
        <w:t>&lt;Members&gt;</w:t>
      </w:r>
      <w:r>
        <w:t>Olivier Chastel, Gilles Boyer, Vlad Vasile-Voiculescu, Michal Wiezik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63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63 a.</w:t>
            </w:r>
            <w:r>
              <w:tab/>
            </w:r>
            <w:r>
              <w:rPr>
                <w:b/>
                <w:i/>
              </w:rPr>
              <w:t>korostaa tilintarkastustuomioistuimen tärkeää roolia petostentorjuntajärjestelmässä;</w:t>
            </w:r>
            <w:r>
              <w:t xml:space="preserve"> </w:t>
            </w:r>
            <w:r>
              <w:rPr>
                <w:b/>
                <w:i/>
              </w:rPr>
              <w:t>toteaa, että sen tarkastuksissa ja erityiskertomuksissa tunnistetaan järjestelmällisesti heikkouksia, sääntöjenvastaisuuksia ja riskejä, minkä johdosta komissio, jäsenvaltiot ja muut petostentorjuntajärjestelmän toimijat käynnistävät korjaavia toimenpiteitä ja takaisinperintätoimia;</w:t>
            </w:r>
            <w:r>
              <w:t xml:space="preserve"> </w:t>
            </w:r>
            <w:r>
              <w:rPr>
                <w:b/>
                <w:i/>
              </w:rPr>
              <w:t>toteaa, että tämän valvontatehtävän avulla tilintarkastustuomioistuin paitsi lisää avoimuutta ja vastuuvelvollisuutta myös vahvistaa EU:n järjestelmän yleistä pelote- ja havaitsemiskykyä ja siten varmistaa, että julkisia varoja hallinnoidaan moitteettomasti ja suojataan petoksilta ja väärinkäytöksiltä;</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52</w:t>
      </w:r>
      <w:r>
        <w:rPr>
          <w:rStyle w:val="HideTWBExt"/>
        </w:rPr>
        <w:t>&lt;/NumAm&gt;</w:t>
      </w:r>
    </w:p>
    <w:p>
      <w:pPr>
        <w:pStyle w:val="NormalBold"/>
      </w:pPr>
      <w:r>
        <w:rPr>
          <w:rStyle w:val="HideTWBExt"/>
          <w:b w:val="0"/>
        </w:rPr>
        <w:t>&lt;RepeatBlock-By&gt;</w:t>
      </w:r>
      <w:r>
        <w:rPr>
          <w:rStyle w:val="HideTWBExt"/>
          <w:b w:val="0"/>
        </w:rPr>
        <w:t>&lt;Members&gt;</w:t>
      </w:r>
      <w:r>
        <w:t>Arno Bausemer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65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65.</w:t>
            </w:r>
            <w:r>
              <w:tab/>
            </w:r>
            <w:r>
              <w:rPr>
                <w:b/>
                <w:i/>
              </w:rPr>
              <w:t>pitää jälleen kerran valitettavana, että vaikka pääsy Euroopan investointipankin (EIP) asiakirjoihin ja tietoihin on parantunut, tilintarkastustuomioistuimella ei ole valtuuksia tarkastaa EIP:n omin varoin rahoitettuja toimintoja;</w:t>
            </w:r>
            <w:r>
              <w:t xml:space="preserve"> </w:t>
            </w:r>
            <w:r>
              <w:rPr>
                <w:b/>
                <w:i/>
              </w:rPr>
              <w:t>kehottaa myöntämään tilintarkastustuomioistuimelle nämä valtuudet ottaen huomioon, että EIP:n tehtävänä on pyrkiä saavuttamaan unionin tavoitteet ja että sillä on unionin taloudellisessa ja poliittisessa toimintaympäristössä kasvava rooli, joka ei rajoitu pelkästään unionin talousarvion käyttöön sen toimintojen turvaamiseksi;</w:t>
            </w:r>
            <w:r>
              <w:t xml:space="preserve"> muistuttaa, että tilintarkastustuomioistuimen </w:t>
            </w:r>
            <w:r>
              <w:rPr>
                <w:b/>
                <w:i/>
              </w:rPr>
              <w:t>erityiskertomuksessa 05/2023 ”EU:n rahoitusjärjestelyt – Hajanainen kokonaisuus, joka kaipaa yksinkertaistusta ja suurempaa tilivelvollisuutta” todettiin, että kaikenlaiselle unionin toimintapolitiikkojen rahoitukselle olisi vahvistettava julkiset tarkastusvaltuudet</w:t>
            </w:r>
            <w:r>
              <w:t>;</w:t>
            </w:r>
          </w:p>
        </w:tc>
        <w:tc>
          <w:tcPr>
            <w:tcW w:w="4876" w:type="dxa"/>
            <w:tcBorders>
              <w:top w:val="nil"/>
              <w:left w:val="nil"/>
              <w:bottom w:val="nil"/>
              <w:right w:val="nil"/>
            </w:tcBorders>
          </w:tcPr>
          <w:p>
            <w:pPr>
              <w:pStyle w:val="Normal6a"/>
            </w:pPr>
            <w:r>
              <w:t>65.</w:t>
            </w:r>
            <w:r>
              <w:tab/>
            </w:r>
            <w:r>
              <w:t xml:space="preserve">muistuttaa, että tilintarkastustuomioistuimen </w:t>
            </w:r>
            <w:r>
              <w:rPr>
                <w:b/>
                <w:i/>
              </w:rPr>
              <w:t>tarkastusvaltuuksien mahdollinen laajentaminen koskemaan Euroopan investointipankkia edellyttää selkeää oikeusperustaa ja vastuiden huolellista arviointia</w:t>
            </w:r>
            <w:r>
              <w:t>;</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53</w:t>
      </w:r>
      <w:r>
        <w:rPr>
          <w:rStyle w:val="HideTWBExt"/>
        </w:rPr>
        <w:t>&lt;/NumAm&gt;</w:t>
      </w:r>
    </w:p>
    <w:p>
      <w:pPr>
        <w:pStyle w:val="NormalBold"/>
      </w:pPr>
      <w:r>
        <w:rPr>
          <w:rStyle w:val="HideTWBExt"/>
          <w:b w:val="0"/>
        </w:rPr>
        <w:t>&lt;RepeatBlock-By&gt;</w:t>
      </w:r>
      <w:r>
        <w:rPr>
          <w:rStyle w:val="HideTWBExt"/>
          <w:b w:val="0"/>
        </w:rPr>
        <w:t>&lt;Members&gt;</w:t>
      </w:r>
      <w:r>
        <w:t>Arno Bausemer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68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68.</w:t>
            </w:r>
            <w:r>
              <w:tab/>
            </w:r>
            <w:r>
              <w:rPr>
                <w:b/>
                <w:i/>
              </w:rPr>
              <w:t>antaa tukensa tilintarkastustuomioistuimen mediastrategian laajentamiselle, jonka tuloksena vuonna 2024 julkaistiin ennätykselliset yli 24 000 verkkoartikkelia, joissa käsiteltiin tilintarkastustuomioistuimen tarkastuskertomuksia, muita julkaisuja tai tilintarkastustuomioistuinta yleisesti, mikä vahvisti sen, että tilintarkastustuomioistuimen näkyvyys on viime vuosina parantunut (vrt. 2023:</w:t>
            </w:r>
            <w:r>
              <w:t xml:space="preserve"> </w:t>
            </w:r>
            <w:r>
              <w:rPr>
                <w:b/>
                <w:i/>
              </w:rPr>
              <w:t>22 000 verkkoartikkelia;</w:t>
            </w:r>
            <w:r>
              <w:t xml:space="preserve"> </w:t>
            </w:r>
            <w:r>
              <w:rPr>
                <w:b/>
                <w:i/>
              </w:rPr>
              <w:t>2022:</w:t>
            </w:r>
            <w:r>
              <w:t xml:space="preserve"> </w:t>
            </w:r>
            <w:r>
              <w:rPr>
                <w:b/>
                <w:i/>
              </w:rPr>
              <w:t>20 000 verkkoartikkelia;</w:t>
            </w:r>
            <w:r>
              <w:t xml:space="preserve"> </w:t>
            </w:r>
            <w:r>
              <w:rPr>
                <w:b/>
                <w:i/>
              </w:rPr>
              <w:t>2021:</w:t>
            </w:r>
            <w:r>
              <w:t xml:space="preserve"> </w:t>
            </w:r>
            <w:r>
              <w:rPr>
                <w:b/>
                <w:i/>
              </w:rPr>
              <w:t>18 000 verkkoartikkelia);</w:t>
            </w:r>
            <w:r>
              <w:t xml:space="preserve"> </w:t>
            </w:r>
            <w:r>
              <w:rPr>
                <w:b/>
                <w:i/>
              </w:rPr>
              <w:t>panee tyytyväisenä merkille, että tilintarkastustuomioistuimen vuosikertomuksen mukaan vuonna 2023 käynnistetyllä tilintarkastustuomioistuimen verkkosivustolla vieraili vuonna 2024 yli 780 000 kävijää (2023:</w:t>
            </w:r>
            <w:r>
              <w:t xml:space="preserve"> </w:t>
            </w:r>
            <w:r>
              <w:rPr>
                <w:b/>
                <w:i/>
              </w:rPr>
              <w:t>700 000 kävijää), jotka tekivät 1 295 025 yksittäistä sivuilla käyntiä ja 56 440 latausta;</w:t>
            </w:r>
            <w:r>
              <w:t xml:space="preserve"> </w:t>
            </w:r>
            <w:r>
              <w:rPr>
                <w:b/>
                <w:i/>
              </w:rPr>
              <w:t>pitää myönteisenä, että vuoden 2024 loppuun mennessä tilintarkastustuomioistuimen neljällä tärkeimmällä sosiaalisen median tilillä (X, LinkedIn, Facebook ja Instagram) oli noin 61 500 seuraajaa eli enemmän kuin vuonna 2023 (55 000) ja vuonna 2022 (49 500);</w:t>
            </w:r>
            <w:r>
              <w:t xml:space="preserve"> </w:t>
            </w:r>
            <w:r>
              <w:rPr>
                <w:b/>
                <w:i/>
              </w:rPr>
              <w:t>antaa tilintarkastustuomioistuimelle tunnustusta siitä, että se julkaisi marraskuussa 2024 ensimmäisen kuukausittaisen LinkedIn-uutiskirjeensä (ECA Insights), jossa esitetään viimeaikaisten raporttien keskeisiä kohtia ja tulevien tarkastusten ennakkokatsauksia ja joka houkutteli yli 8 500 tilaajaa kyseisen vuoden loppuun mennessä;</w:t>
            </w:r>
          </w:p>
        </w:tc>
        <w:tc>
          <w:tcPr>
            <w:tcW w:w="4876" w:type="dxa"/>
            <w:tcBorders>
              <w:top w:val="nil"/>
              <w:left w:val="nil"/>
              <w:bottom w:val="nil"/>
              <w:right w:val="nil"/>
            </w:tcBorders>
          </w:tcPr>
          <w:p>
            <w:pPr>
              <w:pStyle w:val="Normal6a"/>
            </w:pPr>
            <w:r>
              <w:rPr>
                <w:b/>
                <w:i/>
              </w:rPr>
              <w:t>Poistetaan.</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54</w:t>
      </w:r>
      <w:r>
        <w:rPr>
          <w:rStyle w:val="HideTWBExt"/>
        </w:rPr>
        <w:t>&lt;/NumAm&gt;</w:t>
      </w:r>
    </w:p>
    <w:p>
      <w:pPr>
        <w:pStyle w:val="NormalBold"/>
      </w:pPr>
      <w:r>
        <w:rPr>
          <w:rStyle w:val="HideTWBExt"/>
          <w:b w:val="0"/>
        </w:rPr>
        <w:t>&lt;RepeatBlock-By&gt;</w:t>
      </w:r>
      <w:r>
        <w:rPr>
          <w:rStyle w:val="HideTWBExt"/>
          <w:b w:val="0"/>
        </w:rPr>
        <w:t>&lt;Members&gt;</w:t>
      </w:r>
      <w:r>
        <w:t>Arno Bausemer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69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69.</w:t>
            </w:r>
            <w:r>
              <w:tab/>
            </w:r>
            <w:r>
              <w:rPr>
                <w:b/>
                <w:i/>
              </w:rPr>
              <w:t>panee tyytyväisenä merkille, että tilintarkastustuomioistuimella on digitaalisesti saavutettavissa oleva verkkosivusto (A++ -taso), jonka ulkopuolinen konsultti tarkastaa kahdesti vuodessa, jotta voidaan arvioida, onko verkkosivusto asiaankuuluvien esteettömyysstandardien mukainen, ja tunnistaa vammaisten käyttäjien esteettömyyden esteet;</w:t>
            </w:r>
            <w:r>
              <w:t xml:space="preserve"> </w:t>
            </w:r>
            <w:r>
              <w:rPr>
                <w:b/>
                <w:i/>
              </w:rPr>
              <w:t>arvostaa sitä, että saavutettavuuden arvioitiin toteutuneen yleisesti ottaen erittäin hyvin, ja panee merkille, että tarkastuksen tuloksena ehdotettiin joitakin suosituksia verkkosivuston saavutettavuuden parantamiseksi ja ylläpitämiseksi;</w:t>
            </w:r>
          </w:p>
        </w:tc>
        <w:tc>
          <w:tcPr>
            <w:tcW w:w="4876" w:type="dxa"/>
            <w:tcBorders>
              <w:top w:val="nil"/>
              <w:left w:val="nil"/>
              <w:bottom w:val="nil"/>
              <w:right w:val="nil"/>
            </w:tcBorders>
          </w:tcPr>
          <w:p>
            <w:pPr>
              <w:pStyle w:val="Normal6a"/>
            </w:pPr>
            <w:r>
              <w:rPr>
                <w:b/>
                <w:i/>
              </w:rPr>
              <w:t>Poistetaan.</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55</w:t>
      </w:r>
      <w:r>
        <w:rPr>
          <w:rStyle w:val="HideTWBExt"/>
        </w:rPr>
        <w:t>&lt;/NumAm&gt;</w:t>
      </w:r>
    </w:p>
    <w:p>
      <w:pPr>
        <w:pStyle w:val="NormalBold"/>
      </w:pPr>
      <w:r>
        <w:rPr>
          <w:rStyle w:val="HideTWBExt"/>
          <w:b w:val="0"/>
        </w:rPr>
        <w:t>&lt;RepeatBlock-By&gt;</w:t>
      </w:r>
      <w:r>
        <w:rPr>
          <w:rStyle w:val="HideTWBExt"/>
          <w:b w:val="0"/>
        </w:rPr>
        <w:t>&lt;Members&gt;</w:t>
      </w:r>
      <w:r>
        <w:t>Arno Bausemer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70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70.</w:t>
            </w:r>
            <w:r>
              <w:tab/>
            </w:r>
            <w:r>
              <w:t xml:space="preserve">toteaa, että vuonna 2024 tilintarkastustuomioistuin julkaisi 44 lehdistötiedotetta 24:llä EU:n kielellä ja että lisäksi annettiin tietyillä kielillä erilaisia tausta- ja mediatiedotteita sekä käyttövalmiita lausuntoja äänitallenteina; panee lisäksi merkille, että tilintarkastustuomioistuin piti 20 tiedotustilaisuutta verkossa ja 14 muuta vuosikertomukseen liittyvää maakohtaista tiedotustilaisuutta; </w:t>
            </w:r>
            <w:r>
              <w:rPr>
                <w:b/>
                <w:i/>
              </w:rPr>
              <w:t>kiinnittää huomiota siihen</w:t>
            </w:r>
            <w:r>
              <w:t xml:space="preserve">, että tilintarkastustuomioistuimen </w:t>
            </w:r>
            <w:r>
              <w:rPr>
                <w:b/>
                <w:i/>
              </w:rPr>
              <w:t>tiedotustilaisuuksiin osallistui yhteensä 876 toimittajaa, joista useimmat edustivat jäsenvaltioiden tärkeimpiä kansallisia tiedotusvälineitä</w:t>
            </w:r>
            <w:r>
              <w:t>;</w:t>
            </w:r>
          </w:p>
        </w:tc>
        <w:tc>
          <w:tcPr>
            <w:tcW w:w="4876" w:type="dxa"/>
            <w:tcBorders>
              <w:top w:val="nil"/>
              <w:left w:val="nil"/>
              <w:bottom w:val="nil"/>
              <w:right w:val="nil"/>
            </w:tcBorders>
          </w:tcPr>
          <w:p>
            <w:pPr>
              <w:pStyle w:val="Normal6a"/>
            </w:pPr>
            <w:r>
              <w:t>70.</w:t>
            </w:r>
            <w:r>
              <w:tab/>
            </w:r>
            <w:r>
              <w:t xml:space="preserve">toteaa, että vuonna 2024 tilintarkastustuomioistuin julkaisi 44 lehdistötiedotetta 24:llä EU:n kielellä ja että lisäksi annettiin tietyillä kielillä erilaisia tausta- ja mediatiedotteita sekä käyttövalmiita lausuntoja äänitallenteina; panee lisäksi merkille, että tilintarkastustuomioistuin piti 20 tiedotustilaisuutta verkossa ja 14 muuta vuosikertomukseen liittyvää maakohtaista tiedotustilaisuutta; </w:t>
            </w:r>
            <w:r>
              <w:rPr>
                <w:b/>
                <w:i/>
              </w:rPr>
              <w:t>panee nämä toimet merkille ja korostaa</w:t>
            </w:r>
            <w:r>
              <w:t xml:space="preserve">, että tilintarkastustuomioistuimen </w:t>
            </w:r>
            <w:r>
              <w:rPr>
                <w:b/>
                <w:i/>
              </w:rPr>
              <w:t>viestintätoimet olisi rajoitettava tiukasti vain tarkastustulosten asiasisällöstä tiedottamiseen</w:t>
            </w:r>
            <w:r>
              <w:t>;</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56</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70 b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70 b.</w:t>
            </w:r>
            <w:r>
              <w:tab/>
            </w:r>
            <w:r>
              <w:rPr>
                <w:b/>
                <w:i/>
              </w:rPr>
              <w:t>panee tyytyväisenä merkille Euroopan tilintarkastustuomioistuimen erityiskertomuksen nro 11/2025:</w:t>
            </w:r>
            <w:r>
              <w:t xml:space="preserve"> </w:t>
            </w:r>
            <w:r>
              <w:rPr>
                <w:b/>
                <w:i/>
              </w:rPr>
              <w:t>Kansalaisjärjestöille myönnettyyn EU-rahoitukseen liittyvä avoimuus;</w:t>
            </w:r>
            <w:r>
              <w:t xml:space="preserve"> </w:t>
            </w:r>
            <w:r>
              <w:rPr>
                <w:b/>
                <w:i/>
              </w:rPr>
              <w:t>panee huolestuneena merkille siinä havaitut ongelmat, mukaan lukien puutteet avoimuudessa, luokittelussa ja valvonnassa;</w:t>
            </w:r>
            <w:r>
              <w:t xml:space="preserve"> </w:t>
            </w:r>
            <w:r>
              <w:rPr>
                <w:b/>
                <w:i/>
              </w:rPr>
              <w:t>korostaa, että tilintarkastustuomioistuimen on jatkettava ja vahvistettava näiden kysymysten seurantaa ja niitä koskevaa raportointia, jotta voidaan varmistaa varainhoitosääntöjen, avoimuusvaatimusten ja unionin perusarvojen täydellinen noudattaminen;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57</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70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70 a.</w:t>
            </w:r>
            <w:r>
              <w:tab/>
            </w:r>
            <w:r>
              <w:rPr>
                <w:b/>
                <w:i/>
              </w:rPr>
              <w:t>kannustaa tässä yhteydessä tilintarkastustuomioistuinta laatimaan erityiskertomuksen EU:n rahoituksesta Gazan alueella toimiville kansalaisjärjestöille ja palestiinalaiskoulujen oppikirjojen laatimiseen osallistuville järjestöille;</w:t>
            </w:r>
            <w:r>
              <w:t xml:space="preserve"> </w:t>
            </w:r>
            <w:r>
              <w:rPr>
                <w:b/>
                <w:i/>
              </w:rPr>
              <w:t>korostaa, että tällainen valvonta on ratkaisevan tärkeää sen varmistamiseksi, että EU:n varoja ei ohjata suoraan tai välillisesti terroristijärjestöille tai tahoille, jotka ovat kytköksissä niihin, eikä niitä käytetä tavalla, joka edistää vihaa, radikalisoitumista tai väkivaltaan yllyttämistä, sekä sen varmistamiseksi, että EU:n varainhoitosääntöjä, avoimuusnormeja ja unionin keskeisiä arvoja noudatetaan kaikilta osin;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58</w:t>
      </w:r>
      <w:r>
        <w:rPr>
          <w:rStyle w:val="HideTWBExt"/>
        </w:rPr>
        <w:t>&lt;/NumAm&gt;</w:t>
      </w:r>
    </w:p>
    <w:p>
      <w:pPr>
        <w:pStyle w:val="NormalBold"/>
      </w:pPr>
      <w:r>
        <w:rPr>
          <w:rStyle w:val="HideTWBExt"/>
          <w:b w:val="0"/>
        </w:rPr>
        <w:t>&lt;RepeatBlock-By&gt;</w:t>
      </w:r>
      <w:r>
        <w:rPr>
          <w:rStyle w:val="HideTWBExt"/>
          <w:b w:val="0"/>
        </w:rPr>
        <w:t>&lt;Members&gt;</w:t>
      </w:r>
      <w:r>
        <w:t>Arno Bausemer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71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71.</w:t>
            </w:r>
            <w:r>
              <w:tab/>
            </w:r>
            <w:r>
              <w:rPr>
                <w:b/>
                <w:i/>
              </w:rPr>
              <w:t>panee tyytyväisenä merkille, että lisätäkseen yleisön osallistumista tilintarkastustuomioistuin on vuodesta 2024 lähtien tarjonnut kansalaisille mahdollisuuden osallistua sen työohjelmaan tekemällä tarkastusehdotuksia tilintarkastustuomioistuimen verkkosivustolla;</w:t>
            </w:r>
          </w:p>
        </w:tc>
        <w:tc>
          <w:tcPr>
            <w:tcW w:w="4876" w:type="dxa"/>
            <w:tcBorders>
              <w:top w:val="nil"/>
              <w:left w:val="nil"/>
              <w:bottom w:val="nil"/>
              <w:right w:val="nil"/>
            </w:tcBorders>
          </w:tcPr>
          <w:p>
            <w:pPr>
              <w:pStyle w:val="Normal6a"/>
            </w:pPr>
            <w:r>
              <w:rPr>
                <w:b/>
                <w:i/>
              </w:rPr>
              <w:t>Poistetaan.</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782.521</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52</w:t>
    </w:r>
    <w:r>
      <w:fldChar w:fldCharType="end"/>
    </w:r>
    <w:r>
      <w:t>/</w:t>
    </w:r>
    <w:r>
      <w:fldChar w:fldCharType="begin"/>
    </w:r>
    <w:r>
      <w:instrText xml:space="preserve"> NUMPAGES </w:instrText>
    </w:r>
    <w:r>
      <w:fldChar w:fldCharType="separate"/>
    </w:r>
    <w:r>
      <w:t>52</w:t>
    </w:r>
    <w:r>
      <w:fldChar w:fldCharType="end"/>
    </w:r>
    <w:r>
      <w:tab/>
    </w:r>
    <w:r>
      <w:rPr>
        <w:rStyle w:val="HideTWBExt"/>
      </w:rPr>
      <w:t>&lt;PathFdR&gt;</w:t>
    </w:r>
    <w:r>
      <w:t>AM\1336164FI.docx</w:t>
    </w:r>
    <w:r>
      <w:rPr>
        <w:rStyle w:val="HideTWBExt"/>
      </w:rPr>
      <w:t>&lt;/PathFdR&gt;</w:t>
    </w:r>
  </w:p>
  <w:p>
    <w:pPr>
      <w:pStyle w:val="EPFooter2"/>
    </w:pPr>
    <w:r>
      <w:t>FI</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AM\1336164FI.docx</w:t>
    </w:r>
    <w:r>
      <w:rPr>
        <w:rStyle w:val="HideTWBExt"/>
      </w:rPr>
      <w:t>&lt;/PathFdR&gt;</w:t>
    </w:r>
    <w:r>
      <w:tab/>
    </w:r>
    <w:r>
      <w:fldChar w:fldCharType="begin"/>
    </w:r>
    <w:r>
      <w:instrText xml:space="preserve"> PAGE </w:instrText>
    </w:r>
    <w:r>
      <w:fldChar w:fldCharType="separate"/>
    </w:r>
    <w:r>
      <w:t>51</w:t>
    </w:r>
    <w:r>
      <w:fldChar w:fldCharType="end"/>
    </w:r>
    <w:r>
      <w:t>/</w:t>
    </w:r>
    <w:r>
      <w:fldChar w:fldCharType="begin"/>
    </w:r>
    <w:r>
      <w:instrText xml:space="preserve"> NUMPAGES </w:instrText>
    </w:r>
    <w:r>
      <w:fldChar w:fldCharType="separate"/>
    </w:r>
    <w:r>
      <w:t>52</w:t>
    </w:r>
    <w:r>
      <w:fldChar w:fldCharType="end"/>
    </w:r>
    <w:r>
      <w:tab/>
    </w:r>
    <w:r>
      <w:t>PE</w:t>
    </w:r>
    <w:r>
      <w:rPr>
        <w:rStyle w:val="HideTWBExt"/>
      </w:rPr>
      <w:t>&lt;NoPE&gt;</w:t>
    </w:r>
    <w:r>
      <w:t>782.521</w:t>
    </w:r>
    <w:r>
      <w:rPr>
        <w:rStyle w:val="HideTWBExt"/>
      </w:rPr>
      <w:t>&lt;/NoPE&gt;</w:t>
    </w:r>
    <w:r>
      <w:rPr>
        <w:rStyle w:val="HideTWBExt"/>
      </w:rPr>
      <w:t>&lt;Version&gt;</w:t>
    </w:r>
    <w:r>
      <w:t>v01-00</w:t>
    </w:r>
    <w:r>
      <w:rPr>
        <w:rStyle w:val="HideTWBExt"/>
      </w:rPr>
      <w:t>&lt;/Version&gt;</w:t>
    </w:r>
  </w:p>
  <w:p>
    <w:pPr>
      <w:pStyle w:val="EPFooter2"/>
    </w:pPr>
    <w:r>
      <w:tab/>
    </w:r>
    <w:r>
      <w:tab/>
    </w:r>
    <w:r>
      <w:t>FI</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AM\1336164FI.docx</w:t>
    </w:r>
    <w:r>
      <w:rPr>
        <w:rStyle w:val="HideTWBExt"/>
      </w:rPr>
      <w:t>&lt;/PathFdR&gt;</w:t>
    </w:r>
    <w:r>
      <w:tab/>
    </w:r>
    <w:r>
      <w:tab/>
    </w:r>
    <w:r>
      <w:t>PE</w:t>
    </w:r>
    <w:r>
      <w:rPr>
        <w:rStyle w:val="HideTWBExt"/>
      </w:rPr>
      <w:t>&lt;NoPE&gt;</w:t>
    </w:r>
    <w:r>
      <w:t>782.521</w:t>
    </w:r>
    <w:r>
      <w:rPr>
        <w:rStyle w:val="HideTWBExt"/>
      </w:rPr>
      <w:t>&lt;/NoPE&gt;</w:t>
    </w:r>
    <w:r>
      <w:rPr>
        <w:rStyle w:val="HideTWBExt"/>
      </w:rPr>
      <w:t>&lt;Version&gt;</w:t>
    </w:r>
    <w:r>
      <w:t>v01-00</w:t>
    </w:r>
    <w:r>
      <w:rPr>
        <w:rStyle w:val="HideTWBExt"/>
      </w:rPr>
      <w:t>&lt;/Version&gt;</w:t>
    </w:r>
  </w:p>
  <w:p>
    <w:pPr>
      <w:pStyle w:val="EPFooter2"/>
    </w:pPr>
    <w:r>
      <w:t>FI</w:t>
    </w:r>
    <w:r>
      <w:tab/>
    </w:r>
    <w:r>
      <w:rPr>
        <w:rStyle w:val="EPFooter2Motto"/>
      </w:rPr>
      <w:t>Moninaisuudessaan yhtenäinen</w:t>
    </w:r>
    <w:r>
      <w:tab/>
    </w:r>
    <w:r>
      <w:t>FI</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140430 HideTWBExt;}{\s16\qr \li0\ri0\sb240\sa240\nowidctlpar\wrapdefault\aspalpha\aspnum\faauto\adjustright\rin0\lin0\itap0 \rtlch\fcs1 \af0\afs20\alang1025 \ltrch\fcs0 &#13;_x000a_\fs24\lang2057\langfe2057\cgrid\langnp2057\langfenp2057 \sbasedon0 \snext16 \spriority0 \styrsid1140430 AmOrLang;}{\s17\ql \li0\ri0\sa120\nowidctlpar\wrapdefault\aspalpha\aspnum\faauto\adjustright\rin0\lin0\itap0 \rtlch\fcs1 \af0\afs20\alang1025 &#13;_x000a_\ltrch\fcs0 \fs24\lang2057\langfe2057\cgrid\langnp2057\langfenp2057 \sbasedon0 \snext17 \spriority0 \styrsid1140430 Normal6a;}{\s18\ql \li0\ri0\nowidctlpar\wrapdefault\aspalpha\aspnum\faauto\adjustright\rin0\lin0\itap0 \rtlch\fcs1 \af0\afs20\alang1025 &#13;_x000a_\ltrch\fcs0 \b\fs24\lang2057\langfe2057\cgrid\langnp2057\langfenp2057 \sbasedon0 \snext18 \spriority0 \styrsid1140430 NormalBold;}{\s19\qc \li0\ri0\sa240\nowidctlpar\wrapdefault\aspalpha\aspnum\faauto\adjustright\rin0\lin0\itap0 \rtlch\fcs1 &#13;_x000a_\af0\afs20\alang1025 \ltrch\fcs0 \i\fs24\lang2057\langfe2057\cgrid\langnp2057\langfenp2057 \sbasedon0 \snext19 \spriority0 \styrsid1140430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1140430 AmNumberTabs;}}{\*\rsidtbl \rsid24658\rsid358857\rsid735077\rsid787282\rsid1140430\rsid2892074\rsid3622648\rsid4666813\rsid5708216&#13;_x000a_\rsid6641733\rsid7553164\rsid8465581\rsid8681905\rsid8724649\rsid9636012\rsid9862312\rsid11215221\rsid11370291\rsid11434737\rsid11607138\rsid11824949\rsid12154954\rsid12213393\rsid14424199\rsid15204470\rsid15285974\rsid15535219\rsid15950462\rsid16324206&#13;_x000a_\rsid16662270}{\mmathPr\mmathFont34\mbrkBin0\mbrkBinSub0\msmallFrac0\mdispDef1\mlMargin0\mrMargin0\mdefJc1\mwrapIndent1440\mintLim0\mnaryLim1}{\info{\author FELIX Karina}{\operator FELIX Karina}{\creatim\yr2019\mo7\dy3\hr17\min21}&#13;_x000a_{\revtim\yr2019\mo7\dy3\hr17\min21}{\version1}{\edmins0}{\nofpages1}{\nofwords25}{\nofchars291}{\*\company European Parliament}{\nofcharsws29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14043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2213393 &#13;_x000a_\chftnsep &#13;_x000a_\par }}{\*\ftnsepc \ltrpar \pard\plain \ltrpar\ql \li0\ri0\widctlpar\wrapdefault\aspalpha\aspnum\faauto\adjustright\rin0\lin0\itap0 \rtlch\fcs1 \af0\afs20\alang1025 \ltrch\fcs0 \fs24\lang2057\langfe2057\cgrid\langnp2057\langfenp2057 {\rtlch\fcs1 \af0 &#13;_x000a_\ltrch\fcs0 \insrsid12213393 \chftnsepc &#13;_x000a_\par }}{\*\aftnsep \ltrpar \pard\plain \ltrpar\ql \li0\ri0\widctlpar\wrapdefault\aspalpha\aspnum\faauto\adjustright\rin0\lin0\itap0 \rtlch\fcs1 \af0\afs20\alang1025 \ltrch\fcs0 \fs24\lang2057\langfe2057\cgrid\langnp2057\langfenp2057 {\rtlch\fcs1 \af0 &#13;_x000a_\ltrch\fcs0 \insrsid12213393 \chftnsep &#13;_x000a_\par }}{\*\aftnsepc \ltrpar \pard\plain \ltrpar\ql \li0\ri0\widctlpar\wrapdefault\aspalpha\aspnum\faauto\adjustright\rin0\lin0\itap0 \rtlch\fcs1 \af0\afs20\alang1025 \ltrch\fcs0 \fs24\lang2057\langfe2057\cgrid\langnp2057\langfenp2057 {\rtlch\fcs1 \af0 &#13;_x000a_\ltrch\fcs0 \insrsid1221339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1140430 \rtlch\fcs1 \af0\afs20\alang1025 \ltrch\fcs0 \b\fs24\lang2057\langfe2057\cgrid\langnp2057\langfenp2057 {\rtlch\fcs1 \af0 \ltrch\fcs0 \cs15\b0\v\f1\fs20\cf9\lang1024\langfe1024\noproof\insrsid1140430\charrsid4417459 &#13;_x000a_{\*\bkmkstart restart}&lt;Amend&gt;}{\rtlch\fcs1 \af0 \ltrch\fcs0 \insrsid1140430\charrsid1799708 [ZAMENDMENT]}{\rtlch\fcs1 \af0 \ltrch\fcs0 \insrsid1140430 \tab \tab }{\rtlch\fcs1 \af0 \ltrch\fcs0 &#13;_x000a_\cs15\b0\v\f1\fs20\cf9\lang1024\langfe1024\noproof\insrsid1140430\charrsid4417459 &lt;NumAm&gt;}{\rtlch\fcs1 \af0 \ltrch\fcs0 \insrsid1140430\charrsid1799708 [ZNRAM]}{\rtlch\fcs1 \af0 \ltrch\fcs0 &#13;_x000a_\cs15\b0\v\f1\fs20\cf9\lang1024\langfe1024\noproof\insrsid1140430\charrsid4417459 &lt;/NumAm&gt;}{\rtlch\fcs1 \af0 \ltrch\fcs0 \insrsid1140430\charrsid4080556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14699840 &lt;RepeatBlock-By&gt;}{\rtlch\fcs1 \af0 \ltrch\fcs0 \lang1024\langfe1024\noproof\insrsid1140430\charrsid14699840 [RepeatMembers]}{\rtlch\fcs1 \af0 \ltrch\fcs0 &#13;_x000a_\cs15\b0\v\f1\fs20\cf9\lang1024\langfe1024\noproof\insrsid1140430\charrsid14699840 &lt;Members&gt;}{\rtlch\fcs1 \af0 \ltrch\fcs0 \insrsid1140430\charrsid14699840 [ZMEMBERS]}{\rtlch\fcs1 \af0 \ltrch\fcs0 &#13;_x000a_\cs15\b0\v\f1\fs20\cf9\lang1024\langfe1024\noproof\insrsid1140430\charrsid14699840 &lt;/Members&gt;}{\rtlch\fcs1 \af0 \ltrch\fcs0 \insrsid1140430\charrsid14699840 &#13;_x000a_\par }\pard\plain \ltrpar\ql \li0\ri0\widctlpar\wrapdefault\aspalpha\aspnum\faauto\adjustright\rin0\lin0\itap0\pararsid1140430 \rtlch\fcs1 \af0\afs20\alang1025 \ltrch\fcs0 \fs24\lang2057\langfe2057\cgrid\langnp2057\langfenp2057 {\rtlch\fcs1 \af0 \ltrch\fcs0 &#13;_x000a_\cs15\v\f1\fs20\cf9\lang1024\langfe1024\noproof\langnp1043\insrsid1140430\charrsid14424489 &lt;AuNomDe&gt;&lt;OptDel&gt;}{\rtlch\fcs1 \af0 \ltrch\fcs0 \lang1043\langfe2057\langnp1043\insrsid1140430\charrsid14424489 [ZONBEHALF]}{\rtlch\fcs1 \af0 \ltrch\fcs0 &#13;_x000a_\cs15\v\f1\fs20\cf9\lang1024\langfe1024\noproof\langnp1043\insrsid1140430\charrsid14424489 &lt;/OptDel&gt;&lt;/AuNomDe&gt;}{\rtlch\fcs1 \af0 \ltrch\fcs0 \lang1043\langfe2057\langnp1043\insrsid1140430\charrsid14424489 &#13;_x000a_\par }{\rtlch\fcs1 \af0 \ltrch\fcs0 \insrsid1140430\charrsid14699840 &lt;&lt;&lt;}{\rtlch\fcs1 \af0 \ltrch\fcs0 \cs15\v\f1\fs20\cf9\lang1024\langfe1024\noproof\insrsid1140430\charrsid14699840 &lt;/RepeatBlock-By&gt;}{\rtlch\fcs1 \af0 \ltrch\fcs0 &#13;_x000a_\insrsid1140430\charrsid14699840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4737239 &lt;DocAmend&gt;}{\rtlch\fcs1 \af0 \ltrch\fcs0 \insrsid1140430\charrsid1799708 [Z}{\rtlch\fcs1 \af0 \ltrch\fcs0 \insrsid1140430 AMDOC}{\rtlch\fcs1 \af0 \ltrch\fcs0 &#13;_x000a_\insrsid1140430\charrsid1799708 ]}{\rtlch\fcs1 \af0 \ltrch\fcs0 \cs15\b0\v\f1\fs20\cf9\lang1024\langfe1024\noproof\insrsid1140430\charrsid4737239 &lt;/DocAmend&gt;}{\rtlch\fcs1 \af0 \ltrch\fcs0 \insrsid1140430\charrsid1799708 &#13;_x000a_\par }{\rtlch\fcs1 \af0 \ltrch\fcs0 \cs15\b0\v\f1\fs20\cf9\lang1024\langfe1024\noproof\insrsid1140430\charrsid1799708 &lt;Article&gt;}{\rtlch\fcs1 \af0 \ltrch\fcs0 \insrsid1140430\charrsid1799708 [ZAMPART]}{\rtlch\fcs1 \af0 \ltrch\fcs0 &#13;_x000a_\cs15\b0\v\f1\fs20\cf9\lang1024\langfe1024\noproof\insrsid1140430\charrsid1799708 &lt;/Article&gt;}{\rtlch\fcs1 \af0 \ltrch\fcs0 \insrsid1140430\charrsid1799708 &#13;_x000a_\par \ltrrow}\trowd \irow0\irowband0\ltrrow\ts11\trqc\trgaph340\trleft-340\trftsWidth3\trwWidth9752\trftsWidthB3\trpaddl340\trpaddr340\trpaddfl3\trpaddft3\trpaddfb3\trpaddfr3\tblrsid7949889\tblind0\tblindtype3 \clvertalt\clbrdrt\brdrtbl \clbrdrl\brdrtbl &#13;_x000a_\clbrdrb\brdrtbl \clbrdrr\brdrtbl \cltxlrtb\clftsWidth3\clwWidth9752\clshdrawnil \cellx9412\pard\plain \ltrpar\ql \li0\ri0\keepn\widctlpar\intbl\wrapdefault\aspalpha\aspnum\faauto\adjustright\rin0\lin0\pararsid13053803 \rtlch\fcs1 \af0\afs20\alang1025 &#13;_x000a_\ltrch\fcs0 \fs24\lang2057\langfe2057\cgrid\langnp2057\langfenp2057 {\rtlch\fcs1 \af0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0\irowband0\ltrrow&#13;_x000a_\ts11\trqc\trgaph340\trleft-340\trftsWidth3\trwWidth9752\trftsWidthB3\trpaddl340\trpaddr340\trpaddfl3\trpaddft3\trpaddfb3\trpaddfr3\tblrsid7949889\tblind0\tblindtype3 \clvertalt\clbrdrt\brdrtbl \clbrdrl\brdrtbl \clbrdrb\brdrtbl \clbrdrr\brdrtbl &#13;_x000a_\cltxlrtb\clftsWidth3\clwWidth9752\clshdrawnil \cellx9412\row \ltrrow}\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19\qc \li0\ri0\sa240\keepn\nowidctlpar\intbl\wrapdefault\aspalpha\aspnum\faauto\adjustright\rin0\lin0\pararsid13053803 \rtlch\fcs1 \af0\afs20\alang1025 \ltrch\fcs0 \i\fs24\lang2057\langfe2057\cgrid\langnp2057\langfenp2057 {\rtlch\fcs1 \af0 \ltrch\fcs0 &#13;_x000a_\insrsid1140430\charrsid1799708 [ZLEFT]\cell [ZRIGHT]\cell }\pard\plain \ltrpar\ql \li0\ri0\widctlpar\intbl\wrapdefault\aspalpha\aspnum\faauto\adjustright\rin0\lin0 \rtlch\fcs1 \af0\afs20\alang1025 \ltrch\fcs0 &#13;_x000a_\fs24\lang2057\langfe2057\cgrid\langnp2057\langfenp2057 {\rtlch\fcs1 \af0 \ltrch\fcs0 \insrsid1140430\charrsid1799708 \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7\ql \li0\ri0\sa120\nowidctlpar\intbl\wrapdefault\aspalpha\aspnum\faauto\adjustright\rin0\lin0\pararsid7949889 \rtlch\fcs1 \af0\afs20\alang1025 \ltrch\fcs0 \fs24\lang2057\langfe2057\cgrid\langnp2057\langfenp2057 {\rtlch\fcs1 \af0 \ltrch\fcs0 &#13;_x000a_\insrsid1140430\charrsid1799708 [ZTEXTL]\cell [ZTEXTR]}{\rtlch\fcs1 \af0\afs24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2\irowband2\lastrow \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6\qr \li0\ri0\sb240\sa240\nowidctlpar\wrapdefault\aspalpha\aspnum\faauto\adjustright\rin0\lin0\itap0\pararsid1140430 \rtlch\fcs1 \af0\afs20\alang1025 \ltrch\fcs0 \fs24\lang2057\langfe2057\cgrid\langnp2057\langfenp2057 {\rtlch\fcs1 \af0 \ltrch\fcs0 &#13;_x000a_\insrsid1140430\charrsid1799708 Or. }{\rtlch\fcs1 \af0 \ltrch\fcs0 \cs15\v\f1\fs20\cf9\lang1024\langfe1024\noproof\insrsid1140430\charrsid1799708 &lt;Original&gt;}{\rtlch\fcs1 \af0 \ltrch\fcs0 \insrsid1140430\charrsid1799708 [ZORLANG]}{\rtlch\fcs1 \af0 &#13;_x000a_\ltrch\fcs0 \cs15\v\f1\fs20\cf9\lang1024\langfe1024\noproof\insrsid1140430\charrsid1799708 &lt;/Original&gt;}{\rtlch\fcs1 \af0 \ltrch\fcs0 \insrsid1140430\charrsid1799708 &#13;_x000a_\par }\pard\plain \ltrpar\ql \li0\ri0\widctlpar\wrapdefault\aspalpha\aspnum\faauto\adjustright\rin0\lin0\itap0\pararsid1140430 \rtlch\fcs1 \af0\afs20\alang1025 \ltrch\fcs0 \fs24\lang2057\langfe2057\cgrid\langnp2057\langfenp2057 {\rtlch\fcs1 \af0 \ltrch\fcs0 &#13;_x000a_\cs15\v\f1\fs20\cf9\lang1024\langfe1024\noproof\insrsid1140430\charrsid1799708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54&#13;_x000a_9504b3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i-FI"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4"/>
        <w:tab w:val="right" w:pos="9070"/>
      </w:tabs>
      <w:spacing w:before="240" w:after="240"/>
    </w:pPr>
    <w:rPr>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widowControl/>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52</Pages>
  <Words>10083</Words>
  <Characters>91319</Characters>
  <Application>Microsoft Office Word</Application>
  <DocSecurity>0</DocSecurity>
  <Lines>1</Lines>
  <Paragraphs>534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FI</vt:lpwstr>
  </property>
  <property fmtid="{D5CDD505-2E9C-101B-9397-08002B2CF9AE}" pid="3" name="&lt;FdR&gt;">
    <vt:lpwstr>1336164</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366871</vt:lpwstr>
  </property>
  <property fmtid="{D5CDD505-2E9C-101B-9397-08002B2CF9AE}" pid="7" name="dmxml.render.traceId">
    <vt:lpwstr>6989a212b5e9555509b100b5ef86727a</vt:lpwstr>
  </property>
  <property fmtid="{D5CDD505-2E9C-101B-9397-08002B2CF9AE}" pid="8" name="FooterPath">
    <vt:lpwstr>AM\1336164FI.docx</vt:lpwstr>
  </property>
  <property fmtid="{D5CDD505-2E9C-101B-9397-08002B2CF9AE}" pid="9" name="PE Number">
    <vt:lpwstr>782.521</vt:lpwstr>
  </property>
  <property fmtid="{D5CDD505-2E9C-101B-9397-08002B2CF9AE}" pid="10" name="UID">
    <vt:lpwstr>eu.europa.europarl-DIN1-2026-0000016605_01.00-fi-01.00_text-xml</vt:lpwstr>
  </property>
</Properties>
</file>