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Odbor za proračunski nadzor</w:t>
      </w:r>
      <w:r>
        <w:rPr>
          <w:rStyle w:val="HideTWBExt"/>
        </w:rPr>
        <w:t>&lt;/Commission&gt;</w:t>
      </w:r>
    </w:p>
    <w:p>
      <w:pPr>
        <w:pStyle w:val="LineBottom"/>
      </w:pPr>
      <w:r>
        <w:t xml:space="preserve"> </w:t>
      </w:r>
    </w:p>
    <w:p>
      <w:pPr>
        <w:pStyle w:val="CoverReference"/>
      </w:pPr>
      <w:r>
        <w:rPr>
          <w:rStyle w:val="HideTWBExt"/>
        </w:rPr>
        <w:t>&lt;RefProc&gt;</w:t>
      </w:r>
      <w:r>
        <w:t>2025/2149</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AMANDMANI</w:t>
      </w:r>
      <w:r>
        <w:rPr>
          <w:rStyle w:val="HideTWBExt"/>
        </w:rPr>
        <w:t>&lt;/TypeAM&gt;</w:t>
      </w:r>
    </w:p>
    <w:p>
      <w:pPr>
        <w:pStyle w:val="CoverDocType24a"/>
      </w:pPr>
      <w:r>
        <w:rPr>
          <w:rStyle w:val="HideTWBExt"/>
        </w:rPr>
        <w:t>&lt;RangeAM&gt;</w:t>
      </w:r>
      <w:r>
        <w:t>1</w:t>
      </w:r>
      <w:r>
        <w:t xml:space="preserve"> - </w:t>
      </w:r>
      <w:r>
        <w:t>58</w:t>
      </w:r>
      <w:r>
        <w:rPr>
          <w:rStyle w:val="HideTWBExt"/>
        </w:rPr>
        <w:t>&lt;/RangeAM&gt;</w:t>
      </w:r>
    </w:p>
    <w:p>
      <w:pPr>
        <w:pStyle w:val="CoverBold"/>
      </w:pPr>
      <w:r>
        <w:rPr>
          <w:rStyle w:val="HideTWBExt"/>
        </w:rPr>
        <w:t>&lt;TitreType&gt;</w:t>
      </w:r>
      <w:r>
        <w:t>Nacrt izvješća</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(PE778.062v01-00)</w:t>
      </w:r>
      <w:r>
        <w:rPr>
          <w:rStyle w:val="HideTWBExt"/>
        </w:rPr>
        <w:t>&lt;/DocRefPE&gt;</w:t>
      </w:r>
    </w:p>
    <w:p>
      <w:pPr>
        <w:pStyle w:val="CoverNormal"/>
      </w:pPr>
      <w:r>
        <w:rPr>
          <w:rStyle w:val="HideTWBExt"/>
        </w:rPr>
        <w:t>&lt;Titre&gt;</w:t>
      </w:r>
      <w:r>
        <w:t>Razrješnica za 2024.: Opći proračun EU-a – Revizorski sud</w:t>
      </w:r>
      <w:r>
        <w:rPr>
          <w:rStyle w:val="HideTWBExt"/>
        </w:rPr>
        <w:t>&lt;/Titre&gt;</w:t>
      </w:r>
    </w:p>
    <w:p>
      <w:pPr>
        <w:pStyle w:val="CoverNormal24a"/>
      </w:pPr>
      <w:r>
        <w:rPr>
          <w:rStyle w:val="HideTWBExt"/>
        </w:rPr>
        <w:t>&lt;DocRef&gt;</w:t>
      </w:r>
      <w:r>
        <w:t>(2025/2149(DEC))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Amandman</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napominje da je proračun Revizorskog suda obuhvaćen naslovom 7. VFO-a „Europska javna uprava”, koji je </w:t>
            </w:r>
            <w:r>
              <w:rPr>
                <w:b/>
                <w:i/>
              </w:rPr>
              <w:t>2023</w:t>
            </w:r>
            <w:r>
              <w:t>. iznosio 13,3 milijardi EUR (što čini 6,9 % ukupnog proračuna Unije); napominje da proračun Revizorskog suda od približno 0,2 milijardi EUR predstavlja približno 1,5 % ukupnih administrativnih rashoda Unije;</w:t>
            </w:r>
          </w:p>
        </w:tc>
        <w:tc>
          <w:tcPr>
            <w:tcW w:w="4876" w:type="dxa"/>
            <w:tcBorders>
              <w:top w:val="nil"/>
              <w:left w:val="nil"/>
              <w:bottom w:val="nil"/>
              <w:right w:val="nil"/>
            </w:tcBorders>
          </w:tcPr>
          <w:p>
            <w:pPr>
              <w:pStyle w:val="Normal6a"/>
            </w:pPr>
            <w:r>
              <w:t>1.</w:t>
            </w:r>
            <w:r>
              <w:tab/>
            </w:r>
            <w:r>
              <w:t xml:space="preserve">napominje da je proračun Revizorskog suda obuhvaćen naslovom 7. VFO-a „Europska javna uprava”, koji je </w:t>
            </w:r>
            <w:r>
              <w:rPr>
                <w:b/>
                <w:i/>
              </w:rPr>
              <w:t>2024</w:t>
            </w:r>
            <w:r>
              <w:t>. iznosio 13,3 milijardi EUR (što čini 6,9 % ukupnog proračuna Unije); napominje da proračun Revizorskog suda od približno 0,2 milijardi EUR predstavlja približno 1,5 % ukupnih administrativnih rashoda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prima na znanje najavu Suda od 1. listopada 2025. o uvođenju revidiranog pristupa reviziji za zajednička poduzeća, počevši od financijske godine 2025.;</w:t>
            </w:r>
            <w:r>
              <w:t xml:space="preserve"> </w:t>
            </w:r>
            <w:r>
              <w:rPr>
                <w:b/>
                <w:i/>
              </w:rPr>
              <w:t>napominje da je ova promjena potaknuta, među ostalim, ograničenjima kapaciteta osoblja i prestankom revizija zajedničkih poduzeća u okviru programa Obzor Europa od strane Službe za unutarnju reviziju Komisije, koja je prethodno revidirala zajednička poduzeća, čime je ograničena dostupnost dodatnog jamstva revizije;</w:t>
            </w:r>
            <w:r>
              <w:t xml:space="preserve"> </w:t>
            </w:r>
            <w:r>
              <w:rPr>
                <w:b/>
                <w:i/>
              </w:rPr>
              <w:t>nadalje, primjećuje da novi pristup predviđa odgovarajuću veličinu uzorka revizije, konsolidaciju revizijskog rada u svim zajedničkim poduzećima i izdavanje dviju odvojenih izjava o jamstvu, potkrijepljenih dodatnim tematskim i posebnim izvješćima;</w:t>
            </w:r>
            <w:r>
              <w:t xml:space="preserve"> </w:t>
            </w:r>
            <w:r>
              <w:rPr>
                <w:b/>
                <w:i/>
              </w:rPr>
              <w:t>poziva Sud da osigura da se revidirana metodologija provede pravovremeno te da i dalje ispunjava najviše standarde kvalitete, pouzdanosti i jamstva revizije za zaštitu financijskih interesa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napominje da su stope izvršenja za obveze i plaćanja za 2024. ostale visoke, gotovo jednake kao u 2023., dok je stopa iskorištenosti za odobrena sredstva iznosila 97,30 %, a plaćanja 94,81 % ukupnih obveza u 2024.; prima na znanje povećanje ukinutih odobrenih sredstava na kraju godine s približno 3,4 milijuna EUR 2023. na 4,4 milijuna EUR u 2024.; pohvaljuje Revizorski sud zbog toga što je 2024. zadržao prosječno vrijeme za plaćanje računa kraće od 11 dana;</w:t>
            </w:r>
          </w:p>
        </w:tc>
        <w:tc>
          <w:tcPr>
            <w:tcW w:w="4876" w:type="dxa"/>
            <w:tcBorders>
              <w:top w:val="nil"/>
              <w:left w:val="nil"/>
              <w:bottom w:val="nil"/>
              <w:right w:val="nil"/>
            </w:tcBorders>
          </w:tcPr>
          <w:p>
            <w:pPr>
              <w:pStyle w:val="Normal6a"/>
            </w:pPr>
            <w:r>
              <w:t>7.</w:t>
            </w:r>
            <w:r>
              <w:tab/>
            </w:r>
            <w:r>
              <w:t xml:space="preserve">napominje da su stope izvršenja za obveze i plaćanja za 2024. ostale visoke, gotovo jednake kao u 2023., dok je stopa iskorištenosti za odobrena sredstva iznosila 97,30 %, a plaćanja 94,81 % ukupnih obveza u 2024.; prima na znanje povećanje ukinutih odobrenih sredstava na kraju godine s približno 3,4 milijuna EUR 2023. na 4,4 milijuna EUR u 2024.; pohvaljuje Revizorski sud zbog toga što je 2024. zadržao prosječno vrijeme za plaćanje računa kraće od 11 dana; </w:t>
            </w:r>
            <w:r>
              <w:rPr>
                <w:b/>
                <w:i/>
              </w:rPr>
              <w:t>potiče Revizorski sud da zadrži strogu troškovnu disciplinu, nastavi davati prednost operativnoj učinkovitosti i dodatno smanji poništenja na kraju godine, čime bi se u kontekstu njegovih odobrenih sredstava povećale učinkovitost i vrijednost dobivena za uloženi novac;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napominje da je, prema upitniku, Revizorski sud osjetio učinak ruske ratne agresije na Ukrajinu povećanjem troškova robe, usluga i logistike potaknutim inflacijom u 2024.; pozdravlja mjere Revizorskog suda za suzbijanje takvih učinaka provođenjem detaljnijih analiza prije stavljanja na tržište kako bi se osiguralo realistično planiranje i učinkovita nabava; nadalje, sa zadovoljstvom prima na znanje da su se troškovi Revizorskog suda za potrošnju energije (proračunska stavka br. 2024) znatno smanjili, s </w:t>
            </w:r>
            <w:r>
              <w:rPr>
                <w:b/>
                <w:i/>
              </w:rPr>
              <w:t>1 556 671</w:t>
            </w:r>
            <w:r>
              <w:t xml:space="preserve"> EUR 2023. na </w:t>
            </w:r>
            <w:r>
              <w:rPr>
                <w:b/>
                <w:i/>
              </w:rPr>
              <w:t>887 827</w:t>
            </w:r>
            <w:r>
              <w:t xml:space="preserve"> EUR 2024., uglavnom zbog smanjenja fiksne cijene električne energije, u skladu s međuinstitucijskim ugovorom s predmetnim pružateljem usluga; prepoznaje potrebu da sve institucije Unije poboljšaju svoje upravljanje proračunom, među ostalim uzimanjem u obzir nestabilnosti cijena, posebno u energetskom sektoru, pri sklapanju ugovora s pružateljima usluga;</w:t>
            </w:r>
          </w:p>
        </w:tc>
        <w:tc>
          <w:tcPr>
            <w:tcW w:w="4876" w:type="dxa"/>
            <w:tcBorders>
              <w:top w:val="nil"/>
              <w:left w:val="nil"/>
              <w:bottom w:val="nil"/>
              <w:right w:val="nil"/>
            </w:tcBorders>
          </w:tcPr>
          <w:p>
            <w:pPr>
              <w:pStyle w:val="Normal6a"/>
            </w:pPr>
            <w:r>
              <w:t>9.</w:t>
            </w:r>
            <w:r>
              <w:tab/>
            </w:r>
            <w:r>
              <w:t xml:space="preserve">napominje da je, prema upitniku, Revizorski sud osjetio učinak ruske </w:t>
            </w:r>
            <w:r>
              <w:rPr>
                <w:b/>
                <w:i/>
              </w:rPr>
              <w:t>nezakonite</w:t>
            </w:r>
            <w:r>
              <w:t xml:space="preserve"> ratne agresije na Ukrajinu povećanjem troškova robe, usluga i logistike potaknutim inflacijom u 2024.; pozdravlja mjere Revizorskog suda za suzbijanje takvih učinaka provođenjem detaljnijih analiza prije stavljanja na tržište kako bi se osiguralo realistično planiranje i učinkovita nabava; nadalje, sa zadovoljstvom prima na znanje da su se troškovi Revizorskog suda za potrošnju energije (proračunska stavka br. 2024</w:t>
            </w:r>
            <w:r>
              <w:rPr>
                <w:b/>
                <w:i/>
              </w:rPr>
              <w:t>.</w:t>
            </w:r>
            <w:r>
              <w:t xml:space="preserve">) znatno smanjili, s </w:t>
            </w:r>
            <w:r>
              <w:rPr>
                <w:b/>
                <w:i/>
              </w:rPr>
              <w:t>1 556 671</w:t>
            </w:r>
            <w:r>
              <w:t xml:space="preserve"> EUR 2023. na </w:t>
            </w:r>
            <w:r>
              <w:rPr>
                <w:b/>
                <w:i/>
              </w:rPr>
              <w:t>887 827</w:t>
            </w:r>
            <w:r>
              <w:t> EUR 2024., uglavnom zbog smanjenja fiksne cijene električne energije, u skladu s međuinstitucijskim ugovorom s predmetnim pružateljem usluga; prepoznaje potrebu da sve institucije Unije poboljšaju svoje upravljanje proračunom, među ostalim uzimanjem u obzir nestabilnosti cijena, posebno u energetskom sektoru, pri sklapanju ugovora s pružateljima usluga;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sa zadovoljstvom</w:t>
            </w:r>
            <w:r>
              <w:t xml:space="preserve"> napominje da </w:t>
            </w:r>
            <w:r>
              <w:rPr>
                <w:b/>
                <w:i/>
              </w:rPr>
              <w:t>su</w:t>
            </w:r>
            <w:r>
              <w:t xml:space="preserve"> se, prema upitniku, </w:t>
            </w:r>
            <w:r>
              <w:rPr>
                <w:b/>
                <w:i/>
              </w:rPr>
              <w:t>kad je riječ o proračunskoj stavci</w:t>
            </w:r>
            <w:r>
              <w:t xml:space="preserve"> Revizorskog suda </w:t>
            </w:r>
            <w:r>
              <w:rPr>
                <w:b/>
                <w:i/>
              </w:rPr>
              <w:t>za publikacije, proračunska odobrena sredstva smanjila s 810 000 EUR u</w:t>
            </w:r>
            <w:r>
              <w:t xml:space="preserve"> 2014. </w:t>
            </w:r>
            <w:r>
              <w:rPr>
                <w:b/>
                <w:i/>
              </w:rPr>
              <w:t>na 300 000 EUR u</w:t>
            </w:r>
            <w:r>
              <w:t xml:space="preserve"> 2024. </w:t>
            </w:r>
            <w:r>
              <w:rPr>
                <w:b/>
                <w:i/>
              </w:rPr>
              <w:t>zbog povećanja interne izrade izvješća i virtualnog promicanja publikacija</w:t>
            </w:r>
            <w:r>
              <w:t xml:space="preserve">; </w:t>
            </w:r>
            <w:r>
              <w:rPr>
                <w:b/>
                <w:i/>
              </w:rPr>
              <w:t>napominje da su se procjene Revizorskog suda za tu proračunsku stavku dodatno smanjile u narednim proračunskim godinama;</w:t>
            </w:r>
            <w:r>
              <w:t xml:space="preserve"> </w:t>
            </w:r>
            <w:r>
              <w:rPr>
                <w:b/>
                <w:i/>
              </w:rPr>
              <w:t>nadalje</w:t>
            </w:r>
            <w:r>
              <w:t xml:space="preserve"> prima na znanje </w:t>
            </w:r>
            <w:r>
              <w:rPr>
                <w:b/>
                <w:i/>
              </w:rPr>
              <w:t>tendenciju Revizorskog suda da smanji proračun za usmeno prevođenje i usluge stručnjaka (savjetovanja, studije itd.) te plan za stavljanje izvan pogona svoje fiksne telefonije kako bi se ostvarile</w:t>
            </w:r>
            <w:r>
              <w:t xml:space="preserve"> dodatne uštede;</w:t>
            </w:r>
          </w:p>
        </w:tc>
        <w:tc>
          <w:tcPr>
            <w:tcW w:w="4876" w:type="dxa"/>
            <w:tcBorders>
              <w:top w:val="nil"/>
              <w:left w:val="nil"/>
              <w:bottom w:val="nil"/>
              <w:right w:val="nil"/>
            </w:tcBorders>
          </w:tcPr>
          <w:p>
            <w:pPr>
              <w:pStyle w:val="Normal6a"/>
            </w:pPr>
            <w:r>
              <w:t>12.</w:t>
            </w:r>
            <w:r>
              <w:tab/>
            </w:r>
            <w:r>
              <w:t xml:space="preserve">napominje da se, prema upitniku, </w:t>
            </w:r>
            <w:r>
              <w:rPr>
                <w:b/>
                <w:i/>
              </w:rPr>
              <w:t>proračun za publikacije</w:t>
            </w:r>
            <w:r>
              <w:t xml:space="preserve"> Revizorskog suda </w:t>
            </w:r>
            <w:r>
              <w:rPr>
                <w:b/>
                <w:i/>
              </w:rPr>
              <w:t>u razdoblju od</w:t>
            </w:r>
            <w:r>
              <w:t xml:space="preserve"> 2014. </w:t>
            </w:r>
            <w:r>
              <w:rPr>
                <w:b/>
                <w:i/>
              </w:rPr>
              <w:t>do</w:t>
            </w:r>
            <w:r>
              <w:t xml:space="preserve"> 2024. </w:t>
            </w:r>
            <w:r>
              <w:rPr>
                <w:b/>
                <w:i/>
              </w:rPr>
              <w:t>znatno smanjio</w:t>
            </w:r>
            <w:r>
              <w:t xml:space="preserve">; prima na znanje </w:t>
            </w:r>
            <w:r>
              <w:rPr>
                <w:b/>
                <w:i/>
              </w:rPr>
              <w:t>takav razvoj događaja i naglašava da bi trebalo nastaviti razmatrati</w:t>
            </w:r>
            <w:r>
              <w:t xml:space="preserve"> dodatne uštede </w:t>
            </w:r>
            <w:r>
              <w:rPr>
                <w:b/>
                <w:i/>
              </w:rPr>
              <w:t>uz istodobno održavanje transparentnosti i pristupačnosti izvješća</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napominje da je Revizorski sud tijekom 2024. predstavio dva godišnja izvješća, tri posebna godišnja izvješća, 28 tematskih izvješća, četiri pregleda i tri mišljenja, ukupno 40 stavki (smanjenje u usporedbi s 45 stavki u 2023.);</w:t>
            </w:r>
            <w:r>
              <w:t xml:space="preserve"> </w:t>
            </w:r>
            <w:r>
              <w:rPr>
                <w:b/>
                <w:i/>
              </w:rPr>
              <w:t>pozdravlja činjenicu da se Revizorski sud u tematskim izvješćima i preispitivanjima 2024. usredotočio na goruće izazove s kojima se Unija suočava u ključnim temama kao što su sigurnost opskrbe plinom, ulaganja u umjetnu inteligenciju, prilagodba klimatskim promjenama, apsorpcija sredstava iz Mehanizma za oporavak i otpornost, put prema karticama s nultim emisijama, potpora izbjeglicama u Turskoj i industrijska politika Unije o vodiku;</w:t>
            </w:r>
            <w:r>
              <w:t xml:space="preserve"> </w:t>
            </w:r>
            <w:r>
              <w:rPr>
                <w:b/>
                <w:i/>
              </w:rPr>
              <w:t>nadalje pozdravlja planirana izvješća Revizorskog suda o Mehanizmu za oporavak i otpornost u područjima kao što su transparentnost i sljedivost te o strukturi i strategiji Unije u borbi protiv prijevara i potpori Unije za Ukrajinu, Moldovu i Gruziju;</w:t>
            </w:r>
            <w:r>
              <w:t xml:space="preserve"> </w:t>
            </w:r>
            <w:r>
              <w:rPr>
                <w:b/>
                <w:i/>
              </w:rPr>
              <w:t>prima na znanje poboljšanje u pogledu zadovoljstva dionika radom Revizorskog suda, pri čemu je anketa provedena 2024. pokazala da 89 % ispitanika (povećanje u usporedbi s 85 % u 2023.) smatra izvješća Revizorskog suda korisnima i da 82 % (povećanje u usporedbi s 78 %) smatra da rad Revizorskog suda ima učinak;</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napominje da je Revizorski sud tijekom 2024. predstavio dva godišnja izvješća, tri posebna godišnja izvješća, 28 tematskih izvješća, četiri pregleda i tri mišljenja, ukupno 40 stavki (smanjenje u usporedbi s 45 stavki u 2023.); pozdravlja činjenicu da se Revizorski sud u tematskim izvješćima i preispitivanjima 2024. usredotočio na goruće izazove s kojima se Unija suočava u ključnim temama kao što su sigurnost opskrbe plinom, ulaganja u umjetnu inteligenciju, prilagodba klimatskim promjenama, apsorpcija sredstava iz Mehanizma za oporavak i otpornost, put prema karticama s nultim emisijama, potpora izbjeglicama u Turskoj i industrijska politika Unije o vodiku; nadalje pozdravlja planirana izvješća Revizorskog suda o Mehanizmu za oporavak i otpornost u područjima kao što su transparentnost i sljedivost te o strukturi i strategiji Unije u borbi protiv prijevara i potpori Unije za Ukrajinu, Moldovu i Gruziju; prima na znanje poboljšanje u pogledu zadovoljstva dionika radom Revizorskog suda, pri čemu je anketa provedena 2024. pokazala da 89 % ispitanika (povećanje u usporedbi s 85 % </w:t>
            </w:r>
            <w:r>
              <w:rPr>
                <w:b/>
                <w:i/>
              </w:rPr>
              <w:t>u</w:t>
            </w:r>
            <w:r>
              <w:t xml:space="preserve"> 2023.) smatra izvješća Revizorskog suda korisnima i da 82 % (povećanje u usporedbi </w:t>
            </w:r>
            <w:r>
              <w:rPr>
                <w:b/>
                <w:i/>
              </w:rPr>
              <w:t>s</w:t>
            </w:r>
            <w:r>
              <w:t xml:space="preserve"> 78 %) smatra da rad Revizorskog suda ima učinak;</w:t>
            </w:r>
          </w:p>
        </w:tc>
        <w:tc>
          <w:tcPr>
            <w:tcW w:w="4876" w:type="dxa"/>
            <w:tcBorders>
              <w:top w:val="nil"/>
              <w:left w:val="nil"/>
              <w:bottom w:val="nil"/>
              <w:right w:val="nil"/>
            </w:tcBorders>
          </w:tcPr>
          <w:p>
            <w:pPr>
              <w:pStyle w:val="Normal6a"/>
            </w:pPr>
            <w:r>
              <w:t>16.</w:t>
            </w:r>
            <w:r>
              <w:tab/>
            </w:r>
            <w:r>
              <w:t xml:space="preserve">napominje da je Revizorski sud tijekom 2024. predstavio dva godišnja izvješća, tri posebna godišnja izvješća, 28 tematskih izvješća, četiri pregleda i tri mišljenja, ukupno 40 stavki (smanjenje u usporedbi s 45 stavki u 2023.); pozdravlja činjenicu da se Revizorski sud u tematskim izvješćima i preispitivanjima 2024. usredotočio na goruće izazove s kojima se Unija suočava u ključnim temama kao što su </w:t>
            </w:r>
            <w:r>
              <w:rPr>
                <w:b/>
                <w:i/>
              </w:rPr>
              <w:t>financijski instrumenti u kohezijskoj politici, transparentnost financiranja EU-a kada je riječ o nevladinim organizacijama i tijelima EU-a koja se bore protiv prijevara, ali i</w:t>
            </w:r>
            <w:r>
              <w:t xml:space="preserve"> sigurnost opskrbe plinom, ulaganja u umjetnu inteligenciju, prilagodba klimatskim promjenama, apsorpcija sredstava iz Mehanizma za oporavak i otpornost, put prema karticama s nultim emisijama, potpora izbjeglicama u Turskoj i industrijska politika Unije o vodiku; nadalje pozdravlja planirana izvješća Revizorskog suda o Mehanizmu za oporavak i otpornost u područjima kao što su transparentnost i sljedivost te o strukturi i strategiji Unije u borbi protiv prijevara i potpori Unije za Ukrajinu, Moldovu i Gruziju; prima na znanje poboljšanje u pogledu zadovoljstva dionika radom Revizorskog suda, pri čemu je anketa provedena 2024. pokazala da 89 % ispitanika (povećanje u usporedbi s 85 % 2023.) smatra izvješća Revizorskog suda korisnima i da 82 % (povećanje u usporedbi </w:t>
            </w:r>
            <w:r>
              <w:rPr>
                <w:b/>
                <w:i/>
              </w:rPr>
              <w:t>sa</w:t>
            </w:r>
            <w:r>
              <w:t xml:space="preserve"> 78 %) smatra da rad Revizorskog suda ima učinak;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poziva Europski revizorski sud da osigura detaljnije i sustavnije procjene učinaka prelijevanja programa koje financira Unija na države članice, i one s visokim i one s niskim stopama apsorpcije europskih fondova;</w:t>
            </w:r>
            <w:r>
              <w:t xml:space="preserve"> </w:t>
            </w:r>
            <w:r>
              <w:rPr>
                <w:b/>
                <w:i/>
              </w:rPr>
              <w:t>naglašava da bi sveobuhvatna analiza gospodarskih, socijalnih, administrativnih i teritorijalnih utjecaja takvih učinaka prelijevanja, uključujući prekogranične i distribucijske učinke, ojačala evaluaciju dugoročnog utjecaja, dodane vrijednosti i održivosti potrošnje EU-a te da bi poduprla informiranije oblikovanje politika na razini Unije i na nacionalnoj razini;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Olivier Chastel, Gilles Boyer,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napominje da Revizorski sud ima niz ključnih pokazatelja uspješnosti za mjerenje napretka u postizanju svojih strateških ciljeva, u skladu sa strategijom Revizorskog suda za razdoblje 2021. – 2025.; prima na znanje strateške ciljeve Revizorskog suda za 2024.: poboljšanje mehanizama odgovornosti, transparentnosti i revizije, usmjeravanje na područja i teme u kojima se revizijama može ostvariti najveća dodana vrijednost te pružanje snažnog revizijskog jamstva u zahtjevnom i promjenjivom okruženju; poziva Revizorski sud da u budućnosti predstavi svoje ključne pokazatelje uspješnosti, stupanj postignutog napretka i ciljeve na sažet način (u formatu tablice);</w:t>
            </w:r>
          </w:p>
        </w:tc>
        <w:tc>
          <w:tcPr>
            <w:tcW w:w="4876" w:type="dxa"/>
            <w:tcBorders>
              <w:top w:val="nil"/>
              <w:left w:val="nil"/>
              <w:bottom w:val="nil"/>
              <w:right w:val="nil"/>
            </w:tcBorders>
          </w:tcPr>
          <w:p>
            <w:pPr>
              <w:pStyle w:val="Normal6a"/>
            </w:pPr>
            <w:r>
              <w:t>17.</w:t>
            </w:r>
            <w:r>
              <w:tab/>
            </w:r>
            <w:r>
              <w:t xml:space="preserve">napominje da Revizorski sud ima niz ključnih pokazatelja uspješnosti za mjerenje napretka u postizanju svojih strateških ciljeva, u skladu sa strategijom Revizorskog suda za razdoblje 2021. – 2025.; prima na znanje strateške ciljeve Revizorskog suda za 2024.: poboljšanje mehanizama odgovornosti, transparentnosti i revizije, usmjeravanje na područja i teme u kojima se revizijama može ostvariti najveća dodana vrijednost te pružanje snažnog revizijskog jamstva u zahtjevnom i promjenjivom okruženju; poziva Revizorski sud da u budućnosti predstavi svoje ključne pokazatelje uspješnosti, stupanj postignutog napretka i ciljeve na sažet način (u formatu tablice); </w:t>
            </w:r>
            <w:r>
              <w:rPr>
                <w:b/>
                <w:i/>
              </w:rPr>
              <w:t>poziva Revizorski sud da dodatno razvije ključne pokazatelje uspješnosti na temelju uspješnosti i rezultata europskih politika kako bi se jasno mjerio učinak politika koje provodi Komisija;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Dick Erixon,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poziva Revizorski sud da konsolidira svoje nalaze u komparativnoj analizi uspješnosti i da razvije metodologiju za „kompas uspješnosti” programâ Unije;</w:t>
            </w:r>
            <w:r>
              <w:t xml:space="preserve"> </w:t>
            </w:r>
            <w:r>
              <w:rPr>
                <w:b/>
                <w:i/>
              </w:rPr>
              <w:t>smatra da bi takav instrument, uz poštovanje raznolikosti politika, tijelu nadležnom za davanje razrješnice, donositeljima odluka i široj javnosti osigurao jasne smjernice o tome koji se programi učinkovito koriste resursima i koji bi mogli biti kandidati za obustavu ili temeljito restrukturiranje;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napominje, na temelju izvješća o daljnjim mjerama, da je Komisija pristala dostaviti Sudu ručno izdvajanje podataka iz alata ARACHNE; međutim, žali zbog činjenice da je pristup Revizorskog suda FENIX-u, alatu za izvješćivanje o Mehanizmu za oporavak i otpornost, i dalje otvoreno pitanje, pri čemu je Komisija Revizorskom sudu odobrila pristup samo nekim modulima FENIX-a; pozdravlja prijavljeno povećanje broja korisnika Revizorskog suda koji imaju pristup FENIX-u; međutim, podržava zahtjev Revizorskog suda da mu Komisija što prije odobri puni pristup; podsjeća da Glavna uprava Komisije za gospodarske i financijske poslove nastoji Revizorskom sudu odobriti pristup spisima u FENIX-u u roku od 2 tjedna od odobrenja zahtjeva za plaćanje; međutim, izražava zabrinutost zbog toga što se u praksi u mnogim slučajevima ne poštuje taj rok i što je u nekim slučajevima dolazilo do kašnjenja do 2 i pol mjeseca, što znatno usporava donošenje zaključaka Revizorskog suda; podsjeća Komisiju na njezinu obvezu iz članka 263. Financijske uredbe da Revizorskom sudu omogući sveobuhvatan pristup svim relevantnim sustavima i bazama podataka (među ostalim ARACHNE, FENIX, ARES);</w:t>
            </w:r>
          </w:p>
        </w:tc>
        <w:tc>
          <w:tcPr>
            <w:tcW w:w="4876" w:type="dxa"/>
            <w:tcBorders>
              <w:top w:val="nil"/>
              <w:left w:val="nil"/>
              <w:bottom w:val="nil"/>
              <w:right w:val="nil"/>
            </w:tcBorders>
          </w:tcPr>
          <w:p>
            <w:pPr>
              <w:pStyle w:val="Normal6a"/>
            </w:pPr>
            <w:r>
              <w:t>19.</w:t>
            </w:r>
            <w:r>
              <w:tab/>
            </w:r>
            <w:r>
              <w:t xml:space="preserve">napominje, na temelju izvješća o daljnjim mjerama, da je Komisija pristala dostaviti Sudu ručno izdvajanje podataka iz alata ARACHNE; međutim, žali zbog činjenice da je pristup Revizorskog suda FENIX-u, alatu za izvješćivanje o Mehanizmu za oporavak i otpornost, i dalje otvoreno pitanje, pri čemu je Komisija Revizorskom sudu odobrila pristup samo nekim modulima FENIX-a; pozdravlja prijavljeno povećanje broja korisnika Revizorskog suda koji imaju pristup FENIX-u; međutim, podržava zahtjev Revizorskog suda da mu Komisija što prije odobri puni pristup; podsjeća da Glavna uprava Komisije za gospodarske i financijske poslove nastoji Revizorskom sudu odobriti pristup spisima u FENIX-u u roku od 2 tjedna od odobrenja zahtjeva za plaćanje; međutim, izražava zabrinutost zbog toga što se u praksi u mnogim slučajevima ne poštuje taj rok i što je u nekim slučajevima dolazilo do kašnjenja do 2 i pol mjeseca, što znatno usporava donošenje zaključaka Revizorskog suda; podsjeća Komisiju na njezinu obvezu iz članka 263. Financijske uredbe da Revizorskom sudu omogući sveobuhvatan pristup svim relevantnim sustavima i bazama podataka (među ostalim ARACHNE, FENIX, ARES); </w:t>
            </w:r>
            <w:r>
              <w:rPr>
                <w:b/>
                <w:i/>
              </w:rPr>
              <w:t>smatra da stalna kašnjenja i djelomičan pristup ključnim informacijskim sustavima Komisije, posebno FENIX-u i ARACHNE-u, potkopavaju učinkovitost i pravodobnost revizijskih aktivnosti Revizorskog suda u vezi s visokorizičnim rashodima, kao što je Mehanizam za oporavak i otpornost;</w:t>
            </w:r>
            <w:r>
              <w:t xml:space="preserve"> </w:t>
            </w:r>
            <w:r>
              <w:rPr>
                <w:b/>
                <w:i/>
              </w:rPr>
              <w:t>poziva Komisiju da hitno otkloni taj problem i poziva Revizorski sud da tijelo nadležno za davanje razrješnice izvijesti o konkretnim postignutim poboljšanjima;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Olivier Chastel, Gilles Boyer,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napominje, na temelju izvješća o daljnjim mjerama, da je Komisija pristala dostaviti Sudu ručno izdvajanje podataka iz alata ARACHNE; međutim, žali zbog činjenice da je pristup Revizorskog suda FENIX-u, alatu za izvješćivanje o Mehanizmu za oporavak i otpornost, </w:t>
            </w:r>
            <w:r>
              <w:rPr>
                <w:b/>
                <w:i/>
              </w:rPr>
              <w:t>i dalje</w:t>
            </w:r>
            <w:r>
              <w:t xml:space="preserve"> otvoreno pitanje, pri čemu je Komisija Revizorskom sudu odobrila pristup samo nekim modulima FENIX-a; pozdravlja prijavljeno povećanje broja korisnika Revizorskog suda koji imaju pristup FENIX-u; međutim, podržava zahtjev Revizorskog suda da mu Komisija što prije odobri puni pristup; podsjeća da Glavna uprava Komisije za gospodarske i financijske poslove nastoji Revizorskom sudu odobriti pristup spisima u FENIX-u u roku od 2 tjedna od odobrenja zahtjeva za plaćanje; međutim, izražava zabrinutost zbog toga što se u praksi u mnogim slučajevima ne poštuje taj rok i što je u nekim slučajevima dolazilo do kašnjenja do 2 i pol mjeseca, što znatno usporava donošenje zaključaka Revizorskog suda; podsjeća Komisiju na njezinu obvezu iz članka 263. Financijske uredbe da Revizorskom sudu omogući sveobuhvatan pristup svim relevantnim sustavima i bazama podataka (među ostalim ARACHNE, FENIX, ARES);</w:t>
            </w:r>
          </w:p>
        </w:tc>
        <w:tc>
          <w:tcPr>
            <w:tcW w:w="4876" w:type="dxa"/>
            <w:tcBorders>
              <w:top w:val="nil"/>
              <w:left w:val="nil"/>
              <w:bottom w:val="nil"/>
              <w:right w:val="nil"/>
            </w:tcBorders>
          </w:tcPr>
          <w:p>
            <w:pPr>
              <w:pStyle w:val="Normal6a"/>
            </w:pPr>
            <w:r>
              <w:t>19.</w:t>
            </w:r>
            <w:r>
              <w:tab/>
            </w:r>
            <w:r>
              <w:t xml:space="preserve">napominje, na temelju izvješća o daljnjim mjerama, da je Komisija pristala dostaviti Sudu ručno izdvajanje podataka iz alata ARACHNE; međutim, žali zbog činjenice da je pristup Revizorskog suda FENIX-u, alatu za izvješćivanje o Mehanizmu za oporavak i otpornost, </w:t>
            </w:r>
            <w:r>
              <w:rPr>
                <w:b/>
                <w:i/>
              </w:rPr>
              <w:t>još i danas</w:t>
            </w:r>
            <w:r>
              <w:t xml:space="preserve"> otvoreno pitanje, pri čemu je Komisija Revizorskom sudu odobrila pristup samo nekim modulima FENIX-a; pozdravlja prijavljeno povećanje broja korisnika Revizorskog suda koji imaju pristup FENIX-u; međutim, podržava zahtjev Revizorskog suda da mu Komisija što prije odobri puni pristup; podsjeća da Glavna uprava Komisije za gospodarske i financijske poslove nastoji Revizorskom sudu odobriti pristup spisima u FENIX-u u roku od 2 tjedna od odobrenja zahtjeva za plaćanje; međutim, izražava zabrinutost zbog toga što se u praksi u mnogim slučajevima ne poštuje taj rok i što je u nekim slučajevima dolazilo do kašnjenja do 2 i pol mjeseca, što znatno usporava donošenje zaključaka Revizorskog suda; podsjeća Komisiju na njezinu obvezu iz članka 263. Financijske uredbe da Revizorskom sudu omogući sveobuhvatan pristup svim relevantnim sustavima i bazama podataka (među ostalim ARACHNE, FENIX, ARES); </w:t>
            </w:r>
            <w:r>
              <w:rPr>
                <w:b/>
                <w:i/>
              </w:rPr>
              <w:t>traži od Komisije da hitno uspostavi obvezujući međuinstitucijski sporazum kojim će se Revizorskom sudu osigurati pun i sustavan pristup u stvarnom vremenu svim relevantnim bazama podataka, uključujući ARACHNE i FENIX;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napominje, na temelju izvješća o daljnjim mjerama, da je Komisija pristala dostaviti Sudu ručno izdvajanje podataka iz alata ARACHNE; međutim, žali zbog činjenice da je pristup Revizorskog suda FENIX-u, alatu za izvješćivanje o Mehanizmu za oporavak i otpornost, i dalje otvoreno pitanje, pri čemu je Komisija Revizorskom sudu odobrila pristup samo nekim modulima FENIX-a; pozdravlja prijavljeno povećanje broja korisnika Revizorskog suda koji imaju pristup FENIX-u; međutim, podržava zahtjev Revizorskog suda da mu Komisija što prije odobri puni pristup; podsjeća da Glavna uprava Komisije za gospodarske i financijske poslove nastoji Revizorskom sudu odobriti pristup spisima u FENIX-u u roku od 2 tjedna od odobrenja zahtjeva za plaćanje; međutim, izražava zabrinutost zbog toga što se u praksi u mnogim slučajevima ne poštuje taj rok i što je u nekim slučajevima dolazilo do kašnjenja do 2 i pol mjeseca, što znatno usporava donošenje zaključaka Revizorskog suda; podsjeća Komisiju na njezinu obvezu iz članka 263. Financijske uredbe da Revizorskom sudu omogući sveobuhvatan pristup svim relevantnim sustavima i bazama podataka (među ostalim ARACHNE, FENIX, ARES);</w:t>
            </w:r>
          </w:p>
        </w:tc>
        <w:tc>
          <w:tcPr>
            <w:tcW w:w="4876" w:type="dxa"/>
            <w:tcBorders>
              <w:top w:val="nil"/>
              <w:left w:val="nil"/>
              <w:bottom w:val="nil"/>
              <w:right w:val="nil"/>
            </w:tcBorders>
          </w:tcPr>
          <w:p>
            <w:pPr>
              <w:pStyle w:val="Normal6a"/>
            </w:pPr>
            <w:r>
              <w:t>19.</w:t>
            </w:r>
            <w:r>
              <w:tab/>
            </w:r>
            <w:r>
              <w:t>napominje, na temelju izvješća o daljnjim mjerama, da je Komisija pristala dostaviti Sudu ručno izdvajanje podataka iz alata ARACHNE; međutim, žali zbog činjenice da je pristup Revizorskog suda FENIX-u, alatu za izvješćivanje o Mehanizmu za oporavak i otpornost, i dalje otvoreno pitanje, pri čemu je Komisija Revizorskom sudu odobrila pristup samo nekim modulima FENIX-a</w:t>
            </w:r>
            <w:r>
              <w:rPr>
                <w:b/>
                <w:i/>
              </w:rPr>
              <w:t>, a podaci koje oni sadrže nisu ažurirani na vrijeme</w:t>
            </w:r>
            <w:r>
              <w:t>; pozdravlja prijavljeno povećanje broja korisnika Revizorskog suda koji imaju pristup FENIX-u; međutim, podržava zahtjev Revizorskog suda da mu Komisija što prije odobri puni pristup; podsjeća da Glavna uprava Komisije za gospodarske i financijske poslove nastoji Revizorskom sudu odobriti pristup spisima u FENIX-u u roku od 2 tjedna od odobrenja zahtjeva za plaćanje; međutim, izražava zabrinutost zbog toga što se u praksi u mnogim slučajevima ne poštuje taj rok i što je u nekim slučajevima dolazilo do kašnjenja do 2 i pol mjeseca, što znatno usporava donošenje zaključaka Revizorskog suda; podsjeća Komisiju na njezinu obvezu iz članka 263. Financijske uredbe da Revizorskom sudu omogući sveobuhvatan pristup svim relevantnim sustavima i bazama podataka (među ostalim ARACHNE, FENIX, ARES);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ističe važnost javne nabave kao alata za promicanje ciljeva politike, uključujući socijalne i okolišne ciljeve;</w:t>
            </w:r>
            <w:r>
              <w:t xml:space="preserve"> </w:t>
            </w:r>
            <w:r>
              <w:rPr>
                <w:b/>
                <w:i/>
              </w:rPr>
              <w:t>poziva Revizorski sud da ojača integraciju strateških kriterija u pogledu društvene odgovornosti i okolišne održivosti u svoje postupke javne nabave;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napominje da je Revizorski sud na kraju 2024. imao 961 člana osoblja (smanjenje u usporedbi s 969 u 2023.), uključujući privremeno osoblje (192 u 2024., smanjenje u usporedbi s 204 u 2023.), ugovorno osoblje (84 u 2024., smanjenje u usporedbi s 86 u 2023.) i upućene nacionalne stručnjake (26 u 2024., jednako kao i 2023.); podsjeća na važnost </w:t>
            </w:r>
            <w:r>
              <w:rPr>
                <w:b/>
                <w:i/>
              </w:rPr>
              <w:t>pružanja</w:t>
            </w:r>
            <w:r>
              <w:t xml:space="preserve"> ugovora na neodređeno vrijeme zaposlenicima kako bi se </w:t>
            </w:r>
            <w:r>
              <w:rPr>
                <w:b/>
                <w:i/>
              </w:rPr>
              <w:t>održale</w:t>
            </w:r>
            <w:r>
              <w:t xml:space="preserve"> vještine </w:t>
            </w:r>
            <w:r>
              <w:rPr>
                <w:b/>
                <w:i/>
              </w:rPr>
              <w:t>i</w:t>
            </w:r>
            <w:r>
              <w:t xml:space="preserve"> osigurao kontinuitet </w:t>
            </w:r>
            <w:r>
              <w:rPr>
                <w:b/>
                <w:i/>
              </w:rPr>
              <w:t>i</w:t>
            </w:r>
            <w:r>
              <w:t xml:space="preserve"> produktivno radno okruženje;</w:t>
            </w:r>
          </w:p>
        </w:tc>
        <w:tc>
          <w:tcPr>
            <w:tcW w:w="4876" w:type="dxa"/>
            <w:tcBorders>
              <w:top w:val="nil"/>
              <w:left w:val="nil"/>
              <w:bottom w:val="nil"/>
              <w:right w:val="nil"/>
            </w:tcBorders>
          </w:tcPr>
          <w:p>
            <w:pPr>
              <w:pStyle w:val="Normal6a"/>
            </w:pPr>
            <w:r>
              <w:t>20.</w:t>
            </w:r>
            <w:r>
              <w:tab/>
            </w:r>
            <w:r>
              <w:t xml:space="preserve">napominje da je Revizorski sud na kraju 2024. imao 961 člana osoblja (smanjenje u usporedbi s 969 u 2023.), uključujući privremeno osoblje (192 u 2024., smanjenje u usporedbi s 204 u 2023.), ugovorno osoblje (84 u 2024., smanjenje u usporedbi s 86 u 2023.) i upućene nacionalne stručnjake (26 u 2024., jednako kao i 2023.); podsjeća na važnost </w:t>
            </w:r>
            <w:r>
              <w:rPr>
                <w:b/>
                <w:i/>
              </w:rPr>
              <w:t>sklapanja</w:t>
            </w:r>
            <w:r>
              <w:t xml:space="preserve"> ugovora na neodređeno vrijeme </w:t>
            </w:r>
            <w:r>
              <w:rPr>
                <w:b/>
                <w:i/>
              </w:rPr>
              <w:t>sa</w:t>
            </w:r>
            <w:r>
              <w:t xml:space="preserve"> zaposlenicima kako bi se </w:t>
            </w:r>
            <w:r>
              <w:rPr>
                <w:b/>
                <w:i/>
              </w:rPr>
              <w:t>zadržale</w:t>
            </w:r>
            <w:r>
              <w:t xml:space="preserve"> vještine</w:t>
            </w:r>
            <w:r>
              <w:rPr>
                <w:b/>
                <w:i/>
              </w:rPr>
              <w:t>,</w:t>
            </w:r>
            <w:r>
              <w:t xml:space="preserve"> osigurao kontinuitet </w:t>
            </w:r>
            <w:r>
              <w:rPr>
                <w:b/>
                <w:i/>
              </w:rPr>
              <w:t>te</w:t>
            </w:r>
            <w:r>
              <w:t xml:space="preserve"> produktivno </w:t>
            </w:r>
            <w:r>
              <w:rPr>
                <w:b/>
                <w:i/>
              </w:rPr>
              <w:t>i stabilno</w:t>
            </w:r>
            <w:r>
              <w:t xml:space="preserve"> radno okruženje;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napominje da su 2024.</w:t>
            </w:r>
            <w:r>
              <w:t xml:space="preserve"> </w:t>
            </w:r>
            <w:r>
              <w:rPr>
                <w:b/>
                <w:i/>
              </w:rPr>
              <w:t>54 % osoblja Revizorskog suda činile žene (porast u usporedbi s 53 % u 2023.), a 47 % muškarci;</w:t>
            </w:r>
            <w:r>
              <w:t xml:space="preserve"> </w:t>
            </w:r>
            <w:r>
              <w:rPr>
                <w:b/>
                <w:i/>
              </w:rPr>
              <w:t>žali zbog činjenice da žene čine samo 30 % višeg rukovodstva Revizorskog suda, jednako kao i 2023.;</w:t>
            </w:r>
            <w:r>
              <w:t xml:space="preserve"> </w:t>
            </w:r>
            <w:r>
              <w:rPr>
                <w:b/>
                <w:i/>
              </w:rPr>
              <w:t>nadalje žali zbog smanjenja udjela žena na srednjim rukovodećim položajima s 40 % na 37,30 % 2023.;</w:t>
            </w:r>
            <w:r>
              <w:t xml:space="preserve"> </w:t>
            </w:r>
            <w:r>
              <w:rPr>
                <w:b/>
                <w:i/>
              </w:rPr>
              <w:t>podsjeća na činjenicu da je rodna ravnopravnost načelo koje se temelji na Ugovorima i koje bi sve institucije trebale poštovati te poziva Revizorski sud da nastavi ulagati napore u promicanje rodne ravnoteže za srednje i više rukovodstvo;</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napominje da je, prema upitniku, Revizorski sud zapošljavao 64 stažista, od kojih je 59 primilo mjesečnu naknadu u 2024.;</w:t>
            </w:r>
            <w:r>
              <w:t xml:space="preserve"> </w:t>
            </w:r>
            <w:r>
              <w:rPr>
                <w:b/>
                <w:i/>
              </w:rPr>
              <w:t>pozdravlja novi program Revizorskog suda pod nazivom Razvoj karijere u okviru inicijative TraineEca, čiji je cilj ponuditi mogućnosti zapošljavanja pripravnicima koji su to najviše zaslužili;</w:t>
            </w:r>
            <w:r>
              <w:t xml:space="preserve"> </w:t>
            </w:r>
            <w:r>
              <w:rPr>
                <w:b/>
                <w:i/>
              </w:rPr>
              <w:t>osim toga, prima na znanje plan Revizorskog suda da ponudi posebna pripravništva u području umjetne inteligencije za osobe koje su nedavno diplomirale i doktorande u tom području;</w:t>
            </w:r>
            <w:r>
              <w:t xml:space="preserve"> </w:t>
            </w:r>
            <w:r>
              <w:rPr>
                <w:b/>
                <w:i/>
              </w:rPr>
              <w:t>ponovno ističe da bi stažiranja trebala biti plaćena, u skladu s Rezolucijom Parlamenta od 15. lipnja 2023. o kvalitetnim pripravništvima u Uniji (2020/2005(INL)), u kojoj se poziva na to da sva pripravništva u Uniji budu plaćena;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napominje da je, prema upitniku, Revizorski sud zapošljavao 64 stažista, od kojih je 59 primilo mjesečnu naknadu u 2024.; pozdravlja novi program Revizorskog suda pod nazivom Razvoj karijere u okviru inicijative TraineEca, čiji je cilj ponuditi mogućnosti zapošljavanja pripravnicima koji su to najviše zaslužili; osim toga, prima na znanje plan Revizorskog suda da ponudi posebna pripravništva u području umjetne inteligencije za osobe koje su nedavno diplomirale i doktorande u tom području; ponovno ističe da bi stažiranja trebala biti plaćena, u skladu s Rezolucijom Parlamenta od 15. lipnja 2023. o kvalitetnim pripravništvima u Uniji (2020/2005(INL)), u kojoj se poziva na to da sva pripravništva u Uniji budu plaćena;</w:t>
            </w:r>
          </w:p>
        </w:tc>
        <w:tc>
          <w:tcPr>
            <w:tcW w:w="4876" w:type="dxa"/>
            <w:tcBorders>
              <w:top w:val="nil"/>
              <w:left w:val="nil"/>
              <w:bottom w:val="nil"/>
              <w:right w:val="nil"/>
            </w:tcBorders>
          </w:tcPr>
          <w:p>
            <w:pPr>
              <w:pStyle w:val="Normal6a"/>
            </w:pPr>
            <w:r>
              <w:t>22.</w:t>
            </w:r>
            <w:r>
              <w:tab/>
            </w:r>
            <w:r>
              <w:t xml:space="preserve">napominje da je, prema upitniku, Revizorski sud zapošljavao 64 stažista, od kojih je 59 primilo mjesečnu naknadu u 2024.; pozdravlja novi program Revizorskog suda pod nazivom Razvoj karijere u okviru inicijative TraineEca, čiji je cilj ponuditi mogućnosti zapošljavanja pripravnicima koji su to najviše zaslužili; osim toga, prima na znanje plan Revizorskog suda da ponudi posebna pripravništva u području umjetne inteligencije za osobe koje su nedavno diplomirale i doktorande u tom području; ponovno ističe da bi stažiranja trebala biti plaćena, u skladu s Rezolucijom Parlamenta od 15. lipnja 2023. o kvalitetnim pripravništvima u Uniji (2020/2005(INL)), u kojoj se poziva na to da sva pripravništva u Uniji budu plaćena; </w:t>
            </w:r>
            <w:r>
              <w:rPr>
                <w:b/>
                <w:i/>
              </w:rPr>
              <w:t>ističe da je neplaćeno pripravništvo oblik iskorištavanja mladih radnika i prepreka ostvarivanju jednakih mogućnosti;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napominje da je, prema upitniku, zapošljavanje dužnosnika i dalje bilo izazov za Revizorski sud u 2024. zbog nedovoljne privlačnosti Luksemburga kao mjesta rada ili nedostatka interesa za poslove revizije i kontrole među mladim radnicima; sa zadovoljstvom primjećuje da je Revizorski sud riješio to pitanje organiziranjem redovitih postupaka odabira usmjerenih na stažiste Revizorskog suda, organiziranjem internih natječaja kako bi se zadržali najzaslužniji talenti i povećanjem aktivnosti informiranja; u tom kontekstu potvrđuje da je potrebna klauzula o natječaju kako bi se natječaji EPSO-a organizirali isključivo za Luksemburg; pohvaljuje Revizorski sud zbog toga što se pridružio međuinstitucijskom sporazumu prema kojem osoblje koje zapošljavaju institucije Unije sa sjedištem u Luxembourgu prima naknadu za stanovanje od 2025. kako bi se nadoknadili visoki troškovi života u Luxembourgu;</w:t>
            </w:r>
          </w:p>
        </w:tc>
        <w:tc>
          <w:tcPr>
            <w:tcW w:w="4876" w:type="dxa"/>
            <w:tcBorders>
              <w:top w:val="nil"/>
              <w:left w:val="nil"/>
              <w:bottom w:val="nil"/>
              <w:right w:val="nil"/>
            </w:tcBorders>
          </w:tcPr>
          <w:p>
            <w:pPr>
              <w:pStyle w:val="Normal6a"/>
            </w:pPr>
            <w:r>
              <w:t>23.</w:t>
            </w:r>
            <w:r>
              <w:tab/>
            </w:r>
            <w:r>
              <w:t xml:space="preserve">napominje da je, prema upitniku, zapošljavanje dužnosnika i dalje bilo izazov za Revizorski sud u 2024. zbog nedovoljne privlačnosti Luksemburga kao mjesta rada ili nedostatka interesa za poslove revizije i kontrole među mladim radnicima; sa zadovoljstvom primjećuje da je Revizorski sud riješio to pitanje organiziranjem redovitih postupaka odabira usmjerenih na stažiste Revizorskog suda, organiziranjem internih natječaja kako bi se zadržali najzaslužniji talenti i povećanjem aktivnosti informiranja; </w:t>
            </w:r>
            <w:r>
              <w:rPr>
                <w:b/>
                <w:i/>
              </w:rPr>
              <w:t>potiče Revizorski sud da nastavi s ulaganjem tih napora kako bi se očuvao kontinuitet svojih aktivnosti;</w:t>
            </w:r>
            <w:r>
              <w:t xml:space="preserve"> u tom kontekstu potvrđuje da je potrebna klauzula o natječaju kako bi se natječaji EPSO-a organizirali isključivo za Luksemburg; pohvaljuje Revizorski sud zbog toga što se pridružio međuinstitucijskom sporazumu prema kojem osoblje koje zapošljavaju institucije Unije sa sjedištem u Luxembourgu prima naknadu za stanovanje od 2025. kako bi se nadoknadili visoki troškovi života u Luxembourgu;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24.</w:t>
            </w:r>
            <w:r>
              <w:tab/>
            </w:r>
            <w:r>
              <w:rPr>
                <w:b/>
                <w:i/>
              </w:rPr>
              <w:t>svjestan je da Revizorski sud nema ulogu u postupku odabira članova u skladu s člankom 286. stavkom 2.</w:t>
            </w:r>
            <w:r>
              <w:t xml:space="preserve"> </w:t>
            </w:r>
            <w:r>
              <w:rPr>
                <w:b/>
                <w:i/>
              </w:rPr>
              <w:t>UFEU-a;</w:t>
            </w:r>
            <w:r>
              <w:t xml:space="preserve"> </w:t>
            </w:r>
            <w:r>
              <w:rPr>
                <w:b/>
                <w:i/>
              </w:rPr>
              <w:t>podsjeća, međutim, da i dalje postoji znatna rodna neravnoteža među članovima Revizorskog suda, sa samo 10 žena među 27 članova;</w:t>
            </w:r>
            <w:r>
              <w:t xml:space="preserve"> </w:t>
            </w:r>
            <w:r>
              <w:rPr>
                <w:b/>
                <w:i/>
              </w:rPr>
              <w:t>ponavlja svoj poziv državama članicama da predlože kandidate različitog spola s ciljem uravnoteženijeg i reprezentativnijeg sastava Revizorskog suda;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svjestan je da Revizorski sud nema ulogu u postupku odabira članova u skladu s člankom 286. stavkom 2. UFEU-a; podsjeća, međutim, da i dalje postoji znatna rodna neravnoteža među članovima Revizorskog suda, sa samo 10 žena među 27 članova; ponavlja svoj poziv državama članicama da </w:t>
            </w:r>
            <w:r>
              <w:rPr>
                <w:b/>
                <w:i/>
              </w:rPr>
              <w:t>predlože kandidate različitog spola s ciljem uravnoteženijeg i reprezentativnijeg sastava Revizorskog suda</w:t>
            </w:r>
            <w:r>
              <w:t>;</w:t>
            </w:r>
          </w:p>
        </w:tc>
        <w:tc>
          <w:tcPr>
            <w:tcW w:w="4876" w:type="dxa"/>
            <w:tcBorders>
              <w:top w:val="nil"/>
              <w:left w:val="nil"/>
              <w:bottom w:val="nil"/>
              <w:right w:val="nil"/>
            </w:tcBorders>
          </w:tcPr>
          <w:p>
            <w:pPr>
              <w:pStyle w:val="Normal6a"/>
            </w:pPr>
            <w:r>
              <w:t>24.</w:t>
            </w:r>
            <w:r>
              <w:tab/>
            </w:r>
            <w:r>
              <w:t xml:space="preserve">svjestan je da Revizorski sud nema ulogu u postupku odabira članova u skladu s člankom 286. stavkom 2. UFEU-a; podsjeća, međutim, da i dalje postoji znatna rodna neravnoteža među članovima Revizorskog suda, sa samo 10 žena među 27 članova; ponavlja svoj poziv državama članicama da </w:t>
            </w:r>
            <w:r>
              <w:rPr>
                <w:b/>
                <w:i/>
              </w:rPr>
              <w:t>pri predlaganju kandidata uzmu u obzir potrebu za rodnom ravnotežom te da se pritom pobrinu za to da se imenovanja i dalje temelje na kriterijima zasluga, kvalifikacija i neovisnosti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svjestan je da Revizorski sud nema ulogu u postupku odabira članova u skladu s člankom 286. stavkom 2. UFEU-a; podsjeća, međutim, da i dalje postoji znatna rodna neravnoteža među članovima Revizorskog suda, sa samo 10 žena među 27 članova; ponavlja svoj poziv državama članicama da predlože kandidate različitog spola s ciljem uravnoteženijeg i reprezentativnijeg sastava Revizorskog suda;</w:t>
            </w:r>
          </w:p>
        </w:tc>
        <w:tc>
          <w:tcPr>
            <w:tcW w:w="4876" w:type="dxa"/>
            <w:tcBorders>
              <w:top w:val="nil"/>
              <w:left w:val="nil"/>
              <w:bottom w:val="nil"/>
              <w:right w:val="nil"/>
            </w:tcBorders>
          </w:tcPr>
          <w:p>
            <w:pPr>
              <w:pStyle w:val="Normal6a"/>
            </w:pPr>
            <w:r>
              <w:t>24.</w:t>
            </w:r>
            <w:r>
              <w:tab/>
            </w:r>
            <w:r>
              <w:t xml:space="preserve">svjestan je da Revizorski sud nema ulogu u postupku odabira članova u skladu s člankom 286. stavkom 2. UFEU-a; podsjeća, međutim, da i dalje postoji znatna rodna neravnoteža među članovima Revizorskog suda, sa samo 10 žena među 27 članova; </w:t>
            </w:r>
            <w:r>
              <w:rPr>
                <w:b/>
                <w:i/>
              </w:rPr>
              <w:t>izražava žaljenje zbog toga što više država članica nikad nije imenovalo ženu za članicu Revizorskog suda;</w:t>
            </w:r>
            <w:r>
              <w:t xml:space="preserve"> ponavlja svoj poziv državama članicama da predlože kandidate različitog spola s ciljem uravnoteženijeg i reprezentativnijeg sastava Revizorskog suda;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28.</w:t>
            </w:r>
            <w:r>
              <w:tab/>
            </w:r>
            <w:r>
              <w:rPr>
                <w:b/>
                <w:i/>
              </w:rPr>
              <w:t>napominje da je nekoliko nacionalnosti, posebno iz nordijskih država članica, nedovoljno zastupljeno među osobljem Revizorskog suda;</w:t>
            </w:r>
            <w:r>
              <w:t xml:space="preserve"> </w:t>
            </w:r>
            <w:r>
              <w:rPr>
                <w:b/>
                <w:i/>
              </w:rPr>
              <w:t>napominje da postoji rizik od daljnjeg smanjenja zbog starenja osoblja i nedostatka zapošljavanja kandidata iz tih država članica;</w:t>
            </w:r>
            <w:r>
              <w:t xml:space="preserve"> </w:t>
            </w:r>
            <w:r>
              <w:rPr>
                <w:b/>
                <w:i/>
              </w:rPr>
              <w:t>podsjeća na opetovane napore Revizorskog suda da riješi tu neravnotežu povećanjem publiciteta natječaja i oglasa za slobodna radna mjesta Revizorskog suda u znatno nedovoljno zastupljenim državama članicama, suradnjom s članovima Revizorskog suda kako bi proširio svoje obavijesti i dopiranjem do potencijalnih kandidata sudjelovanjem na sajmovima karijera u određenim državama članicama;</w:t>
            </w:r>
            <w:r>
              <w:t xml:space="preserve"> </w:t>
            </w:r>
            <w:r>
              <w:rPr>
                <w:b/>
                <w:i/>
              </w:rPr>
              <w:t>osim toga, napominje da je, prema izvješću o daljnjim mjerama, Revizorski sud također razvio akcijski plan s deset mjera tijekom sljedećih 5 godina kako bi se preokrenula trenutačna nedovoljna zastupljenost određenih država članica;</w:t>
            </w:r>
            <w:r>
              <w:t xml:space="preserve"> </w:t>
            </w:r>
            <w:r>
              <w:rPr>
                <w:b/>
                <w:i/>
              </w:rPr>
              <w:t>poziva Revizorski sud da obavješćuje tijelo nadležno za davanje razrješnice o napretku i ishodu provedbe tog akcijskog plana;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napominje da je nekoliko nacionalnosti, posebno iz nordijskih država članica, nedovoljno zastupljeno među osobljem Revizorskog suda; napominje da postoji rizik od daljnjeg smanjenja zbog starenja osoblja i nedostatka zapošljavanja kandidata iz tih država članica; podsjeća na opetovane napore Revizorskog suda da riješi tu neravnotežu povećanjem publiciteta natječaja i oglasa za slobodna radna mjesta Revizorskog suda u znatno nedovoljno zastupljenim državama članicama, suradnjom s članovima Revizorskog suda kako bi proširio svoje obavijesti i dopiranjem do potencijalnih kandidata sudjelovanjem na sajmovima karijera u određenim državama članicama; osim toga, napominje da je, prema izvješću o daljnjim mjerama, Revizorski sud također razvio akcijski plan s deset mjera tijekom sljedećih 5 godina kako bi se preokrenula trenutačna nedovoljna zastupljenost određenih država članica; poziva Revizorski sud da obavješćuje tijelo nadležno za davanje razrješnice o napretku i ishodu provedbe tog akcijskog plana;</w:t>
            </w:r>
          </w:p>
        </w:tc>
        <w:tc>
          <w:tcPr>
            <w:tcW w:w="4876" w:type="dxa"/>
            <w:tcBorders>
              <w:top w:val="nil"/>
              <w:left w:val="nil"/>
              <w:bottom w:val="nil"/>
              <w:right w:val="nil"/>
            </w:tcBorders>
          </w:tcPr>
          <w:p>
            <w:pPr>
              <w:pStyle w:val="Normal6a"/>
            </w:pPr>
            <w:r>
              <w:t>28.</w:t>
            </w:r>
            <w:r>
              <w:tab/>
            </w:r>
            <w:r>
              <w:t xml:space="preserve">napominje da je nekoliko nacionalnosti, posebno iz nordijskih država članica, nedovoljno zastupljeno među osobljem Revizorskog suda; napominje da postoji rizik od daljnjeg smanjenja zbog starenja osoblja i nedostatka zapošljavanja kandidata iz tih država članica; podsjeća na opetovane napore Revizorskog suda da riješi tu neravnotežu povećanjem publiciteta natječaja i oglasa za slobodna radna mjesta Revizorskog suda u znatno nedovoljno zastupljenim državama članicama, suradnjom s članovima Revizorskog suda kako bi proširio svoje obavijesti i dopiranjem do potencijalnih kandidata sudjelovanjem na sajmovima karijera u određenim državama članicama; osim toga, napominje da je, prema izvješću o daljnjim mjerama, Revizorski sud također razvio akcijski plan s deset mjera tijekom sljedećih 5 godina kako bi se preokrenula trenutačna nedovoljna zastupljenost određenih država članica; poziva Revizorski sud da obavješćuje tijelo nadležno za davanje razrješnice o napretku i ishodu provedbe tog akcijskog plana; </w:t>
            </w:r>
            <w:r>
              <w:rPr>
                <w:b/>
                <w:i/>
              </w:rPr>
              <w:t>pohvaljuje napore koje je Revizorski sud dosad uložio u obavljanje svojih dužnosti u vezi s Mehanizmom za oporavak i otpornost unatoč tome što dostupna sredstva nisu u potpunosti odgovarajuća;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podsjeća da je krajem 2023. popunjeno svih 29 dodatnih radnih mjesta (privremeno osoblje) potrebnih za reviziju iznosa od 723,8 milijardi EUR u okviru Mehanizma za oporavak i otpornost; međutim, shvaća da značaj, složenost i veliki iznosi Mehanizma za oporavak i otpornost te brze isplate iz njega i dalje predstavljaju izazove te da trenutačna sredstva nisu dovoljna za sustavno osiguravanje usklađenosti rashoda Mehanizma za oporavak i otpornost s pravilima Unije i nacionalnim pravilima te za odgovor na povećane aktivnosti Unije; u tom kontekstu podržava zahtjev Revizorskog suda da se 29 privremenih djelatnika zaposlenih za revizije povezane s Mehanizmom za oporavak i otpornost pretvori u stalna radna mjesta;</w:t>
            </w:r>
          </w:p>
        </w:tc>
        <w:tc>
          <w:tcPr>
            <w:tcW w:w="4876" w:type="dxa"/>
            <w:tcBorders>
              <w:top w:val="nil"/>
              <w:left w:val="nil"/>
              <w:bottom w:val="nil"/>
              <w:right w:val="nil"/>
            </w:tcBorders>
          </w:tcPr>
          <w:p>
            <w:pPr>
              <w:pStyle w:val="Normal6a"/>
            </w:pPr>
            <w:r>
              <w:t>29.</w:t>
            </w:r>
            <w:r>
              <w:tab/>
            </w:r>
            <w:r>
              <w:t xml:space="preserve">podsjeća da je krajem 2023. popunjeno svih 29 dodatnih radnih mjesta (privremeno osoblje) potrebnih za reviziju iznosa od 723,8 milijardi EUR u okviru Mehanizma za oporavak i otpornost; međutim, shvaća da značaj, složenost i veliki iznosi Mehanizma za oporavak i otpornost te brze isplate iz njega i dalje predstavljaju izazove te da trenutačna sredstva nisu dovoljna za sustavno osiguravanje usklađenosti rashoda Mehanizma za oporavak i otpornost s pravilima Unije i nacionalnim pravilima te za odgovor na povećane aktivnosti Unije; u tom kontekstu podržava zahtjev Revizorskog suda da se 29 privremenih djelatnika zaposlenih za revizije povezane s Mehanizmom za oporavak i otpornost pretvori u stalna radna mjesta; </w:t>
            </w:r>
            <w:r>
              <w:rPr>
                <w:b/>
                <w:i/>
              </w:rPr>
              <w:t>ističe da je ocjenjivanje ključnih etapa i ciljnih vrijednosti samo po sebi složenije i dugotrajnije zbog njihove često kvalitativne prirode te povezanosti sa zakonodavnim reformama, administrativnim promjenama ili upravljačkom strukturom, a ne s mjerljivim financijskim podacima;</w:t>
            </w:r>
            <w:r>
              <w:t xml:space="preserve"> </w:t>
            </w:r>
            <w:r>
              <w:rPr>
                <w:b/>
                <w:i/>
              </w:rPr>
              <w:t>izražava zabrinutost zbog toga što bi replikacija ili proširenje sličnih modela financiranja na temelju uspješnosti u okviru sljedećeg višegodišnjeg financijskog okvira, bez odgovarajućih prilagodbi revizijskih metodologija, pristupa informacijama i resursima, mogli uvelike oslabiti učinkovit nadzor, odgovornost i jamstvo u pogledu potrošnje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podsjeća da je krajem 2023. popunjeno svih 29 dodatnih radnih mjesta (privremeno osoblje) potrebnih za reviziju iznosa od 723,8 milijardi EUR u okviru Mehanizma za oporavak i otpornost; međutim, shvaća da značaj, složenost i veliki iznosi Mehanizma za oporavak i otpornost te brze isplate iz njega i dalje predstavljaju izazove te da trenutačna sredstva nisu dovoljna za sustavno osiguravanje usklađenosti rashoda Mehanizma za oporavak i otpornost s pravilima Unije i nacionalnim pravilima te za odgovor na povećane aktivnosti Unije; u tom kontekstu podržava zahtjev Revizorskog suda da se 29 privremenih djelatnika zaposlenih za revizije povezane s Mehanizmom za oporavak i otpornost pretvori u stalna radna mjesta;</w:t>
            </w:r>
          </w:p>
        </w:tc>
        <w:tc>
          <w:tcPr>
            <w:tcW w:w="4876" w:type="dxa"/>
            <w:tcBorders>
              <w:top w:val="nil"/>
              <w:left w:val="nil"/>
              <w:bottom w:val="nil"/>
              <w:right w:val="nil"/>
            </w:tcBorders>
          </w:tcPr>
          <w:p>
            <w:pPr>
              <w:pStyle w:val="Normal6a"/>
            </w:pPr>
            <w:r>
              <w:t>29.</w:t>
            </w:r>
            <w:r>
              <w:tab/>
            </w:r>
            <w:r>
              <w:t xml:space="preserve">podsjeća </w:t>
            </w:r>
            <w:r>
              <w:rPr>
                <w:b/>
                <w:i/>
              </w:rPr>
              <w:t>na to</w:t>
            </w:r>
            <w:r>
              <w:t xml:space="preserve"> da je krajem 2023. popunjeno svih 29 dodatnih radnih mjesta (privremeno osoblje) potrebnih za reviziju iznosa od 723,8 milijardi EUR u okviru Mehanizma za oporavak i otpornost; međutim, shvaća da značaj, složenost i veliki iznosi Mehanizma za oporavak i otpornost te brze isplate iz njega i dalje predstavljaju izazove te da trenutačna sredstva nisu dovoljna za sustavno osiguravanje usklađenosti rashoda Mehanizma za oporavak i otpornost s pravilima Unije i nacionalnim pravilima te za odgovor na povećane aktivnosti Unije; u tom kontekstu podržava zahtjev Revizorskog suda da se 29 privremenih djelatnika zaposlenih za revizije povezane s Mehanizmom za oporavak i otpornost pretvori u stalna radna mjesta; </w:t>
            </w:r>
            <w:r>
              <w:rPr>
                <w:b/>
                <w:i/>
              </w:rPr>
              <w:t>ističe da je važno osigurati da Revizorski sud trajno raspolaže odgovarajućim brojem osoblja kako bi ispunjavao svoj mandat i dodatne odgovornosti koje proizlaze iz novih financijskih instrumenata, kao što je Mehanizam za oporavak i otpornost;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podsjeća da je krajem 2023. popunjeno svih 29 dodatnih radnih mjesta (privremeno osoblje) potrebnih za reviziju iznosa od 723,8 milijardi EUR u okviru Mehanizma za oporavak i otpornost; međutim, shvaća da značaj, složenost i veliki iznosi Mehanizma za oporavak i otpornost te brze isplate iz njega i dalje predstavljaju izazove te da trenutačna sredstva nisu dovoljna za sustavno osiguravanje usklađenosti rashoda Mehanizma za oporavak i otpornost s pravilima Unije i nacionalnim pravilima te za odgovor na povećane aktivnosti Unije; u tom kontekstu podržava zahtjev Revizorskog suda da se 29 privremenih djelatnika zaposlenih za revizije povezane s Mehanizmom za oporavak i otpornost pretvori u stalna radna mjesta;</w:t>
            </w:r>
          </w:p>
        </w:tc>
        <w:tc>
          <w:tcPr>
            <w:tcW w:w="4876" w:type="dxa"/>
            <w:tcBorders>
              <w:top w:val="nil"/>
              <w:left w:val="nil"/>
              <w:bottom w:val="nil"/>
              <w:right w:val="nil"/>
            </w:tcBorders>
          </w:tcPr>
          <w:p>
            <w:pPr>
              <w:pStyle w:val="Normal6a"/>
            </w:pPr>
            <w:r>
              <w:t>29.</w:t>
            </w:r>
            <w:r>
              <w:tab/>
            </w:r>
            <w:r>
              <w:t xml:space="preserve">podsjeća </w:t>
            </w:r>
            <w:r>
              <w:rPr>
                <w:b/>
                <w:i/>
              </w:rPr>
              <w:t>na to</w:t>
            </w:r>
            <w:r>
              <w:t xml:space="preserve"> da je krajem 2023. popunjeno svih 29 dodatnih radnih mjesta (privremeno osoblje) potrebnih za reviziju iznosa od 723,8 milijardi EUR u okviru Mehanizma za oporavak i otpornost; međutim, shvaća da značaj, složenost i veliki iznosi Mehanizma za oporavak i otpornost te brze isplate iz njega i dalje predstavljaju izazove te da trenutačna sredstva nisu dovoljna za sustavno osiguravanje usklađenosti rashoda Mehanizma za oporavak i otpornost s pravilima Unije i nacionalnim pravilima te za odgovor na povećane aktivnosti Unije; u tom kontekstu podržava zahtjev Revizorskog suda da se 29 privremenih djelatnika zaposlenih za revizije povezane s Mehanizmom za oporavak i otpornost pretvori u stalna radna mjesta </w:t>
            </w:r>
            <w:r>
              <w:rPr>
                <w:b/>
                <w:i/>
              </w:rPr>
              <w:t>kako bi se osiguralo da je Revizorski sud strukturno opremljen za reviziju Mehanizma za oporavak i otpornost i budućih instrumenata koji se temelje na uspješnosti, uključujući VFO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sa zadovoljstvom prima na znanje da je Revizorski sud 2024. premašio ciljnu vrijednost za broj dana stručnog osposobljavanja, odnosno pet dana nejezičnog osposobljavanja godišnje za revizore, u skladu s preporukama Međunarodne federacije računovođa, tj. dva dana za nerevizorsko osoblje (točnije 5,8 dana odnosno 3,9 dana);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napominje da je 2024. prijavljeno 13 slučajeva sindroma izgaranja na poslu, što je povećanje u usporedbi sa sedam slučajeva 2023.; pozdravlja činjenicu da je Revizorski sud poduzeo više koraka kako bi smanjio rizik od sindroma izgaranja na poslu: uveo je program cjelovite dobrobiti, organizirao je radionice usmjerene na otpornost, objavio je i proveo smjernice za povratak na posao nakon dugotrajnog bolovanja, nastavio je pružati prvu pomoć u području mentalnog zdravlja te je pružao financijsku potporu osoblju pokrivanjem troškova deset seansi sa psihologom po vlastitom izboru; posebno napominje da je Revizorski sud 2024. organizirao četiri obvezna tečaja za rukovoditelje, s naglaskom na dobrobiti osoblja, uspješnosti, ravnoteži između poslovnog i privatnog života te sprečavanju sindroma izgaranja na poslu;</w:t>
            </w:r>
          </w:p>
        </w:tc>
        <w:tc>
          <w:tcPr>
            <w:tcW w:w="4876" w:type="dxa"/>
            <w:tcBorders>
              <w:top w:val="nil"/>
              <w:left w:val="nil"/>
              <w:bottom w:val="nil"/>
              <w:right w:val="nil"/>
            </w:tcBorders>
          </w:tcPr>
          <w:p>
            <w:pPr>
              <w:pStyle w:val="Normal6a"/>
            </w:pPr>
            <w:r>
              <w:t>31.</w:t>
            </w:r>
            <w:r>
              <w:tab/>
            </w:r>
            <w:r>
              <w:rPr>
                <w:b/>
                <w:i/>
              </w:rPr>
              <w:t>s ozbiljnom zabrinutošću</w:t>
            </w:r>
            <w:r>
              <w:t xml:space="preserve"> napominje da je 2024. prijavljeno 13 slučajeva sindroma izgaranja na poslu, što je povećanje u usporedbi sa sedam slučajeva 2023</w:t>
            </w:r>
            <w:r>
              <w:rPr>
                <w:b/>
                <w:i/>
              </w:rPr>
              <w:t>.;</w:t>
            </w:r>
            <w:r>
              <w:t xml:space="preserve"> </w:t>
            </w:r>
            <w:r>
              <w:rPr>
                <w:b/>
                <w:i/>
              </w:rPr>
              <w:t>poziva Revizorski sud da provede temeljitu analizu utemeljenu na dokazima u pogledu razloga velikog povećanja prijavljenih slučajeva sindroma izgaranja na poslu 2024</w:t>
            </w:r>
            <w:r>
              <w:t xml:space="preserve">.; pozdravlja činjenicu da je Revizorski sud poduzeo više koraka kako bi smanjio rizik od sindroma izgaranja na poslu: uveo je program cjelovite dobrobiti, organizirao je radionice usmjerene na otpornost, objavio je i proveo smjernice za povratak na posao nakon dugotrajnog bolovanja, nastavio je pružati prvu pomoć u području mentalnog zdravlja te je pružao financijsku potporu osoblju pokrivanjem troškova deset seansi sa psihologom po vlastitom izboru; posebno napominje da je Revizorski sud 2024. organizirao četiri obvezna tečaja za rukovoditelje, s naglaskom na dobrobiti osoblja, uspješnosti, ravnoteži između poslovnog i privatnog života te sprečavanju sindroma izgaranja na poslu; </w:t>
            </w:r>
            <w:r>
              <w:rPr>
                <w:b/>
                <w:i/>
              </w:rPr>
              <w:t>poziva Revizorski sud da, s obzirom na rezultate te analize, preispita i u skladu s time prilagodi svoj pristup kako bi se učinkovito spriječilo sindrom izgaranja na poslu i poboljšalo radno okruženje;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napominje da je 2024. prijavljeno 13 slučajeva sindroma izgaranja na poslu, što je povećanje u usporedbi sa sedam slučajeva 2023.; pozdravlja činjenicu da je Revizorski sud poduzeo više koraka kako bi smanjio rizik od sindroma izgaranja na poslu: uveo je program cjelovite dobrobiti, organizirao je radionice usmjerene na otpornost, objavio je i proveo smjernice za povratak na posao nakon dugotrajnog bolovanja, nastavio je pružati prvu pomoć u području mentalnog zdravlja te je pružao financijsku potporu osoblju pokrivanjem troškova deset seansi sa psihologom po vlastitom izboru; posebno napominje da je Revizorski sud 2024. organizirao četiri obvezna tečaja za rukovoditelje, s naglaskom na dobrobiti osoblja, uspješnosti, ravnoteži između poslovnog i privatnog života te sprečavanju sindroma izgaranja na poslu;</w:t>
            </w:r>
          </w:p>
        </w:tc>
        <w:tc>
          <w:tcPr>
            <w:tcW w:w="4876" w:type="dxa"/>
            <w:tcBorders>
              <w:top w:val="nil"/>
              <w:left w:val="nil"/>
              <w:bottom w:val="nil"/>
              <w:right w:val="nil"/>
            </w:tcBorders>
          </w:tcPr>
          <w:p>
            <w:pPr>
              <w:pStyle w:val="Normal6a"/>
            </w:pPr>
            <w:r>
              <w:t>31.</w:t>
            </w:r>
            <w:r>
              <w:tab/>
            </w:r>
            <w:r>
              <w:t>napominje da je 2024. prijavljeno 13 slučajeva sindroma izgaranja na poslu, što je povećanje u usporedbi sa sedam slučajeva 2023.</w:t>
            </w:r>
            <w:r>
              <w:rPr>
                <w:b/>
                <w:i/>
              </w:rPr>
              <w:t>;</w:t>
            </w:r>
            <w:r>
              <w:t xml:space="preserve"> </w:t>
            </w:r>
            <w:r>
              <w:rPr>
                <w:b/>
                <w:i/>
              </w:rPr>
              <w:t>sa zabrinutošću prima na znanje veliko povećanje prijavljenih slučajeva sindroma izgaranja na poslu 2024.;</w:t>
            </w:r>
            <w:r>
              <w:t xml:space="preserve"> </w:t>
            </w:r>
            <w:r>
              <w:rPr>
                <w:b/>
                <w:i/>
              </w:rPr>
              <w:t>poziva Revizorski sud da dodatno analizira raspodjelu radnog opterećenja, organizacijske elemente i strukturne rizike te da zaključke uključi u svoje prakse planiranja ljudskih resursa i upravljanja njima</w:t>
            </w:r>
            <w:r>
              <w:t>; pozdravlja činjenicu da je Revizorski sud poduzeo više koraka kako bi smanjio rizik od sindroma izgaranja na poslu: uveo je program cjelovite dobrobiti, organizirao je radionice usmjerene na otpornost, objavio je i proveo smjernice za povratak na posao nakon dugotrajnog bolovanja, nastavio je pružati prvu pomoć u području mentalnog zdravlja te je pružao financijsku potporu osoblju pokrivanjem troškova deset seansi sa psihologom po vlastitom izboru; posebno napominje da je Revizorski sud 2024. organizirao četiri obvezna tečaja za rukovoditelje, s naglaskom na dobrobiti osoblja, uspješnosti, ravnoteži između poslovnog i privatnog života te sprečavanju sindroma izgaranja na poslu;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napominje da je, prema upitniku, Revizorski sud 2024. poduzeo brojne mjere, u skladu sa svojim Akcijskim planom za raznolikost i uključivanje za razdoblje 2021.</w:t>
            </w:r>
            <w:r>
              <w:t xml:space="preserve"> </w:t>
            </w:r>
            <w:r>
              <w:rPr>
                <w:b/>
                <w:i/>
              </w:rPr>
              <w:t>– 2025., u različitim područjima kao što su zapošljavanje, osposobljavanje, razvoj karijere, radni uvjeti i osviještenost osoblja;</w:t>
            </w:r>
            <w:r>
              <w:t xml:space="preserve"> </w:t>
            </w:r>
            <w:r>
              <w:rPr>
                <w:b/>
                <w:i/>
              </w:rPr>
              <w:t>napominje da Revizorski sud integrira razvoj i inovacije u svoje postupke upravljanja uspješnošću, evaluacije, certifikacije i promicanja, kao i u svoje programe osposobljavanja, pri čemu je 13 rukovoditelja 2024. provelo dobrovoljnu procjenu razvoja i inovacija;</w:t>
            </w:r>
            <w:r>
              <w:t xml:space="preserve"> </w:t>
            </w:r>
            <w:r>
              <w:rPr>
                <w:b/>
                <w:i/>
              </w:rPr>
              <w:t>pozdravlja specijalizirani tečaj osposobljavanja pod nazivom „Porast broja žena na rukovodećim položajima: stjecanje vještina za uspjeh”, koju je Revizorski sud organizirao kako bi potaknuo žene na upravljačke uloge u turističkom sektoru;</w:t>
            </w:r>
            <w:r>
              <w:t xml:space="preserve"> </w:t>
            </w:r>
            <w:r>
              <w:rPr>
                <w:b/>
                <w:i/>
              </w:rPr>
              <w:t>nadalje pozdravlja nove programe pozitivnog djelovanja Revizorskog suda za pripravnike i ugovorno osoblje usmjerene na osobe s invaliditetom, pri čemu se osobama s priznatim invaliditetom nude dva pripravništva godišnje;</w:t>
            </w:r>
            <w:r>
              <w:t xml:space="preserve"> </w:t>
            </w:r>
            <w:r>
              <w:rPr>
                <w:b/>
                <w:i/>
              </w:rPr>
              <w:t>sa zadovoljstvom prima na znanje da je Revizorski sud 2024. organizirao četvrti tjedan osviještenosti o invaliditetu na Revizorskom sudu, na kojem je pokrenut novi plan za osobe s invaliditetom, naglašavajući napore Revizorskog suda za uključivije radno mjesto;</w:t>
            </w:r>
            <w:r>
              <w:t xml:space="preserve"> </w:t>
            </w:r>
            <w:r>
              <w:rPr>
                <w:b/>
                <w:i/>
              </w:rPr>
              <w:t>sa zadovoljstvom primjećuje da Revizorski sud također objavljuje srednjoročne revizije svojeg akcijskog plana za razvoj i inovacije kako bi se osigurala transparentnost i angažman u cijeloj organizaciji;</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Olivier Chastel, Gilles Boyer,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ponovno izražava duboku zabrinutost zbog odbijanja Revizorskog suda da ukine imunitet svojem bivšem predsjedniku i odluke Revizorskog suda da odbije zahtjev Ureda europskog javnog tužitelja (EPPO) da se određenom broju članova osoblja Revizorskog suda omogući svjedočenje u kaznenoj istrazi koja je u tijeku; prima na znanje iz izvješća o praćenju stajalište Revizorskog suda prema kojem Revizorski sud nije ukinuo navedeni imunitet jer EPPO Revizorskom sudu nije pružio „dostatne informacije na temelju kojih bi mogao razumjeti koje su radnje optužene dotične osobe i u kojoj bi mjeri takve radnje mogle predstavljati kriminalno postupanje”, pozivajući se na sudsku praksu kao dio primjenjivog pravnog okvira u prilog stajalištu Revizorskog suda; napominje da je EPPO 10. veljače 2025. podnio žalbu (broj predmeta T-99/25) Sudu Europske unije u skladu s člankom 263. stavkom 4. UFEU-a protiv odluke Revizorskog suda da odbije zahtjev EPPO-a da se određenom broju članova osoblja Revizorskog suda omogući svjedočenje u kaznenoj istrazi koja je u tijeku; nadalje napominje da se navedenom žalbom nije osporilo to što se dotičnim osobama nije ukinuo imunitet; </w:t>
            </w:r>
            <w:r>
              <w:rPr>
                <w:b/>
                <w:i/>
              </w:rPr>
              <w:t>naglašava da ovlasti institucija Unije da uskrate odobrenje članovima svojeg osoblja da budu saslušani kao svjedoci ne uključuju pravo glasa o osnovanosti sudskih postupaka u kojima članovi osoblja trebaju svjedočiti te se na njih može pozvati samo u situacijama u kojima bi interesi Unije, koji moraju biti od znatne i vitalne važnosti za Uniju, bili ugroženi;</w:t>
            </w:r>
            <w:r>
              <w:t xml:space="preserve"> </w:t>
            </w:r>
            <w:r>
              <w:rPr>
                <w:b/>
                <w:i/>
              </w:rPr>
              <w:t>potiče</w:t>
            </w:r>
            <w:r>
              <w:t xml:space="preserve"> Revizorski sud da zadrži visoku razinu transparentnosti i odgovornosti u suradnji s EPPO-om i drugim tijelima Unije odgovornima za borbu protiv prijevara i povreda dužnosti;</w:t>
            </w:r>
          </w:p>
        </w:tc>
        <w:tc>
          <w:tcPr>
            <w:tcW w:w="4876" w:type="dxa"/>
            <w:tcBorders>
              <w:top w:val="nil"/>
              <w:left w:val="nil"/>
              <w:bottom w:val="nil"/>
              <w:right w:val="nil"/>
            </w:tcBorders>
          </w:tcPr>
          <w:p>
            <w:pPr>
              <w:pStyle w:val="Normal6a"/>
            </w:pPr>
            <w:r>
              <w:t>35.</w:t>
            </w:r>
            <w:r>
              <w:tab/>
            </w:r>
            <w:r>
              <w:t xml:space="preserve">ponovno izražava duboku zabrinutost zbog odbijanja Revizorskog suda da ukine imunitet svojem bivšem predsjedniku i odluke Revizorskog suda da odbije zahtjev Ureda europskog javnog tužitelja (EPPO) da se određenom broju članova osoblja Revizorskog suda omogući svjedočenje u kaznenoj istrazi koja je u tijeku; prima na znanje iz izvješća o praćenju stajalište Revizorskog suda prema kojem Revizorski sud nije ukinuo navedeni imunitet jer EPPO Revizorskom sudu nije pružio „dostatne informacije na temelju kojih bi mogao razumjeti koje su radnje optužene dotične osobe i u kojoj bi mjeri takve radnje mogle predstavljati kriminalno postupanje”, pozivajući se na sudsku praksu kao dio primjenjivog pravnog okvira u prilog stajalištu Revizorskog suda; napominje da je EPPO 10. veljače 2025. podnio žalbu (broj predmeta T-99/25) Sudu Europske unije u skladu s člankom 263. stavkom 4. UFEU-a protiv odluke Revizorskog suda da odbije zahtjev EPPO-a da se određenom broju članova osoblja Revizorskog suda omogući svjedočenje u kaznenoj istrazi koja je u tijeku; nadalje napominje da se navedenom žalbom nije osporilo to što se dotičnim osobama nije ukinuo imunitet; </w:t>
            </w:r>
            <w:r>
              <w:rPr>
                <w:b/>
                <w:i/>
              </w:rPr>
              <w:t>poziva</w:t>
            </w:r>
            <w:r>
              <w:t xml:space="preserve"> Revizorski sud </w:t>
            </w:r>
            <w:r>
              <w:rPr>
                <w:b/>
                <w:i/>
              </w:rPr>
              <w:t>na to</w:t>
            </w:r>
            <w:r>
              <w:t xml:space="preserve"> da zadrži visoku razinu transparentnosti i odgovornosti u suradnji s EPPO-om i drugim tijelima Unije odgovornima za borbu protiv prijevara i povreda dužnosti; </w:t>
            </w:r>
            <w:r>
              <w:rPr>
                <w:b/>
                <w:i/>
              </w:rPr>
              <w:t>apelira na Revizorski sud da pojasni kriterije koji se primjenjuju pri odlučivanju o zahtjevima EPPO-a te da zajamči da se takve odluke ne mogu smatrati ometanjem sudskih istraga;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ponovno izražava duboku zabrinutost zbog odbijanja Revizorskog suda da ukine imunitet svojem bivšem predsjedniku i odluke Revizorskog suda da odbije zahtjev Ureda europskog javnog tužitelja (EPPO) da se određenom broju članova osoblja Revizorskog suda omogući svjedočenje u kaznenoj istrazi koja je u tijeku; prima na znanje iz izvješća o praćenju stajalište Revizorskog suda prema kojem Revizorski sud nije ukinuo navedeni imunitet jer EPPO Revizorskom sudu nije pružio „dostatne informacije na temelju kojih bi mogao razumjeti koje su radnje optužene dotične osobe i u kojoj bi mjeri takve radnje mogle predstavljati kriminalno postupanje”, pozivajući se na sudsku praksu kao dio primjenjivog pravnog okvira u prilog stajalištu Revizorskog suda; napominje da je EPPO 10. veljače 2025. podnio žalbu (broj predmeta T-99/25) Sudu Europske unije u skladu s člankom 263. stavkom 4. UFEU-a protiv odluke Revizorskog suda da odbije zahtjev EPPO-a da se određenom broju članova osoblja Revizorskog suda omogući svjedočenje u kaznenoj istrazi koja je u tijeku; nadalje napominje da se navedenom žalbom nije osporilo to što se dotičnim osobama nije ukinuo imunitet; naglašava da ovlasti institucija Unije da uskrate odobrenje članovima svojeg osoblja da budu saslušani kao svjedoci ne uključuju pravo glasa o osnovanosti sudskih postupaka u kojima članovi osoblja trebaju svjedočiti te se na njih može pozvati samo u situacijama u kojima bi interesi Unije, koji moraju biti od znatne i vitalne važnosti za Uniju, bili ugroženi; </w:t>
            </w:r>
            <w:r>
              <w:rPr>
                <w:b/>
                <w:i/>
              </w:rPr>
              <w:t>potiče</w:t>
            </w:r>
            <w:r>
              <w:t xml:space="preserve"> Revizorski sud </w:t>
            </w:r>
            <w:r>
              <w:rPr>
                <w:b/>
                <w:i/>
              </w:rPr>
              <w:t>da zadrži visoku razinu transparentnosti i odgovornosti u suradnji s EPPO-om i drugim tijelima Unije odgovornima za borbu protiv prijevara i povreda dužnosti</w:t>
            </w:r>
            <w:r>
              <w:t>;</w:t>
            </w:r>
          </w:p>
        </w:tc>
        <w:tc>
          <w:tcPr>
            <w:tcW w:w="4876" w:type="dxa"/>
            <w:tcBorders>
              <w:top w:val="nil"/>
              <w:left w:val="nil"/>
              <w:bottom w:val="nil"/>
              <w:right w:val="nil"/>
            </w:tcBorders>
          </w:tcPr>
          <w:p>
            <w:pPr>
              <w:pStyle w:val="Normal6a"/>
            </w:pPr>
            <w:r>
              <w:t>35.</w:t>
            </w:r>
            <w:r>
              <w:tab/>
            </w:r>
            <w:r>
              <w:t xml:space="preserve">ponovno izražava duboku zabrinutost zbog odbijanja Revizorskog suda da ukine imunitet svojem bivšem predsjedniku i odluke Revizorskog suda da odbije zahtjev Ureda europskog javnog tužitelja (EPPO) da se određenom broju članova osoblja Revizorskog suda omogući svjedočenje u kaznenoj istrazi koja je u tijeku; prima na znanje iz izvješća o praćenju stajalište Revizorskog suda prema kojem Revizorski sud nije ukinuo navedeni imunitet jer EPPO Revizorskom sudu nije pružio „dostatne informacije na temelju kojih bi mogao razumjeti koje su radnje optužene dotične osobe i u kojoj bi mjeri takve radnje mogle predstavljati kriminalno postupanje”, pozivajući se na sudsku praksu kao dio primjenjivog pravnog okvira u prilog stajalištu Revizorskog suda; napominje da je EPPO 10. veljače 2025. podnio žalbu (broj predmeta T-99/25) Sudu Europske unije u skladu s člankom 263. stavkom 4. UFEU-a protiv odluke Revizorskog suda da odbije zahtjev EPPO-a da se određenom broju članova osoblja Revizorskog suda omogući svjedočenje u kaznenoj istrazi koja je u tijeku; nadalje napominje da se navedenom žalbom nije osporilo to što se dotičnim osobama nije ukinuo imunitet; naglašava da ovlasti institucija Unije da uskrate odobrenje članovima svojeg osoblja da budu saslušani kao svjedoci ne uključuju pravo glasa o osnovanosti sudskih postupaka u kojima članovi osoblja trebaju svjedočiti te se na njih može pozvati samo u situacijama u kojima bi interesi Unije, koji moraju biti od znatne i vitalne važnosti za Uniju, bili ugroženi; </w:t>
            </w:r>
            <w:r>
              <w:rPr>
                <w:b/>
                <w:i/>
              </w:rPr>
              <w:t>ističe da se u skladu s dužnosti lojalne suradnje institucija Unije zahtijeva da se odobrenja za saslušanje osoblja u svojstvu svjedoka u kaznenim istragama uskraćuju samo u strogo iznimnim okolnostima;</w:t>
            </w:r>
            <w:r>
              <w:t xml:space="preserve"> </w:t>
            </w:r>
            <w:r>
              <w:rPr>
                <w:b/>
                <w:i/>
              </w:rPr>
              <w:t>podsjeća na to da takve odluke ne smiju zadirati u ocjenu merituma kaznenih postupaka;</w:t>
            </w:r>
            <w:r>
              <w:t xml:space="preserve"> </w:t>
            </w:r>
            <w:r>
              <w:rPr>
                <w:b/>
                <w:i/>
              </w:rPr>
              <w:t>iznova ističe da očekuje da</w:t>
            </w:r>
            <w:r>
              <w:t xml:space="preserve"> Revizorski sud </w:t>
            </w:r>
            <w:r>
              <w:rPr>
                <w:b/>
                <w:i/>
              </w:rPr>
              <w:t>osigura potpunu i pravodobnu suradnju u dobroj vjeri s Uredom europskog javnog tužitelja te da propisno obavještava tijelo nadležno za davanje razrješnice o svim relevantnim događajima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ponovno izražava duboku zabrinutost zbog odbijanja Revizorskog suda da ukine imunitet svojem bivšem predsjedniku i odluke Revizorskog suda da odbije zahtjev Ureda europskog javnog tužitelja (EPPO) da se određenom broju članova osoblja Revizorskog suda omogući svjedočenje u kaznenoj istrazi koja je u tijeku; prima na znanje iz izvješća o praćenju stajalište Revizorskog suda prema kojem Revizorski sud nije ukinuo navedeni imunitet jer EPPO Revizorskom sudu nije pružio „dostatne informacije na temelju kojih bi mogao razumjeti koje su radnje optužene dotične osobe i u kojoj bi mjeri takve radnje mogle predstavljati kriminalno postupanje”, pozivajući se na sudsku praksu kao dio primjenjivog pravnog okvira u prilog stajalištu Revizorskog suda; napominje da je EPPO 10. veljače 2025. podnio žalbu (broj predmeta T-99/25) Sudu Europske unije u skladu s člankom 263. stavkom 4. UFEU-a protiv odluke Revizorskog suda da odbije zahtjev EPPO-a da se određenom broju članova osoblja Revizorskog suda omogući svjedočenje u kaznenoj istrazi koja je u tijeku; nadalje napominje da se navedenom žalbom nije osporilo to što se dotičnim osobama nije ukinuo imunitet; naglašava da ovlasti institucija Unije da uskrate odobrenje članovima svojeg osoblja da budu saslušani kao svjedoci ne uključuju pravo glasa o osnovanosti sudskih postupaka u kojima članovi osoblja trebaju svjedočiti te se na njih može pozvati samo u situacijama u kojima bi interesi Unije, koji moraju biti od znatne i vitalne važnosti za Uniju, bili ugroženi; potiče Revizorski sud da zadrži visoku razinu transparentnosti i odgovornosti u suradnji s EPPO-om i drugim tijelima Unije odgovornima za borbu protiv prijevara i povreda dužnosti;</w:t>
            </w:r>
          </w:p>
        </w:tc>
        <w:tc>
          <w:tcPr>
            <w:tcW w:w="4876" w:type="dxa"/>
            <w:tcBorders>
              <w:top w:val="nil"/>
              <w:left w:val="nil"/>
              <w:bottom w:val="nil"/>
              <w:right w:val="nil"/>
            </w:tcBorders>
          </w:tcPr>
          <w:p>
            <w:pPr>
              <w:pStyle w:val="Normal6a"/>
            </w:pPr>
            <w:r>
              <w:t>35.</w:t>
            </w:r>
            <w:r>
              <w:tab/>
            </w:r>
            <w:r>
              <w:t xml:space="preserve">ponovno izražava duboku zabrinutost zbog odbijanja Revizorskog suda da ukine imunitet svojem bivšem predsjedniku i odluke Revizorskog suda da odbije zahtjev Ureda europskog javnog tužitelja (EPPO) da se određenom broju članova osoblja Revizorskog suda omogući svjedočenje u kaznenoj istrazi koja je u tijeku; prima na znanje iz izvješća o praćenju stajalište Revizorskog suda prema kojem Revizorski sud nije ukinuo navedeni imunitet jer EPPO Revizorskom sudu nije pružio „dostatne informacije na temelju kojih bi mogao razumjeti koje su radnje optužene dotične osobe i u kojoj bi mjeri takve radnje mogle predstavljati kriminalno postupanje”, pozivajući se na sudsku praksu kao dio primjenjivog pravnog okvira u prilog stajalištu Revizorskog suda; napominje da je EPPO 10. veljače 2025. podnio žalbu (broj predmeta T-99/25) Sudu Europske unije u skladu s člankom 263. stavkom 4. UFEU-a protiv odluke Revizorskog suda da odbije zahtjev EPPO-a da se određenom broju članova osoblja Revizorskog suda omogući svjedočenje u kaznenoj istrazi koja je u tijeku; nadalje napominje da se navedenom žalbom nije osporilo to što se dotičnim osobama nije ukinuo imunitet; naglašava da ovlasti institucija Unije da uskrate odobrenje članovima svojeg osoblja da budu saslušani kao svjedoci ne uključuju pravo glasa o osnovanosti sudskih postupaka u kojima članovi osoblja trebaju svjedočiti te se na njih može pozvati samo u situacijama u kojima bi interesi Unije, koji moraju biti od znatne i vitalne važnosti za Uniju, bili ugroženi; potiče Revizorski sud da zadrži visoku razinu transparentnosti i odgovornosti u suradnji s EPPO-om i drugim tijelima Unije odgovornima za borbu protiv prijevara i povreda dužnosti </w:t>
            </w:r>
            <w:r>
              <w:rPr>
                <w:b/>
                <w:i/>
              </w:rPr>
              <w:t>te da osigura da se imunitet ne koristi kako bi se ometali legitimni sudski postupci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ponovno izražava duboku zabrinutost zbog odbijanja</w:t>
            </w:r>
            <w:r>
              <w:t xml:space="preserve"> Revizorskog suda da ukine imunitet svojem bivšem predsjedniku i odluke Revizorskog suda da odbije zahtjev Ureda europskog javnog tužitelja (EPPO) da se određenom broju članova osoblja Revizorskog suda omogući svjedočenje u kaznenoj istrazi koja je u tijeku; prima na znanje iz izvješća o praćenju stajalište Revizorskog suda prema kojem Revizorski sud nije ukinuo navedeni imunitet jer EPPO Revizorskom sudu nije pružio „dostatne informacije na temelju kojih bi mogao razumjeti koje su radnje optužene dotične osobe i u kojoj bi mjeri takve radnje mogle predstavljati kriminalno postupanje”, pozivajući se na sudsku praksu kao dio primjenjivog pravnog okvira u prilog stajalištu Revizorskog suda; napominje da je EPPO 10. veljače 2025. podnio žalbu (broj predmeta T-99/25) Sudu Europske unije u skladu s člankom 263. stavkom 4. UFEU-a protiv odluke Revizorskog suda da odbije zahtjev EPPO-a da se određenom broju članova osoblja Revizorskog suda omogući svjedočenje u kaznenoj istrazi koja je u tijeku; nadalje napominje da se navedenom žalbom nije osporilo to što se dotičnim osobama nije ukinuo imunitet; naglašava da ovlasti institucija Unije da uskrate odobrenje članovima svojeg osoblja da budu saslušani kao svjedoci ne uključuju pravo glasa o osnovanosti sudskih postupaka u kojima članovi osoblja trebaju svjedočiti te se na njih može pozvati samo u situacijama u kojima bi interesi Unije, koji moraju biti od znatne i vitalne važnosti za Uniju, bili ugroženi; potiče Revizorski sud da zadrži visoku razinu transparentnosti i odgovornosti u suradnji s EPPO-om i drugim tijelima Unije odgovornima za borbu protiv prijevara i povreda dužnosti;</w:t>
            </w:r>
          </w:p>
        </w:tc>
        <w:tc>
          <w:tcPr>
            <w:tcW w:w="4876" w:type="dxa"/>
            <w:tcBorders>
              <w:top w:val="nil"/>
              <w:left w:val="nil"/>
              <w:bottom w:val="nil"/>
              <w:right w:val="nil"/>
            </w:tcBorders>
          </w:tcPr>
          <w:p>
            <w:pPr>
              <w:pStyle w:val="Normal6a"/>
            </w:pPr>
            <w:r>
              <w:t>35.</w:t>
            </w:r>
            <w:r>
              <w:tab/>
            </w:r>
            <w:r>
              <w:rPr>
                <w:b/>
                <w:i/>
              </w:rPr>
              <w:t>primjećuje odbijanje</w:t>
            </w:r>
            <w:r>
              <w:t xml:space="preserve"> Revizorskog suda da ukine imunitet svojem bivšem predsjedniku i odluke Revizorskog suda da odbije zahtjev Ureda europskog javnog tužitelja (EPPO) da se određenom broju članova osoblja Revizorskog suda omogući svjedočenje u kaznenoj istrazi koja je u tijeku; prima na znanje iz izvješća o praćenju stajalište Revizorskog suda prema kojem Revizorski sud nije ukinuo navedeni imunitet jer EPPO Revizorskom sudu nije pružio „dostatne informacije na temelju kojih bi mogao razumjeti koje su radnje optužene dotične osobe i u kojoj bi mjeri takve radnje mogle predstavljati kriminalno postupanje”, pozivajući se na sudsku praksu kao dio primjenjivog pravnog okvira u prilog stajalištu Revizorskog suda; napominje da je EPPO 10. veljače 2025. podnio žalbu (broj predmeta T-99/25) Sudu Europske unije u skladu s člankom 263. stavkom 4. UFEU-a protiv odluke Revizorskog suda da odbije zahtjev EPPO-a da se određenom broju članova osoblja Revizorskog suda omogući svjedočenje u kaznenoj istrazi koja je u tijeku; nadalje napominje da se navedenom žalbom nije osporilo to što se dotičnim osobama nije ukinuo imunitet; naglašava da ovlasti institucija Unije da uskrate odobrenje članovima svojeg osoblja da budu saslušani kao svjedoci ne uključuju pravo glasa o osnovanosti sudskih postupaka u kojima članovi osoblja trebaju svjedočiti te se na njih može pozvati samo u situacijama u kojima bi interesi Unije, koji moraju biti od znatne i vitalne važnosti za Uniju, bili ugroženi; potiče Revizorski sud da zadrži visoku razinu transparentnosti i odgovornosti u suradnji s EPPO-om i drugim tijelima Unije odgovornima za borbu protiv prijevara i povreda dužnosti;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poziva Revizorski sud da u slučajevima koji uključuju odluke o ukidanju imuniteta njegovih članova Parlamentu pruži dovoljno detaljno obrazloženje koje nije povjerljive prirode kako bi se omogućio smislen demokratski nadzor, uz puno poštovanje sudskih postupaka i prava uključenih osoba;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podsjeća na činjenicu da je Služba za unutarnju reviziju Revizorskog suda provela reviziju etičkog okvira koji se primjenjuje na osoblje i članove Revizorskog suda; napominje da je, prema završnom izvješću (02/2023) koje je Revizorski sud 9. srpnja 2024. poslao predsjednici Parlamenta i prema upitniku, Služba za unutarnju reviziju izdala 16 preporuka, od kojih je 15 već dovršeno, a jedna se odnosi na sukobe interesa osoblja i još je u tijeku;</w:t>
            </w:r>
          </w:p>
        </w:tc>
        <w:tc>
          <w:tcPr>
            <w:tcW w:w="4876" w:type="dxa"/>
            <w:tcBorders>
              <w:top w:val="nil"/>
              <w:left w:val="nil"/>
              <w:bottom w:val="nil"/>
              <w:right w:val="nil"/>
            </w:tcBorders>
          </w:tcPr>
          <w:p>
            <w:pPr>
              <w:pStyle w:val="Normal6a"/>
            </w:pPr>
            <w:r>
              <w:t>42.</w:t>
            </w:r>
            <w:r>
              <w:tab/>
            </w:r>
            <w:r>
              <w:t xml:space="preserve">podsjeća na činjenicu da je Služba za unutarnju reviziju Revizorskog suda provela reviziju etičkog okvira koji se primjenjuje na osoblje i članove Revizorskog suda; napominje da je, prema završnom izvješću (02/2023) koje je Revizorski sud 9. srpnja 2024. poslao predsjednici Parlamenta i prema upitniku, Služba za unutarnju reviziju izdala 16 preporuka, od kojih je 15 već dovršeno, a jedna se odnosi na sukobe interesa osoblja i još je u tijeku; </w:t>
            </w:r>
            <w:r>
              <w:rPr>
                <w:b/>
                <w:i/>
              </w:rPr>
              <w:t>potiče Revizorski sud da bez odgode dovrši neprovedenu preporuku i poziva ga da propisno obavješćuje tijelo nadležno za davanje razrješnice o napretku postignutom u tom pogledu;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 xml:space="preserve">napominje da, prema izvješću Revizorskog suda, 2024. nije utvrđen nijedan slučaj korupcije ili prijevare u unutarnjem poslovanju Revizorskog suda; cijeni što je Revizorski sud organizirao preventivno osposobljavanja o politikama i postupcima za borbu protiv korupcije, od čega je 2024. održano 10 sastanaka na kojima je sudjelovalo ukupno 257 osoba; cijeni činjenicu da je, prema izvješću o praćenju, Revizorski sud 2024. objavio jedinstveni konsolidirani dokument o </w:t>
            </w:r>
            <w:r>
              <w:rPr>
                <w:b/>
                <w:i/>
              </w:rPr>
              <w:t>borbi protiv prijevara</w:t>
            </w:r>
            <w:r>
              <w:t xml:space="preserve"> u kontekstu svojih revizijskih aktivnosti, čime je uskladio način na koji revizijska vijeća Revizorskog suda rješavaju </w:t>
            </w:r>
            <w:r>
              <w:rPr>
                <w:b/>
                <w:i/>
              </w:rPr>
              <w:t>pitanja povezana s prijevarama otkrivena</w:t>
            </w:r>
            <w:r>
              <w:t xml:space="preserve"> tijekom </w:t>
            </w:r>
            <w:r>
              <w:rPr>
                <w:b/>
                <w:i/>
              </w:rPr>
              <w:t>vanjskih revizijskih aktivnosti</w:t>
            </w:r>
            <w:r>
              <w:t>; napominje da se rizikom od prijevara u vezi s unutarnjim operacijama Revizorskog suda upravlja putem okvira unutarnje kontrole Revizorskog suda osmišljenog za sprečavanje, otkrivanje, ispravljanje i daljnje postupanje u vezi sa svim nepravilnostima koje uključuju članove ili osoblje Revizorskog suda i koje bi mogle utjecati na financijske interese Unije; nadalje prima na znanje stajalište Revizorskog suda da bi osmišljavanje samostalne strategije za borbu protiv prijevara za unutarnje operacije „s obzirom na već uspostavljene opsežne kontrole podrazumijevalo nerazmjerno administrativno opterećenje”, ali i dalje traži od Revizorskog suda da donese strategiju za borbu protiv prijevara kojom bi se obuhvatile sve vrste operacija;</w:t>
            </w:r>
          </w:p>
        </w:tc>
        <w:tc>
          <w:tcPr>
            <w:tcW w:w="4876" w:type="dxa"/>
            <w:tcBorders>
              <w:top w:val="nil"/>
              <w:left w:val="nil"/>
              <w:bottom w:val="nil"/>
              <w:right w:val="nil"/>
            </w:tcBorders>
          </w:tcPr>
          <w:p>
            <w:pPr>
              <w:pStyle w:val="Normal6a"/>
            </w:pPr>
            <w:r>
              <w:t>43.</w:t>
            </w:r>
            <w:r>
              <w:tab/>
            </w:r>
            <w:r>
              <w:t xml:space="preserve">napominje da, prema izvješću Revizorskog suda, 2024. nije utvrđen nijedan slučaj korupcije ili prijevare u unutarnjem poslovanju Revizorskog suda; cijeni što je Revizorski sud organizirao preventivno osposobljavanja o politikama i postupcima za borbu protiv korupcije, od čega je 2024. održano 10 sastanaka na kojima je sudjelovalo ukupno 257 osoba; cijeni činjenicu da je, prema izvješću o praćenju, Revizorski sud 2024. objavio jedinstveni konsolidirani dokument o </w:t>
            </w:r>
            <w:r>
              <w:rPr>
                <w:b/>
                <w:i/>
              </w:rPr>
              <w:t>rješavanju pitanja povezanih s prijevarama</w:t>
            </w:r>
            <w:r>
              <w:t xml:space="preserve"> u kontekstu svojih revizijskih aktivnosti</w:t>
            </w:r>
            <w:r>
              <w:rPr>
                <w:b/>
                <w:i/>
              </w:rPr>
              <w:t>, u kojem se pružaju sveobuhvatne i detaljne smjernice za revizore Revizorskog suda</w:t>
            </w:r>
            <w:r>
              <w:t xml:space="preserve">, čime je uskladio način na koji revizijska vijeća Revizorskog suda rješavaju </w:t>
            </w:r>
            <w:r>
              <w:rPr>
                <w:b/>
                <w:i/>
              </w:rPr>
              <w:t>slučajeve sumnje na prijevaru, korupciju ili bilo koju drugu nezakonitu aktivnost koja utječe na financijske interese Unije otkrivene</w:t>
            </w:r>
            <w:r>
              <w:t xml:space="preserve"> tijekom </w:t>
            </w:r>
            <w:r>
              <w:rPr>
                <w:b/>
                <w:i/>
              </w:rPr>
              <w:t>vanjske revizije te doprinio osiguravanju dosljednosti</w:t>
            </w:r>
            <w:r>
              <w:t>; napominje da se rizikom od prijevara u vezi s unutarnjim operacijama Revizorskog suda upravlja putem okvira unutarnje kontrole Revizorskog suda osmišljenog za sprečavanje, otkrivanje, ispravljanje i daljnje postupanje u vezi sa svim nepravilnostima koje uključuju članove ili osoblje Revizorskog suda i koje bi mogle utjecati na financijske interese Unije; nadalje prima na znanje stajalište Revizorskog suda da bi osmišljavanje samostalne strategije za borbu protiv prijevara za unutarnje operacije „s obzirom na već uspostavljene opsežne kontrole podrazumijevalo nerazmjerno administrativno opterećenje”, ali i dalje traži od Revizorskog suda da donese strategiju za borbu protiv prijevara kojom bi se obuhvatile sve vrste operacija;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 xml:space="preserve">napominje stajalište Revizorskog suda, kako je navedeno u izvješću o daljnjim mjerama, da ga njegova uloga neovisne vanjske revizijske institucije stavlja izvan uobičajenog opsega subjekata koji žele komunicirati s tijelima Unije nadležnima za donošenje odluka i lobirati u njima; smatra da taj argument nije u potpunosti primjenjiv jer Revizorski sud objavljuje tematska izvješća u kojima ispituje jesu li ostvareni ciljevi politika i programa Unije, što radu Revizorskog suda daje političku ili savjetodavnu dimenziju, čak i ako Revizorski sud nije tijelo koje donosi odluke; osim toga, podsjeća da postoje druga tijela Unije koja ne donose odluke i savjetodavna tijela Unije koja su se službeno pridružila registru transparentnosti Unije; </w:t>
            </w:r>
            <w:r>
              <w:rPr>
                <w:b/>
                <w:i/>
              </w:rPr>
              <w:t>stoga</w:t>
            </w:r>
            <w:r>
              <w:t xml:space="preserve"> ponavlja svoj poziv Revizorskom sudu da se pridruži registru transparentnosti, </w:t>
            </w:r>
            <w:r>
              <w:rPr>
                <w:b/>
                <w:i/>
              </w:rPr>
              <w:t>koji</w:t>
            </w:r>
            <w:r>
              <w:t xml:space="preserve"> bi se </w:t>
            </w:r>
            <w:r>
              <w:rPr>
                <w:b/>
                <w:i/>
              </w:rPr>
              <w:t>pridržavao osnovnih načela transparentnosti bez stvaranja prepreka potpunoj neovisnosti Revizorskog suda</w:t>
            </w:r>
            <w:r>
              <w:t>;</w:t>
            </w:r>
          </w:p>
        </w:tc>
        <w:tc>
          <w:tcPr>
            <w:tcW w:w="4876" w:type="dxa"/>
            <w:tcBorders>
              <w:top w:val="nil"/>
              <w:left w:val="nil"/>
              <w:bottom w:val="nil"/>
              <w:right w:val="nil"/>
            </w:tcBorders>
          </w:tcPr>
          <w:p>
            <w:pPr>
              <w:pStyle w:val="Normal6a"/>
            </w:pPr>
            <w:r>
              <w:t>44.</w:t>
            </w:r>
            <w:r>
              <w:tab/>
            </w:r>
            <w:r>
              <w:t xml:space="preserve">napominje stajalište Revizorskog suda, kako je navedeno u izvješću o daljnjim mjerama, da ga njegova uloga neovisne vanjske revizijske institucije stavlja izvan uobičajenog opsega subjekata koji žele komunicirati s tijelima Unije nadležnima za donošenje odluka i lobirati u njima; smatra da taj argument nije u potpunosti primjenjiv jer Revizorski sud objavljuje tematska izvješća u kojima ispituje jesu li ostvareni ciljevi politika i programa Unije, što radu Revizorskog suda daje političku ili savjetodavnu dimenziju, čak i ako Revizorski sud nije tijelo koje donosi odluke; osim toga, podsjeća da postoje druga tijela Unije koja ne donose odluke i savjetodavna tijela Unije koja su se službeno pridružila registru transparentnosti Unije; ponavlja svoj poziv Revizorskom sudu da se </w:t>
            </w:r>
            <w:r>
              <w:rPr>
                <w:b/>
                <w:i/>
              </w:rPr>
              <w:t>bez odgode</w:t>
            </w:r>
            <w:r>
              <w:t xml:space="preserve"> pridruži registru transparentnosti, </w:t>
            </w:r>
            <w:r>
              <w:rPr>
                <w:b/>
                <w:i/>
              </w:rPr>
              <w:t>u skladu s praksama drugih tijela Unije koja ne donose odluke, kako</w:t>
            </w:r>
            <w:r>
              <w:t xml:space="preserve"> bi se </w:t>
            </w:r>
            <w:r>
              <w:rPr>
                <w:b/>
                <w:i/>
              </w:rPr>
              <w:t>ojačalo povjerenje javnosti i istodobno u potpunosti očuvala njegova neovisnost kao vanjskog revizora Unije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snažno podupire napore Revizorskog suda da digitalizacijom razvije ekosustav znanja o reviziji; u tom kontekstu napominje da je, prema upitniku, Revizorski sud 2024. proveo nekoliko inicijativa za poboljšanje svojih digitalnih kapaciteta i operativne učinkovitosti, uključujući integraciju informacijskih sustava revizije, povećanje interoperabilnosti među sustavima i aplikacijama, uvođenje pomoćnika za čitanje dokumenata (DORA) za potporu upravljanju znanjem u revizijskim aktivnostima, pokretanje službe za prikupljanje informacija BibliotECA i donošenje nove politike digitalnog arhiviranja; naglašava da bi povezivanje digitalizacije s povećanim brojem provjera na licu mjesta trebalo dovesti do učinkovitijih i točnijih rezultata revizije;</w:t>
            </w:r>
          </w:p>
        </w:tc>
        <w:tc>
          <w:tcPr>
            <w:tcW w:w="4876" w:type="dxa"/>
            <w:tcBorders>
              <w:top w:val="nil"/>
              <w:left w:val="nil"/>
              <w:bottom w:val="nil"/>
              <w:right w:val="nil"/>
            </w:tcBorders>
          </w:tcPr>
          <w:p>
            <w:pPr>
              <w:pStyle w:val="Normal6a"/>
            </w:pPr>
            <w:r>
              <w:t>46.</w:t>
            </w:r>
            <w:r>
              <w:tab/>
            </w:r>
            <w:r>
              <w:t xml:space="preserve">snažno podupire napore Revizorskog suda da digitalizacijom razvije ekosustav znanja o reviziji; u tom kontekstu napominje da je, prema upitniku, Revizorski sud 2024. proveo nekoliko inicijativa za poboljšanje svojih digitalnih kapaciteta i operativne učinkovitosti, uključujući integraciju informacijskih sustava revizije, povećanje interoperabilnosti među sustavima i aplikacijama, uvođenje pomoćnika za čitanje dokumenata (DORA) za potporu upravljanju znanjem u revizijskim aktivnostima, pokretanje službe za prikupljanje informacija BibliotECA i donošenje nove politike digitalnog arhiviranja; naglašava da bi povezivanje digitalizacije s povećanim brojem provjera na licu mjesta trebalo dovesti do učinkovitijih i točnijih rezultata revizije; </w:t>
            </w:r>
            <w:r>
              <w:rPr>
                <w:b/>
                <w:i/>
              </w:rPr>
              <w:t>potiče daljnja ulaganja u revizijske alate potpomognute umjetnom inteligencijom i interoperabilnost sustavâ kako bi se povećala preciznost revizije, smanjilo administrativno opterećenje i maksimalno povećala vrijednost za uloženi novac;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 xml:space="preserve">cijeni objavu početne strategije Revizorskog suda za umjetnu inteligenciju i plana uvođenja za razdoblje 2024. – 2025.; sa zadovoljstvom napominje da je, prema upitniku, Revizorski sud ostvario stalan napredak u provedbi te strategije, usredotočujući se, među ostalim, na testiranje i pripremu za uvođenje alata kao što su Microsoft Copilot i GPT@EC, podizanje razine osviještenosti osoblja ciljanim osposobljavanjem u području umjetne inteligencije, kao i testiranje aplikacija umjetne inteligencije u revizijskom radu i razmjenu preliminarnih nalaza; </w:t>
            </w:r>
            <w:r>
              <w:rPr>
                <w:b/>
                <w:i/>
              </w:rPr>
              <w:t>nadalje pozdravlja jačanje upravljanja Revizorskog suda umjetnom inteligencijom, pri čemu</w:t>
            </w:r>
            <w:r>
              <w:t xml:space="preserve"> je Revizorski sud </w:t>
            </w:r>
            <w:r>
              <w:rPr>
                <w:b/>
                <w:i/>
              </w:rPr>
              <w:t>2024. osnovao Savjetodavni odbor za umjetnu inteligenciju i imenovao korespondenta za umjetnu inteligenciju;</w:t>
            </w:r>
            <w:r>
              <w:t xml:space="preserve"> </w:t>
            </w:r>
            <w:r>
              <w:rPr>
                <w:b/>
                <w:i/>
              </w:rPr>
              <w:t>sa zadovoljstvom primjećuje da se Savjetodavni odbor za umjetnu inteligenciju, čija je uloga podupirati i savjetovati Revizorski sud u ispunjavanju njegovih obveza koje proizlaze iz pravnog i etičkog okvira kojim se uređuje upotreba umjetne inteligencije, sastoji od osoblja s kombinacijom stručnog znanja kako bi se osigurao sveobuhvatan pristup i razumijevanje učinka</w:t>
            </w:r>
            <w:r>
              <w:t xml:space="preserve"> umjetne inteligencije;</w:t>
            </w:r>
          </w:p>
        </w:tc>
        <w:tc>
          <w:tcPr>
            <w:tcW w:w="4876" w:type="dxa"/>
            <w:tcBorders>
              <w:top w:val="nil"/>
              <w:left w:val="nil"/>
              <w:bottom w:val="nil"/>
              <w:right w:val="nil"/>
            </w:tcBorders>
          </w:tcPr>
          <w:p>
            <w:pPr>
              <w:pStyle w:val="Normal6a"/>
            </w:pPr>
            <w:r>
              <w:t>47.</w:t>
            </w:r>
            <w:r>
              <w:tab/>
            </w:r>
            <w:r>
              <w:t xml:space="preserve">cijeni objavu početne strategije Revizorskog suda za umjetnu inteligenciju i plana uvođenja za razdoblje 2024. – 2025.; sa zadovoljstvom napominje da je, prema upitniku, Revizorski sud ostvario stalan napredak u provedbi te strategije, usredotočujući se, među ostalim, na testiranje i pripremu za uvođenje alata kao što su Microsoft Copilot i GPT@EC, podizanje razine osviještenosti osoblja ciljanim osposobljavanjem u području umjetne inteligencije, kao i testiranje aplikacija umjetne inteligencije u revizijskom radu i razmjenu preliminarnih nalaza; </w:t>
            </w:r>
            <w:r>
              <w:rPr>
                <w:b/>
                <w:i/>
              </w:rPr>
              <w:t>prima na znanje da</w:t>
            </w:r>
            <w:r>
              <w:t xml:space="preserve"> je Revizorski sud </w:t>
            </w:r>
            <w:r>
              <w:rPr>
                <w:b/>
                <w:i/>
              </w:rPr>
              <w:t>izradio strategiju za upotrebu alata</w:t>
            </w:r>
            <w:r>
              <w:t xml:space="preserve"> umjetne inteligencije; </w:t>
            </w:r>
            <w:r>
              <w:rPr>
                <w:b/>
                <w:i/>
              </w:rPr>
              <w:t>naglašava da njihova upotreba mora biti ograničena isključivo na aktivnosti povezane s revizijom i da se mora redovito ocjenjivati u pogledu omjera troškova i koristi, sigurnosti podataka i dodane vrijednosti;</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cijeni objavu početne strategije Revizorskog suda za umjetnu inteligenciju i plana uvođenja za razdoblje 2024. – 2025.; sa zadovoljstvom napominje da je, prema upitniku, Revizorski sud ostvario stalan napredak u provedbi te strategije, usredotočujući se, među ostalim, na testiranje i pripremu za uvođenje alata kao što su Microsoft Copilot i GPT@EC, podizanje razine osviještenosti osoblja ciljanim osposobljavanjem u području umjetne inteligencije, kao i testiranje aplikacija umjetne inteligencije u revizijskom radu i razmjenu preliminarnih nalaza; nadalje pozdravlja jačanje upravljanja Revizorskog suda umjetnom inteligencijom, pri čemu je Revizorski sud 2024. osnovao Savjetodavni odbor za umjetnu inteligenciju i imenovao korespondenta za umjetnu inteligenciju; sa zadovoljstvom primjećuje da se Savjetodavni odbor za umjetnu inteligenciju, čija je uloga podupirati i savjetovati Revizorski sud u ispunjavanju njegovih obveza koje proizlaze iz pravnog i etičkog okvira kojim se uređuje upotreba umjetne inteligencije, sastoji od osoblja s kombinacijom stručnog znanja kako bi se osigurao sveobuhvatan pristup i razumijevanje učinka umjetne inteligencije;</w:t>
            </w:r>
          </w:p>
        </w:tc>
        <w:tc>
          <w:tcPr>
            <w:tcW w:w="4876" w:type="dxa"/>
            <w:tcBorders>
              <w:top w:val="nil"/>
              <w:left w:val="nil"/>
              <w:bottom w:val="nil"/>
              <w:right w:val="nil"/>
            </w:tcBorders>
          </w:tcPr>
          <w:p>
            <w:pPr>
              <w:pStyle w:val="Normal6a"/>
            </w:pPr>
            <w:r>
              <w:t>47.</w:t>
            </w:r>
            <w:r>
              <w:tab/>
            </w:r>
            <w:r>
              <w:t xml:space="preserve">cijeni objavu početne strategije Revizorskog suda za umjetnu inteligenciju i plana uvođenja za razdoblje 2024. – 2025.; sa zadovoljstvom napominje da je, prema upitniku, Revizorski sud ostvario stalan napredak u provedbi te strategije, usredotočujući se, među ostalim, na testiranje i pripremu za uvođenje alata kao što su Microsoft Copilot i GPT@EC, podizanje razine osviještenosti osoblja ciljanim osposobljavanjem u području umjetne inteligencije, kao i testiranje aplikacija umjetne inteligencije u revizijskom radu i razmjenu preliminarnih nalaza; nadalje pozdravlja jačanje upravljanja Revizorskog suda umjetnom inteligencijom, pri čemu je Revizorski sud 2024. osnovao Savjetodavni odbor za umjetnu inteligenciju i imenovao korespondenta za umjetnu inteligenciju; sa zadovoljstvom primjećuje da se Savjetodavni odbor za umjetnu inteligenciju, čija je uloga podupirati i savjetovati Revizorski sud u ispunjavanju njegovih obveza koje proizlaze iz pravnog i etičkog okvira kojim se uređuje upotreba umjetne inteligencije, sastoji od osoblja s kombinacijom stručnog znanja kako bi se osigurao sveobuhvatan pristup i razumijevanje učinka umjetne inteligencije; </w:t>
            </w:r>
            <w:r>
              <w:rPr>
                <w:b/>
                <w:i/>
              </w:rPr>
              <w:t>poziva Revizorski sud da u okviru svoje strategije za umjetnu inteligenciju razvije jasne pokazatelje za procjenu dodane vrijednosti, rizika i ograničenja revizijskih alata koji se temelje na umjetnoj inteligenciji te da redovito izvješćuje Parlament o njihovu utjecaju na kvalitetu revizije, transparentnost i odgovornost;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cijeni objavu početne strategije Revizorskog suda za umjetnu inteligenciju i plana uvođenja za razdoblje 2024. – 2025.; sa zadovoljstvom napominje da je, prema upitniku, Revizorski sud ostvario stalan napredak u provedbi te strategije, usredotočujući se, među ostalim, na testiranje i pripremu za uvođenje alata kao što su Microsoft Copilot i GPT@EC, podizanje razine osviještenosti osoblja ciljanim osposobljavanjem u području umjetne inteligencije, kao i testiranje aplikacija umjetne inteligencije u revizijskom radu i razmjenu preliminarnih nalaza; nadalje pozdravlja jačanje upravljanja Revizorskog suda umjetnom inteligencijom, pri čemu je Revizorski sud 2024. osnovao Savjetodavni odbor za umjetnu inteligenciju i imenovao korespondenta za umjetnu inteligenciju; sa zadovoljstvom primjećuje da se Savjetodavni odbor za umjetnu inteligenciju, čija je uloga podupirati i savjetovati Revizorski sud u ispunjavanju njegovih obveza koje proizlaze iz pravnog i etičkog okvira kojim se uređuje upotreba umjetne inteligencije, sastoji od osoblja s kombinacijom stručnog znanja kako bi se osigurao sveobuhvatan pristup i razumijevanje učinka umjetne inteligencije;</w:t>
            </w:r>
          </w:p>
        </w:tc>
        <w:tc>
          <w:tcPr>
            <w:tcW w:w="4876" w:type="dxa"/>
            <w:tcBorders>
              <w:top w:val="nil"/>
              <w:left w:val="nil"/>
              <w:bottom w:val="nil"/>
              <w:right w:val="nil"/>
            </w:tcBorders>
          </w:tcPr>
          <w:p>
            <w:pPr>
              <w:pStyle w:val="Normal6a"/>
            </w:pPr>
            <w:r>
              <w:t>47.</w:t>
            </w:r>
            <w:r>
              <w:tab/>
            </w:r>
            <w:r>
              <w:t xml:space="preserve">cijeni objavu početne strategije Revizorskog suda za umjetnu inteligenciju i plana uvođenja za razdoblje 2024. – 2025.; sa zadovoljstvom napominje da je, prema upitniku, Revizorski sud ostvario stalan napredak u provedbi te strategije, usredotočujući se, među ostalim, na testiranje i pripremu za uvođenje alata kao što su Microsoft Copilot i GPT@EC, podizanje razine osviještenosti osoblja ciljanim osposobljavanjem u području umjetne inteligencije, kao i testiranje aplikacija umjetne inteligencije u revizijskom radu i razmjenu preliminarnih nalaza; nadalje pozdravlja jačanje upravljanja Revizorskog suda umjetnom inteligencijom, pri čemu je Revizorski sud 2024. osnovao Savjetodavni odbor za umjetnu inteligenciju i imenovao korespondenta za umjetnu inteligenciju; sa zadovoljstvom primjećuje da se Savjetodavni odbor za umjetnu inteligenciju, čija je uloga podupirati i savjetovati Revizorski sud u ispunjavanju njegovih obveza koje proizlaze iz pravnog i etičkog okvira kojim se uređuje upotreba umjetne inteligencije, sastoji od osoblja s kombinacijom stručnog znanja kako bi se osigurao sveobuhvatan pristup i razumijevanje učinka umjetne inteligencije; </w:t>
            </w:r>
            <w:r>
              <w:rPr>
                <w:b/>
                <w:i/>
              </w:rPr>
              <w:t>naglašava da se upotreba umjetne inteligencije mora provoditi jamčenjem strogih načela etičke upotrebe, transparentnosti, zaštite podataka, ljudskog nadzora i zaštite od algoritamske pristranosti ili zlouporabe;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49.</w:t>
            </w:r>
            <w:r>
              <w:tab/>
            </w:r>
            <w:r>
              <w:rPr>
                <w:b/>
                <w:i/>
              </w:rPr>
              <w:t>sa zabrinutošću napominje da je Revizorski sud doživio kibernetički napad, na koji se poziva proruska skupina, koja je uklonila svoje javne internetske stranice u okviru koordiniranog djelovanja za destabilizaciju europskih izbora 2024.;</w:t>
            </w:r>
            <w:r>
              <w:t xml:space="preserve"> </w:t>
            </w:r>
            <w:r>
              <w:rPr>
                <w:b/>
                <w:i/>
              </w:rPr>
              <w:t>pozdravlja predanost Revizorskog suda ponovnoj procjeni rizika za kibernetičku sigurnost najmanje svake dvije godine;</w:t>
            </w:r>
            <w:r>
              <w:t xml:space="preserve"> </w:t>
            </w:r>
            <w:r>
              <w:rPr>
                <w:b/>
                <w:i/>
              </w:rPr>
              <w:t>potiče kontinuiranu provedbu redovitog osposobljavanja osoblja o kibernetičkim prijetnjama kako bi se povećala otpornost institucija;</w:t>
            </w:r>
            <w:r>
              <w:t xml:space="preserve"> </w:t>
            </w:r>
            <w:r>
              <w:rPr>
                <w:b/>
                <w:i/>
              </w:rPr>
              <w:t>poziva Revizorski sud da obavješćuje tijelo nadležno za davanje razrješnice o ishodu svake procjene kibernetičko-sigurnosnih rizika koju bi Revizorski sud mogao provesti u kontekstu provedbe Uredbe (EU, Euratom) 2023/2841</w:t>
            </w:r>
            <w:r>
              <w:rPr>
                <w:b/>
                <w:i/>
                <w:vertAlign w:val="superscript"/>
              </w:rPr>
              <w:t>1</w:t>
            </w:r>
            <w:r>
              <w:rPr>
                <w:b/>
                <w:i/>
              </w:rPr>
              <w:t>;</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w:t>
            </w:r>
            <w:r>
              <w:t xml:space="preserve"> </w:t>
            </w:r>
            <w:r>
              <w:rPr>
                <w:b/>
                <w:i/>
              </w:rPr>
              <w:t>Uredba (EU, Euratom) 2023/2841 Europskog parlamenta i Vijeća od 13. prosinca 2023. o utvrđivanju mjera za visoku zajedničku razinu kibernetičke sigurnosti u institucijama, tijelima, uredima i agencijama Unije (SL L, 2023/2841, 18.12.2023., ELI: https://eur-lex.europa.eu/eli/reg/2023/2841/oj).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pozdravlja planirane inicijative za 2025. čiji je cilj daljnje jačanje digitalne transformacije i kibersigurnosti, kao što su uvođenje Microsoft Copilota, provedba lokalnih modela generativne umjetne inteligencije i ugradnja biometrijske autentifikacije na prijenosna računala; također prima na znanje plan Revizorskog suda da nadogradi svoju informatičku infrastrukturu novim poslužiteljima, uvede nove kapacitete za potporu hibridnim sastancima i ojača suradnju s Međuinstitucijskim odborom za digitalnu transformaciju u području novih tehnologija kao što je umjetna inteligencija;</w:t>
            </w:r>
          </w:p>
        </w:tc>
        <w:tc>
          <w:tcPr>
            <w:tcW w:w="4876" w:type="dxa"/>
            <w:tcBorders>
              <w:top w:val="nil"/>
              <w:left w:val="nil"/>
              <w:bottom w:val="nil"/>
              <w:right w:val="nil"/>
            </w:tcBorders>
          </w:tcPr>
          <w:p>
            <w:pPr>
              <w:pStyle w:val="Normal6a"/>
            </w:pPr>
            <w:r>
              <w:t>50.</w:t>
            </w:r>
            <w:r>
              <w:tab/>
            </w:r>
            <w:r>
              <w:t xml:space="preserve">pozdravlja planirane inicijative za 2025. čiji je cilj daljnje jačanje digitalne transformacije i kibersigurnosti, kao što su uvođenje Microsoft Copilota, provedba lokalnih modela generativne umjetne inteligencije i ugradnja biometrijske autentifikacije na prijenosna računala; također prima na znanje plan Revizorskog suda da nadogradi svoju informatičku infrastrukturu novim poslužiteljima, uvede nove kapacitete za potporu hibridnim sastancima i ojača suradnju s Međuinstitucijskim odborom za digitalnu transformaciju u području novih tehnologija kao što je umjetna inteligencija; </w:t>
            </w:r>
            <w:r>
              <w:rPr>
                <w:b/>
                <w:i/>
              </w:rPr>
              <w:t>ističe da se dodatni troškovi za hibridne sastanke i tehničku infrastrukturu trebaju snositi samo na temelju jasne analize potreba i unutar postojećih gornjih granica proračuna;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Podnaslov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Okoliš i održivost</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56.</w:t>
            </w:r>
            <w:r>
              <w:tab/>
            </w:r>
            <w:r>
              <w:rPr>
                <w:b/>
                <w:i/>
              </w:rPr>
              <w:t>sa zadovoljstvom pozdravlja stalne napore Revizorskog suda da postane održiva institucija;</w:t>
            </w:r>
            <w:r>
              <w:t xml:space="preserve"> </w:t>
            </w:r>
            <w:r>
              <w:rPr>
                <w:b/>
                <w:i/>
              </w:rPr>
              <w:t>napominje da je Revizorski sud 2024. objavio svoje četvrto izvješće o održivosti u kojem se mjere gospodarski, socijalni i okolišni učinci poslovanja Revizorskog suda;</w:t>
            </w:r>
            <w:r>
              <w:t xml:space="preserve"> </w:t>
            </w:r>
            <w:r>
              <w:rPr>
                <w:b/>
                <w:i/>
              </w:rPr>
              <w:t>sa zadovoljstvom primjećuje da je 91 % tematskih izvješća i pregleda Revizorskog suda objavljenih 2024. obuhvaćalo teme relevantne za ciljeve održivog razvoja Ujedinjenih naroda;</w:t>
            </w:r>
            <w:r>
              <w:t xml:space="preserve"> </w:t>
            </w:r>
            <w:r>
              <w:rPr>
                <w:b/>
                <w:i/>
              </w:rPr>
              <w:t>pozdravlja činjenicu da je 40 % ugovora Revizorskog suda o javnoj nabavi uključivalo kriterije zelenog i kružnog gospodarstva te da je 98 % robe i usluga Revizorskog suda 2024. kupljeno od lokalnih dobavljača;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57.</w:t>
            </w:r>
            <w:r>
              <w:tab/>
            </w:r>
            <w:r>
              <w:rPr>
                <w:b/>
                <w:i/>
              </w:rPr>
              <w:t>napominje da je Revizorski sud certificiran u okviru EMAS-a i da od 2014. ima politiku zaštite okoliša, koja je ažurirana 2025.;</w:t>
            </w:r>
            <w:r>
              <w:t xml:space="preserve"> </w:t>
            </w:r>
            <w:r>
              <w:rPr>
                <w:b/>
                <w:i/>
              </w:rPr>
              <w:t>napominje da Revizorski sud mjeri svoj ugljični otisak najnovijom verzijom metode „Bilan Carbon”, koja obuhvaća područja primjene na operativnoj (aktivnosti Revizorskog suda) i organizacijskoj razini (tri zgrade u Luxembourgu);</w:t>
            </w:r>
            <w:r>
              <w:t xml:space="preserve"> </w:t>
            </w:r>
            <w:r>
              <w:rPr>
                <w:b/>
                <w:i/>
              </w:rPr>
              <w:t>napominje da su ukupne emisije stakleničkih plinova Revizorskog suda 2024. iznosile 9108 tona CO</w:t>
            </w:r>
            <w:r>
              <w:rPr>
                <w:b/>
                <w:i/>
                <w:vertAlign w:val="subscript"/>
              </w:rPr>
              <w:t>2</w:t>
            </w:r>
            <w:r>
              <w:rPr>
                <w:b/>
                <w:i/>
              </w:rPr>
              <w:t>, što je smanjenje od 15 % u usporedbi s emisijama iz 2014., ali povećanje od 1,60 % u usporedbi s emisijama iz 2023.;</w:t>
            </w:r>
            <w:r>
              <w:t xml:space="preserve"> </w:t>
            </w:r>
            <w:r>
              <w:rPr>
                <w:b/>
                <w:i/>
              </w:rPr>
              <w:t>napominje da su kupnja robe i usluga te prijevoz putnika najviše doprinijeli ukupnim emisijama Revizorskog suda 2024., tj. 31 % odnosno 29 %;</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Ondřej Knotek, 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57.a</w:t>
            </w:r>
            <w:r>
              <w:tab/>
            </w:r>
            <w:r>
              <w:rPr>
                <w:b/>
                <w:i/>
              </w:rPr>
              <w:t>ističe da inicijative u području zaštite okoliša u institucijama Unije moraju ostati troškovno učinkovite i tehnološki neutralne;</w:t>
            </w:r>
            <w:r>
              <w:t xml:space="preserve"> </w:t>
            </w:r>
            <w:r>
              <w:rPr>
                <w:b/>
                <w:i/>
              </w:rPr>
              <w:t>poziva Revizorski sud da osigura transparentnu analizu troškova i koristi svojih praksi zelenih ulaganja i zelene javne nabave te da zajamči da okolišni aspekti nemaju prednost pred učinkovitošću ni pred proračunskom disciplinom.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58.</w:t>
            </w:r>
            <w:r>
              <w:tab/>
            </w:r>
            <w:r>
              <w:rPr>
                <w:b/>
                <w:i/>
              </w:rPr>
              <w:t>sa zadovoljstvom napominje izjavu Revizorskog suda o okolišu u kojoj su predstavljeni rezultati za 2024., uključujući već poduzete mjere i mjere planirane za provedbu, kojima se nastoji smanjiti utjecaj aktivnosti Revizorskog suda na okoliš te postići ili premašiti njegove godišnje ciljeve okolišne učinkovitosti;</w:t>
            </w:r>
            <w:r>
              <w:t xml:space="preserve"> </w:t>
            </w:r>
            <w:r>
              <w:rPr>
                <w:b/>
                <w:i/>
              </w:rPr>
              <w:t>napominje da Revizorski sud mjeri svoju okolišnu učinkovitost s pomoću skupa pokazatelja i mjerila izvrsnosti;</w:t>
            </w:r>
            <w:r>
              <w:t xml:space="preserve"> </w:t>
            </w:r>
            <w:r>
              <w:rPr>
                <w:b/>
                <w:i/>
              </w:rPr>
              <w:t>napominje da Revizorski sud u okviru svojeg programa zaštite okoliša za razdoblje 2023.</w:t>
            </w:r>
            <w:r>
              <w:t xml:space="preserve"> </w:t>
            </w:r>
            <w:r>
              <w:rPr>
                <w:b/>
                <w:i/>
              </w:rPr>
              <w:t>2025. ima skup općih i posebnih ciljeva, od kojih je većina ostvarena 2024., posebno u pogledu smanjenja potrošnje energije Revizorskog suda (električna energija: -24 %;</w:t>
            </w:r>
            <w:r>
              <w:t xml:space="preserve"> </w:t>
            </w:r>
            <w:r>
              <w:rPr>
                <w:b/>
                <w:i/>
              </w:rPr>
              <w:t>grijanje: -21,80 %), emisije u zrak (-30 %) i potrošnja vode (-45 %) te povećanje broja postupaka javne nabave koji uključuju ekološke kriterije (više od 30 %);</w:t>
            </w:r>
            <w:r>
              <w:t xml:space="preserve"> </w:t>
            </w:r>
            <w:r>
              <w:rPr>
                <w:b/>
                <w:i/>
              </w:rPr>
              <w:t>primjećuje, međutim, promjenu trenda u pogledu broja tiskanih stranica (+9,1 %) i smanjenja godišnjeg stvaranja otpada (+27,50 %);</w:t>
            </w:r>
            <w:r>
              <w:t xml:space="preserve"> </w:t>
            </w:r>
            <w:r>
              <w:rPr>
                <w:b/>
                <w:i/>
              </w:rPr>
              <w:t>cijeni mjere Revizorskog suda kao protutežu njegovu negativnom učinku na biološku raznolikost;</w:t>
            </w:r>
            <w:r>
              <w:t xml:space="preserve"> </w:t>
            </w:r>
            <w:r>
              <w:rPr>
                <w:b/>
                <w:i/>
              </w:rPr>
              <w:t>napominje da je Revizorski sud u svojim prostorijama domaćin nekoliko kolonija pčela koje proizvode med koji prikuplja osoblje volontera i sudjeluje u inicijativama za sadnju stabala u Luksemburgu te je sudjelovao u drugim aktivnostima povezanima s okolišem u okviru sudjelovanja Revizorskog suda na međuinstitucijskim danima EMAS-a EU-a 2024.;</w:t>
            </w:r>
            <w:r>
              <w:t xml:space="preserve"> </w:t>
            </w:r>
            <w:r>
              <w:rPr>
                <w:b/>
                <w:i/>
              </w:rPr>
              <w:t>pozdravlja činjenicu da se broj osoblja koje koristi gradske bicikle s dionicama povećao sa 172 u 2023. na 201 u 2024.;</w:t>
            </w:r>
            <w:r>
              <w:t xml:space="preserve"> </w:t>
            </w:r>
            <w:r>
              <w:rPr>
                <w:b/>
                <w:i/>
              </w:rPr>
              <w:t>pozdravlja potporu Revizorskog suda za korištenje mobilnosti za putovanje na posao, kao što je vožnja biciklom, pokrivanjem troškova pretplate na luksemburški program dijeljenja bicikala ili javnog prijevoza djelomičnom nadoknadom sezonskih karata za prekogranično osoblje, pri čemu se broj osoblja koje koristi tu vrstu programa povrata troškova povećao s 28 u 2023. na 30 u 2024.;</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Olivier Chastel, Gilles Boyer,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63.a</w:t>
            </w:r>
            <w:r>
              <w:tab/>
            </w:r>
            <w:r>
              <w:rPr>
                <w:b/>
                <w:i/>
              </w:rPr>
              <w:t>ističe važnu ulogu Europskog revizorskog suda u arhitekturi namijenjenoj borbi protiv prijevara;</w:t>
            </w:r>
            <w:r>
              <w:t xml:space="preserve"> </w:t>
            </w:r>
            <w:r>
              <w:rPr>
                <w:b/>
                <w:i/>
              </w:rPr>
              <w:t>revizijama i tematskim izvješćima Revizorskog suda sustavno se utvrđuju nedostaci, nepravilnosti i rizici, čime se pokreće primjena korektivnih mjera i postupaka povrata koje provode Komisija, države članice i drugi sudionici u AFA-i;</w:t>
            </w:r>
            <w:r>
              <w:t xml:space="preserve"> </w:t>
            </w:r>
            <w:r>
              <w:rPr>
                <w:b/>
                <w:i/>
              </w:rPr>
              <w:t>tom funkcijom nadzora Europski revizorski sud ne samo da povećava transparentnost i odgovornost već jača i ukupni kapacitet sustava EU-a za odvraćanje i otkrivanje, čime se osigurava dobro upravljanje javnim sredstvima i njihova zaštita od prijevara i zlouporabe;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65.</w:t>
            </w:r>
            <w:r>
              <w:tab/>
            </w:r>
            <w:r>
              <w:rPr>
                <w:b/>
                <w:i/>
              </w:rPr>
              <w:t>ponovno izražava žaljenje zbog toga što, unatoč poboljšanom pristupu dokumentima i informacijama</w:t>
            </w:r>
            <w:r>
              <w:t xml:space="preserve"> Europske investicijske banke </w:t>
            </w:r>
            <w:r>
              <w:rPr>
                <w:b/>
                <w:i/>
              </w:rPr>
              <w:t>(EIB), Revizorskom sudu nedostaje mandat za reviziju operacija koje se financiraju vlastitim sredstvima EIB-a;</w:t>
            </w:r>
            <w:r>
              <w:t xml:space="preserve"> </w:t>
            </w:r>
            <w:r>
              <w:rPr>
                <w:b/>
                <w:i/>
              </w:rPr>
              <w:t>poziva na to da se taj mandat dodijeli Revizorskom sudu, s obzirom na misiju EIB-a da ostvaruje ciljeve Unije te njegovu sve veću ulogu u gospodarskom i političkom okruženju Unije, koja nadilazi iskorištavanje proračuna Unije kako bi se zajamčilo njezino djelovanje;</w:t>
            </w:r>
            <w:r>
              <w:t xml:space="preserve"> </w:t>
            </w:r>
            <w:r>
              <w:rPr>
                <w:b/>
                <w:i/>
              </w:rPr>
              <w:t>podsjeća da je Revizorski sud u tematskom izvješću br. 05/2023 naslovljenom „Financijska struktura EU-a – niz pojedinačnih sastavnica koje zahtijevaju dodatno pojednostavnjenje i više</w:t>
            </w:r>
            <w:r>
              <w:t xml:space="preserve"> odgovornosti</w:t>
            </w:r>
            <w:r>
              <w:rPr>
                <w:b/>
                <w:i/>
              </w:rPr>
              <w:t>” izjavio da bi trebalo uspostaviti mandat za javnu reviziju za sve vrste financiranja politika Unije</w:t>
            </w:r>
            <w:r>
              <w:t>;</w:t>
            </w:r>
          </w:p>
        </w:tc>
        <w:tc>
          <w:tcPr>
            <w:tcW w:w="4876" w:type="dxa"/>
            <w:tcBorders>
              <w:top w:val="nil"/>
              <w:left w:val="nil"/>
              <w:bottom w:val="nil"/>
              <w:right w:val="nil"/>
            </w:tcBorders>
          </w:tcPr>
          <w:p>
            <w:pPr>
              <w:pStyle w:val="Normal6a"/>
            </w:pPr>
            <w:r>
              <w:t>65.</w:t>
            </w:r>
            <w:r>
              <w:tab/>
            </w:r>
            <w:r>
              <w:rPr>
                <w:b/>
                <w:i/>
              </w:rPr>
              <w:t>podsjeća da svako proširenje mandata Revizorskog suda u pogledu revizija</w:t>
            </w:r>
            <w:r>
              <w:t xml:space="preserve"> Europske investicijske banke </w:t>
            </w:r>
            <w:r>
              <w:rPr>
                <w:b/>
                <w:i/>
              </w:rPr>
              <w:t>zahtijeva jasnu pravnu osnovu i pažljivu procjenu</w:t>
            </w:r>
            <w:r>
              <w:t xml:space="preserve"> odgovornosti;</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68.</w:t>
            </w:r>
            <w:r>
              <w:tab/>
            </w:r>
            <w:r>
              <w:rPr>
                <w:b/>
                <w:i/>
              </w:rPr>
              <w:t>podržava rastuću medijsku strategiju Revizorskog suda, koja je 2024. dovela do rekordne objave više od 24 000 novinskih članaka na internetu, koji obuhvaćaju revizijska izvješća Revizorskog suda, druge publikacije ili Revizorski sud općenito, čime se potvrđuje uzlazni trend pokrivenosti zabilježen posljednjih godina (2023.:</w:t>
            </w:r>
            <w:r>
              <w:t xml:space="preserve"> </w:t>
            </w:r>
            <w:r>
              <w:rPr>
                <w:b/>
                <w:i/>
              </w:rPr>
              <w:t>22 000;</w:t>
            </w:r>
            <w:r>
              <w:t xml:space="preserve"> </w:t>
            </w:r>
            <w:r>
              <w:rPr>
                <w:b/>
                <w:i/>
              </w:rPr>
              <w:t>2022.:</w:t>
            </w:r>
            <w:r>
              <w:t xml:space="preserve"> </w:t>
            </w:r>
            <w:r>
              <w:rPr>
                <w:b/>
                <w:i/>
              </w:rPr>
              <w:t>20 000;</w:t>
            </w:r>
            <w:r>
              <w:t xml:space="preserve"> </w:t>
            </w:r>
            <w:r>
              <w:rPr>
                <w:b/>
                <w:i/>
              </w:rPr>
              <w:t>2021.:</w:t>
            </w:r>
            <w:r>
              <w:t xml:space="preserve"> </w:t>
            </w:r>
            <w:r>
              <w:rPr>
                <w:b/>
                <w:i/>
              </w:rPr>
              <w:t>18 000);</w:t>
            </w:r>
            <w:r>
              <w:t xml:space="preserve"> </w:t>
            </w:r>
            <w:r>
              <w:rPr>
                <w:b/>
                <w:i/>
              </w:rPr>
              <w:t>sa zadovoljstvom napominje da je, prema izvješću Revizorskog suda, došlo do povećanja broja posjetitelja internetskih stranica Revizorskog suda, pokrenutih 2023., s 780 000 posjeta 2024. (2023.:</w:t>
            </w:r>
            <w:r>
              <w:t xml:space="preserve"> </w:t>
            </w:r>
            <w:r>
              <w:rPr>
                <w:b/>
                <w:i/>
              </w:rPr>
              <w:t>700 000), 1 295 025 jedinstvenih pregleda stranica i 56 440 preuzimanja;</w:t>
            </w:r>
            <w:r>
              <w:t xml:space="preserve"> </w:t>
            </w:r>
            <w:r>
              <w:rPr>
                <w:b/>
                <w:i/>
              </w:rPr>
              <w:t>pozdravlja činjenicu da su do kraja 2024.</w:t>
            </w:r>
            <w:r>
              <w:t xml:space="preserve"> </w:t>
            </w:r>
            <w:r>
              <w:rPr>
                <w:b/>
                <w:i/>
              </w:rPr>
              <w:t>četiri glavna računa Revizorskog suda na društvenim mrežama (X, LinkedIn, Facebook, Instagram) privukla više od 61 500 pratitelja, što je povećanje u usporedbi s 55 000 u 2023. i 49 500 u 2022.;</w:t>
            </w:r>
            <w:r>
              <w:t xml:space="preserve"> </w:t>
            </w:r>
            <w:r>
              <w:rPr>
                <w:b/>
                <w:i/>
              </w:rPr>
              <w:t>pohvaljuje Revizorski sud zbog pokretanja prvog mjesečnog biltena LinkedIn (ECA Insights) u studenome 2024., u kojem se navode najvažnije točke nedavnih izvješća i pregledi predstojećih revizija i koji je do kraja te godine privukao više od 8 500 pretplatnika;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69.</w:t>
            </w:r>
            <w:r>
              <w:tab/>
            </w:r>
            <w:r>
              <w:rPr>
                <w:b/>
                <w:i/>
              </w:rPr>
              <w:t>pozdravlja činjenicu da Revizorski sud ima digitalno dostupnu internetsku stranicu (razina A++), koju dvaput godišnje revidira vanjski konzultant kako bi procijenio usklađenost internetske stranice s relevantnim standardima pristupačnosti i utvrdio prepreke pristupačnosti za korisnike s invaliditetom;</w:t>
            </w:r>
            <w:r>
              <w:t xml:space="preserve"> </w:t>
            </w:r>
            <w:r>
              <w:rPr>
                <w:b/>
                <w:i/>
              </w:rPr>
              <w:t>cijeni činjenicu da je provedba pristupačnosti općenito ocijenjena vrlo dobrom i napominje da su kao rezultat revizije predložene neke preporuke za daljnje poboljšanje i održavanje ocjene pristupačnosti internetskih stranica;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70.</w:t>
            </w:r>
            <w:r>
              <w:tab/>
            </w:r>
            <w:r>
              <w:t xml:space="preserve">napominje da je Revizorski sud 2024. objavio 44 priopćenja za medije na 24 jezika EU-a te razne informativne bilješke, obavijesti za medije i audioizjave spremne za upotrebu na određenim jezicima; napominje, nadalje, da je Revizorski sud održao 20 virtualnu tiskovnu konferenciju i 14 dodatnih tiskovnih konferencija usmjerenih na pojedine zemlje u vezi s godišnjim izvješćem u toj godini; </w:t>
            </w:r>
            <w:r>
              <w:rPr>
                <w:b/>
                <w:i/>
              </w:rPr>
              <w:t>ističe da su te konferencije sveukupno privukle 876 novinara, od kojih je većina predstavljala vodeće nacionalne medijske kuće u državama članicama</w:t>
            </w:r>
            <w:r>
              <w:t>;</w:t>
            </w:r>
          </w:p>
        </w:tc>
        <w:tc>
          <w:tcPr>
            <w:tcW w:w="4876" w:type="dxa"/>
            <w:tcBorders>
              <w:top w:val="nil"/>
              <w:left w:val="nil"/>
              <w:bottom w:val="nil"/>
              <w:right w:val="nil"/>
            </w:tcBorders>
          </w:tcPr>
          <w:p>
            <w:pPr>
              <w:pStyle w:val="Normal6a"/>
            </w:pPr>
            <w:r>
              <w:t>70.</w:t>
            </w:r>
            <w:r>
              <w:tab/>
            </w:r>
            <w:r>
              <w:t xml:space="preserve">napominje da je Revizorski sud 2024. objavio 44 priopćenja za medije na 24 jezika EU-a te razne informativne bilješke, obavijesti za medije i audioizjave spremne za upotrebu na određenim jezicima; napominje, nadalje, da je Revizorski sud održao 20 virtualnu tiskovnu konferenciju i 14 dodatnih tiskovnih konferencija usmjerenih na pojedine zemlje u vezi s godišnjim izvješćem u toj godini; </w:t>
            </w:r>
            <w:r>
              <w:rPr>
                <w:b/>
                <w:i/>
              </w:rPr>
              <w:t>prima na znanje te aktivnosti i naglašava da komunikacijske aktivnosti Revizorskog suda trebaju biti strogo ograničene na priopćavanje rezultata revizije</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70.b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70.b</w:t>
            </w:r>
            <w:r>
              <w:tab/>
            </w:r>
            <w:r>
              <w:rPr>
                <w:b/>
                <w:i/>
              </w:rPr>
              <w:t>pozdravlja tematsko izvješće 11/2025 Europskog revizorskog suda:</w:t>
            </w:r>
            <w:r>
              <w:t xml:space="preserve"> </w:t>
            </w:r>
            <w:r>
              <w:rPr>
                <w:b/>
                <w:i/>
              </w:rPr>
              <w:t>Transparentnost financiranja sredstvima EU-a dodijeljenim nevladinim organizacijama;</w:t>
            </w:r>
            <w:r>
              <w:t xml:space="preserve"> </w:t>
            </w:r>
            <w:r>
              <w:rPr>
                <w:b/>
                <w:i/>
              </w:rPr>
              <w:t>sa zabrinutošću primjećuje probleme koji su u njemu utvrđeni, uključujući nedostatke u pogledu transparentnosti, klasifikacije i nadzora;</w:t>
            </w:r>
            <w:r>
              <w:t xml:space="preserve"> </w:t>
            </w:r>
            <w:r>
              <w:rPr>
                <w:b/>
                <w:i/>
              </w:rPr>
              <w:t>ističe potrebu da Revizorski sud nastavi i ojača svoje praćenje tih pitanja i izvješćivanje o njima kako bi se osigurala puna usklađenost s financijskim pravilima, zahtjevima u pogledu transparentnosti i temeljnim vrijednostima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70.a</w:t>
            </w:r>
            <w:r>
              <w:tab/>
            </w:r>
            <w:r>
              <w:rPr>
                <w:b/>
                <w:i/>
              </w:rPr>
              <w:t>u tom kontekstu potiče Revizorski sud da pripremi tematsko izvješće o financijskim sredstvima EU-a dodijeljenima nevladinim organizacijama aktivnima u kontekstu Gaze kao i organizacijama uključenima u sastavljanje palestinskih školskih udžbenika;</w:t>
            </w:r>
            <w:r>
              <w:t xml:space="preserve"> </w:t>
            </w:r>
            <w:r>
              <w:rPr>
                <w:b/>
                <w:i/>
              </w:rPr>
              <w:t>ističe da je takav nadzor ključan kako bi se osiguralo da se sredstva EU-a ne preusmjeravaju, izravno ili neizravno, terorističkim organizacijama ili njihovim podružnicama te da se ne koriste na način kojim se promiče mržnja, radikalizacija ili poticanje na nasilje, ali i kako bi se osigurala puna usklađenost s financijskim pravilima EU-a, standardima transparentnosti i temeljnim vrijednostima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71.</w:t>
            </w:r>
            <w:r>
              <w:tab/>
            </w:r>
            <w:r>
              <w:rPr>
                <w:b/>
                <w:i/>
              </w:rPr>
              <w:t>pozdravlja činjenicu da je Revizorski sud, kako bi povećao angažman javnosti, od 2024. građanima pružio priliku da doprinesu njegovu programu rada iznošenjem prijedloga revizije na internetskim stranicama Revizorskog suda;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782.521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46</w:t>
    </w:r>
    <w:r>
      <w:fldChar w:fldCharType="end"/>
    </w:r>
    <w:r>
      <w:t>/</w:t>
    </w:r>
    <w:r>
      <w:fldChar w:fldCharType="begin"/>
    </w:r>
    <w:r>
      <w:instrText xml:space="preserve"> NUMPAGES </w:instrText>
    </w:r>
    <w:r>
      <w:fldChar w:fldCharType="separate"/>
    </w:r>
    <w:r>
      <w:t>46</w:t>
    </w:r>
    <w:r>
      <w:fldChar w:fldCharType="end"/>
    </w:r>
    <w:r>
      <w:tab/>
    </w:r>
    <w:r>
      <w:rPr>
        <w:rStyle w:val="HideTWBExt"/>
      </w:rPr>
      <w:t>&lt;PathFdR&gt;</w:t>
    </w:r>
    <w:r>
      <w:t>AM\1336164HR.docx</w:t>
    </w:r>
    <w:r>
      <w:rPr>
        <w:rStyle w:val="HideTWBExt"/>
      </w:rPr>
      <w:t>&lt;/PathFdR&gt;</w:t>
    </w:r>
  </w:p>
  <w:p>
    <w:pPr>
      <w:pStyle w:val="EPFooter2"/>
    </w:pPr>
    <w:r>
      <w:t>HR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AM\1336164HR.docx</w:t>
    </w:r>
    <w:r>
      <w:rPr>
        <w:rStyle w:val="HideTWBExt"/>
      </w:rPr>
      <w:t>&lt;/PathFdR&gt;</w:t>
    </w:r>
    <w:r>
      <w:tab/>
    </w:r>
    <w:r>
      <w:fldChar w:fldCharType="begin"/>
    </w:r>
    <w:r>
      <w:instrText xml:space="preserve"> PAGE </w:instrText>
    </w:r>
    <w:r>
      <w:fldChar w:fldCharType="separate"/>
    </w:r>
    <w:r>
      <w:t>45</w:t>
    </w:r>
    <w:r>
      <w:fldChar w:fldCharType="end"/>
    </w:r>
    <w:r>
      <w:t>/</w:t>
    </w:r>
    <w:r>
      <w:fldChar w:fldCharType="begin"/>
    </w:r>
    <w:r>
      <w:instrText xml:space="preserve"> NUMPAGES </w:instrText>
    </w:r>
    <w:r>
      <w:fldChar w:fldCharType="separate"/>
    </w:r>
    <w:r>
      <w:t>46</w:t>
    </w:r>
    <w:r>
      <w:fldChar w:fldCharType="end"/>
    </w:r>
    <w:r>
      <w:tab/>
    </w:r>
    <w:r>
      <w:t>PE</w:t>
    </w:r>
    <w:r>
      <w:rPr>
        <w:rStyle w:val="HideTWBExt"/>
      </w:rPr>
      <w:t>&lt;NoPE&gt;</w:t>
    </w:r>
    <w:r>
      <w:t>782.521</w:t>
    </w:r>
    <w:r>
      <w:rPr>
        <w:rStyle w:val="HideTWBExt"/>
      </w:rPr>
      <w:t>&lt;/NoPE&gt;</w:t>
    </w:r>
    <w:r>
      <w:rPr>
        <w:rStyle w:val="HideTWBExt"/>
      </w:rPr>
      <w:t>&lt;Version&gt;</w:t>
    </w:r>
    <w:r>
      <w:t>v01-00</w:t>
    </w:r>
    <w:r>
      <w:rPr>
        <w:rStyle w:val="HideTWBExt"/>
      </w:rPr>
      <w:t>&lt;/Version&gt;</w:t>
    </w:r>
  </w:p>
  <w:p>
    <w:pPr>
      <w:pStyle w:val="EPFooter2"/>
    </w:pPr>
    <w:r>
      <w:tab/>
    </w:r>
    <w:r>
      <w:tab/>
    </w:r>
    <w:r>
      <w:t>HR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AM\1336164HR.docx</w:t>
    </w:r>
    <w:r>
      <w:rPr>
        <w:rStyle w:val="HideTWBExt"/>
      </w:rPr>
      <w:t>&lt;/PathFdR&gt;</w:t>
    </w:r>
    <w:r>
      <w:tab/>
    </w:r>
    <w:r>
      <w:tab/>
    </w:r>
    <w:r>
      <w:t>PE</w:t>
    </w:r>
    <w:r>
      <w:rPr>
        <w:rStyle w:val="HideTWBExt"/>
      </w:rPr>
      <w:t>&lt;NoPE&gt;</w:t>
    </w:r>
    <w:r>
      <w:t>782.521</w:t>
    </w:r>
    <w:r>
      <w:rPr>
        <w:rStyle w:val="HideTWBExt"/>
      </w:rPr>
      <w:t>&lt;/NoPE&gt;</w:t>
    </w:r>
    <w:r>
      <w:rPr>
        <w:rStyle w:val="HideTWBExt"/>
      </w:rPr>
      <w:t>&lt;Version&gt;</w:t>
    </w:r>
    <w:r>
      <w:t>v01-00</w:t>
    </w:r>
    <w:r>
      <w:rPr>
        <w:rStyle w:val="HideTWBExt"/>
      </w:rPr>
      <w:t>&lt;/Version&gt;</w:t>
    </w:r>
  </w:p>
  <w:p>
    <w:pPr>
      <w:pStyle w:val="EPFooter2"/>
    </w:pPr>
    <w:r>
      <w:t>HR</w:t>
    </w:r>
    <w:r>
      <w:tab/>
    </w:r>
    <w:r>
      <w:rPr>
        <w:rStyle w:val="EPFooter2Motto"/>
      </w:rPr>
      <w:t>Ujedinjena u raznolikosti</w:t>
    </w:r>
    <w:r>
      <w:tab/>
    </w:r>
    <w:r>
      <w:t>HR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46</Pages>
  <Words>12739</Words>
  <Characters>77234</Characters>
  <Application>Microsoft Office Word</Application>
  <DocSecurity>0</DocSecurity>
  <Lines>1</Lines>
  <Paragraphs>534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1336164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370177</vt:lpwstr>
  </property>
  <property fmtid="{D5CDD505-2E9C-101B-9397-08002B2CF9AE}" pid="7" name="dmxml.render.traceId">
    <vt:lpwstr>698b106774ef86d5c49367039ec10688</vt:lpwstr>
  </property>
  <property fmtid="{D5CDD505-2E9C-101B-9397-08002B2CF9AE}" pid="8" name="FooterPath">
    <vt:lpwstr>AM\1336164HR.docx</vt:lpwstr>
  </property>
  <property fmtid="{D5CDD505-2E9C-101B-9397-08002B2CF9AE}" pid="9" name="PE Number">
    <vt:lpwstr>782.521</vt:lpwstr>
  </property>
  <property fmtid="{D5CDD505-2E9C-101B-9397-08002B2CF9AE}" pid="10" name="UID">
    <vt:lpwstr>eu.europa.europarl-DIN1-2026-0000016605_01.00-hr-01.00_text-xml</vt:lpwstr>
  </property>
</Properties>
</file>