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Europejski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Komisja Kontroli Budżetowej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2025/2149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(DEC)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{28/01/2026}</w:t>
      </w:r>
      <w:r>
        <w:t>28.1.2026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POPRAWKI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58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Projekt sprawozdania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Pasquale Tridico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(PE778.062v01-00)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Absolutorium za rok 2024: budżet ogólny UE – Trybunał Obrachunkowy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(2025/2149(DEC))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zauważa, że budżet Trybunału jest objęty działem 7 WRF „Europejska administracja publiczna”, którego budżet w </w:t>
            </w:r>
            <w:r>
              <w:rPr>
                <w:b/>
                <w:i/>
              </w:rPr>
              <w:t>2023</w:t>
            </w:r>
            <w:r>
              <w:t xml:space="preserve"> r. sięgnął 13,3 mld EUR (co stanowi 6,9 % łącznych wydatków z budżetu Unii); zwraca uwagę, że budżet Trybunału o wartości blisko 0,2 mld EUR stanowi około 1,5 % całkowitych wydatków administracyjnych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zauważa, że budżet Trybunału jest objęty działem 7 WRF „Europejska administracja publiczna”, którego budżet w </w:t>
            </w:r>
            <w:r>
              <w:rPr>
                <w:b/>
                <w:i/>
              </w:rPr>
              <w:t>2024</w:t>
            </w:r>
            <w:r>
              <w:t xml:space="preserve"> r. sięgnął 13,3 mld EUR (co stanowi 6,9 % łącznych wydatków z budżetu Unii); zwraca uwagę, że budżet Trybunału o wartości blisko 0,2 mld EUR stanowi około 1,5 % całkowitych wydatków administracyjnych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zwraca uwagę na ogłoszenie Trybunału z 1 października 2025 r. dotyczące wprowadzenia, począwszy od roku budżetowego 2025, zmienionego podejścia do audytu wspólnych przedsięwzięć;</w:t>
            </w:r>
            <w:r>
              <w:t xml:space="preserve"> </w:t>
            </w:r>
            <w:r>
              <w:rPr>
                <w:b/>
                <w:i/>
              </w:rPr>
              <w:t>zauważa, że zmiana ta została spowodowana między innymi ograniczeniami kadrowymi oraz zaprzestaniem prowadzenia audytów wspólnych przedsięwzięć w ramach programu „Horyzont Europa” przez Służbę Audytu Wewnętrznego Komisji, która wcześniej przeprowadzała taki audyt, co ograniczyło dostępność uzupełniającego poświadczenia audytowego;</w:t>
            </w:r>
            <w:r>
              <w:t xml:space="preserve"> </w:t>
            </w:r>
            <w:r>
              <w:rPr>
                <w:b/>
                <w:i/>
              </w:rPr>
              <w:t>zauważa ponadto, że nowe podejście przewiduje odpowiednią wielkość próby audytowej, konsolidację prac audytowych we wszystkich wspólnych przedsięwzięciach oraz wydawanie dwóch odrębnych poświadczeń wiarygodności, wspieranych dodatkowymi sprawozdaniami tematycznymi i specjalnymi;</w:t>
            </w:r>
            <w:r>
              <w:t xml:space="preserve"> </w:t>
            </w:r>
            <w:r>
              <w:rPr>
                <w:b/>
                <w:i/>
              </w:rPr>
              <w:t>wzywa Trybunał do dopilnowania, aby zmieniona metodyka została wdrożona w odpowiednim terminie i aby nadal spełniała najwyższe standardy jakości audytu, wiarygodności i pewności na potrzeby ochrony interesów finansowych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zauważa, że wskaźniki wykonania środków na zobowiązania i środków na płatności w 2024 r. pozostały wysokie, niemal na tym samym poziomie co w 2023 r., podczas gdy wskaźnik wykorzystania środków wyniósł 97,30 %, a płatności stanowiły 94,81 % całkowitych zobowiązań w 2024 r.; odnotowuje wzrost kwoty anulowanych środków na koniec roku z około 3,4 mln EUR w 2023 r. do 4,4 mln EUR w 2024 r.; wyraża uznanie dla Trybunału za utrzymanie w 2024 r. średniego czasu płatności faktur poniżej 11 dni;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zauważa, że wskaźniki wykonania środków na zobowiązania i środków na płatności w 2024 r. pozostały wysokie, niemal na tym samym poziomie co w 2023 r., podczas gdy wskaźnik wykorzystania środków wyniósł 97,30 %, a płatności stanowiły 94,81 % całkowitych zobowiązań w 2024 r.; odnotowuje wzrost kwoty anulowanych środków na koniec roku z około 3,4 mln EUR w 2023 r. do 4,4 mln EUR w 2024 r.; wyraża uznanie dla Trybunału za utrzymanie w 2024 r. średniego czasu płatności faktur poniżej 11 dni; </w:t>
            </w:r>
            <w:r>
              <w:rPr>
                <w:b/>
                <w:i/>
              </w:rPr>
              <w:t>zachęca Trybunał do utrzymania ścisłej dyscypliny wydatków, dalszego priorytetowego traktowania efektywności operacyjnej i większego ograniczenia umorzeń na koniec roku, a tym samym poprawy efektywności i optymalnego wykorzystania jego środków;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zauważa, że zgodnie z kwestionariuszem skutki rosyjskiej wojny napastniczej przeciwko Ukrainie były odczuwalne w Trybunale w postaci wzrostu – napędzanego inflacją – kosztów towarów, usług i logistyki w 2024 r.; z zadowoleniem przyjmuje środki wprowadzone przez Trybunał w celu przeciwdziałania tym skutkom przez prowadzenie bardziej szczegółowych wstępnych analiz rynkowych, aby zapewnić realistyczne planowanie i skuteczne zamówienia; ponadto z zadowoleniem odnotowuje, że koszty Trybunału związane ze zużyciem energii (pozycja budżetowa nr 2024) znacząco spadły – z 1 556 671 EUR w 2023 r. do 887 827 EUR w 2024 r. – głównie z powodu obniżenia stałej ceny energii elektrycznej, zgodnie z umową międzyinstytucjonalną z dostawcą; uznaje potrzebę usprawnienia zarządzania budżetem przez wszystkie instytucje Unii, w tym przez uwzględnianie wahania cen, zwłaszcza w sektorze energetycznym, przy zawieraniu umów z dostawcami usług;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zauważa, że zgodnie z kwestionariuszem skutki </w:t>
            </w:r>
            <w:r>
              <w:rPr>
                <w:b/>
                <w:i/>
              </w:rPr>
              <w:t>nielegalnej</w:t>
            </w:r>
            <w:r>
              <w:t xml:space="preserve"> rosyjskiej wojny napastniczej przeciwko Ukrainie były odczuwalne w Trybunale w postaci wzrostu – napędzanego inflacją – kosztów towarów, usług i logistyki w 2024 r.; z zadowoleniem przyjmuje środki wprowadzone przez Trybunał w celu przeciwdziałania tym skutkom przez prowadzenie bardziej szczegółowych wstępnych analiz rynkowych, aby zapewnić realistyczne planowanie i skuteczne zamówienia; ponadto z zadowoleniem odnotowuje, że koszty Trybunału związane ze zużyciem energii (pozycja budżetowa nr 2024) znacząco spadły – z 1 556 671 EUR w 2023 r. do 887 827 EUR w 2024 r.– głównie z powodu obniżenia stałej ceny energii elektrycznej, zgodnie z umową międzyinstytucjonalną z dostawcą; uznaje potrzebę usprawnienia zarządzania budżetem przez wszystkie instytucje Unii, w tym przez uwzględnianie wahania cen, zwłaszcza w sektorze energetycznym, przy zawieraniu umów z dostawcami usług;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z zadowoleniem</w:t>
            </w:r>
            <w:r>
              <w:t xml:space="preserve"> zauważa, że </w:t>
            </w:r>
            <w:r>
              <w:rPr>
                <w:b/>
                <w:i/>
              </w:rPr>
              <w:t>–</w:t>
            </w:r>
            <w:r>
              <w:t xml:space="preserve"> zgodnie z kwestionariuszem </w:t>
            </w:r>
            <w:r>
              <w:rPr>
                <w:b/>
                <w:i/>
              </w:rPr>
              <w:t>– jeśli chodzi o pozycję budżetową Trybunału dotyczącą publikacji,</w:t>
            </w:r>
            <w:r>
              <w:t xml:space="preserve"> zaplanowane środki budżetowe </w:t>
            </w:r>
            <w:r>
              <w:rPr>
                <w:b/>
                <w:i/>
              </w:rPr>
              <w:t>spadły z 810 000 EUR w 2014 r. do 300 000 EUR w 2024 r. w związku ze zwiększeniem wewnętrznej produkcji sprawozdań oraz wirtualnej promocji</w:t>
            </w:r>
            <w:r>
              <w:t xml:space="preserve"> publikacji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zwraca uwagę, że szacunki</w:t>
            </w:r>
            <w:r>
              <w:t xml:space="preserve"> Trybunału </w:t>
            </w:r>
            <w:r>
              <w:rPr>
                <w:b/>
                <w:i/>
              </w:rPr>
              <w:t>dotyczące tej pozycji budżetowej uległy dalszemu obniżeniu w kolejnych latach budżetowych;</w:t>
            </w:r>
            <w:r>
              <w:t xml:space="preserve"> </w:t>
            </w:r>
            <w:r>
              <w:rPr>
                <w:b/>
                <w:i/>
              </w:rPr>
              <w:t>zauważa ponadto tendencję Trybunału do zmniejszania budżetu na tłumaczenie ustne oraz na usługi ekspertów (konsultacje, badania itp.), a także plan wycofania stacjonarnej telefonii w celu wygenerowania dalszych</w:t>
            </w:r>
            <w:r>
              <w:t xml:space="preserve"> oszczędności;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zauważa, że zgodnie z kwestionariuszem zaplanowane środki budżetowe </w:t>
            </w:r>
            <w:r>
              <w:rPr>
                <w:b/>
                <w:i/>
              </w:rPr>
              <w:t>dotyczące</w:t>
            </w:r>
            <w:r>
              <w:t xml:space="preserve"> publikacji Trybunału </w:t>
            </w:r>
            <w:r>
              <w:rPr>
                <w:b/>
                <w:i/>
              </w:rPr>
              <w:t>na lata 2014–2024 znacznie spadły;</w:t>
            </w:r>
            <w:r>
              <w:t xml:space="preserve"> </w:t>
            </w:r>
            <w:r>
              <w:rPr>
                <w:b/>
                <w:i/>
              </w:rPr>
              <w:t>odnotowuje ten fakt i podkreśla, że dalsze</w:t>
            </w:r>
            <w:r>
              <w:t xml:space="preserve"> oszczędności </w:t>
            </w:r>
            <w:r>
              <w:rPr>
                <w:b/>
                <w:i/>
              </w:rPr>
              <w:t>muszą być nadal kontrolowane zgodnie z zasadami przejrzystości i dostępności sprawozdań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16.</w:t>
            </w:r>
            <w:r>
              <w:tab/>
            </w:r>
            <w:r>
              <w:rPr>
                <w:b/>
                <w:i/>
              </w:rPr>
              <w:t>zauważa, że w 2024 r.</w:t>
            </w:r>
            <w:r>
              <w:t xml:space="preserve"> </w:t>
            </w:r>
            <w:r>
              <w:rPr>
                <w:b/>
                <w:i/>
              </w:rPr>
              <w:t>Trybunał przedstawił 2 sprawozdania roczne, 3 specjalne sprawozdania roczne, 28 sprawozdań specjalnych, 4 przeglądy oraz 3 opinie, tj. łącznie 40 dokumentów (w porównaniu z 45 dokumentami w 2023 r.);</w:t>
            </w:r>
            <w:r>
              <w:t xml:space="preserve"> </w:t>
            </w:r>
            <w:r>
              <w:rPr>
                <w:b/>
                <w:i/>
              </w:rPr>
              <w:t>z zadowoleniem przyjmuje, że w 2024 r.</w:t>
            </w:r>
            <w:r>
              <w:t xml:space="preserve"> </w:t>
            </w:r>
            <w:r>
              <w:rPr>
                <w:b/>
                <w:i/>
              </w:rPr>
              <w:t>Trybunał skoncentrował się w swoich sprawozdaniach specjalnych i przeglądach na pilnych wyzwaniach stojących przed Unią w kluczowych obszarach, takich jak bezpieczeństwo dostaw gazu, inwestycje w sztuczną inteligencję (AI), przystosowanie do zmiany klimatu, absorpcja środków z Instrumentu na rzecz Odbudowy i Zwiększania Odporności („RRF”), działania na rzecz osiągnięcia zerowej emisji w transporcie drogowym, wsparcie dla uchodźców w Turcji oraz unijna polityka przemysłowa w zakresie wodoru;</w:t>
            </w:r>
            <w:r>
              <w:t xml:space="preserve"> </w:t>
            </w:r>
            <w:r>
              <w:rPr>
                <w:b/>
                <w:i/>
              </w:rPr>
              <w:t>z zadowoleniem przyjmuje również planowane przez Trybunał sprawozdania dotyczące RRF w obszarach takich jak przejrzystość i identyfikowalność, a także dotyczące unijnej architektury i strategii w walce z nadużyciami finansowymi oraz wsparcia Unii dla Ukrainy, Mołdawii i Gruzji;</w:t>
            </w:r>
            <w:r>
              <w:t xml:space="preserve"> </w:t>
            </w:r>
            <w:r>
              <w:rPr>
                <w:b/>
                <w:i/>
              </w:rPr>
              <w:t>odnotowuje poprawę w zakresie zadowolenia zainteresowanych stron z pracy Trybunału, przy czym przeprowadzone w 2024 r. badanie wykazało, że 89 % respondentów (wzrost z 85 % w 2023 r.) uznało sprawozdania Trybunału za przydatne, a 82 % (wzrost z 78 %) uznało, że praca Trybunału ma znaczenie;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Knotek, Virginie Joron, Julien Sanchez,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zauważa, że w 2024 r. Trybunał przedstawił 2 sprawozdania roczne, 3 specjalne sprawozdania roczne, 28 sprawozdań specjalnych, 4 przeglądy oraz 3 opinie, tj. łącznie 40 dokumentów (w porównaniu z 45 dokumentami w 2023 r.); z zadowoleniem przyjmuje, że w 2024 r. Trybunał skoncentrował się w swoich sprawozdaniach specjalnych i przeglądach na pilnych wyzwaniach stojących przed Unią w kluczowych obszarach, takich jak bezpieczeństwo dostaw gazu, inwestycje w sztuczną inteligencję (AI), przystosowanie do zmiany klimatu, absorpcja środków z Instrumentu na rzecz Odbudowy i Zwiększania Odporności („RRF”), działania na rzecz osiągnięcia zerowej emisji w transporcie drogowym, wsparcie dla uchodźców w Turcji oraz unijna polityka przemysłowa w zakresie wodoru; z zadowoleniem przyjmuje również planowane przez Trybunał sprawozdania dotyczące RRF w obszarach takich jak przejrzystość i identyfikowalność, a także dotyczące unijnej architektury i strategii w walce z nadużyciami finansowymi oraz wsparcia Unii dla Ukrainy, Mołdawii i Gruzji; odnotowuje poprawę w zakresie zadowolenia zainteresowanych stron z pracy Trybunału, przy czym przeprowadzone w 2024 r. badanie wykazało, że 89 % respondentów (wzrost z 85 % w 2023 r.) uznało sprawozdania Trybunału za przydatne, a 82 % (wzrost z 78 %) uznało, że praca Trybunału ma znaczenie;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zauważa, że w 2024 r. Trybunał przedstawił 2 sprawozdania roczne, 3 specjalne sprawozdania roczne, 28 sprawozdań specjalnych, 4 przeglądy oraz 3 opinie, tj. łącznie 40 dokumentów (w porównaniu z 45 dokumentami w 2023 r.); z zadowoleniem przyjmuje, że w 2024 r. Trybunał skoncentrował się w swoich sprawozdaniach specjalnych i przeglądach na pilnych wyzwaniach stojących przed Unią w kluczowych obszarach, takich jak </w:t>
            </w:r>
            <w:r>
              <w:rPr>
                <w:b/>
                <w:i/>
              </w:rPr>
              <w:t>instrumenty finansowe w polityce spójności, przejrzystość unijnego finansowania przyznawanego organizacjom pozarządowym, organy UE przeciwdziałające nadużyciom finansowym,</w:t>
            </w:r>
            <w:r>
              <w:t xml:space="preserve"> bezpieczeństwo dostaw gazu, inwestycje w sztuczną inteligencję (AI), przystosowanie do zmiany klimatu, absorpcja środków z Instrumentu na rzecz Odbudowy i Zwiększania Odporności („RRF”), działania na rzecz osiągnięcia zerowej emisji w transporcie drogowym, wsparcie dla uchodźców w Turcji oraz unijna polityka przemysłowa w zakresie wodoru; z zadowoleniem przyjmuje również planowane przez Trybunał sprawozdania dotyczące RRF w obszarach takich jak przejrzystość i identyfikowalność, a także dotyczące unijnej architektury i strategii w walce z nadużyciami finansowymi oraz wsparcia Unii dla Ukrainy, Mołdawii i Gruzji;odnotowuje poprawę w zakresie zadowolenia zainteresowanych stron z pracy Trybunału, przy czym przeprowadzone w 2024 r. badanie wykazało, że 89 % respondentów (wzrost z 85 % w 2023 r.) uznało sprawozdania Trybunału za przydatne, a 82 % (wzrost z 78 %) uznało, że praca Trybunału ma znaczenie;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wzywa Europejski Trybunał Obrachunkowy do przedstawiania bardziej szczegółowych i systematycznych ocen efektów mnożnikowych programów finansowanych przez Unię dla państw członkowskich, zarówno tych o wysokich, jak i tych o niskich wskaźnikach absorpcji funduszy europejskich;</w:t>
            </w:r>
            <w:r>
              <w:t xml:space="preserve"> </w:t>
            </w:r>
            <w:r>
              <w:rPr>
                <w:b/>
                <w:i/>
              </w:rPr>
              <w:t>podkreśla, że kompleksowa analiza gospodarczych, społecznych, administracyjnych i terytorialnych skutków takich efektów mnożnikowych, w tym skutków transgranicznych i dystrybucyjnych, wzmocniłaby ocenę długoterminowych skutków, wartości dodanej i zrównoważonego charakteru wydatków UE oraz wspierałaby bardziej świadome kształtowanie polityki zarówno na szczeblu unijnym, jak i krajowym;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Olivier Chastel, Gilles Boyer, Vlad Vasile-Voiculescu,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zauważa, że Trybunał dysponuje zestawem kluczowych wskaźników efektywności służących do pomiaru postępów w realizacji jego celów strategicznych, zgodnie ze strategią Trybunału na lata 2021–2025; zwraca uwagę na cele strategiczne Trybunału na 2024 r., obejmujące poprawę rozliczalności, przejrzystości i mechanizmów kontroli, ukierunkowanie działań na obszary i tematy, w których kontrole mogą przynosić największą wartość dodaną, oraz zapewnienie solidnej wiarygodności kontroli w wymagającym i zmieniającym się otoczeniu; zachęca Trybunał do przedstawiania w przyszłości w sposób zbiorczy (w formie tabeli) swoich kluczowych wskaźników efektywności, stopnia osiągniętego postępu oraz wyznaczonych celów;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zauważa, że Trybunał dysponuje zestawem kluczowych wskaźników efektywności służących do pomiaru postępów w realizacji jego celów strategicznych, zgodnie ze strategią Trybunału na lata 2021–2025; zwraca uwagę na cele strategiczne Trybunału na 2024 r., obejmujące poprawę rozliczalności, przejrzystości i mechanizmów kontroli, ukierunkowanie działań na obszary i tematy, w których kontrole mogą przynosić największą wartość dodaną, oraz zapewnienie solidnej wiarygodności kontroli w wymagającym i zmieniającym się otoczeniu; zachęca Trybunał do przedstawiania w przyszłości w sposób zbiorczy (w formie tabeli) swoich kluczowych wskaźników efektywności, stopnia osiągniętego postępu oraz wyznaczonych celów; </w:t>
            </w:r>
            <w:r>
              <w:rPr>
                <w:b/>
                <w:i/>
              </w:rPr>
              <w:t>wzywa Trybunał do dalszego rozwijania kluczowych wskaźników efektywności w oparciu o wyniki i rezultaty polityki europejskiej w celu jasnego pomiaru wpływu polityki prowadzonej przez Komisję;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Erixon, 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zwraca się do Trybunału o skonsolidowanie swoich ustaleń w formie analizy porównawczej wyników oraz o opracowanie metodyki „kompasu wyników” w odnienieniu do programów unijnych;</w:t>
            </w:r>
            <w:r>
              <w:t xml:space="preserve"> </w:t>
            </w:r>
            <w:r>
              <w:rPr>
                <w:b/>
                <w:i/>
              </w:rPr>
              <w:t>uważa, że taki instrument, przy poszanowaniu różnorodności strategii politycznych, zapewniłby organowi udzielającemu absolutorium, decydentom i ogółowi społeczeństwa jasne wytyczne dotyczące tego, które programy skutecznie wykorzystują zasoby, a które nadają się do zakończenia lub zasadniczej restrukturyzacji;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zauważa na podstawie sprawozdania uzupełniającego, że Komisja zgodziła się przekazywać Trybunałowi ręcznie pozyskiwane dane z narzędzia ARACHNE; ubolewa jednak nad tym, że dostęp Trybunału do FENIX, narzędzia sprawozdawczego dotyczącego RRF, pozostaje kwestią nierozstrzygniętą, przy czym Komisja przyznała Trybunałowi dostęp jedynie do niektórych modułów FENIX; z zadowoleniem odnotowuje zgłaszany wzrost liczby użytkowników Trybunału posiadających dostęp do FENIX; popiera jednak wniosek Trybunału skierowany do Komisji o przyznanie mu pełnego dostępu w możliwie najkrótszym terminie; przypomina, że Dyrekcja Generalna Komisji ds. Gospodarczych i Finansowych starała się udzielić Trybunałowi dostępu do akt FENIX w terminie dwóch tygodni od zatwierdzenia wniosku o płatność; jest jednak zaniepokojony faktem, że w praktyce termin ten w wielu przypadkach nie jest dotrzymywany oraz że w niektórych przypadkach wystąpiły opóźnienia wynoszące nawet dwa i pół miesiąca, co znacznie spowalnia przekazywanie ustaleń Trybunału; przypomina Komisji, że zgodnie z art. 263 rozporządzenia finansowego ma obowiązek zapewnić Trybunałowi kompleksowy dostęp do wszystkich odpowiednich systemów i baz danych (w tym między innymi ARACHNE, FENIX, ARES);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zauważa na podstawie sprawozdania uzupełniającego, że Komisja zgodziła się przekazywać Trybunałowi ręcznie pozyskiwane dane z narzędzia ARACHNE; ubolewa jednak nad tym, że dostęp Trybunału do FENIX, narzędzia sprawozdawczego dotyczącego RRF, pozostaje kwestią nierozstrzygniętą, przy czym Komisja przyznała Trybunałowi dostęp jedynie do niektórych modułów FENIX; z zadowoleniem odnotowuje zgłaszany wzrost liczby użytkowników Trybunału posiadających dostęp do FENIX; popiera jednak wniosek Trybunału skierowany do Komisji o przyznanie mu pełnego dostępu w możliwie najkrótszym terminie; przypomina, że Dyrekcja Generalna Komisji ds. Gospodarczych i Finansowych starała się udzielić Trybunałowi dostępu do akt FENIX w terminie dwóch tygodni od zatwierdzenia wniosku o płatność; jest jednak zaniepokojony faktem, że w praktyce termin ten w wielu przypadkach nie jest dotrzymywany oraz że w niektórych przypadkach wystąpiły opóźnienia wynoszące nawet dwa i pół miesiąca, co znacznie spowalnia przekazywanie ustaleń Trybunału; przypomina Komisji, że zgodnie z art. 263 rozporządzenia finansowego ma obowiązek zapewnić Trybunałowi kompleksowy dostęp do wszystkich odpowiednich systemów i baz danych (w tym między innymi ARACHNE, FENIX, ARES); </w:t>
            </w:r>
            <w:r>
              <w:rPr>
                <w:b/>
                <w:i/>
              </w:rPr>
              <w:t>uważa, że utrzymujące się opóźnienia i częściowy dostęp do kluczowych systemów informatycznych Komisji, w szczególności FENIX i ARACHNE, podważają skuteczność i terminowość prac audytowych Trybunału dotyczących wydatków wysokiego ryzyka, takich jak Instrument na rzecz Odbudowy i Zwiększania Odporności;</w:t>
            </w:r>
            <w:r>
              <w:t xml:space="preserve"> </w:t>
            </w:r>
            <w:r>
              <w:rPr>
                <w:b/>
                <w:i/>
              </w:rPr>
              <w:t>wzywa Komisję do niezwłocznego zaradzenia tej sytuacji i zwraca się do Trybunału o poinformowanie organu udzielającego absolutorium o osiągniętych konkretnych usprawnieniach;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Olivier Chastel, Gilles Boyer, Vlad Vasile-Voiculescu,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zauważa na podstawie sprawozdania uzupełniającego, że Komisja zgodziła się przekazywać Trybunałowi ręcznie pozyskiwane dane z narzędzia ARACHNE; ubolewa jednak nad tym, że dostęp Trybunału do FENIX, narzędzia sprawozdawczego dotyczącego RRF, pozostaje kwestią nierozstrzygniętą, przy czym Komisja przyznała Trybunałowi dostęp jedynie do niektórych modułów FENIX; z zadowoleniem odnotowuje zgłaszany wzrost liczby użytkowników Trybunału posiadających dostęp do FENIX; popiera jednak wniosek Trybunału skierowany do Komisji o przyznanie mu pełnego dostępu w możliwie najkrótszym terminie; przypomina, że Dyrekcja Generalna Komisji ds. Gospodarczych i Finansowych starała się udzielić Trybunałowi dostępu do akt FENIX w terminie dwóch tygodni od zatwierdzenia wniosku o płatność; jest jednak zaniepokojony faktem, że w praktyce termin ten w wielu przypadkach nie jest dotrzymywany oraz że w niektórych przypadkach wystąpiły opóźnienia wynoszące nawet dwa i pół miesiąca, co znacznie spowalnia przekazywanie ustaleń Trybunału; przypomina Komisji, że zgodnie z art. 263 rozporządzenia finansowego ma obowiązek zapewnić Trybunałowi kompleksowy dostęp do wszystkich odpowiednich systemów i baz danych (w tym między innymi ARACHNE, FENIX, ARES);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zauważa na podstawie sprawozdania uzupełniającego, że Komisja zgodziła się przekazywać Trybunałowi ręcznie pozyskiwane dane z narzędzia ARACHNE; ubolewa jednak nad tym, że dostęp Trybunału do FENIX, narzędzia sprawozdawczego dotyczącego RRF, pozostaje </w:t>
            </w:r>
            <w:r>
              <w:rPr>
                <w:b/>
                <w:i/>
              </w:rPr>
              <w:t>nadal</w:t>
            </w:r>
            <w:r>
              <w:t xml:space="preserve"> kwestią nierozstrzygniętą, przy czym Komisja przyznała Trybunałowi dostęp jedynie do niektórych modułów FENIX; z zadowoleniem odnotowuje zgłaszany wzrost liczby użytkowników Trybunału posiadających dostęp do FENIX; popiera jednak wniosek Trybunału skierowany do Komisji o przyznanie mu pełnego dostępu w możliwie najkrótszym terminie; przypomina, że Dyrekcja Generalna Komisji ds. Gospodarczych i Finansowych starała się udzielić Trybunałowi dostępu do akt FENIX w terminie dwóch tygodni od zatwierdzenia wniosku o płatność; jest jednak zaniepokojony faktem, że w praktyce termin ten w wielu przypadkach nie jest dotrzymywany oraz że w niektórych przypadkach wystąpiły opóźnienia wynoszące nawet dwa i pół miesiąca, co znacznie spowalnia przekazywanie ustaleń Trybunału; przypomina Komisji, że zgodnie z art. 263 rozporządzenia finansowego ma obowiązek zapewnić Trybunałowi kompleksowy dostęp do wszystkich odpowiednich systemów i baz danych (w tym między innymi ARACHNE, FENIX, ARES); </w:t>
            </w:r>
            <w:r>
              <w:rPr>
                <w:b/>
                <w:i/>
              </w:rPr>
              <w:t>wzywa Komisję do niezwłocznego ustanowienia wiążącego porozumienia międzyinstytucjonalnego zapewniającego Trybunałowi pełny i systematyczny dostęp w czasie rzeczywistym do wszystkich odpowiednich baz danych, w tym ARACHNE i FENIX;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zauważa na podstawie sprawozdania uzupełniającego, że Komisja zgodziła się przekazywać Trybunałowi ręcznie pozyskiwane dane z narzędzia ARACHNE; ubolewa jednak nad tym, że dostęp Trybunału do FENIX, narzędzia sprawozdawczego dotyczącego RRF, pozostaje kwestią nierozstrzygniętą, przy czym Komisja przyznała Trybunałowi dostęp jedynie do niektórych modułów FENIX; z zadowoleniem odnotowuje zgłaszany wzrost liczby użytkowników Trybunału posiadających dostęp do FENIX; popiera jednak wniosek Trybunału skierowany do Komisji o przyznanie mu pełnego dostępu w możliwie najkrótszym terminie; przypomina, że Dyrekcja Generalna Komisji ds. Gospodarczych i Finansowych starała się udzielić Trybunałowi dostępu do akt FENIX w terminie dwóch tygodni od zatwierdzenia wniosku o płatność; jest jednak zaniepokojony faktem, że w praktyce termin ten w wielu przypadkach nie jest dotrzymywany oraz że w niektórych przypadkach wystąpiły opóźnienia wynoszące nawet dwa i pół miesiąca, co znacznie spowalnia przekazywanie ustaleń Trybunału; przypomina Komisji, że zgodnie z art. 263 rozporządzenia finansowego ma obowiązek zapewnić Trybunałowi kompleksowy dostęp do wszystkich odpowiednich systemów i baz danych (w tym między innymi ARACHNE, FENIX, ARES);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zauważa na podstawie sprawozdania uzupełniającego, że Komisja zgodziła się przekazywać Trybunałowi ręcznie pozyskiwane dane z narzędzia ARACHNE; ubolewa jednak nad tym, że dostęp Trybunału do FENIX, narzędzia sprawozdawczego dotyczącego RRF, pozostaje kwestią nierozstrzygniętą, przy czym Komisja przyznała Trybunałowi dostęp jedynie do niektórych modułów FENIX</w:t>
            </w:r>
            <w:r>
              <w:rPr>
                <w:b/>
                <w:i/>
              </w:rPr>
              <w:t>, a informacje w nim zawarte nie są terminowo uaktualniane</w:t>
            </w:r>
            <w:r>
              <w:t>; z zadowoleniem odnotowuje zgłaszany wzrost liczby użytkowników Trybunału posiadających dostęp do FENIX; popiera jednak wniosek Trybunału skierowany do Komisji o przyznanie mu pełnego dostępu w możliwie najkrótszym terminie; przypomina, że Dyrekcja Generalna Komisji ds. Gospodarczych i Finansowych starała się udzielić Trybunałowi dostępu do akt FENIX w terminie dwóch tygodni od zatwierdzenia wniosku o płatność; jest jednak zaniepokojony faktem, że w praktyce termin ten w wielu przypadkach nie jest dotrzymywany oraz że w niektórych przypadkach wystąpiły opóźnienia wynoszące nawet dwa i pół miesiąca, co znacznie spowalnia przekazywanie ustaleń Trybunału; przypomina Komisji, że zgodnie z art. 263 rozporządzenia finansowego ma obowiązek zapewnić Trybunałowi kompleksowy dostęp do wszystkich odpowiednich systemów i baz danych (w tym między innymi ARACHNE, FENIX, ARES);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podkreśla znaczenie zamówień publicznych jako narzędzia realizacji celów politycznych, w tym celów społecznych i środowiskowych;</w:t>
            </w:r>
            <w:r>
              <w:t xml:space="preserve"> </w:t>
            </w:r>
            <w:r>
              <w:rPr>
                <w:b/>
                <w:i/>
              </w:rPr>
              <w:t>wzywa Trybunał, aby w większym stopniu uwzględniał w swoich procedurach udzielania zamówień kryteria strategiczne dotyczące odpowiedzialności społecznej i zrównoważenia środowiskowego;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zwraca uwagę, że na koniec 2024 r. Trybunał zatrudniał 961 pracowników (spadek z 969 w 2023 r.), w tym pracowników zatrudnionych na czas określony (192 w 2024 r., spadek z 204 w 2023 r.), pracowników kontraktowych (84 w 2024 r., spadek z 86 w 2023 r.) oraz oddelegowanych ekspertów krajowych (26 w 2024 r., tyle samo co w 2023 r.); przypomina o znaczeniu oferowania pracownikom umów na czas nieokreślony w celu utrzymania kompetencji, </w:t>
            </w:r>
            <w:r>
              <w:rPr>
                <w:b/>
                <w:i/>
              </w:rPr>
              <w:t>a także</w:t>
            </w:r>
            <w:r>
              <w:t xml:space="preserve"> zapewnienia ciągłości oraz </w:t>
            </w:r>
            <w:r>
              <w:rPr>
                <w:b/>
                <w:i/>
              </w:rPr>
              <w:t>sprzyjającego i</w:t>
            </w:r>
            <w:r>
              <w:t xml:space="preserve"> produktywnego środowiska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zwraca uwagę, że na koniec 2024 r. Trybunał zatrudniał 961 pracowników (spadek z 969 w 2023 r.), w tym pracowników zatrudnionych na czas określony (192 w 2024 r., spadek z 204 w 2023 r.), pracowników kontraktowych (84 w 2024 r., spadek z 86 w 2023 r.) oraz oddelegowanych ekspertów krajowych (26 w 2024 r., tyle samo co w 2023 r.); przypomina o znaczeniu oferowania pracownikom umów na czas nieokreślony w celu utrzymania kompetencji, zapewnienia ciągłości oraz produktywnego </w:t>
            </w:r>
            <w:r>
              <w:rPr>
                <w:b/>
                <w:i/>
              </w:rPr>
              <w:t>i stabilnego</w:t>
            </w:r>
            <w:r>
              <w:t xml:space="preserve"> środowiska pracy;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21.</w:t>
            </w:r>
            <w:r>
              <w:tab/>
            </w:r>
            <w:r>
              <w:rPr>
                <w:b/>
                <w:i/>
              </w:rPr>
              <w:t>zauważa, że w 2024 r.</w:t>
            </w:r>
            <w:r>
              <w:t xml:space="preserve"> </w:t>
            </w:r>
            <w:r>
              <w:rPr>
                <w:b/>
                <w:i/>
              </w:rPr>
              <w:t>54 % personelu Trybunału stanowiły kobiety (wzrost z 53 % w 2023 r.), a 47 % mężczyźni;</w:t>
            </w:r>
            <w:r>
              <w:t xml:space="preserve"> </w:t>
            </w:r>
            <w:r>
              <w:rPr>
                <w:b/>
                <w:i/>
              </w:rPr>
              <w:t>ubolewa nad faktem, że kobiety stanowią jedynie 30 % kadry kierowniczej wyższego szczebla w Trybunale, tyle samo co w 2023 r.;</w:t>
            </w:r>
            <w:r>
              <w:t xml:space="preserve"> </w:t>
            </w:r>
            <w:r>
              <w:rPr>
                <w:b/>
                <w:i/>
              </w:rPr>
              <w:t>ubolewa ponadto nad spadkiem odsetka kobiet na stanowiskach kierowniczych średniego szczebla z 40 % do 37,30 % w 2023 r.;</w:t>
            </w:r>
            <w:r>
              <w:t xml:space="preserve"> </w:t>
            </w:r>
            <w:r>
              <w:rPr>
                <w:b/>
                <w:i/>
              </w:rPr>
              <w:t>przypomina, że równość płci jest zasadą wynikającą z traktatów, którą powinny respektować wszystkie instytucje, oraz zachęca Trybunał do kontynuowania wysiłków na rzecz promowania równowagi płci na stanowiskach kierowniczych średniego i wyższego szczebla;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22.</w:t>
            </w:r>
            <w:r>
              <w:tab/>
            </w:r>
            <w:r>
              <w:rPr>
                <w:b/>
                <w:i/>
              </w:rPr>
              <w:t>zauważa, że zgodnie z kwestionariuszem w 2024 r.</w:t>
            </w:r>
            <w:r>
              <w:t xml:space="preserve"> </w:t>
            </w:r>
            <w:r>
              <w:rPr>
                <w:b/>
                <w:i/>
              </w:rPr>
              <w:t>Trybunał zatrudniał 64 stażystów, z których 59 otrzymywało miesięczne stypendium;</w:t>
            </w:r>
            <w:r>
              <w:t xml:space="preserve"> </w:t>
            </w:r>
            <w:r>
              <w:rPr>
                <w:b/>
                <w:i/>
              </w:rPr>
              <w:t>z zadowoleniem przyjmuje nowy program Trybunału zatytułowany „TraineEca Career Development”, którego celem jest oferowanie możliwości zatrudnienia najbardziej zasłużonym stażystom;</w:t>
            </w:r>
            <w:r>
              <w:t xml:space="preserve"> </w:t>
            </w:r>
            <w:r>
              <w:rPr>
                <w:b/>
                <w:i/>
              </w:rPr>
              <w:t>zwraca ponadto uwagę na plan Trybunału dotyczący oferowania specjalnych staży w obszarze sztucznej inteligencji dla świeżo upieczonych absolwentów uczelni i doktorantów w tej dziedzinie;</w:t>
            </w:r>
            <w:r>
              <w:t xml:space="preserve"> </w:t>
            </w:r>
            <w:r>
              <w:rPr>
                <w:b/>
                <w:i/>
              </w:rPr>
              <w:t>ponownie podkreśla, że staże powinny być płatne zgodnie z rezolucją Parlamentu z dnia 15 czerwca 2023 r. w sprawie wysokiej jakości staży w Unii (2020/2005(INL));</w:t>
            </w:r>
            <w:r>
              <w:t xml:space="preserve"> </w:t>
            </w:r>
            <w:r>
              <w:rPr>
                <w:b/>
                <w:i/>
              </w:rPr>
              <w:t>Parlament zaapelował w niej o wynagradzanie wszystkich stażystów w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zauważa, że zgodnie z kwestionariuszem w 2024 r. Trybunał zatrudniał 64 stażystów, z których 59 otrzymywało miesięczne stypendium; z zadowoleniem przyjmuje nowy program Trybunału zatytułowany „TraineEca Career Development”, którego celem jest oferowanie możliwości zatrudnienia najbardziej zasłużonym stażystom; zwraca ponadto uwagę na plan Trybunału dotyczący oferowania specjalnych staży w obszarze sztucznej inteligencji dla świeżo upieczonych absolwentów uczelni i doktorantów w tej dziedzinie; ponownie podkreśla, że staże powinny być płatne zgodnie z rezolucją Parlamentu z dnia 15 czerwca 2023 r. w sprawie wysokiej jakości staży w Unii (2020/2005(INL)); Parlament zaapelował w niej o wynagradzanie wszystkich stażystów w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zauważa, że zgodnie z kwestionariuszem w 2024 r. Trybunał zatrudniał 64 stażystów, z których 59 otrzymywało miesięczne stypendium; z zadowoleniem przyjmuje nowy program Trybunału zatytułowany „TraineEca Career Development”, którego celem jest oferowanie możliwości zatrudnienia najbardziej zasłużonym stażystom; zwraca ponadto uwagę na plan Trybunału dotyczący oferowania specjalnych staży w obszarze sztucznej inteligencji dla świeżo upieczonych absolwentów uczelni i doktorantów w tej dziedzinie; ponownie podkreśla, że staże powinny być płatne zgodnie z rezolucją Parlamentu z dnia 15 czerwca 2023 r. w sprawie wysokiej jakości staży w Unii (2020/2005(INL)); Parlament zaapelował w niej o wynagradzanie wszystkich stażystów w Unii; </w:t>
            </w:r>
            <w:r>
              <w:rPr>
                <w:b/>
                <w:i/>
              </w:rPr>
              <w:t>podkreśla, że bezpłatne staże stanowią formę wyzysku młodych pracowników i barierę dla równych szans;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zwraca uwagę, że zgodnie z kwestionariuszem w 2024 r. rekrutacja urzędników nadal stanowiła wyzwanie dla Trybunału ze względu na ograniczoną atrakcyjność Luksemburga jako miejsca pracy lub brak zainteresowania stanowiskami w obszarze audytu i kontroli wśród młodych pracowników; z zadowoleniem zauważa, że Trybunał zajął się tą kwestią przez organizowanie regularnych procedur naboru ukierunkowanych na stażystów Trybunału, organizowanie konkursów wewnętrznych w celu zatrzymania najbardziej wyróżniających się talentów oraz intensyfikację działań informacyjnych; uznaje w tym kontekście, że potrzebna jest klauzula konkursowa, aby umożliwić również organizowanie konkursów EPSO wyłącznie dla Luksemburga; wyraża uznanie dla Trybunału za przystąpienie do porozumienia międzyinstytucjonalnego, na mocy którego pracownicy rekrutowani przez instytucje Unii z siedzibą w Luksemburgu od 2025 r. otrzymują dodatek mieszkaniowy w celu zrekompensowania wysokich kosztów utrzymania w Luksemburgu;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zwraca uwagę, że zgodnie z kwestionariuszem w 2024 r. rekrutacja urzędników nadal stanowiła wyzwanie dla Trybunału ze względu na ograniczoną atrakcyjność Luksemburga jako miejsca pracy lub brak zainteresowania stanowiskami w obszarze audytu i kontroli wśród młodych pracowników; z zadowoleniem zauważa, że Trybunał zajął się tą kwestią przez organizowanie regularnych procedur naboru ukierunkowanych na stażystów Trybunału, organizowanie konkursów wewnętrznych w celu zatrzymania najbardziej wyróżniających się talentów oraz intensyfikację działań informacyjnych; </w:t>
            </w:r>
            <w:r>
              <w:rPr>
                <w:b/>
                <w:i/>
              </w:rPr>
              <w:t>zachęca Trybunał do kontynuowania tych starań, aby zabezpieczyć ciągłość jego działalności;</w:t>
            </w:r>
            <w:r>
              <w:t xml:space="preserve"> uznaje w tym kontekście, że potrzebna jest klauzula konkursowa, aby umożliwić również organizowanie konkursów EPSO wyłącznie dla Luksemburga; wyraża uznanie dla Trybunału za przystąpienie do porozumienia międzyinstytucjonalnego, na mocy którego pracownicy rekrutowani przez instytucje Unii z siedzibą w Luksemburgu od 2025 r. otrzymują dodatek mieszkaniowy w celu zrekompensowania wysokich kosztów utrzymania w Luksemburgu;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24.</w:t>
            </w:r>
            <w:r>
              <w:tab/>
            </w:r>
            <w:r>
              <w:rPr>
                <w:b/>
                <w:i/>
              </w:rPr>
              <w:t>jest świadomy, że Trybunał nie odgrywa żadnej roli w procesie wyboru członków na podstawie art. 286 ust. 2 TFUE;</w:t>
            </w:r>
            <w:r>
              <w:t xml:space="preserve"> </w:t>
            </w:r>
            <w:r>
              <w:rPr>
                <w:b/>
                <w:i/>
              </w:rPr>
              <w:t>przypomina jednak, że wśród członków Trybunału nadal występuje znaczna nierównowaga płci, ponieważ spośród 27 członków jedynie 10 stanowią kobiety;</w:t>
            </w:r>
            <w:r>
              <w:t xml:space="preserve"> </w:t>
            </w:r>
            <w:r>
              <w:rPr>
                <w:b/>
                <w:i/>
              </w:rPr>
              <w:t>ponawia swój apel do państw członkowskich, by z zamiarem dążenia do bardziej zrównoważonego i reprezentatywnego składu Trybunału proponowały one kandydatów różnej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jest świadomy, że Trybunał nie odgrywa żadnej roli w procesie wyboru członków na podstawie art. 286 ust. 2 TFUE; przypomina jednak, że wśród członków Trybunału nadal występuje znaczna nierównowaga płci, ponieważ spośród 27 członków jedynie 10 stanowią kobiety; </w:t>
            </w:r>
            <w:r>
              <w:rPr>
                <w:b/>
                <w:i/>
              </w:rPr>
              <w:t>ponawia swój apel do państw członkowskich, by z zamiarem dążenia do bardziej zrównoważonego i reprezentatywnego składu Trybunału proponowały one</w:t>
            </w:r>
            <w:r>
              <w:t xml:space="preserve"> kandydatów </w:t>
            </w:r>
            <w:r>
              <w:rPr>
                <w:b/>
                <w:i/>
              </w:rPr>
              <w:t>różnej płci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jest świadomy, że Trybunał nie odgrywa żadnej roli w procesie wyboru członków na podstawie art. 286 ust. 2 TFUE; przypomina jednak, że wśród członków Trybunału nadal występuje znaczna nierównowaga płci, ponieważ spośród 27 członków jedynie 10 stanowią kobiety; </w:t>
            </w:r>
            <w:r>
              <w:rPr>
                <w:b/>
                <w:i/>
              </w:rPr>
              <w:t>ponownie wzywa państwa członkowskie do brania pod uwagę potrzeby zapewnienia równowagi płci przy zgłaszaniu</w:t>
            </w:r>
            <w:r>
              <w:t xml:space="preserve"> kandydatów</w:t>
            </w:r>
            <w:r>
              <w:rPr>
                <w:b/>
                <w:i/>
              </w:rPr>
              <w:t>, przy jednoczesnym dopilnowaniu, aby nominacje nadal opierały się na kryteriach osiągnięć, kwalifikacji i niezależności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jest świadomy, że Trybunał nie odgrywa żadnej roli w procesie wyboru członków na podstawie art. 286 ust. 2 TFUE; przypomina jednak, że wśród członków Trybunału nadal występuje znaczna nierównowaga płci, ponieważ spośród 27 członków jedynie 10 stanowią kobiety; ponawia swój apel do państw członkowskich, by z zamiarem dążenia do bardziej zrównoważonego i reprezentatywnego składu Trybunału proponowały one kandydatów różnej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jest świadomy, że Trybunał nie odgrywa żadnej roli w procesie wyboru członków na podstawie art. 286 ust. 2 TFUE; przypomina jednak, że wśród członków Trybunału nadal występuje znaczna nierównowaga płci, ponieważ spośród 27 członków jedynie 10 stanowią kobiety; </w:t>
            </w:r>
            <w:r>
              <w:rPr>
                <w:b/>
                <w:i/>
              </w:rPr>
              <w:t>ubolewa, że niektóre z państw członkowskich nigdy nie mianowały do Trybunału kobiety;</w:t>
            </w:r>
            <w:r>
              <w:t xml:space="preserve"> ponawia swój apel do państw członkowskich, by z zamiarem dążenia do bardziej zrównoważonego i reprezentatywnego składu Trybunału proponowały one kandydatów różnej płci;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28.</w:t>
            </w:r>
            <w:r>
              <w:tab/>
            </w:r>
            <w:r>
              <w:rPr>
                <w:b/>
                <w:i/>
              </w:rPr>
              <w:t>zauważa, że wśród personelu Trybunału niedostatecznie reprezentowanych jest kilka narodowości, w szczególności z nordyckich państw członkowskich;</w:t>
            </w:r>
            <w:r>
              <w:t xml:space="preserve"> </w:t>
            </w:r>
            <w:r>
              <w:rPr>
                <w:b/>
                <w:i/>
              </w:rPr>
              <w:t>zwraca uwagę, że istnieje ryzyko dalszego pogorszenia tej sytuacji ze względu na starzenie się personelu i brak rekrutacji kandydatów z tych państw członkowskich;</w:t>
            </w:r>
            <w:r>
              <w:t xml:space="preserve"> </w:t>
            </w:r>
            <w:r>
              <w:rPr>
                <w:b/>
                <w:i/>
              </w:rPr>
              <w:t>przypomina o powtarzających się wysiłkach Trybunału na rzecz zaradzenia tej nierównowadze przez zwiększanie rozgłosu wokół konkursów Trybunału oraz ogłoszeń o wolnych stanowiskach w państwach członkowskich o znacząco niedostatecznej reprezentacji, współpracę z członkami Trybunału w zakresie rozpowszechniania ogłoszeń oraz docieranie do potencjalnych kandydatów poprzez udział w targach pracy w niektórych państwach członkowskich;</w:t>
            </w:r>
            <w:r>
              <w:t xml:space="preserve"> </w:t>
            </w:r>
            <w:r>
              <w:rPr>
                <w:b/>
                <w:i/>
              </w:rPr>
              <w:t>zauważa ponadto, że zgodnie ze sprawozdaniem uzupełniającym Trybunał opracował również plan działania obejmujący 10 działań na najbliższe 5 lat, mający na celu zaradzenie obecnemu niedostatecznemu poziomowi reprezentacji niektórych państw członkowskich;</w:t>
            </w:r>
            <w:r>
              <w:t xml:space="preserve"> </w:t>
            </w:r>
            <w:r>
              <w:rPr>
                <w:b/>
                <w:i/>
              </w:rPr>
              <w:t>zachęca Trybunał do dalszego informowania organu udzielającego absolutorium o postępach we wdrażaniu tego planu działania oraz o rezultatach jego realizacji;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>zauważa, że wśród personelu Trybunału niedostatecznie reprezentowanych jest kilka narodowości, w szczególności z nordyckich państw członkowskich; zwraca uwagę, że istnieje ryzyko dalszego pogorszenia tej sytuacji ze względu na starzenie się personelu i brak rekrutacji kandydatów z tych państw członkowskich; przypomina o powtarzających się wysiłkach Trybunału na rzecz zaradzenia tej nierównowadze przez zwiększanie rozgłosu wokół konkursów Trybunału oraz ogłoszeń o wolnych stanowiskach w państwach członkowskich o znacząco niedostatecznej reprezentacji, współpracę z członkami Trybunału w zakresie rozpowszechniania ogłoszeń oraz docieranie do potencjalnych kandydatów poprzez udział w targach pracy w niektórych państwach członkowskich; zauważa ponadto, że zgodnie ze sprawozdaniem uzupełniającym Trybunał opracował również plan działania obejmujący 10 działań na najbliższe 5 lat, mający na celu zaradzenie obecnemu niedostatecznemu poziomowi reprezentacji niektórych państw członkowskich; zachęca Trybunał do dalszego informowania organu udzielającego absolutorium o postępach we wdrażaniu tego planu działania oraz o rezultatach jego realizacji;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zauważa, że wśród personelu Trybunału niedostatecznie reprezentowanych jest kilka narodowości, w szczególności z nordyckich państw członkowskich; zwraca uwagę, że istnieje ryzyko dalszego pogorszenia tej sytuacji ze względu na starzenie się personelu i brak rekrutacji kandydatów z tych państw członkowskich; przypomina o powtarzających się wysiłkach Trybunału na rzecz zaradzenia tej nierównowadze przez zwiększanie rozgłosu wokół konkursów Trybunału oraz ogłoszeń o wolnych stanowiskach w państwach członkowskich o znacząco niedostatecznej reprezentacji, współpracę z członkami Trybunału w zakresie rozpowszechniania ogłoszeń oraz docieranie do potencjalnych kandydatów poprzez udział w targach pracy w niektórych państwach członkowskich; zauważa ponadto, że zgodnie ze sprawozdaniem uzupełniającym Trybunał opracował również plan działania obejmujący 10 działań na najbliższe 5 lat, mający na celu zaradzenie obecnemu niedostatecznemu poziomowi reprezentacji niektórych państw członkowskich; zachęca Trybunał do dalszego informowania organu udzielającego absolutorium o postępach we wdrażaniu tego planu działania oraz o rezultatach jego realizacji; </w:t>
            </w:r>
            <w:r>
              <w:rPr>
                <w:b/>
                <w:i/>
              </w:rPr>
              <w:t>wyraża uznanie dla działań podejmowanych dotychczas przez Trybunał w celu realizacji jego obowiązków związanych z RRF pomimo braku dostępności w pełni adekwatnych zasobów;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Knotek, Virginie Joron, Julien Sanchez,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przypomina, że na koniec 2023 r. obsadzono wszystkie 29 dodatkowych stanowisk (pracownicy zatrudnieni na czas określony) wymaganych do przeprowadzenia audytu kwoty 723,8 mld EUR z RRF; rozumie jednak, że istotność, złożoność i wysokie kwoty RRF oraz szybkie uruchamianie środków z tego instrumentu nadal stanowią wyzwanie oraz że obecne zasoby nie są wystarczające, aby w sposób systematyczny zapewniać zgodność wydatków w ramach RRF z przepisami unijnymi i krajowymi oraz aby sprostać zwiększonej aktywności Unii; popiera w tym kontekście wniosek Trybunału o przekształcenie 29 stanowisk pracowników zatrudnionych na czas określony na potrzeby audytów związanych z RRF w stanowiska stałe;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przypomina, że na koniec 2023 r. obsadzono wszystkie 29 dodatkowych stanowisk (pracownicy zatrudnieni na czas określony) wymaganych do przeprowadzenia audytu kwoty 723,8 mld EUR z RRF; rozumie jednak, że istotność, złożoność i wysokie kwoty RRF oraz szybkie uruchamianie środków z tego instrumentu nadal stanowią wyzwanie oraz że obecne zasoby nie są wystarczające, aby w sposób systematyczny zapewniać zgodność wydatków w ramach RRF z przepisami unijnymi i krajowymi oraz aby sprostać zwiększonej aktywności Unii; popiera w tym kontekście wniosek Trybunału o przekształcenie 29 stanowisk pracowników zatrudnionych na czas określony na potrzeby audytów związanych z RRF w stanowiska stałe; </w:t>
            </w:r>
            <w:r>
              <w:rPr>
                <w:b/>
                <w:i/>
              </w:rPr>
              <w:t>podkreśla, że ocena kamieni milowych i wartości docelowych jest z natury bardziej złożona i czasochłonna, ponieważ często mają one charakter jakościowy i odnoszą się do reform legislacyjnych, zmian administracyjnych lub struktur zarządzania, a nie do wymiernych danych finansowych;</w:t>
            </w:r>
            <w:r>
              <w:t xml:space="preserve"> </w:t>
            </w:r>
            <w:r>
              <w:rPr>
                <w:b/>
                <w:i/>
              </w:rPr>
              <w:t>wyraża zaniepokojenie, że powielanie lub rozszerzanie podobnych modeli finansowania opartych na wynikach w kolejnych wieloletnich ramach finansowych, bez odpowiednich dostosowań metod audytu, dostępu do informacji i zasobów, mogłoby znacznie osłabić skuteczny audyt, rozliczalność i wiarygodność wydatków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przypomina, że na koniec 2023 r. obsadzono wszystkie 29 dodatkowych stanowisk (pracownicy zatrudnieni na czas określony) wymaganych do przeprowadzenia audytu kwoty 723,8 mld EUR z RRF; rozumie jednak, że istotność, złożoność i wysokie kwoty RRF oraz szybkie uruchamianie środków z tego instrumentu nadal stanowią wyzwanie oraz że obecne zasoby nie są wystarczające, aby w sposób systematyczny zapewniać zgodność wydatków w ramach RRF z przepisami unijnymi i krajowymi oraz aby sprostać zwiększonej aktywności Unii; popiera w tym kontekście wniosek Trybunału o przekształcenie 29 stanowisk pracowników zatrudnionych na czas określony na potrzeby audytów związanych z RRF w stanowiska stałe;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przypomina, że na koniec 2023 r. obsadzono wszystkie 29 dodatkowych stanowisk (pracownicy zatrudnieni na czas określony) wymaganych do przeprowadzenia audytu kwoty 723,8 mld EUR z RRF; rozumie jednak, że istotność, złożoność i wysokie kwoty RRF oraz szybkie uruchamianie środków z tego instrumentu nadal stanowią wyzwanie oraz że obecne zasoby nie są wystarczające, aby w sposób systematyczny zapewniać zgodność wydatków w ramach RRF z przepisami unijnymi i krajowymi oraz aby sprostać zwiększonej aktywności Unii; popiera w tym kontekście wniosek Trybunału o przekształcenie 29 stanowisk pracowników zatrudnionych na czas określony na potrzeby audytów związanych z RRF w stanowiska stałe; </w:t>
            </w:r>
            <w:r>
              <w:rPr>
                <w:b/>
                <w:i/>
              </w:rPr>
              <w:t>podkreśla, że należy dopilnować, aby Trybunał dysponował odpowiednio licznym personelem, tak by mógł pełnić zarówno powierzony mu mandat, jak i dodatkowe obowiązki wynikające z nowych instrumentów finansowania takich jak RRF;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przypomina, że na koniec 2023 r. obsadzono wszystkie 29 dodatkowych stanowisk (pracownicy zatrudnieni na czas określony) wymaganych do przeprowadzenia audytu kwoty 723,8 mld EUR z RRF; rozumie jednak, że istotność, złożoność i wysokie kwoty RRF oraz szybkie uruchamianie środków z tego instrumentu nadal stanowią wyzwanie oraz że obecne zasoby nie są wystarczające, aby w sposób systematyczny zapewniać zgodność wydatków w ramach RRF z przepisami unijnymi i krajowymi oraz aby sprostać zwiększonej aktywności Unii; popiera w tym kontekście wniosek Trybunału o przekształcenie 29 stanowisk pracowników zatrudnionych na czas określony na potrzeby audytów związanych z RRF w stanowiska stałe;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przypomina, że na koniec 2023 r. obsadzono wszystkie 29 dodatkowych stanowisk (pracownicy zatrudnieni na czas określony) wymaganych do przeprowadzenia audytu kwoty 723,8 mld EUR z RRF; rozumie jednak, że istotność, złożoność i wysokie kwoty RRF oraz szybkie uruchamianie środków z tego instrumentu nadal stanowią wyzwanie oraz że obecne zasoby nie są wystarczające, aby w sposób systematyczny zapewniać zgodność wydatków w ramach RRF z przepisami unijnymi i krajowymi oraz aby sprostać zwiększonej aktywności Unii; popiera w tym kontekście wniosek Trybunału o przekształcenie 29 stanowisk pracowników zatrudnionych na czas określony na potrzeby audytów związanych z RRF w stanowiska stałe</w:t>
            </w:r>
            <w:r>
              <w:rPr>
                <w:b/>
                <w:i/>
              </w:rPr>
              <w:t>, aby zapewnić Trybunałowi strukturalne wyposażenie do audytu RRF i przyszłych instrumentów opartych na wynikach, w tym WRF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29a.</w:t>
            </w:r>
            <w:r>
              <w:tab/>
            </w:r>
            <w:r>
              <w:rPr>
                <w:b/>
                <w:i/>
              </w:rPr>
              <w:t>odnotowuje z uznaniem, że w 2024 r. Trybunał przekroczył założoną wartość docelową w zakresie szkoleń zawodowych wynoszącą pięć dni szkoleń pozajęzykowych rocznie w przypadku kontrolerów, zgodnie z zaleceniami Międzynarodowej Federacji Księgowych, oraz dwa dni w przypadku pozostałych pracowników (odpowiednio 5,8 i 3,9);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>zauważa, że w 2024 r. zgłoszono 13 przypadków wypalenia zawodowego, w porównaniu z 7 przypadkami w 2023 r.; z zadowoleniem przyjmuje fakt, że Trybunał podjął szereg kroków w celu zmniejszenia ryzyka wypalenia zawodowego, wprowadzając pełny program dotyczący dobrostanu, oferując szkolenia poświęcone odporności, publikując i wdrażając wytyczne dotyczące powrotu do pracy po długotrwałym zwolnieniu chorobowym, wciąż oferując pierwszą pomoc w zakresie zdrowia psychicznego oraz zapewniając pracownikom wsparcie finansowe poprzez pokrycie kosztów 10 sesji z udziałem wybranego przez nich psychologa; zauważa w szczególności, że w 2024 r. Trybunał zorganizował 4 obowiązkowe szkolenia dla kierowników, skoncentrowane na dobrostanie pracowników, wynikach, równowadze między życiem zawodowym a prywatnym oraz zapobieganiu wypaleniu zawodowemu;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 xml:space="preserve">zauważa </w:t>
            </w:r>
            <w:r>
              <w:rPr>
                <w:b/>
                <w:i/>
              </w:rPr>
              <w:t>z dużym niepokojem</w:t>
            </w:r>
            <w:r>
              <w:t>, że w 2024 r. zgłoszono 13 przypadków wypalenia zawodowego, w porównaniu z 7 przypadkami w 2023</w:t>
            </w:r>
            <w:r>
              <w:rPr>
                <w:b/>
                <w:i/>
              </w:rPr>
              <w:t> r.;</w:t>
            </w:r>
            <w:r>
              <w:t xml:space="preserve"> </w:t>
            </w:r>
            <w:r>
              <w:rPr>
                <w:b/>
                <w:i/>
              </w:rPr>
              <w:t>wzywa Trybunał do przeprowadzenia dogłębnej i opartej na dowodach analizy przyczyn tego znacznego wzrostu liczby zgłoszonych przypadków wypalenia zawodowego w 2024</w:t>
            </w:r>
            <w:r>
              <w:t xml:space="preserve"> r.; z zadowoleniem przyjmuje fakt, że Trybunał podjął szereg kroków w celu zmniejszenia ryzyka wypalenia zawodowego, wprowadzając pełny program dotyczący dobrostanu, oferując szkolenia poświęcone odporności, publikując i wdrażając wytyczne dotyczące powrotu do pracy po długotrwałym zwolnieniu chorobowym, wciąż oferując pierwszą pomoc w zakresie zdrowia psychicznego oraz zapewniając pracownikom wsparcie finansowe poprzez pokrycie kosztów 10 sesji z udziałem wybranego przez nich psychologa; zauważa w szczególności, że w 2024 r. Trybunał zorganizował 4 obowiązkowe szkolenia dla kierowników, skoncentrowane na dobrostanie pracowników, wynikach, równowadze między życiem zawodowym a prywatnym oraz zapobieganiu wypaleniu zawodowemu; </w:t>
            </w:r>
            <w:r>
              <w:rPr>
                <w:b/>
                <w:i/>
              </w:rPr>
              <w:t>wzywa Trybunał, aby w świetle wyników tej analizy dokonał przeglądu swojego podejścia i odpowiednio je dostosował w celu skutecznego zapobiegania wypaleniu zawodowemu i poprawy środowiska pracy;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>zauważa, że w 2024 r. zgłoszono 13 przypadków wypalenia zawodowego, w porównaniu z 7 przypadkami w 2023 r.; z zadowoleniem przyjmuje fakt, że Trybunał podjął szereg kroków w celu zmniejszenia ryzyka wypalenia zawodowego, wprowadzając pełny program dotyczący dobrostanu, oferując szkolenia poświęcone odporności, publikując i wdrażając wytyczne dotyczące powrotu do pracy po długotrwałym zwolnieniu chorobowym, wciąż oferując pierwszą pomoc w zakresie zdrowia psychicznego oraz zapewniając pracownikom wsparcie finansowe poprzez pokrycie kosztów 10 sesji z udziałem wybranego przez nich psychologa; zauważa w szczególności, że w 2024 r. Trybunał zorganizował 4 obowiązkowe szkolenia dla kierowników, skoncentrowane na dobrostanie pracowników, wynikach, równowadze między życiem zawodowym a prywatnym oraz zapobieganiu wypaleniu zawodowemu;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>zauważa, że w 2024 r. zgłoszono 13 przypadków wypalenia zawodowego, w porównaniu z 7 przypadkami w 2023 r.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 zaniepokojeniem odnotowuje znaczny wzrost zgłoszonych przypadków wypalenia zawodowego w 2024 r.;</w:t>
            </w:r>
            <w:r>
              <w:t xml:space="preserve"> </w:t>
            </w:r>
            <w:r>
              <w:rPr>
                <w:b/>
                <w:i/>
              </w:rPr>
              <w:t>wzywa Trybunał do dalszej analizy podziału obciążenia pracą, czynników organizacyjnych i ryzyka strukturalnego oraz do włączenia ustaleń do praktyk planowania zasobów ludzkich i zarządzania nimi</w:t>
            </w:r>
            <w:r>
              <w:t>; z zadowoleniem przyjmuje fakt, że Trybunał podjął szereg kroków w celu zmniejszenia ryzyka wypalenia zawodowego, wprowadzając pełny program dotyczący dobrostanu, oferując szkolenia poświęcone odporności, publikując i wdrażając wytyczne dotyczące powrotu do pracy po długotrwałym zwolnieniu chorobowym, wciąż oferując pierwszą pomoc w zakresie zdrowia psychicznego oraz zapewniając pracownikom wsparcie finansowe poprzez pokrycie kosztów 10 sesji z udziałem wybranego przez nich psychologa; zauważa w szczególności, że w 2024 r. Trybunał zorganizował 4 obowiązkowe szkolenia dla kierowników, skoncentrowane na dobrostanie pracowników, wynikach, równowadze między życiem zawodowym a prywatnym oraz zapobieganiu wypaleniu zawodowemu;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33.</w:t>
            </w:r>
            <w:r>
              <w:tab/>
            </w:r>
            <w:r>
              <w:rPr>
                <w:b/>
                <w:i/>
              </w:rPr>
              <w:t>zwraca uwagę, że zgodnie z kwestionariuszem Trybunał podjął w 2024 r. wiele działań – zgodnie z planem działania dotyczącym różnorodności i włączenia społecznego na lata 2021–2025 – w różnych obszarach, takich jak rekrutacja, szkolenia, rozwój kariery, warunki pracy oraz podnoszenie świadomości wśród pracowników;</w:t>
            </w:r>
            <w:r>
              <w:t xml:space="preserve"> </w:t>
            </w:r>
            <w:r>
              <w:rPr>
                <w:b/>
                <w:i/>
              </w:rPr>
              <w:t>zauważa, że Trybunał uwzględnia różnorodność i włączenie społeczne w procesach zarządzania wynikami, oceny, certyfikacji i awansów, jak również w programach szkoleniowych, przy czym w 2024 r.</w:t>
            </w:r>
            <w:r>
              <w:t xml:space="preserve"> </w:t>
            </w:r>
            <w:r>
              <w:rPr>
                <w:b/>
                <w:i/>
              </w:rPr>
              <w:t>13 kierowników dobrowolnie wzięło udział w ocenie w zakresie różnorodności i włączenia społecznego;</w:t>
            </w:r>
            <w:r>
              <w:t xml:space="preserve"> </w:t>
            </w:r>
            <w:r>
              <w:rPr>
                <w:b/>
                <w:i/>
              </w:rPr>
              <w:t>z zadowoleniem przyjmuje specjalistyczne szkolenie zatytułowane „Women managers rise up: skilling for success” [Menedżerki do boju:</w:t>
            </w:r>
            <w:r>
              <w:t xml:space="preserve"> </w:t>
            </w:r>
            <w:r>
              <w:rPr>
                <w:b/>
                <w:i/>
              </w:rPr>
              <w:t>umiejętności niezbędne do osiągnięcia sukcesu], zorganizowane przez Trybunał w celu zachęcania kobiet do podejmowania ról kierowniczych;</w:t>
            </w:r>
            <w:r>
              <w:t xml:space="preserve"> </w:t>
            </w:r>
            <w:r>
              <w:rPr>
                <w:b/>
                <w:i/>
              </w:rPr>
              <w:t>z zadowoleniem przyjmuje ponadto nowe programy działań pozytywnych Trybunału skierowane do stażystów i pracowników kontraktowych, ukierunkowane na osoby z niepełnosprawnościami, przy czym dwa staże rocznie proponuje się osobom z uznaną niepełnosprawnością;</w:t>
            </w:r>
            <w:r>
              <w:t xml:space="preserve"> </w:t>
            </w:r>
            <w:r>
              <w:rPr>
                <w:b/>
                <w:i/>
              </w:rPr>
              <w:t>z zadowoleniem odnotowuje, że w 2024 r.</w:t>
            </w:r>
            <w:r>
              <w:t xml:space="preserve"> </w:t>
            </w:r>
            <w:r>
              <w:rPr>
                <w:b/>
                <w:i/>
              </w:rPr>
              <w:t>Trybunał zorganizował czwarty tydzień świadomości na temat niepełnosprawności, podczas którego zaprezentowano nowy plan działania w zakresie niepełnosprawności, podkreślający wysiłki Trybunału na rzecz miejsca pracy bardziej sprzyjającego włączeniu;</w:t>
            </w:r>
            <w:r>
              <w:t xml:space="preserve"> </w:t>
            </w:r>
            <w:r>
              <w:rPr>
                <w:b/>
                <w:i/>
              </w:rPr>
              <w:t>z zadowoleniem odnotowuje również, że Trybunał publikuje śródokresowe przeglądy swojego planu działania dotyczącego różnorodności i włączenia społecznego w celu zapewnienia przejrzystości i zaangażowania w całej organizacji;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Olivier Chastel, Gilles Boyer, Vlad Vasile-Voiculescu,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35.</w:t>
            </w:r>
            <w:r>
              <w:tab/>
            </w:r>
            <w:r>
              <w:t xml:space="preserve">ponownie wyraża głębokie zaniepokojenie odmową Trybunału dotyczącą uchylenia immunitetu jego byłego prezesa oraz decyzją Trybunału o odrzuceniu wniosku Prokuratury Europejskiej (EPPO) o zezwolenie na przesłuchanie kilku pracowników Trybunału w ramach toczącego się postępowania karnego; na podstawie sprawozdania uzupełniającego odnotowuje stanowisko Trybunału, zgodnie z którym nie uchylił on tego immunitetu, ponieważ EPPO nie przekazała Trybunałowi wystarczających informacji umożliwiających zrozumienie, o jakie działania osoby zainteresowane są oskarżane oraz w jakim zakresie działania te mogłyby stanowić czyn zabroniony; powołuje się na orzecznictwo jako część obowiązujących ram prawnych na poparcie stanowiska Trybunału; zauważa, że 10 lutego 2025 r. EPPO wniosła skargę (sprawa T-99/25) do Trybunału Sprawiedliwości Unii Europejskiej na podstawie art. 263 ust. 4 TFUE przeciwko decyzji Trybunału o odrzuceniu wniosku EPPO o zezwolenie na przesłuchanie kilku pracowników Trybunału w ramach toczącego się postępowania karnego; zwraca ponadto uwagę, że wspomniane odwołanie nie podważało decyzji o nieuchyleniu immunitetu osób, których dotyczy sprawa; </w:t>
            </w:r>
            <w:r>
              <w:rPr>
                <w:b/>
                <w:i/>
              </w:rPr>
              <w:t>podkreśla, że uprawnienia instytucji Unii do odmowy udzielenia pracownikom zezwolenia na złożenie zeznań w charakterze świadka nie obejmują możliwości wypowiadania się na temat zasadności postępowania sądowego, w którym pracownicy mają zeznawać, i mogą być wykonywane wyłącznie w sytuacjach, w których zagrożone byłyby interesy Unii – o znaczeniu istotnym i mające kluczowe znaczenie dla Unii;</w:t>
            </w:r>
            <w:r>
              <w:t xml:space="preserve"> wzywa Trybunał do utrzymania wysokiego poziomu przejrzystości i rozliczalności we współpracy z EPPO oraz z innymi organami Unii odpowiedzialnymi za zwalczanie nadużyć finansowych i nieprawidłowości;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35.</w:t>
            </w:r>
            <w:r>
              <w:tab/>
            </w:r>
            <w:r>
              <w:t xml:space="preserve">ponownie wyraża głębokie zaniepokojenie odmową Trybunału dotyczącą uchylenia immunitetu jego byłego prezesa oraz decyzją Trybunału o odrzuceniu wniosku Prokuratury Europejskiej (EPPO) o zezwolenie na przesłuchanie kilku pracowników Trybunału w ramach toczącego się postępowania karnego; na podstawie sprawozdania uzupełniającego odnotowuje stanowisko Trybunału, zgodnie z którym nie uchylił on tego immunitetu, ponieważ EPPO nie przekazała Trybunałowi wystarczających informacji umożliwiających zrozumienie, o jakie działania osoby zainteresowane są oskarżane oraz w jakim zakresie działania te mogłyby stanowić czyn zabroniony; powołuje się na orzecznictwo jako część obowiązujących ram prawnych na poparcie stanowiska Trybunału; zauważa, że 10 lutego 2025 r. EPPO wniosła skargę (sprawa T-99/25) do Trybunału Sprawiedliwości Unii Europejskiej na podstawie art. 263 ust. 4 TFUE przeciwko decyzji Trybunału o odrzuceniu wniosku EPPO o zezwolenie na przesłuchanie kilku pracowników Trybunału w ramach toczącego się postępowania karnego; zwraca ponadto uwagę, że wspomniane odwołanie nie podważało decyzji o nieuchyleniu immunitetu osób, których dotyczy sprawa; wzywa Trybunał do utrzymania wysokiego poziomu przejrzystości i rozliczalności we współpracy z EPPO oraz z innymi organami Unii odpowiedzialnymi za zwalczanie nadużyć finansowych i nieprawidłowości; </w:t>
            </w:r>
            <w:r>
              <w:rPr>
                <w:b/>
                <w:i/>
              </w:rPr>
              <w:t>domaga się, by Trybunał wyjaśnił kryteria stosowane przy podejmowaniu decyzji w sprawie wniosków EPPO oraz zadbał o to, aby takie decyzje nie były postrzegane jako utrudniające dochodzenia sądowe;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35.</w:t>
            </w:r>
            <w:r>
              <w:tab/>
            </w:r>
            <w:r>
              <w:t xml:space="preserve">ponownie wyraża głębokie zaniepokojenie odmową Trybunału dotyczącą uchylenia immunitetu jego byłego prezesa oraz decyzją Trybunału o odrzuceniu wniosku Prokuratury Europejskiej (EPPO) o zezwolenie na przesłuchanie kilku pracowników Trybunału w ramach toczącego się postępowania karnego; na podstawie sprawozdania uzupełniającego odnotowuje stanowisko Trybunału, zgodnie z którym nie uchylił on tego immunitetu, ponieważ EPPO nie przekazała Trybunałowi wystarczających informacji umożliwiających zrozumienie, o jakie działania osoby zainteresowane są oskarżane oraz w jakim zakresie działania te mogłyby stanowić czyn zabroniony; powołuje się na orzecznictwo jako część obowiązujących ram prawnych na poparcie stanowiska Trybunału; zauważa, że 10 lutego 2025 r. EPPO wniosła skargę (sprawa T-99/25) do Trybunału Sprawiedliwości Unii Europejskiej na podstawie art. 263 ust. 4 TFUE przeciwko decyzji Trybunału o odrzuceniu wniosku EPPO o zezwolenie na przesłuchanie kilku pracowników Trybunału w ramach toczącego się postępowania karnego; zwraca ponadto uwagę, że wspomniane odwołanie nie podważało decyzji o nieuchyleniu immunitetu osób, których dotyczy sprawa; podkreśla, że uprawnienia instytucji Unii do odmowy udzielenia pracownikom zezwolenia na złożenie zeznań w charakterze świadka nie obejmują możliwości wypowiadania się na temat zasadności postępowania sądowego, w którym pracownicy mają zeznawać, i mogą być wykonywane wyłącznie w sytuacjach, w których zagrożone byłyby interesy Unii – o znaczeniu istotnym i mające kluczowe znaczenie dla Unii; </w:t>
            </w:r>
            <w:r>
              <w:rPr>
                <w:b/>
                <w:i/>
              </w:rPr>
              <w:t>wzywa Trybunał do utrzymania wysokiego poziomu przejrzystości i rozliczalności we</w:t>
            </w:r>
            <w:r>
              <w:t xml:space="preserve"> współpracy </w:t>
            </w:r>
            <w:r>
              <w:rPr>
                <w:b/>
                <w:i/>
              </w:rPr>
              <w:t>z EPPO oraz z innymi organami Unii odpowiedzialnymi za zwalczanie nadużyć finansowych i nieprawidłowości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35.</w:t>
            </w:r>
            <w:r>
              <w:tab/>
            </w:r>
            <w:r>
              <w:t xml:space="preserve">ponownie wyraża głębokie zaniepokojenie odmową Trybunału dotyczącą uchylenia immunitetu jego byłego prezesa oraz decyzją Trybunału o odrzuceniu wniosku Prokuratury Europejskiej (EPPO) o zezwolenie na przesłuchanie kilku pracowników Trybunału w ramach toczącego się postępowania karnego; na podstawie sprawozdania uzupełniającego odnotowuje stanowisko Trybunału, zgodnie z którym nie uchylił on tego immunitetu, ponieważ EPPO nie przekazała Trybunałowi wystarczających informacji umożliwiających zrozumienie, o jakie działania osoby zainteresowane są oskarżane oraz w jakim zakresie działania te mogłyby stanowić czyn zabroniony; powołuje się na orzecznictwo jako część obowiązujących ram prawnych na poparcie stanowiska Trybunału; zauważa, że 10 lutego 2025 r. EPPO wniosła skargę (sprawa T-99/25) do Trybunału Sprawiedliwości Unii Europejskiej na podstawie art. 263 ust. 4 TFUE przeciwko decyzji Trybunału o odrzuceniu wniosku EPPO o zezwolenie na przesłuchanie kilku pracowników Trybunału w ramach toczącego się postępowania karnego; zwraca ponadto uwagę, że wspomniane odwołanie nie podważało decyzji o nieuchyleniu immunitetu osób, których dotyczy sprawa; podkreśla, że uprawnienia instytucji Unii do odmowy udzielenia pracownikom zezwolenia na złożenie zeznań w charakterze świadka nie obejmują możliwości wypowiadania się na temat zasadności postępowania sądowego, w którym pracownicy mają zeznawać, i mogą być wykonywane wyłącznie w sytuacjach, w których zagrożone byłyby interesy Unii – o znaczeniu istotnym i mające kluczowe znaczenie dla Unii; </w:t>
            </w:r>
            <w:r>
              <w:rPr>
                <w:b/>
                <w:i/>
              </w:rPr>
              <w:t>podkreśla, że obowiązek lojalnej</w:t>
            </w:r>
            <w:r>
              <w:t xml:space="preserve"> współpracy </w:t>
            </w:r>
            <w:r>
              <w:rPr>
                <w:b/>
                <w:i/>
              </w:rPr>
              <w:t>instytucji Unii wymaga, aby zgody na przesłuchanie pracowników w charakterze świadków w dochodzeniach karnych odmawiano wyłącznie w ściśle wyjątkowych okolicznościach;</w:t>
            </w:r>
            <w:r>
              <w:t xml:space="preserve"> </w:t>
            </w:r>
            <w:r>
              <w:rPr>
                <w:b/>
                <w:i/>
              </w:rPr>
              <w:t>przypomina, że takie decyzje nie mogą naruszać oceny zasadności postępowania karnego;</w:t>
            </w:r>
            <w:r>
              <w:t xml:space="preserve"> </w:t>
            </w:r>
            <w:r>
              <w:rPr>
                <w:b/>
                <w:i/>
              </w:rPr>
              <w:t>ponownie wyraża oczekiwanie, że Trybunał zapewni pełną, terminową i dobrą współpracę z Prokuraturą Europejską oraz będzie należycie informował organ udzielający absolutorium o wszystkich istotnych zmianach w tej dziedzinie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35.</w:t>
            </w:r>
            <w:r>
              <w:tab/>
            </w:r>
            <w:r>
              <w:t>ponownie wyraża głębokie zaniepokojenie odmową Trybunału dotyczącą uchylenia immunitetu jego byłego prezesa oraz decyzją Trybunału o odrzuceniu wniosku Prokuratury Europejskiej (EPPO) o zezwolenie na przesłuchanie kilku pracowników Trybunału w ramach toczącego się postępowania karnego; na podstawie sprawozdania uzupełniającego odnotowuje stanowisko Trybunału, zgodnie z którym nie uchylił on tego immunitetu, ponieważ EPPO nie przekazała Trybunałowi wystarczających informacji umożliwiających zrozumienie, o jakie działania osoby zainteresowane są oskarżane oraz w jakim zakresie działania te mogłyby stanowić czyn zabroniony; powołuje się na orzecznictwo jako część obowiązujących ram prawnych na poparcie stanowiska Trybunału; zauważa, że 10 lutego 2025 r. EPPO wniosła skargę (sprawa T-99/25) do Trybunału Sprawiedliwości Unii Europejskiej na podstawie art. 263 ust. 4 TFUE przeciwko decyzji Trybunału o odrzuceniu wniosku EPPO o zezwolenie na przesłuchanie kilku pracowników Trybunału w ramach toczącego się postępowania karnego; zwraca ponadto uwagę, że wspomniane odwołanie nie podważało decyzji o nieuchyleniu immunitetu osób, których dotyczy sprawa; podkreśla, że uprawnienia instytucji Unii do odmowy udzielenia pracownikom zezwolenia na złożenie zeznań w charakterze świadka nie obejmują możliwości wypowiadania się na temat zasadności postępowania sądowego, w którym pracownicy mają zeznawać, i mogą być wykonywane wyłącznie w sytuacjach, w których zagrożone byłyby interesy Unii – o znaczeniu istotnym i mające kluczowe znaczenie dla Unii; wzywa Trybunał do utrzymania wysokiego poziomu przejrzystości i rozliczalności we współpracy z EPPO oraz z innymi organami Unii odpowiedzialnymi za zwalczanie nadużyć finansowych i nieprawidłowości;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35.</w:t>
            </w:r>
            <w:r>
              <w:tab/>
            </w:r>
            <w:r>
              <w:t xml:space="preserve">ponownie wyraża głębokie zaniepokojenie odmową Trybunału dotyczącą uchylenia immunitetu jego byłego prezesa oraz decyzją Trybunału o odrzuceniu wniosku Prokuratury Europejskiej (EPPO) o zezwolenie na przesłuchanie kilku pracowników Trybunału w ramach toczącego się postępowania karnego; na podstawie sprawozdania uzupełniającego odnotowuje stanowisko Trybunału, zgodnie z którym nie uchylił on tego immunitetu, ponieważ EPPO nie przekazała Trybunałowi wystarczających informacji umożliwiających zrozumienie, o jakie działania osoby zainteresowane są oskarżane oraz w jakim zakresie działania te mogłyby stanowić czyn zabroniony; powołuje się na orzecznictwo jako część obowiązujących ram prawnych na poparcie stanowiska Trybunału; zauważa, że 10 lutego 2025 r. EPPO wniosła skargę (sprawa T-99/25) do Trybunału Sprawiedliwości Unii Europejskiej na podstawie art. 263 ust. 4 TFUE przeciwko decyzji Trybunału o odrzuceniu wniosku EPPO o zezwolenie na przesłuchanie kilku pracowników Trybunału w ramach toczącego się postępowania karnego; zwraca ponadto uwagę, że wspomniane odwołanie nie podważało decyzji o nieuchyleniu immunitetu osób, których dotyczy sprawa; podkreśla, że uprawnienia instytucji Unii do odmowy udzielenia pracownikom zezwolenia na złożenie zeznań w charakterze świadka nie obejmują możliwości wypowiadania się na temat zasadności postępowania sądowego, w którym pracownicy mają zeznawać, i mogą być wykonywane wyłącznie w sytuacjach, w których zagrożone byłyby interesy Unii – o znaczeniu istotnym i mające kluczowe znaczenie dla Unii; wzywa Trybunał do utrzymania wysokiego poziomu przejrzystości i rozliczalności we współpracy z EPPO oraz z innymi organami Unii odpowiedzialnymi za zwalczanie nadużyć finansowych i nieprawidłowości </w:t>
            </w:r>
            <w:r>
              <w:rPr>
                <w:b/>
                <w:i/>
              </w:rPr>
              <w:t>oraz do dopilnowania, aby nie powoływano się na immunitet w celu utrudniania zgodnych z prawem postępowań sądowych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35.</w:t>
            </w:r>
            <w:r>
              <w:tab/>
            </w:r>
            <w:r>
              <w:rPr>
                <w:b/>
                <w:i/>
              </w:rPr>
              <w:t>ponownie wyraża głębokie zaniepokojenie odmową</w:t>
            </w:r>
            <w:r>
              <w:t xml:space="preserve"> Trybunału dotyczącą uchylenia immunitetu jego byłego prezesa oraz </w:t>
            </w:r>
            <w:r>
              <w:rPr>
                <w:b/>
                <w:i/>
              </w:rPr>
              <w:t>decyzją</w:t>
            </w:r>
            <w:r>
              <w:t xml:space="preserve"> Trybunału o odrzuceniu wniosku Prokuratury Europejskiej (EPPO) o zezwolenie na przesłuchanie kilku pracowników Trybunału w ramach toczącego się postępowania karnego; na podstawie sprawozdania uzupełniającego odnotowuje stanowisko Trybunału, zgodnie z którym nie uchylił on tego immunitetu, ponieważ EPPO nie przekazała Trybunałowi wystarczających informacji umożliwiających zrozumienie, o jakie działania osoby zainteresowane są oskarżane oraz w jakim zakresie działania te mogłyby stanowić czyn zabroniony; powołuje się na orzecznictwo jako część obowiązujących ram prawnych na poparcie stanowiska Trybunału; zauważa, że 10 lutego 2025 r. EPPO wniosła skargę (sprawa T-99/25) do Trybunału Sprawiedliwości Unii Europejskiej na podstawie art. 263 ust. 4 TFUE przeciwko decyzji Trybunału o odrzuceniu wniosku EPPO o zezwolenie na przesłuchanie kilku pracowników Trybunału w ramach toczącego się postępowania karnego; zwraca ponadto uwagę, że wspomniane odwołanie nie podważało decyzji o nieuchyleniu immunitetu osób, których dotyczy sprawa; podkreśla, że uprawnienia instytucji Unii do odmowy udzielenia pracownikom zezwolenia na złożenie zeznań w charakterze świadka nie obejmują możliwości wypowiadania się na temat zasadności postępowania sądowego, w którym pracownicy mają zeznawać, i mogą być wykonywane wyłącznie w sytuacjach, w których zagrożone byłyby interesy Unii – o znaczeniu istotnym i mające kluczowe znaczenie dla Unii; wzywa Trybunał do utrzymania wysokiego poziomu przejrzystości i rozliczalności we współpracy z EPPO oraz z innymi organami Unii odpowiedzialnymi za zwalczanie nadużyć finansowych i nieprawidłowości;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35.</w:t>
            </w:r>
            <w:r>
              <w:tab/>
            </w:r>
            <w:r>
              <w:rPr>
                <w:b/>
                <w:i/>
              </w:rPr>
              <w:t>przyjmuje do wiadomości odmowę</w:t>
            </w:r>
            <w:r>
              <w:t xml:space="preserve"> Trybunału dotyczącą uchylenia immunitetu jego byłego prezesa oraz </w:t>
            </w:r>
            <w:r>
              <w:rPr>
                <w:b/>
                <w:i/>
              </w:rPr>
              <w:t>decyzję</w:t>
            </w:r>
            <w:r>
              <w:t xml:space="preserve"> Trybunału o odrzuceniu wniosku Prokuratury Europejskiej (EPPO) o zezwolenie na przesłuchanie kilku pracowników Trybunału w ramach toczącego się postępowania karnego; na podstawie sprawozdania uzupełniającego odnotowuje stanowisko Trybunału, zgodnie z którym nie uchylił on tego immunitetu, ponieważ EPPO nie przekazała Trybunałowi wystarczających informacji umożliwiających zrozumienie, o jakie działania osoby zainteresowane są oskarżane oraz w jakim zakresie działania te mogłyby stanowić czyn zabroniony; powołuje się na orzecznictwo jako część obowiązujących ram prawnych na poparcie stanowiska Trybunału; zauważa, że 10 lutego 2025 r. EPPO wniosła skargę (sprawa T-99/25) do Trybunału Sprawiedliwości Unii Europejskiej na podstawie art. 263 ust. 4 TFUE przeciwko decyzji Trybunału o odrzuceniu wniosku EPPO o zezwolenie na przesłuchanie kilku pracowników Trybunału w ramach toczącego się postępowania karnego; zwraca ponadto uwagę, że wspomniane odwołanie nie podważało decyzji o nieuchyleniu immunitetu osób, których dotyczy sprawa; podkreśla, że uprawnienia instytucji Unii do odmowy udzielenia pracownikom zezwolenia na złożenie zeznań w charakterze świadka nie obejmują możliwości wypowiadania się na temat zasadności postępowania sądowego, w którym pracownicy mają zeznawać, i mogą być wykonywane wyłącznie w sytuacjach, w których zagrożone byłyby interesy Unii – o znaczeniu istotnym i mające kluczowe znaczenie dla Unii; wzywa Trybunał do utrzymania wysokiego poziomu przejrzystości i rozliczalności we współpracy z EPPO oraz z innymi organami Unii odpowiedzialnymi za zwalczanie nadużyć finansowych i nieprawidłowości;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35a.</w:t>
            </w:r>
            <w:r>
              <w:tab/>
            </w:r>
            <w:r>
              <w:rPr>
                <w:b/>
                <w:i/>
              </w:rPr>
              <w:t>wzywa Trybunał, aby w sprawach dotyczących decyzji o uchyleniu immunitetu jego członków przedstawiał Parlamentowi wystarczająco szczegółowe, jawne uzasadnienie, aby umożliwić konstruktywną kontrolę demokratyczną, przy pełnym poszanowaniu postępowań sądowych i praw zainteresowanych osób;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42.</w:t>
            </w:r>
            <w:r>
              <w:tab/>
            </w:r>
            <w:r>
              <w:t>przypomina, że Służba Audytu Wewnętrznego Trybunału (IAS) przeprowadziła audyt ram etycznych mających zastosowanie do pracowników i członków Trybunału; zauważa, że zgodnie ze sprawozdaniem końcowym (02/2023) przesłanym przez Trybunał przewodniczącej Parlamentu 9 lipca 2024 r. oraz zgodnie z kwestionariuszem IAS wydała 16 zaleceń, z których 15 zostało już zrealizowanych, natomiast jedno – dotyczące konfliktu interesów wśród pracowników – pozostaje w trakcie realizacji;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42.</w:t>
            </w:r>
            <w:r>
              <w:tab/>
            </w:r>
            <w:r>
              <w:t xml:space="preserve">przypomina, że Służba Audytu Wewnętrznego Trybunału (IAS) przeprowadziła audyt ram etycznych mających zastosowanie do pracowników i członków Trybunału; zauważa, że zgodnie ze sprawozdaniem końcowym (02/2023) przesłanym przez Trybunał przewodniczącej Parlamentu 9 lipca 2024 r. oraz zgodnie z kwestionariuszem IAS wydała 16 zaleceń, z których 15 zostało już zrealizowanych, natomiast jedno – dotyczące konfliktu interesów wśród pracowników – pozostaje w trakcie realizacji; </w:t>
            </w:r>
            <w:r>
              <w:rPr>
                <w:b/>
                <w:i/>
              </w:rPr>
              <w:t>wzywa Trybunał do niezwłocznego wypełnienia niezrealizowanego zalecenia i zwraca się do niego o należyte informowanie organu udzielającego absolutorium o postępach poczynionych w tym zakresie;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43.</w:t>
            </w:r>
            <w:r>
              <w:tab/>
            </w:r>
            <w:r>
              <w:t xml:space="preserve">zwraca uwagę, że zgodnie ze sprawozdaniem Trybunału w 2024 r. nie stwierdzono żadnych przypadków korupcji ani nadużyć finansowych w jego operacjach wewnętrznych; wyraża uznanie dla Trybunału za organizowanie szkoleń prewencyjnych dotyczących polityk i procedur antykorupcyjnych – w 2024 r. odbyło się 10 takich sesji, w których łącznie uczestniczyło 257 osób; docenia fakt, że </w:t>
            </w:r>
            <w:r>
              <w:rPr>
                <w:b/>
                <w:i/>
              </w:rPr>
              <w:t>–</w:t>
            </w:r>
            <w:r>
              <w:t xml:space="preserve"> zgodnie ze sprawozdaniem uzupełniającym </w:t>
            </w:r>
            <w:r>
              <w:rPr>
                <w:b/>
                <w:i/>
              </w:rPr>
              <w:t>–</w:t>
            </w:r>
            <w:r>
              <w:t xml:space="preserve"> Trybunał wydał w 2024 r. jeden skonsolidowany dokument dotyczący </w:t>
            </w:r>
            <w:r>
              <w:rPr>
                <w:b/>
                <w:i/>
              </w:rPr>
              <w:t>reagowania na nadużycia finansowe</w:t>
            </w:r>
            <w:r>
              <w:t xml:space="preserve"> w kontekście prowadzonych przez niego działań kontrolnych, co pozwoliło na ujednolicenie sposobu, w jaki izby kontroli Trybunału odnoszą się do </w:t>
            </w:r>
            <w:r>
              <w:rPr>
                <w:b/>
                <w:i/>
              </w:rPr>
              <w:t>kwestii związanych z nadużyciami</w:t>
            </w:r>
            <w:r>
              <w:t xml:space="preserve"> ujawnionych podczas zewnętrznych prac kontrolnych; zauważa, że ryzyko nadużyć finansowych związanych z wewnętrznymi operacjami Trybunału jest zarządzane za pomocą wewnętrznych ram kontroli Trybunału, których celem jest zapobieganie wszelkim nieprawidłowościom z udziałem członków lub pracowników Trybunału, które mogłyby mieć wpływ na interesy finansowe Unii, a także wykrywanie takich nieprawidłowości, korygowanie ich i podejmowanie działań następczych; zwraca ponadto uwagę na stanowisko Trybunału, zgodnie z którym opracowanie odrębnej strategii w zakresie zwalczania nadużyć finansowych dla operacji wewnętrznych „wiązałoby się z nieproporcjonalnym obciążeniem administracyjnym, biorąc pod uwagę już funkcjonujące rozbudowane kontrole”, niemniej nadal wzywa Trybunał do przyjęcia strategii w zakresie zwalczania nadużyć finansowych obejmującej wszystkie rodzaje operacji;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43.</w:t>
            </w:r>
            <w:r>
              <w:tab/>
            </w:r>
            <w:r>
              <w:t xml:space="preserve">zwraca uwagę, że zgodnie ze sprawozdaniem Trybunału w 2024 r. nie stwierdzono żadnych przypadków korupcji ani nadużyć finansowych w jego operacjach wewnętrznych; wyraża uznanie dla Trybunału za organizowanie szkoleń prewencyjnych dotyczących polityk i procedur antykorupcyjnych – w 2024 r. odbyło się 10 takich sesji, w których łącznie uczestniczyło 257 osób; docenia fakt, że zgodnie ze sprawozdaniem uzupełniającym Trybunał wydał w 2024 r. jeden skonsolidowany dokument dotyczący </w:t>
            </w:r>
            <w:r>
              <w:rPr>
                <w:b/>
                <w:i/>
              </w:rPr>
              <w:t>kwestii związanych z nadużyciami finansowymi</w:t>
            </w:r>
            <w:r>
              <w:t xml:space="preserve"> w kontekście prowadzonych przez niego działań kontrolnych</w:t>
            </w:r>
            <w:r>
              <w:rPr>
                <w:b/>
                <w:i/>
              </w:rPr>
              <w:t>, który to dokument zawiera kompleksowe i szczegółowe wytyczne dla kontrolerów Trybunału</w:t>
            </w:r>
            <w:r>
              <w:t xml:space="preserve">, co pozwoliło na ujednolicenie sposobu, w jaki izby kontroli Trybunału odnoszą się do </w:t>
            </w:r>
            <w:r>
              <w:rPr>
                <w:b/>
                <w:i/>
              </w:rPr>
              <w:t>przypadków podejrzeń o nadużycia finansowe, korupcję lub wszelką inną nielegalną działalność naruszającą interesy finansowe Unii,</w:t>
            </w:r>
            <w:r>
              <w:t xml:space="preserve"> ujawnionych podczas zewnętrznych prac kontrolnych</w:t>
            </w:r>
            <w:r>
              <w:rPr>
                <w:b/>
                <w:i/>
              </w:rPr>
              <w:t>, oraz przyczyniło się do zapewnienia spójności</w:t>
            </w:r>
            <w:r>
              <w:t>; zauważa, że ryzyko nadużyć finansowych związanych z wewnętrznymi operacjami Trybunału jest zarządzane za pomocą wewnętrznych ram kontroli Trybunału, których celem jest zapobieganie wszelkim nieprawidłowościom z udziałem członków lub pracowników Trybunału, które mogłyby mieć wpływ na interesy finansowe Unii, a także wykrywanie takich nieprawidłowości, korygowanie ich i podejmowanie działań następczych; zwraca ponadto uwagę na stanowisko Trybunału, zgodnie z którym opracowanie odrębnej strategii w zakresie zwalczania nadużyć finansowych dla operacji wewnętrznych „wiązałoby się z nieproporcjonalnym obciążeniem administracyjnym, biorąc pod uwagę już funkcjonujące rozbudowane kontrole”, niemniej nadal wzywa Trybunał do przyjęcia strategii w zakresie zwalczania nadużyć finansowych obejmującej wszystkie rodzaje operacji;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44.</w:t>
            </w:r>
            <w:r>
              <w:tab/>
            </w:r>
            <w:r>
              <w:t xml:space="preserve">przyjmuje do wiadomości opinię Trybunału wyrażoną w sprawozdaniu uzupełniającym, zgodnie z którą jego rola jako niezależnej instytucji kontroli zewnętrznej sprawia, że nie podlega on typowym zasadom obowiązującym podmioty dążące do nawiązania współpracy z organami decyzyjnymi Unii i wywierania na nie wpływu; jest zdania, że argument ten nie ma w pełni zastosowania, ponieważ Trybunał publikuje sprawozdania specjalne, w których bada, czy cele polityk i programów Unii zostały osiągnięte, co nadaje jego pracom wymiar polityczny lub doradczy, nawet jeżeli Trybunał nie jest organem decyzyjnym; przypomina ponadto, że istnieją inne niedecyzyjne oraz doradcze organy Unii, które formalnie przystąpiły do unijnego rejestru służącego przejrzystości; ponawia </w:t>
            </w:r>
            <w:r>
              <w:rPr>
                <w:b/>
                <w:i/>
              </w:rPr>
              <w:t>zatem</w:t>
            </w:r>
            <w:r>
              <w:t xml:space="preserve"> apel do Trybunału o przystąpienie do rejestru służącego przejrzystości, </w:t>
            </w:r>
            <w:r>
              <w:rPr>
                <w:b/>
                <w:i/>
              </w:rPr>
              <w:t>co pozwoliłoby na przestrzeganie podstawowych zasad przejrzystości bez tworzenia jakichkolwiek przeszkód dla pełnej</w:t>
            </w:r>
            <w:r>
              <w:t xml:space="preserve"> niezależności </w:t>
            </w:r>
            <w:r>
              <w:rPr>
                <w:b/>
                <w:i/>
              </w:rPr>
              <w:t>Trybunału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44.</w:t>
            </w:r>
            <w:r>
              <w:tab/>
            </w:r>
            <w:r>
              <w:t xml:space="preserve">przyjmuje do wiadomości opinię Trybunału wyrażoną w sprawozdaniu uzupełniającym, zgodnie z którą jego rola jako niezależnej instytucji kontroli zewnętrznej sprawia, że nie podlega on typowym zasadom obowiązującym podmioty dążące do nawiązania współpracy z organami decyzyjnymi Unii i wywierania na nie wpływu; jest zdania, że argument ten nie ma w pełni zastosowania, ponieważ Trybunał publikuje sprawozdania specjalne, w których bada, czy cele polityk i programów Unii zostały osiągnięte, co nadaje jego pracom wymiar polityczny lub doradczy, nawet jeżeli Trybunał nie jest organem decyzyjnym; przypomina ponadto, że istnieją inne niedecyzyjne oraz doradcze organy Unii, które formalnie przystąpiły do unijnego rejestru służącego przejrzystości; ponawia apel do Trybunału o </w:t>
            </w:r>
            <w:r>
              <w:rPr>
                <w:b/>
                <w:i/>
              </w:rPr>
              <w:t>niezwłoczne</w:t>
            </w:r>
            <w:r>
              <w:t xml:space="preserve"> przystąpienie do rejestru służącego przejrzystości, </w:t>
            </w:r>
            <w:r>
              <w:rPr>
                <w:b/>
                <w:i/>
              </w:rPr>
              <w:t>zgodnie z praktykami innych organów Unii niepodejmujących decyzji, w celu wzmocnienia zaufania publicznego przy jednoczesnym pełnym zachowaniu jego</w:t>
            </w:r>
            <w:r>
              <w:t xml:space="preserve"> niezależności </w:t>
            </w:r>
            <w:r>
              <w:rPr>
                <w:b/>
                <w:i/>
              </w:rPr>
              <w:t>jako zewnętrznego kontrolera Unii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46.</w:t>
            </w:r>
            <w:r>
              <w:tab/>
            </w:r>
            <w:r>
              <w:t>zdecydowanie popiera wysiłki Trybunału na rzecz rozwijania ekosystemu wiedzy na temat kontroli przez cyfryzację; zauważa w tym kontekście, że zgodnie z kwestionariuszem w 2024 r. Trybunał wdrożył szereg inicjatyw mających na celu wzmocnienie jego zdolności cyfrowych i efektywności operacyjnej; obejmują one integrację informatycznych systemów kontroli, zwiększenie interoperacyjności między systemami i aplikacjami, wprowadzenie asystenta czytania dokumentów (DORA) w celu wsparcia zarządzania wiedzą w działaniach kontrolnych, uruchomienie usługi BibliotECA Discovery Collections Service oraz przyjęcie nowej polityki cyfrowego archiwizowania; podkreśla, że połączenie cyfryzacji ze zwiększoną liczbą wizyt na miejscu powinno prowadzić do bardziej efektywnych i dokładnych wyników kontroli;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46.</w:t>
            </w:r>
            <w:r>
              <w:tab/>
            </w:r>
            <w:r>
              <w:t xml:space="preserve">zdecydowanie popiera wysiłki Trybunału na rzecz rozwijania ekosystemu wiedzy na temat kontroli przez cyfryzację; zauważa w tym kontekście, że zgodnie z kwestionariuszem w 2024 r. Trybunał wdrożył szereg inicjatyw mających na celu wzmocnienie jego zdolności cyfrowych i efektywności operacyjnej; obejmują one integrację informatycznych systemów kontroli, zwiększenie interoperacyjności między systemami i aplikacjami, wprowadzenie asystenta czytania dokumentów (DORA) w celu wsparcia zarządzania wiedzą w działaniach kontrolnych, uruchomienie usługi BibliotECA Discovery Collections Service oraz przyjęcie nowej polityki cyfrowego archiwizowania; podkreśla, że połączenie cyfryzacji ze zwiększoną liczbą wizyt na miejscu powinno prowadzić do bardziej efektywnych i dokładnych wyników kontroli; </w:t>
            </w:r>
            <w:r>
              <w:rPr>
                <w:b/>
                <w:i/>
              </w:rPr>
              <w:t>zachęca do dalszych inwestycji w narzędzia audytu wspomagane sztuczną inteligencją i w interoperacyjność systemów w celu zwiększenia dokładności audytu, zmniejszenia obciążeń administracyjnych i zapewnienia jak największej rentowności;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47.</w:t>
            </w:r>
            <w:r>
              <w:tab/>
            </w:r>
            <w:r>
              <w:t xml:space="preserve">docenia publikację wstępnej strategii Trybunału w zakresie sztucznej inteligencji oraz planu jej wdrażania na lata 2024–2025; z zadowoleniem odnotowuje, że zgodnie z kwestionariuszem Trybunał poczynił stabilne postępy we wdrażaniu tej strategii, koncentrując się między innymi na testowaniu i przygotowaniu do wdrożenia narzędzi takich jak Microsoft Copilot oraz GPT@EC, podnoszeniu świadomości pracowników przez ukierunkowane szkolenia z zakresu sztucznej inteligencji, a także testowaniu zastosowań sztucznej inteligencji w pracach kontrolnych i dzieleniu się wstępnymi ustaleniami; </w:t>
            </w:r>
            <w:r>
              <w:rPr>
                <w:b/>
                <w:i/>
              </w:rPr>
              <w:t>ponadto z zadowoleniem przyjmuje wzmocnienie zarządzania sztuczną inteligencją w Trybunale przez utworzenie komitetu doradczego ds. sztucznej inteligencji oraz wyznaczenie w 2024 r. korespondenta ds. sztucznej inteligencji;</w:t>
            </w:r>
            <w:r>
              <w:t xml:space="preserve"> </w:t>
            </w:r>
            <w:r>
              <w:rPr>
                <w:b/>
                <w:i/>
              </w:rPr>
              <w:t>z zadowoleniem</w:t>
            </w:r>
            <w:r>
              <w:t xml:space="preserve"> zauważa, że </w:t>
            </w:r>
            <w:r>
              <w:rPr>
                <w:b/>
                <w:i/>
              </w:rPr>
              <w:t>komitet doradczy ds. sztucznej inteligencji, którego zadaniem jest wspieranie Trybunału i doradzanie mu w wypełnianiu obowiązków wynikających z ram prawnych i etycznych regulujących</w:t>
            </w:r>
            <w:r>
              <w:t xml:space="preserve"> korzystanie </w:t>
            </w:r>
            <w:r>
              <w:rPr>
                <w:b/>
                <w:i/>
              </w:rPr>
              <w:t>ze sztucznej inteligencji, składa się z pracowników posiadających zróżnicowane kompetencje, aby zapewnić kompleksowe podejście i zrozumienie wpływu sztucznej inteligencji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47.</w:t>
            </w:r>
            <w:r>
              <w:tab/>
            </w:r>
            <w:r>
              <w:t xml:space="preserve">docenia publikację wstępnej strategii Trybunału w zakresie sztucznej inteligencji oraz planu jej wdrażania na lata 2024–2025; z zadowoleniem odnotowuje, że zgodnie z kwestionariuszem Trybunał poczynił stabilne postępy we wdrażaniu tej strategii, koncentrując się między innymi na testowaniu i przygotowaniu do wdrożenia narzędzi takich jak Microsoft Copilot oraz GPT@EC, podnoszeniu świadomości pracowników przez ukierunkowane szkolenia z zakresu sztucznej inteligencji, a także testowaniu zastosowań sztucznej inteligencji w pracach kontrolnych i dzieleniu się wstępnymi ustaleniami; zauważa, że </w:t>
            </w:r>
            <w:r>
              <w:rPr>
                <w:b/>
                <w:i/>
              </w:rPr>
              <w:t>Trybunał opracował strategię dotyczącą wykorzystania narzędzi AI;</w:t>
            </w:r>
            <w:r>
              <w:t xml:space="preserve"> </w:t>
            </w:r>
            <w:r>
              <w:rPr>
                <w:b/>
                <w:i/>
              </w:rPr>
              <w:t>podkreśla, że</w:t>
            </w:r>
            <w:r>
              <w:t xml:space="preserve"> korzystanie </w:t>
            </w:r>
            <w:r>
              <w:rPr>
                <w:b/>
                <w:i/>
              </w:rPr>
              <w:t>z nich musi być ściśle ograniczone do działań związanych z audytem i regularnie oceniane pod względem stosunku wartości do ceny, bezpieczeństwa danych i wartości dodanej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47.</w:t>
            </w:r>
            <w:r>
              <w:tab/>
            </w:r>
            <w:r>
              <w:t>docenia publikację wstępnej strategii Trybunału w zakresie sztucznej inteligencji oraz planu jej wdrażania na lata 2024–2025; z zadowoleniem odnotowuje, że zgodnie z kwestionariuszem Trybunał poczynił stabilne postępy we wdrażaniu tej strategii, koncentrując się między innymi na testowaniu i przygotowaniu do wdrożenia narzędzi takich jak Microsoft Copilot oraz GPT@EC, podnoszeniu świadomości pracowników przez ukierunkowane szkolenia z zakresu sztucznej inteligencji, a także testowaniu zastosowań sztucznej inteligencji w pracach kontrolnych i dzieleniu się wstępnymi ustaleniami; ponadto z zadowoleniem przyjmuje wzmocnienie zarządzania sztuczną inteligencją w Trybunale przez utworzenie komitetu doradczego ds. sztucznej inteligencji oraz wyznaczenie w 2024 r. korespondenta ds. sztucznej inteligencji; z zadowoleniem zauważa, że komitet doradczy ds. sztucznej inteligencji, którego zadaniem jest wspieranie Trybunału i doradzanie mu w wypełnianiu obowiązków wynikających z ram prawnych i etycznych regulujących korzystanie ze sztucznej inteligencji, składa się z pracowników posiadających zróżnicowane kompetencje, aby zapewnić kompleksowe podejście i zrozumienie wpływu sztucznej inteligencji;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47.</w:t>
            </w:r>
            <w:r>
              <w:tab/>
            </w:r>
            <w:r>
              <w:t xml:space="preserve">docenia publikację wstępnej strategii Trybunału w zakresie sztucznej inteligencji oraz planu jej wdrażania na lata 2024–2025; z zadowoleniem odnotowuje, że zgodnie z kwestionariuszem Trybunał poczynił stabilne postępy we wdrażaniu tej strategii, koncentrując się między innymi na testowaniu i przygotowaniu do wdrożenia narzędzi takich jak Microsoft Copilot oraz GPT@EC, podnoszeniu świadomości pracowników przez ukierunkowane szkolenia z zakresu sztucznej inteligencji, a także testowaniu zastosowań sztucznej inteligencji w pracach kontrolnych i dzieleniu się wstępnymi ustaleniami; ponadto z zadowoleniem przyjmuje wzmocnienie zarządzania sztuczną inteligencją w Trybunale przez utworzenie komitetu doradczego ds. sztucznej inteligencji oraz wyznaczenie w 2024 r. korespondenta ds. sztucznej inteligencji; z zadowoleniem zauważa, że komitet doradczy ds. sztucznej inteligencji, którego zadaniem jest wspieranie Trybunału i doradzanie mu w wypełnianiu obowiązków wynikających z ram prawnych i etycznych regulujących korzystanie ze sztucznej inteligencji, składa się z pracowników posiadających zróżnicowane kompetencje, aby zapewnić kompleksowe podejście i zrozumienie wpływu sztucznej inteligencji; </w:t>
            </w:r>
            <w:r>
              <w:rPr>
                <w:b/>
                <w:i/>
              </w:rPr>
              <w:t>wzywa Trybunał, aby w ramach swojej strategii w zakresie sztucznej inteligencji opracował jasne wskaźniki służące do oceny wartości dodanej, zagrożeń i ograniczeń związanych z narzędziami audytu wspieranymi przez sztuczną inteligencję oraz aby regularnie składał Parlamentowi sprawozdania na temat ich wpływu na jakość kontroli, przejrzystość i rozliczalność;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47.</w:t>
            </w:r>
            <w:r>
              <w:tab/>
            </w:r>
            <w:r>
              <w:t>docenia publikację wstępnej strategii Trybunału w zakresie sztucznej inteligencji oraz planu jej wdrażania na lata 2024–2025; z zadowoleniem odnotowuje, że zgodnie z kwestionariuszem Trybunał poczynił stabilne postępy we wdrażaniu tej strategii, koncentrując się między innymi na testowaniu i przygotowaniu do wdrożenia narzędzi takich jak Microsoft Copilot oraz GPT@EC, podnoszeniu świadomości pracowników przez ukierunkowane szkolenia z zakresu sztucznej inteligencji, a także testowaniu zastosowań sztucznej inteligencji w pracach kontrolnych i dzieleniu się wstępnymi ustaleniami; ponadto z zadowoleniem przyjmuje wzmocnienie zarządzania sztuczną inteligencją w Trybunale przez utworzenie komitetu doradczego ds. sztucznej inteligencji oraz wyznaczenie w 2024 r. korespondenta ds. sztucznej inteligencji; z zadowoleniem zauważa, że komitet doradczy ds. sztucznej inteligencji, którego zadaniem jest wspieranie Trybunału i doradzanie mu w wypełnianiu obowiązków wynikających z ram prawnych i etycznych regulujących korzystanie ze sztucznej inteligencji, składa się z pracowników posiadających zróżnicowane kompetencje, aby zapewnić kompleksowe podejście i zrozumienie wpływu sztucznej inteligencji;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47.</w:t>
            </w:r>
            <w:r>
              <w:tab/>
            </w:r>
            <w:r>
              <w:t xml:space="preserve">docenia publikację wstępnej strategii Trybunału w zakresie sztucznej inteligencji oraz planu jej wdrażania na lata 2024–2025; z zadowoleniem odnotowuje, że zgodnie z kwestionariuszem Trybunał poczynił stabilne postępy we wdrażaniu tej strategii, koncentrując się między innymi na testowaniu i przygotowaniu do wdrożenia narzędzi takich jak Microsoft Copilot oraz GPT@EC, podnoszeniu świadomości pracowników przez ukierunkowane szkolenia z zakresu sztucznej inteligencji, a także testowaniu zastosowań sztucznej inteligencji w pracach kontrolnych i dzieleniu się wstępnymi ustaleniami; ponadto z zadowoleniem przyjmuje wzmocnienie zarządzania sztuczną inteligencją w Trybunale przez utworzenie komitetu doradczego ds. sztucznej inteligencji oraz wyznaczenie w 2024 r. korespondenta ds. sztucznej inteligencji; z zadowoleniem zauważa, że komitet doradczy ds. sztucznej inteligencji, którego zadaniem jest wspieranie Trybunału i doradzanie mu w wypełnianiu obowiązków wynikających z ram prawnych i etycznych regulujących korzystanie ze sztucznej inteligencji, składa się z pracowników posiadających zróżnicowane kompetencje, aby zapewnić kompleksowe podejście i zrozumienie wpływu sztucznej inteligencji; </w:t>
            </w:r>
            <w:r>
              <w:rPr>
                <w:b/>
                <w:i/>
              </w:rPr>
              <w:t>podkreśla, że przy wykorzystywaniu sztucznej inteligencji należy zagwarantować ścisłe przestrzeganie zasad etycznego wykorzystania, przejrzystości, ochrony danych, nadzoru ludzkiego oraz ochrony przed stronniczością algorytmów lub ich nadużywaniem;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49.</w:t>
            </w:r>
            <w:r>
              <w:tab/>
            </w:r>
            <w:r>
              <w:rPr>
                <w:b/>
                <w:i/>
              </w:rPr>
              <w:t>zauważa z niepokojem, że Trybunał doświadczył cyberataku, do którego przyznała się prorosyjska grupa i w wyniku którego wyłączono publiczną stronę internetową Trybunału w ramach skoordynowanej akcji mającej na celu destabilizację wyborów europejskich w 2024 r.;</w:t>
            </w:r>
            <w:r>
              <w:t xml:space="preserve"> </w:t>
            </w:r>
            <w:r>
              <w:rPr>
                <w:b/>
                <w:i/>
              </w:rPr>
              <w:t>z zadowoleniem przyjmuje zobowiązanie Trybunału do przeprowadzania oceny ryzyka w cyberprzestrzeni co najmniej raz na dwa lata;</w:t>
            </w:r>
            <w:r>
              <w:t xml:space="preserve"> </w:t>
            </w:r>
            <w:r>
              <w:rPr>
                <w:b/>
                <w:i/>
              </w:rPr>
              <w:t>zachęca do dalszego wdrażania regularnych szkoleń dla pracowników w zakresie cyberzagrożeń w celu wzmocnienia odporności instytucjonalnej;</w:t>
            </w:r>
            <w:r>
              <w:t xml:space="preserve"> </w:t>
            </w:r>
            <w:r>
              <w:rPr>
                <w:b/>
                <w:i/>
              </w:rPr>
              <w:t>zachęca Trybunał do informowania organu udzielającego absolutorium o wynikach wszelkich ocen ryzyka w cyberprzestrzeni, które Trybunał może przeprowadzić w kontekście wdrażania rozporządzenia (UE, Euratom) 2023/2841</w:t>
            </w:r>
            <w:r>
              <w:rPr>
                <w:b/>
                <w:i/>
                <w:vertAlign w:val="superscript"/>
              </w:rPr>
              <w:t>1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</w:t>
            </w:r>
            <w:r>
              <w:t xml:space="preserve"> </w:t>
            </w:r>
            <w:r>
              <w:rPr>
                <w:b/>
                <w:i/>
              </w:rPr>
              <w:t>Rozporządzenie Parlamentu Europejskiego i Rady (UE, Euratom) 2023/2841 z dnia 13 grudnia 2023 r. w sprawie ustanowienia środków na rzecz wysokiego wspólnego poziomu cyberbezpieczeństwa w instytucjach, organach i jednostkach organizacyjnych Unii (Dz.U.</w:t>
            </w:r>
            <w:r>
              <w:t xml:space="preserve"> </w:t>
            </w:r>
            <w:r>
              <w:rPr>
                <w:b/>
                <w:i/>
              </w:rPr>
              <w:t>L, 2023/2841, 18.12.2023, ELI: http://data.europa.eu/eli/reg/2023/2841/oj).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>z zadowoleniem przyjmuje planowane inicjatywy na 2025 r., których celem jest dalsze wzmocnienie transformacji cyfrowej i cyberbezpieczeństwa, takie jak wdrożenie Microsoft Copilot, wdrożenie lokalnych modeli generatywnej sztucznej inteligencji oraz instalacja uwierzytelniania biometrycznego na laptopach; przyjmuje również do wiadomości plan Trybunału dotyczący modernizacji infrastruktury IT przez instalację nowych serwerów, wdrożenie nowych funkcji wspierających spotkania hybrydowe oraz wzmocnienie współpracy z Międzyinstytucjonalnym Komitetem ds. Transformacji Cyfrowej w zakresie powstających technologii, takich jak sztuczna inteligencja;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z zadowoleniem przyjmuje planowane inicjatywy na 2025 r., których celem jest dalsze wzmocnienie transformacji cyfrowej i cyberbezpieczeństwa, takie jak wdrożenie Microsoft Copilot, wdrożenie lokalnych modeli generatywnej sztucznej inteligencji oraz instalacja uwierzytelniania biometrycznego na laptopach; przyjmuje również do wiadomości plan Trybunału dotyczący modernizacji infrastruktury IT przez instalację nowych serwerów, wdrożenie nowych funkcji wspierających spotkania hybrydowe oraz wzmocnienie współpracy z Międzyinstytucjonalnym Komitetem ds. Transformacji Cyfrowej w zakresie powstających technologii, takich jak sztuczna inteligencja; </w:t>
            </w:r>
            <w:r>
              <w:rPr>
                <w:b/>
                <w:i/>
              </w:rPr>
              <w:t>podkreśla, że podstawą dodatkowych wydatków na posiedzenia hybrydowe i infrastrukturę techniczną powinna być wyłącznie jasna analiza potrzeb i że nie mogą one przekraczać istniejących pułapów budżetowych;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Śródtytuł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Środowisko i zrównoważony rozwój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56.</w:t>
            </w:r>
            <w:r>
              <w:tab/>
            </w:r>
            <w:r>
              <w:rPr>
                <w:b/>
                <w:i/>
              </w:rPr>
              <w:t>z uznaniem przyjmuje trwające działania Trybunału na rzecz funkcjonowania jako instytucja zrównoważona;</w:t>
            </w:r>
            <w:r>
              <w:t xml:space="preserve"> </w:t>
            </w:r>
            <w:r>
              <w:rPr>
                <w:b/>
                <w:i/>
              </w:rPr>
              <w:t>zauważa, że w 2024 r.</w:t>
            </w:r>
            <w:r>
              <w:t xml:space="preserve"> </w:t>
            </w:r>
            <w:r>
              <w:rPr>
                <w:b/>
                <w:i/>
              </w:rPr>
              <w:t>Trybunał opublikował czwarte sprawozdanie na temat zrównoważonego rozwoju, w którym oceniono wpływ działalności Trybunału na gospodarkę, społeczeństwo i środowisko;</w:t>
            </w:r>
            <w:r>
              <w:t xml:space="preserve"> </w:t>
            </w:r>
            <w:r>
              <w:rPr>
                <w:b/>
                <w:i/>
              </w:rPr>
              <w:t>z zadowoleniem zauważa, że 91 % sprawozdań specjalnych i przeglądów opublikowanych przez Trybunał w 2024 r. dotyczyło tematów istotnych z punktu widzenia celów zrównoważonego rozwoju Organizacji Narodów Zjednoczonych;</w:t>
            </w:r>
            <w:r>
              <w:t xml:space="preserve"> </w:t>
            </w:r>
            <w:r>
              <w:rPr>
                <w:b/>
                <w:i/>
              </w:rPr>
              <w:t>z zadowoleniem przyjmuje fakt, że w 2024 r.</w:t>
            </w:r>
            <w:r>
              <w:t xml:space="preserve"> </w:t>
            </w:r>
            <w:r>
              <w:rPr>
                <w:b/>
                <w:i/>
              </w:rPr>
              <w:t>40 % zamówień publicznych Trybunału uwzględniało kryteria zielonej gospodarki i gospodarki o obiegu zamkniętym, a 98 % towarów i usług zakupionych przez Trybunał pochodziło od lokalnych dostawców;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57.</w:t>
            </w:r>
            <w:r>
              <w:tab/>
            </w:r>
            <w:r>
              <w:rPr>
                <w:b/>
                <w:i/>
              </w:rPr>
              <w:t>zauważa, że Trybunał posiada certyfikat EMAS i od 2014 r. prowadzi politykę ochrony środowiska, zaktualizowaną w 2025 r.;</w:t>
            </w:r>
            <w:r>
              <w:t xml:space="preserve"> </w:t>
            </w:r>
            <w:r>
              <w:rPr>
                <w:b/>
                <w:i/>
              </w:rPr>
              <w:t>zwraca uwagę, że Trybunał mierzy swój ślad węglowy przy użyciu najnowszej wersji metody „Bilan Carbon”, obejmującej zakresy zarówno na poziomie operacyjnym (działalność Trybunału), jak i organizacyjnym (trzy budynki w Luksemburgu);</w:t>
            </w:r>
            <w:r>
              <w:t xml:space="preserve"> </w:t>
            </w:r>
            <w:r>
              <w:rPr>
                <w:b/>
                <w:i/>
              </w:rPr>
              <w:t>odnotowuje, że całkowita emisja gazów cieplarnianych Trybunału w 2024 r. wyniosła 9 108 ton CO</w:t>
            </w:r>
            <w:r>
              <w:rPr>
                <w:b/>
                <w:i/>
                <w:vertAlign w:val="subscript"/>
              </w:rPr>
              <w:t>2</w:t>
            </w:r>
            <w:r>
              <w:rPr>
                <w:b/>
                <w:i/>
              </w:rPr>
              <w:t>, co oznacza spadek o 15 % w porównaniu z emisjami z 2014 r., lecz wzrost o 1,60 % w porównaniu z 2023 r.;</w:t>
            </w:r>
            <w:r>
              <w:t xml:space="preserve"> </w:t>
            </w:r>
            <w:r>
              <w:rPr>
                <w:b/>
                <w:i/>
              </w:rPr>
              <w:t>zauważa, że największy udział w całkowitej emisji Trybunału w 2024 r. miały zakupy towarów i usług oraz przewóz osób – odpowiednio 31 % i 29 %;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Knotek, Julien Sanchez, Virginie Joron,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57a.</w:t>
            </w:r>
            <w:r>
              <w:tab/>
            </w:r>
            <w:r>
              <w:rPr>
                <w:b/>
                <w:i/>
              </w:rPr>
              <w:t>podkreśla, że inicjatywy środowiskowe w instytucjach Unii muszą pozostać opłacalne i neutralne pod względem technologicznym;</w:t>
            </w:r>
            <w:r>
              <w:t xml:space="preserve"> </w:t>
            </w:r>
            <w:r>
              <w:rPr>
                <w:b/>
                <w:i/>
              </w:rPr>
              <w:t>wzywa Trybunał do przedstawienia przejrzystej oceny kosztów i korzyści swoich zielonych inwestycji i praktyk w dziedzinie zamówień publicznych oraz do zadbania o to, aby względy środowiskowe nie przeważały nad skutecznością i dyscypliną budżetową;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58.</w:t>
            </w:r>
            <w:r>
              <w:tab/>
            </w:r>
            <w:r>
              <w:rPr>
                <w:b/>
                <w:i/>
              </w:rPr>
              <w:t>z zadowoleniem odnotowuje oświadczenie środowiskowe Trybunału przedstawiające wyniki za 2024 r., w tym działania już podjęte oraz planowane do wdrożenia, mające na celu ograniczenie wpływu działalności Trybunału na środowisko oraz osiągnięcie lub przekroczenie rocznych celów w zakresie efektywności środowiskowej;</w:t>
            </w:r>
            <w:r>
              <w:t xml:space="preserve"> </w:t>
            </w:r>
            <w:r>
              <w:rPr>
                <w:b/>
                <w:i/>
              </w:rPr>
              <w:t>zauważa, że Trybunał mierzy efektywność środowiskową za pomocą zestawu wskaźników oraz kryteriów doskonałości;</w:t>
            </w:r>
            <w:r>
              <w:t xml:space="preserve"> </w:t>
            </w:r>
            <w:r>
              <w:rPr>
                <w:b/>
                <w:i/>
              </w:rPr>
              <w:t>zwraca uwagę, że w ramach programu środowiskowego na lata 2023–2025 Trybunał posiada zestaw celów ogólnych i szczegółowych, z których większość została osiągnięta w 2024 r., w szczególności w odniesieniu do ograniczenia zużycia energii (energia elektryczna: -24 %;</w:t>
            </w:r>
            <w:r>
              <w:t xml:space="preserve"> </w:t>
            </w:r>
            <w:r>
              <w:rPr>
                <w:b/>
                <w:i/>
              </w:rPr>
              <w:t>ogrzewanie: -21,80 %), emisji do powietrza (-30 %) oraz zużycia wody (-45 %), a także zwiększenia liczby procedur udzielania zamówień uwzględniających kryteria środowiskowe (powyżej 30 %);</w:t>
            </w:r>
            <w:r>
              <w:t xml:space="preserve"> </w:t>
            </w:r>
            <w:r>
              <w:rPr>
                <w:b/>
                <w:i/>
              </w:rPr>
              <w:t>zauważa jednak odwrócenie tendencji w odniesieniu do liczby wydrukowanych stron (+9,1 %) oraz ograniczenia rocznej ilości wytwarzanych odpadów (+27,50 %);</w:t>
            </w:r>
            <w:r>
              <w:t xml:space="preserve"> </w:t>
            </w:r>
            <w:r>
              <w:rPr>
                <w:b/>
                <w:i/>
              </w:rPr>
              <w:t>docenia działania Trybunału służące kompensowaniu jego negatywnego wpływu na różnorodność biologiczną;</w:t>
            </w:r>
            <w:r>
              <w:t xml:space="preserve"> </w:t>
            </w:r>
            <w:r>
              <w:rPr>
                <w:b/>
                <w:i/>
              </w:rPr>
              <w:t>zauważa, że na terenie swoich obiektów Trybunał utrzymuje kilka uli, w których pszczoły produkują miód zbierany przez pracowników-wolontariuszy, oraz że Trybunał uczestniczy w inicjatywach sadzenia drzew w Luksemburgu i w innych działaniach proekologicznych w ramach udziału Trybunału w międzyinstytucjonalnych dniach EMAS UE w 2024 r.;</w:t>
            </w:r>
            <w:r>
              <w:t xml:space="preserve"> </w:t>
            </w:r>
            <w:r>
              <w:rPr>
                <w:b/>
                <w:i/>
              </w:rPr>
              <w:t>z zadowoleniem przyjmuje wzrost liczby pracowników korzystających z miejskiego systemu rowerów współdzielonych z 172 w 2023 r. do 201 w 2024 r.;</w:t>
            </w:r>
            <w:r>
              <w:t xml:space="preserve"> </w:t>
            </w:r>
            <w:r>
              <w:rPr>
                <w:b/>
                <w:i/>
              </w:rPr>
              <w:t>z zadowoleniem przyjmuje wsparcie Trybunału dla dojazdów do pracy z wykorzystaniem zrównoważonej mobilności, takiej jak jazda rowerem, przez pokrywanie kosztów abonamentów w systemie rowerów miejskich w Luksemburgu, lub transport publiczny, przez częściowy zwrot kosztów biletów okresowych dla pracowników transgranicznych, przy czym liczba pracowników korzystających z tego rodzaju systemu zwrotów wzrosła z 28 w 2023 r. do 30 w 2024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Olivier Chastel, Gilles Boyer, Vlad Vasile-Voiculescu,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63a.</w:t>
            </w:r>
            <w:r>
              <w:tab/>
            </w:r>
            <w:r>
              <w:rPr>
                <w:b/>
                <w:i/>
              </w:rPr>
              <w:t>podkreśla ważną rolę Europejskiego Trybunału Obrachunkowego w strukturze zwalczania nadużyć finansowych;</w:t>
            </w:r>
            <w:r>
              <w:t xml:space="preserve"> </w:t>
            </w:r>
            <w:r>
              <w:rPr>
                <w:b/>
                <w:i/>
              </w:rPr>
              <w:t>w swoich audytach i sprawozdaniach specjalnych systematycznie identyfikuje on uchybienia, nieprawidłowości i ryzyko, uruchamiając tym samym działania naprawcze i windykacyjne ze strony Komisji, państw członkowskich i innych podmiotów uczestniczących w tej strukturze;</w:t>
            </w:r>
            <w:r>
              <w:t xml:space="preserve"> </w:t>
            </w:r>
            <w:r>
              <w:rPr>
                <w:b/>
                <w:i/>
              </w:rPr>
              <w:t>dzięki tej funkcji nadzorczej ETO nie tylko zwiększa przejrzystość i rozliczalność, ale również ogólną zdolność systemu UE do odstraszania i wykrywania, zapewniając należyte zarządzanie środkami publicznymi i ich ochronę przed nadużyciami finansowymi i niewłaściwym wykorzystaniem;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65.</w:t>
            </w:r>
            <w:r>
              <w:tab/>
            </w:r>
            <w:r>
              <w:rPr>
                <w:b/>
                <w:i/>
              </w:rPr>
              <w:t>ponownie ubolewa, że pomimo lepszego dostępu do dokumentów i informacji</w:t>
            </w:r>
            <w:r>
              <w:t xml:space="preserve"> Europejskiego Banku Inwestycyjnego </w:t>
            </w:r>
            <w:r>
              <w:rPr>
                <w:b/>
                <w:i/>
              </w:rPr>
              <w:t>(EBI) Trybunał nie posiada uprawnień do kontrolowania operacji finansowanych ze środków własnych EBI;</w:t>
            </w:r>
            <w:r>
              <w:t xml:space="preserve"> </w:t>
            </w:r>
            <w:r>
              <w:rPr>
                <w:b/>
                <w:i/>
              </w:rPr>
              <w:t>apeluje o przyznanie takich uprawnień Trybunałowi, biorąc pod uwagę misję EBI polegającą na realizacji celów Unii oraz jego rosnącą rolę w krajobrazie gospodarczym i politycznym Unii – rolę, która wykracza poza wykorzystanie budżetu Unii do gwarantowania jego operacji</w:t>
            </w:r>
            <w:r>
              <w:t xml:space="preserve">; </w:t>
            </w:r>
            <w:r>
              <w:rPr>
                <w:b/>
                <w:i/>
              </w:rPr>
              <w:t>przypomina, że Trybunał w sprawozdaniu specjalnym 05/2023 pt. „Krajobraz finansowy UE – Mozaika instrumentów wymagająca dalszego uproszczenia i poprawy rozliczalności” stwierdził, iż należy ustanowić uprawnienia do przeprowadzania kontroli publicznej w odniesieniu do wszystkich rodzajów finansowania polityki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65.</w:t>
            </w:r>
            <w:r>
              <w:tab/>
            </w:r>
            <w:r>
              <w:rPr>
                <w:b/>
                <w:i/>
              </w:rPr>
              <w:t>przypomina, że każde rozszerzenie mandatu kontrolnego Trybunału w odniesieniu do</w:t>
            </w:r>
            <w:r>
              <w:t xml:space="preserve"> Europejskiego Banku Inwestycyjnego </w:t>
            </w:r>
            <w:r>
              <w:rPr>
                <w:b/>
                <w:i/>
              </w:rPr>
              <w:t>wymaga jasnej podstawy prawnej i starannej oceny kompetencji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68.</w:t>
            </w:r>
            <w:r>
              <w:tab/>
            </w:r>
            <w:r>
              <w:rPr>
                <w:b/>
                <w:i/>
              </w:rPr>
              <w:t>popiera rozwijającą się strategię medialną Trybunału, która w 2024 r. doprowadziła do rekordowej liczby ponad 24 000 artykułów prasowych opublikowanych w internecie, dotyczących sprawozdań z kontroli Trybunału, innych publikacji lub ogólnie działalności Trybunału, co potwierdza utrzymujący się w ostatnich latach wzrost zasięgu medialnego (2023:</w:t>
            </w:r>
            <w:r>
              <w:t xml:space="preserve"> </w:t>
            </w:r>
            <w:r>
              <w:rPr>
                <w:b/>
                <w:i/>
              </w:rPr>
              <w:t>22 000;</w:t>
            </w:r>
            <w:r>
              <w:t xml:space="preserve"> </w:t>
            </w:r>
            <w:r>
              <w:rPr>
                <w:b/>
                <w:i/>
              </w:rPr>
              <w:t>2022:</w:t>
            </w:r>
            <w:r>
              <w:t xml:space="preserve"> </w:t>
            </w:r>
            <w:r>
              <w:rPr>
                <w:b/>
                <w:i/>
              </w:rPr>
              <w:t>20 000;</w:t>
            </w:r>
            <w:r>
              <w:t xml:space="preserve"> </w:t>
            </w:r>
            <w:r>
              <w:rPr>
                <w:b/>
                <w:i/>
              </w:rPr>
              <w:t>2021:</w:t>
            </w:r>
            <w:r>
              <w:t xml:space="preserve"> </w:t>
            </w:r>
            <w:r>
              <w:rPr>
                <w:b/>
                <w:i/>
              </w:rPr>
              <w:t>18 000);</w:t>
            </w:r>
            <w:r>
              <w:t xml:space="preserve"> </w:t>
            </w:r>
            <w:r>
              <w:rPr>
                <w:b/>
                <w:i/>
              </w:rPr>
              <w:t>z uznaniem zauważa, że zgodnie ze sprawozdaniem Trybunału wzrosła liczba odwiedzin strony internetowej Trybunału, uruchomionej w 2023 r., do 780 000 wizyt w 2024 r. (2023:</w:t>
            </w:r>
            <w:r>
              <w:t xml:space="preserve"> </w:t>
            </w:r>
            <w:r>
              <w:rPr>
                <w:b/>
                <w:i/>
              </w:rPr>
              <w:t>700 000), przy 1 295 025 unikalnych odsłonach stron i 56 440 pobraniach;</w:t>
            </w:r>
            <w:r>
              <w:t xml:space="preserve"> </w:t>
            </w:r>
            <w:r>
              <w:rPr>
                <w:b/>
                <w:i/>
              </w:rPr>
              <w:t>z zadowoleniem przyjmuje fakt, że do końca 2024 r. cztery główne konta Trybunału w mediach społecznościowych (X, LinkedIn, Facebook, Instagram) zgromadziły ponad 61 500 obserwujących, w porównaniu z 55 000 w 2023 r. i 49 500 w 2022 r.;</w:t>
            </w:r>
            <w:r>
              <w:t xml:space="preserve"> </w:t>
            </w:r>
            <w:r>
              <w:rPr>
                <w:b/>
                <w:i/>
              </w:rPr>
              <w:t>wyraża uznanie dla Trybunału za uruchomienie w listopadzie 2024 r. pierwszego comiesięcznego biuletynu na LinkedIn (ECA Insights), który przedstawia najważniejsze informacje o najnowszych sprawozdaniach oraz zapowiedzi nadchodzących kontroli i który do końca 2024 r. zgromadził ponad 8 500 subskrybentów;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69.</w:t>
            </w:r>
            <w:r>
              <w:tab/>
            </w:r>
            <w:r>
              <w:rPr>
                <w:b/>
                <w:i/>
              </w:rPr>
              <w:t>z zadowoleniem przyjmuje fakt, że Trybunał posiada stronę internetową dostępną cyfrowo (poziom A++), która jest dwa razy w roku poddawana audytowi przez zewnętrznego konsultanta w celu oceny zgodności strony z odpowiednimi standardami dostępności oraz identyfikacji barier w dostępie dla użytkowników z niepełnosprawnościami;</w:t>
            </w:r>
            <w:r>
              <w:t xml:space="preserve"> </w:t>
            </w:r>
            <w:r>
              <w:rPr>
                <w:b/>
                <w:i/>
              </w:rPr>
              <w:t>docenia fakt, że ogólnie wdrożenie dostępności oceniono jako bardzo dobre, oraz zauważa, że w wyniku audytu przedstawiono pewne zalecenia mające na celu dalsze podnoszenie i utrzymywanie wskaźnika dostępności strony internetowej;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70.</w:t>
            </w:r>
            <w:r>
              <w:tab/>
            </w:r>
            <w:r>
              <w:t xml:space="preserve">zwraca uwagę, że w 2024 r. Trybunał opublikował 44 komunikaty prasowe w 24 językach UE, jak również różne noty informacyjne, informacje dla mediów i gotowe do wykorzystania informacje dźwiękowe w niektórych językach; odnotowuje ponadto, że w 2024 r. Trybunał zorganizował również 20 zdalnych spotkań informacyjnych dla mediów oraz 14 dodatkowych spotkań dla poszczególnych krajów dotyczących sprawozdania rocznego; podkreśla, że </w:t>
            </w:r>
            <w:r>
              <w:rPr>
                <w:b/>
                <w:i/>
              </w:rPr>
              <w:t>ogółem spotkania te przyciągnęły uwagę łącznie 876 dziennikarzy, w większości reprezentujących największe media krajowe z państw członkowskich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70.</w:t>
            </w:r>
            <w:r>
              <w:tab/>
            </w:r>
            <w:r>
              <w:t xml:space="preserve">zwraca uwagę, że w 2024 r. Trybunał opublikował 44 komunikaty prasowe w 24 językach UE, jak również różne noty informacyjne, informacje dla mediów i gotowe do wykorzystania informacje dźwiękowe w niektórych językach; odnotowuje ponadto, że w 2024 r. Trybunał zorganizował również 20 zdalnych spotkań informacyjnych dla mediów oraz 14 dodatkowych spotkań dla poszczególnych krajów dotyczących sprawozdania rocznego; </w:t>
            </w:r>
            <w:r>
              <w:rPr>
                <w:b/>
                <w:i/>
              </w:rPr>
              <w:t>odnotowuje te działania i</w:t>
            </w:r>
            <w:r>
              <w:t xml:space="preserve"> podkreśla, że </w:t>
            </w:r>
            <w:r>
              <w:rPr>
                <w:b/>
                <w:i/>
              </w:rPr>
              <w:t>działania komunikacyjne Trybunału powinny być ściśle ograniczone do obiektywnego informowania o wynikach kontroli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70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70b.</w:t>
            </w:r>
            <w:r>
              <w:tab/>
            </w:r>
            <w:r>
              <w:rPr>
                <w:b/>
                <w:i/>
              </w:rPr>
              <w:t>z zadowoleniem przyjmuje sprawozdanie specjalne nr 11/2011 Europejskiego Trybunału Obrachunkowego pt.</w:t>
            </w:r>
            <w:r>
              <w:t xml:space="preserve"> </w:t>
            </w:r>
            <w:r>
              <w:rPr>
                <w:b/>
                <w:i/>
              </w:rPr>
              <w:t>„Przejrzystość finansowania unijnego przyznanego organizacjom pozarządowym”;</w:t>
            </w:r>
            <w:r>
              <w:t xml:space="preserve"> </w:t>
            </w:r>
            <w:r>
              <w:rPr>
                <w:b/>
                <w:i/>
              </w:rPr>
              <w:t>z zaniepokojeniem odnotowuje wskazane w nim problemy, w tym braki w przejrzystości, klasyfikacji i nadzorze;</w:t>
            </w:r>
            <w:r>
              <w:t xml:space="preserve"> </w:t>
            </w:r>
            <w:r>
              <w:rPr>
                <w:b/>
                <w:i/>
              </w:rPr>
              <w:t>podkreśla, że ETO powinien kontynuować i wzmacniać monitorowanie i sprawozdawczość w tych kwestiach, aby zapewnić pełną zgodność z przepisami finansowymi, wymogami przejrzystości i podstawowymi wartościami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70a.</w:t>
            </w:r>
            <w:r>
              <w:tab/>
            </w:r>
            <w:r>
              <w:rPr>
                <w:b/>
                <w:i/>
              </w:rPr>
              <w:t>zachęca zatem Trybunał do przygotowania sprawozdania specjalnego w sprawie finansowania przez UE organizacji pozarządowych prowadzących działalność w Strefie Gazy oraz organizacji zaangażowanych w opracowywanie palestyńskich podręczników szkolnych;</w:t>
            </w:r>
            <w:r>
              <w:t xml:space="preserve"> </w:t>
            </w:r>
            <w:r>
              <w:rPr>
                <w:b/>
                <w:i/>
              </w:rPr>
              <w:t>podkreśla, że taka kontrola ma kluczowe znaczenie dla dopilnowania, aby fundusze UE nie były kierowane, bezpośrednio lub pośrednio, do organizacji terrorystycznych lub ich podmiotów powiązanych ani wykorzystywane w sposób promujący nienawiść, radykalizację lub podżeganie do przemocy, a także dla zapewnienia pełnej zgodności z przepisami finansowymi UE, standardami przejrzystości i podstawowymi wartościami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71.</w:t>
            </w:r>
            <w:r>
              <w:tab/>
            </w:r>
            <w:r>
              <w:rPr>
                <w:b/>
                <w:i/>
              </w:rPr>
              <w:t>z zadowoleniem przyjmuje fakt, że w celu zwiększenia zaangażowania społecznego Trybunał od 2024 r. umożliwia obywatelom wnoszenie wkładu w jego program prac przez zgłaszanie propozycji tematów kontrolnych za pośrednictwem strony internetowej Trybunału;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782.521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49</w:t>
    </w:r>
    <w:r>
      <w:fldChar w:fldCharType="end"/>
    </w:r>
    <w:r>
      <w:tab/>
    </w:r>
    <w:r>
      <w:rPr>
        <w:rStyle w:val="HideTWBExt"/>
      </w:rPr>
      <w:t>&lt;PathFdR&gt;</w:t>
    </w:r>
    <w:r>
      <w:t>AM\1336164PL.docx</w:t>
    </w:r>
    <w:r>
      <w:rPr>
        <w:rStyle w:val="HideTWBExt"/>
      </w:rPr>
      <w:t>&lt;/PathFdR&gt;</w:t>
    </w:r>
  </w:p>
  <w:p>
    <w:pPr>
      <w:pStyle w:val="EPFooter2"/>
    </w:pPr>
    <w:r>
      <w:t>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AM\1336164PL.docx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49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49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782.521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AM\1336164PL.docx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782.521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</w:r>
    <w:r>
      <w:t>PL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49</Pages>
  <Words>12247</Words>
  <Characters>81243</Characters>
  <Application>Microsoft Office Word</Application>
  <DocSecurity>0</DocSecurity>
  <Lines>1</Lines>
  <Paragraphs>534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1336164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375852</vt:lpwstr>
  </property>
  <property fmtid="{D5CDD505-2E9C-101B-9397-08002B2CF9AE}" pid="7" name="dmxml.render.traceId">
    <vt:lpwstr>698c8a39178e4cad194a9d0961bbcb6e</vt:lpwstr>
  </property>
  <property fmtid="{D5CDD505-2E9C-101B-9397-08002B2CF9AE}" pid="8" name="FooterPath">
    <vt:lpwstr>AM\1336164PL.docx</vt:lpwstr>
  </property>
  <property fmtid="{D5CDD505-2E9C-101B-9397-08002B2CF9AE}" pid="9" name="PE Number">
    <vt:lpwstr>782.521</vt:lpwstr>
  </property>
  <property fmtid="{D5CDD505-2E9C-101B-9397-08002B2CF9AE}" pid="10" name="UID">
    <vt:lpwstr>eu.europa.europarl-DIN1-2026-0000016605_01.00-pl-01.00_text-xml</vt:lpwstr>
  </property>
</Properties>
</file>