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Parlamentul European</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Comisia pentru control bugetar</w:t>
      </w:r>
      <w:r>
        <w:rPr>
          <w:rStyle w:val="HideTWBExt"/>
        </w:rPr>
        <w:t>&lt;/Commission&gt;</w:t>
      </w:r>
    </w:p>
    <w:p>
      <w:pPr>
        <w:pStyle w:val="LineBottom"/>
      </w:pPr>
      <w:r>
        <w:t xml:space="preserve"> </w:t>
      </w:r>
    </w:p>
    <w:p>
      <w:pPr>
        <w:pStyle w:val="CoverReference"/>
      </w:pPr>
      <w:r>
        <w:rPr>
          <w:rStyle w:val="HideTWBExt"/>
        </w:rPr>
        <w:t>&lt;RefProc&gt;</w:t>
      </w:r>
      <w:r>
        <w:t>2025/2149</w:t>
      </w:r>
      <w:r>
        <w:rPr>
          <w:rStyle w:val="HideTWBExt"/>
        </w:rPr>
        <w:t>&lt;/RefProc&gt;</w:t>
      </w:r>
      <w:r>
        <w:rPr>
          <w:rStyle w:val="HideTWBExt"/>
        </w:rPr>
        <w:t>&lt;RefTypeProc&gt;</w:t>
      </w:r>
      <w:r>
        <w:t>(DEC)</w:t>
      </w:r>
      <w:r>
        <w:rPr>
          <w:rStyle w:val="HideTWBExt"/>
        </w:rPr>
        <w:t>&lt;/RefTypeProc&gt;</w:t>
      </w:r>
    </w:p>
    <w:p>
      <w:pPr>
        <w:pStyle w:val="CoverDate"/>
      </w:pPr>
      <w:r>
        <w:rPr>
          <w:rStyle w:val="HideTWBExt"/>
        </w:rPr>
        <w:t>&lt;Date&gt;</w:t>
      </w:r>
      <w:r>
        <w:rPr>
          <w:rStyle w:val="HideTWBInt"/>
        </w:rPr>
        <w:t>{28/01/2026}</w:t>
      </w:r>
      <w:r>
        <w:t>28.1.2026</w:t>
      </w:r>
      <w:r>
        <w:rPr>
          <w:rStyle w:val="HideTWBExt"/>
        </w:rPr>
        <w:t>&lt;/Date&gt;</w:t>
      </w:r>
    </w:p>
    <w:p>
      <w:pPr>
        <w:pStyle w:val="CoverDocType"/>
      </w:pPr>
      <w:r>
        <w:rPr>
          <w:rStyle w:val="HideTWBExt"/>
        </w:rPr>
        <w:t>&lt;TypeAM&gt;</w:t>
      </w:r>
      <w:r>
        <w:t>AMENDAMENTELE</w:t>
      </w:r>
      <w:r>
        <w:rPr>
          <w:rStyle w:val="HideTWBExt"/>
        </w:rPr>
        <w:t>&lt;/TypeAM&gt;</w:t>
      </w:r>
    </w:p>
    <w:p>
      <w:pPr>
        <w:pStyle w:val="CoverDocType24a"/>
      </w:pPr>
      <w:r>
        <w:rPr>
          <w:rStyle w:val="HideTWBExt"/>
        </w:rPr>
        <w:t>&lt;RangeAM&gt;</w:t>
      </w:r>
      <w:r>
        <w:t>1</w:t>
      </w:r>
      <w:r>
        <w:t xml:space="preserve"> - </w:t>
      </w:r>
      <w:r>
        <w:t>58</w:t>
      </w:r>
      <w:r>
        <w:rPr>
          <w:rStyle w:val="HideTWBExt"/>
        </w:rPr>
        <w:t>&lt;/RangeAM&gt;</w:t>
      </w:r>
    </w:p>
    <w:p>
      <w:pPr>
        <w:pStyle w:val="CoverBold"/>
      </w:pPr>
      <w:r>
        <w:rPr>
          <w:rStyle w:val="HideTWBExt"/>
        </w:rPr>
        <w:t>&lt;TitreType&gt;</w:t>
      </w:r>
      <w:r>
        <w:t>Proiect de raport</w:t>
      </w:r>
      <w:r>
        <w:rPr>
          <w:rStyle w:val="HideTWBExt"/>
        </w:rPr>
        <w:t>&lt;/TitreType&gt;</w:t>
      </w:r>
    </w:p>
    <w:p>
      <w:pPr>
        <w:pStyle w:val="CoverBold"/>
      </w:pPr>
      <w:r>
        <w:rPr>
          <w:rStyle w:val="HideTWBExt"/>
        </w:rPr>
        <w:t>&lt;Rapporteur&gt;</w:t>
      </w:r>
      <w:r>
        <w:t>Pasquale Tridico</w:t>
      </w:r>
      <w:r>
        <w:rPr>
          <w:rStyle w:val="HideTWBExt"/>
        </w:rPr>
        <w:t>&lt;/Rapporteur&gt;</w:t>
      </w:r>
    </w:p>
    <w:p>
      <w:pPr>
        <w:pStyle w:val="CoverNormal24a"/>
      </w:pPr>
      <w:r>
        <w:rPr>
          <w:rStyle w:val="HideTWBExt"/>
        </w:rPr>
        <w:t>&lt;DocRefPE&gt;</w:t>
      </w:r>
      <w:r>
        <w:t>(PE778.062v01-00)</w:t>
      </w:r>
      <w:r>
        <w:rPr>
          <w:rStyle w:val="HideTWBExt"/>
        </w:rPr>
        <w:t>&lt;/DocRefPE&gt;</w:t>
      </w:r>
    </w:p>
    <w:p>
      <w:pPr>
        <w:pStyle w:val="CoverNormal"/>
      </w:pPr>
      <w:r>
        <w:rPr>
          <w:rStyle w:val="HideTWBExt"/>
        </w:rPr>
        <w:t>&lt;Titre&gt;</w:t>
      </w:r>
      <w:r>
        <w:t>Descărcarea de gestiune 2024: Bugetul general al UE - Curtea de Conturi Europeană</w:t>
      </w:r>
      <w:r>
        <w:rPr>
          <w:rStyle w:val="HideTWBExt"/>
        </w:rPr>
        <w:t>&lt;/Titre&gt;</w:t>
      </w:r>
    </w:p>
    <w:p>
      <w:pPr>
        <w:pStyle w:val="CoverNormal24a"/>
      </w:pPr>
      <w:r>
        <w:rPr>
          <w:rStyle w:val="HideTWBExt"/>
        </w:rPr>
        <w:t>&lt;DocRef&gt;</w:t>
      </w:r>
      <w:r>
        <w:t>(2025/2149(DEC))</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Amendamentul</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observă că bugetul Curții se încadrează la rubrica 7 din CFM, „Administrație publică europeană”, care s-a ridicat la 13,3 miliarde EUR în </w:t>
            </w:r>
            <w:r>
              <w:rPr>
                <w:b/>
                <w:i/>
              </w:rPr>
              <w:t>2023</w:t>
            </w:r>
            <w:r>
              <w:t xml:space="preserve"> (reprezentând 6,9 % din bugetul total al Uniunii); </w:t>
            </w:r>
            <w:r>
              <w:rPr>
                <w:b/>
                <w:i/>
              </w:rPr>
              <w:t>ia act</w:t>
            </w:r>
            <w:r>
              <w:t xml:space="preserve"> că bugetul de aproximativ 0,2 miliarde EUR al Curții reprezintă aproximativ 1,5 % din cheltuielile administrative totale ale Uniunii;</w:t>
            </w:r>
          </w:p>
        </w:tc>
        <w:tc>
          <w:tcPr>
            <w:tcW w:w="4876" w:type="dxa"/>
            <w:tcBorders>
              <w:top w:val="nil"/>
              <w:left w:val="nil"/>
              <w:bottom w:val="nil"/>
              <w:right w:val="nil"/>
            </w:tcBorders>
          </w:tcPr>
          <w:p>
            <w:pPr>
              <w:pStyle w:val="Normal6a"/>
            </w:pPr>
            <w:r>
              <w:t>1.</w:t>
            </w:r>
            <w:r>
              <w:tab/>
            </w:r>
            <w:r>
              <w:t xml:space="preserve">observă că bugetul Curții se încadrează la rubrica 7 din CFM, „Administrație publică europeană”, care s-a ridicat la 13,3 miliarde EUR în </w:t>
            </w:r>
            <w:r>
              <w:rPr>
                <w:b/>
                <w:i/>
              </w:rPr>
              <w:t>2024</w:t>
            </w:r>
            <w:r>
              <w:t xml:space="preserve"> (reprezentând 6,9 % din bugetul total al Uniunii); </w:t>
            </w:r>
            <w:r>
              <w:rPr>
                <w:b/>
                <w:i/>
              </w:rPr>
              <w:t>constată</w:t>
            </w:r>
            <w:r>
              <w:t xml:space="preserve"> că bugetul de aproximativ 0,2 miliarde EUR al Curții reprezintă aproximativ 1,5 % din cheltuielile administrative totale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ia act de anunțul Curții din 1 octombrie 2025 referitor la introducerea unei abordări revizuite în materie de audit pentru întreprinderile comune, începând cu exercițiul financiar 2025;</w:t>
            </w:r>
            <w:r>
              <w:t xml:space="preserve"> </w:t>
            </w:r>
            <w:r>
              <w:rPr>
                <w:b/>
                <w:i/>
              </w:rPr>
              <w:t>constată că această schimbare a fost determinată, printre altele, de constrângerile legate de capacitatea personalului și de încetarea auditurilor întreprinderilor comune în cadrul programului Orizont Europa de către Serviciul de Audit Intern al Comisiei, care a efectuat anterior audituri ale întreprinderilor comune, limitând astfel disponibilitatea unei asigurări suplimentare de audit;</w:t>
            </w:r>
            <w:r>
              <w:t xml:space="preserve"> </w:t>
            </w:r>
            <w:r>
              <w:rPr>
                <w:b/>
                <w:i/>
              </w:rPr>
              <w:t>observă, de asemenea, că noua abordare prevede o dimensiune adecvată a eșantionului de audit, consolidarea activității de audit în toate întreprinderile comune și emiterea a două declarații de asigurare separate, susținute de rapoarte tematice și speciale suplimentare;</w:t>
            </w:r>
            <w:r>
              <w:t xml:space="preserve"> </w:t>
            </w:r>
            <w:r>
              <w:rPr>
                <w:b/>
                <w:i/>
              </w:rPr>
              <w:t>invită Curtea să se asigure că metodologia revizuită este pusă în aplicare în timp util și că respectă în continuare cele mai înalte standarde de calitate, de fiabilitate și de asigurare a auditului pentru protecția intereselor financiare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constată că ratele de execuție a angajamentelor și plăților pentru 2024 au rămas ridicate, aproape la fel ca în 2023, în timp ce rata de utilizare a creditelor a fost de 97,30 %, iar plățile au reprezentat 94,81 % din totalul angajamentelor în 2024; constată o creștere a creditelor anulate la sfârșitul exercițiului, de la aproximativ 3,4 milioane EUR în 2023 la 4,4 milioane EUR în 2024; felicită Curtea pentru că a menținut sub 11 zile termenul mediu de plată a facturilor în 2024;</w:t>
            </w:r>
          </w:p>
        </w:tc>
        <w:tc>
          <w:tcPr>
            <w:tcW w:w="4876" w:type="dxa"/>
            <w:tcBorders>
              <w:top w:val="nil"/>
              <w:left w:val="nil"/>
              <w:bottom w:val="nil"/>
              <w:right w:val="nil"/>
            </w:tcBorders>
          </w:tcPr>
          <w:p>
            <w:pPr>
              <w:pStyle w:val="Normal6a"/>
            </w:pPr>
            <w:r>
              <w:t>7.</w:t>
            </w:r>
            <w:r>
              <w:tab/>
            </w:r>
            <w:r>
              <w:t xml:space="preserve">constată că ratele de execuție a angajamentelor și plăților pentru 2024 au rămas ridicate, aproape la fel ca în 2023, în timp ce rata de utilizare a creditelor a fost de 97,30 %, iar plățile au reprezentat 94,81 % din totalul angajamentelor în 2024; constată o creștere a creditelor anulate la sfârșitul exercițiului, de la aproximativ 3,4 milioane EUR în 2023 la 4,4 milioane EUR în 2024; felicită Curtea pentru că a menținut sub 11 zile termenul mediu de plată a facturilor în 2024; </w:t>
            </w:r>
            <w:r>
              <w:rPr>
                <w:b/>
                <w:i/>
              </w:rPr>
              <w:t>încurajează Curtea să mențină o disciplină strictă în materie de costuri, să acorde în continuare prioritate eficienței operaționale și să reducă și mai mult anulările de la sfârșit de exercițiu, îmbunătățind astfel eficiența și raportul costuri-beneficii al creditelor sale;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ia act de</w:t>
            </w:r>
            <w:r>
              <w:t xml:space="preserve"> impactul războiului de agresiune al Rusiei împotriva Ucrainei</w:t>
            </w:r>
            <w:r>
              <w:rPr>
                <w:b/>
                <w:i/>
              </w:rPr>
              <w:t>, potrivit chestionarului, ca fiind</w:t>
            </w:r>
            <w:r>
              <w:t xml:space="preserve"> resimțit de Curte prin creșteri inflaționiste ale costului bunurilor, serviciilor și logisticii în 2024; salută măsurile luate de Curte pentru a contracara astfel de efecte prin efectuarea unor analize mai detaliate înainte de introducerea pe piață, pentru a asigura o planificare realistă și achiziții eficace; constată totodată cu satisfacție că costurile Curții pentru consumul de energie (postul bugetar nr. 2024) au scăzut mult, de la </w:t>
            </w:r>
            <w:r>
              <w:rPr>
                <w:b/>
                <w:i/>
              </w:rPr>
              <w:t>1 556 671</w:t>
            </w:r>
            <w:r>
              <w:t xml:space="preserve"> EUR în 2023 la </w:t>
            </w:r>
            <w:r>
              <w:rPr>
                <w:b/>
                <w:i/>
              </w:rPr>
              <w:t>887 827</w:t>
            </w:r>
            <w:r>
              <w:t xml:space="preserve"> EUR în 2024, în principal grație reducerii prețului fix al energiei electrice, în conformitate cu contractul interinstituțional cu furnizorul în cauză; recunoaște că este necesar ca toate instituțiile Uniunii să își îmbunătățească gestiunea bugetară, ținând seama și de volatilitatea prețurilor, în special în sectorul energetic, atunci când încheie contracte cu furnizorii de servicii;</w:t>
            </w:r>
          </w:p>
        </w:tc>
        <w:tc>
          <w:tcPr>
            <w:tcW w:w="4876" w:type="dxa"/>
            <w:tcBorders>
              <w:top w:val="nil"/>
              <w:left w:val="nil"/>
              <w:bottom w:val="nil"/>
              <w:right w:val="nil"/>
            </w:tcBorders>
          </w:tcPr>
          <w:p>
            <w:pPr>
              <w:pStyle w:val="Normal6a"/>
            </w:pPr>
            <w:r>
              <w:t>9.</w:t>
            </w:r>
            <w:r>
              <w:tab/>
            </w:r>
            <w:r>
              <w:rPr>
                <w:b/>
                <w:i/>
              </w:rPr>
              <w:t>observă, potrivit chestionarului, că</w:t>
            </w:r>
            <w:r>
              <w:t xml:space="preserve"> impactul războiului </w:t>
            </w:r>
            <w:r>
              <w:rPr>
                <w:b/>
                <w:i/>
              </w:rPr>
              <w:t>ilegal</w:t>
            </w:r>
            <w:r>
              <w:t xml:space="preserve"> de agresiune al Rusiei împotriva Ucrainei </w:t>
            </w:r>
            <w:r>
              <w:rPr>
                <w:b/>
                <w:i/>
              </w:rPr>
              <w:t>a fost</w:t>
            </w:r>
            <w:r>
              <w:t xml:space="preserve"> resimțit de Curte prin creșteri inflaționiste ale costului bunurilor, serviciilor și logisticii în 2024; salută măsurile luate de Curte pentru a contracara astfel de efecte prin efectuarea unor analize mai detaliate înainte de introducerea pe piață, pentru a asigura o planificare realistă și achiziții eficace; constată</w:t>
            </w:r>
            <w:r>
              <w:rPr>
                <w:b/>
                <w:i/>
              </w:rPr>
              <w:t>,</w:t>
            </w:r>
            <w:r>
              <w:t xml:space="preserve"> totodată</w:t>
            </w:r>
            <w:r>
              <w:rPr>
                <w:b/>
                <w:i/>
              </w:rPr>
              <w:t>,</w:t>
            </w:r>
            <w:r>
              <w:t xml:space="preserve"> cu satisfacție că costurile Curții pentru consumul de energie (postul bugetar nr. 2024) au scăzut mult, de la </w:t>
            </w:r>
            <w:r>
              <w:rPr>
                <w:b/>
                <w:i/>
              </w:rPr>
              <w:t>1 556 671</w:t>
            </w:r>
            <w:r>
              <w:t xml:space="preserve"> EUR în 2023 la </w:t>
            </w:r>
            <w:r>
              <w:rPr>
                <w:b/>
                <w:i/>
              </w:rPr>
              <w:t>887 827</w:t>
            </w:r>
            <w:r>
              <w:t> EUR în 2024, în principal grație reducerii prețului fix al energiei electrice, în conformitate cu contractul interinstituțional cu furnizorul în cauză; recunoaște că este necesar ca toate instituțiile Uniunii să își îmbunătățească gestiunea bugetară, ținând seama și de volatilitatea prețurilor, în special în sectorul energetic, atunci când încheie contracte cu furnizorii de servicii;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constată </w:t>
            </w:r>
            <w:r>
              <w:rPr>
                <w:b/>
                <w:i/>
              </w:rPr>
              <w:t>cu satisfacție</w:t>
            </w:r>
            <w:r>
              <w:t xml:space="preserve"> că, potrivit chestionarului, </w:t>
            </w:r>
            <w:r>
              <w:rPr>
                <w:b/>
                <w:i/>
              </w:rPr>
              <w:t>în ceea ce privește postul bugetar al Curții pentru publicații, creditele înscrise în buget au scăzut de la 810 000 EUR în 2014 la 300 000 EUR în 2024 grație creșterii producției interne de rapoarte și a promovării virtuale a publicațiilor;</w:t>
            </w:r>
            <w:r>
              <w:t xml:space="preserve"> </w:t>
            </w:r>
            <w:r>
              <w:rPr>
                <w:b/>
                <w:i/>
              </w:rPr>
              <w:t>constată că estimările Curții pentru acest post bugetar au scăzut și mai mult pentru exercițiile bugetare următoare;</w:t>
            </w:r>
            <w:r>
              <w:t xml:space="preserve"> </w:t>
            </w:r>
            <w:r>
              <w:rPr>
                <w:b/>
                <w:i/>
              </w:rPr>
              <w:t>ia act și de tendința Curții de a reduce</w:t>
            </w:r>
            <w:r>
              <w:t xml:space="preserve"> bugetul pentru </w:t>
            </w:r>
            <w:r>
              <w:rPr>
                <w:b/>
                <w:i/>
              </w:rPr>
              <w:t>interpretare și servicii acordate de experți (consultări, studii etc.) și de planul de dezafectare a telefoniei fixe pentru a genera</w:t>
            </w:r>
            <w:r>
              <w:t xml:space="preserve"> economii </w:t>
            </w:r>
            <w:r>
              <w:rPr>
                <w:b/>
                <w:i/>
              </w:rPr>
              <w:t>suplimentare</w:t>
            </w:r>
            <w:r>
              <w:t>;</w:t>
            </w:r>
          </w:p>
        </w:tc>
        <w:tc>
          <w:tcPr>
            <w:tcW w:w="4876" w:type="dxa"/>
            <w:tcBorders>
              <w:top w:val="nil"/>
              <w:left w:val="nil"/>
              <w:bottom w:val="nil"/>
              <w:right w:val="nil"/>
            </w:tcBorders>
          </w:tcPr>
          <w:p>
            <w:pPr>
              <w:pStyle w:val="Normal6a"/>
            </w:pPr>
            <w:r>
              <w:t>12.</w:t>
            </w:r>
            <w:r>
              <w:tab/>
            </w:r>
            <w:r>
              <w:t xml:space="preserve">constată că, potrivit chestionarului, bugetul pentru </w:t>
            </w:r>
            <w:r>
              <w:rPr>
                <w:b/>
                <w:i/>
              </w:rPr>
              <w:t>publicațiile Curții a scăzut semnificativ în perioada 2014-2024;</w:t>
            </w:r>
            <w:r>
              <w:t xml:space="preserve"> </w:t>
            </w:r>
            <w:r>
              <w:rPr>
                <w:b/>
                <w:i/>
              </w:rPr>
              <w:t>ia cunoștință de această evoluție și accentuează că ar trebui avută în vedere efectuarea în continuare de</w:t>
            </w:r>
            <w:r>
              <w:t xml:space="preserve"> economii</w:t>
            </w:r>
            <w:r>
              <w:rPr>
                <w:b/>
                <w:i/>
              </w:rPr>
              <w:t>, menținând totodată transparența și accesibilitatea rapoartelor</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observă că, în cursul anului 2024, Curtea a prezentat două rapoarte anuale, trei rapoarte anuale specifice, 28 de rapoarte speciale, patru documente de analiză și trei avize, totalizând 40 de documente (în scădere față de 45 în 2023);</w:t>
            </w:r>
            <w:r>
              <w:t xml:space="preserve"> </w:t>
            </w:r>
            <w:r>
              <w:rPr>
                <w:b/>
                <w:i/>
              </w:rPr>
              <w:t>salută accentul pus de Curte în 2024, prin rapoarte și analize speciale, pe problemele presante cu care se confruntă Uniunea pe subiecte-cheie, cum ar fi securitatea aprovizionării cu gaze, investițiile în inteligența artificială (IA), adaptarea la schimbările climatice, absorbția Mecanismului de redresare și reziliență („MRR”), progresul către autoturisme cu emisii zero, sprijinul pentru refugiații din Turcia și politica industrială a Uniunii privind hidrogenul;</w:t>
            </w:r>
            <w:r>
              <w:t xml:space="preserve"> </w:t>
            </w:r>
            <w:r>
              <w:rPr>
                <w:b/>
                <w:i/>
              </w:rPr>
              <w:t>salută totodată rapoartele planificate ale Curții privind MRR în domenii precum transparența și trasabilitatea, precum și privind arhitectura și strategia Uniunii în lupta împotriva fraudei și sprijinul acordat de Uniune Ucrainei, Moldovei și Georgiei;</w:t>
            </w:r>
            <w:r>
              <w:t xml:space="preserve"> </w:t>
            </w:r>
            <w:r>
              <w:rPr>
                <w:b/>
                <w:i/>
              </w:rPr>
              <w:t>ia act de un sondaj care arată o îmbunătățire a nivelului de satisfacție al părților interesate cu privire la activitatea Curții, un sondaj realizat în 2024 arătând că 89 % dintre respondenți (în creștere de la 85 % în 2023) au considerat că rapoartele Curții sunt utile și că 82 % (în creștere de la 78 %) au considerat că activitatea Curții are un impact;</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Ondřej Knotek, Virginie Joron, Julien Sanchez,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observă că, în cursul anului 2024, Curtea a prezentat două rapoarte anuale, trei rapoarte anuale specifice, 28 de rapoarte speciale, patru documente de analiză și trei avize, totalizând 40 de documente (în scădere față de 45 în 2023); salută accentul pus de Curte în 2024, prin rapoarte și analize speciale, pe problemele presante cu care se confruntă Uniunea </w:t>
            </w:r>
            <w:r>
              <w:rPr>
                <w:b/>
                <w:i/>
              </w:rPr>
              <w:t>pe</w:t>
            </w:r>
            <w:r>
              <w:t xml:space="preserve"> subiecte-cheie, cum ar fi securitatea aprovizionării cu gaze, investițiile în inteligența artificială (IA), adaptarea la schimbările climatice, absorbția Mecanismului de redresare și reziliență („MRR”), progresul către autoturisme cu emisii zero, sprijinul pentru refugiații din Turcia și politica industrială a Uniunii privind hidrogenul; salută totodată rapoartele planificate ale Curții privind MRR în domenii precum transparența și trasabilitatea, precum și privind arhitectura și strategia Uniunii în lupta împotriva fraudei și sprijinul acordat de Uniune Ucrainei, Moldovei și Georgiei; ia act de un sondaj care arată o îmbunătățire a nivelului de satisfacție al părților interesate cu privire la activitatea Curții, un sondaj realizat în 2024 arătând că 89 % dintre respondenți (în creștere de la 85 % în 2023) au considerat că rapoartele Curții sunt utile și că 82 % (în creștere de la 78 %) au considerat că activitatea Curții are un impact;</w:t>
            </w:r>
          </w:p>
        </w:tc>
        <w:tc>
          <w:tcPr>
            <w:tcW w:w="4876" w:type="dxa"/>
            <w:tcBorders>
              <w:top w:val="nil"/>
              <w:left w:val="nil"/>
              <w:bottom w:val="nil"/>
              <w:right w:val="nil"/>
            </w:tcBorders>
          </w:tcPr>
          <w:p>
            <w:pPr>
              <w:pStyle w:val="Normal6a"/>
            </w:pPr>
            <w:r>
              <w:t>16.</w:t>
            </w:r>
            <w:r>
              <w:tab/>
            </w:r>
            <w:r>
              <w:t xml:space="preserve">observă că, în cursul anului 2024, Curtea a prezentat două rapoarte anuale, trei rapoarte anuale specifice, 28 de rapoarte speciale, patru documente de analiză și trei avize, totalizând 40 de documente (în scădere față de 45 în 2023); salută accentul pus de Curte în 2024, prin rapoarte și analize speciale, pe problemele presante cu care se confruntă Uniunea </w:t>
            </w:r>
            <w:r>
              <w:rPr>
                <w:b/>
                <w:i/>
              </w:rPr>
              <w:t>cu privire la</w:t>
            </w:r>
            <w:r>
              <w:t xml:space="preserve"> subiecte-cheie, cum ar fi </w:t>
            </w:r>
            <w:r>
              <w:rPr>
                <w:b/>
                <w:i/>
              </w:rPr>
              <w:t>instrumentele financiare din cadrul politicii de coeziune, transparența finanțării UE acordate ONG-urilor, organismele UE de combatere a fraudei,</w:t>
            </w:r>
            <w:r>
              <w:t xml:space="preserve"> securitatea aprovizionării cu gaze, investițiile în inteligența artificială (IA), adaptarea la schimbările climatice, absorbția Mecanismului de redresare și reziliență („MRR”), progresul către autoturisme cu emisii zero, sprijinul pentru refugiații din Turcia și politica industrială a Uniunii privind hidrogenul; salută totodată rapoartele planificate ale Curții privind MRR în domenii precum transparența și trasabilitatea, precum și privind arhitectura și strategia Uniunii în lupta împotriva fraudei și sprijinul acordat de Uniune Ucrainei, Moldovei și Georgiei; ia act de un sondaj care arată o îmbunătățire a nivelului de satisfacție al părților interesate cu privire la activitatea Curții, un sondaj realizat în 2024 arătând că 89 % dintre respondenți (în creștere de la 85 % în 2023) au considerat că rapoartele Curții sunt utile și că 82 % (în creștere de la 78 %) au considerat că activitatea Curții are un impact;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invită Curtea de Conturi Europeană să furnizeze evaluări mai detaliate și mai sistematice ale efectelor de propagare pe care programele finanțate de Uniune le au asupra statelor membre, atât asupra celor cu rate ridicate de absorbție a fondurilor europene, cât și a celor cu rate scăzute de absorbție;</w:t>
            </w:r>
            <w:r>
              <w:t xml:space="preserve"> </w:t>
            </w:r>
            <w:r>
              <w:rPr>
                <w:b/>
                <w:i/>
              </w:rPr>
              <w:t>subliniază că o analiză cuprinzătoare a impactului economic, social, administrativ și teritorial al unor astfel de efecte de propagare, inclusiv a efectelor transfrontaliere și distributive, ar consolida evaluarea impactului pe termen lung, a valorii adăugate și a sustenabilității cheltuielilor UE și ar sprijini o elaborare a politicilor în mai bună cunoștință de cauză, atât la nivelul Uniunii, cât și la nivel național;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constată că Curtea dispune de un set de indicatori-cheie de performanță (ICP) pentru a măsura progresele înregistrate în direcția atingerii obiectivelor sale strategice, în conformitate cu strategia Curții pentru perioada 2021-2025; ia act de obiectivele strategice ale Curții pentru 2024: îmbunătățirea răspunderii de gestiune, a transparenței și a mecanismelor de audit, vizarea domeniilor și a temelor în care auditurile pot aduce cea mai mare valoare adăugată și furnizarea unei asigurări solide în materie de audit într-un mediu dificil și în schimbare; invită Curtea să își prezinte în viitor indicatorii-cheie de performanță, progresele realizate și obiectivele într-un mod sintetic (format tabelar);</w:t>
            </w:r>
          </w:p>
        </w:tc>
        <w:tc>
          <w:tcPr>
            <w:tcW w:w="4876" w:type="dxa"/>
            <w:tcBorders>
              <w:top w:val="nil"/>
              <w:left w:val="nil"/>
              <w:bottom w:val="nil"/>
              <w:right w:val="nil"/>
            </w:tcBorders>
          </w:tcPr>
          <w:p>
            <w:pPr>
              <w:pStyle w:val="Normal6a"/>
            </w:pPr>
            <w:r>
              <w:t>17.</w:t>
            </w:r>
            <w:r>
              <w:tab/>
            </w:r>
            <w:r>
              <w:t xml:space="preserve">constată că Curtea dispune de un set de indicatori-cheie de performanță (ICP) pentru a măsura progresele înregistrate în direcția atingerii obiectivelor sale strategice, în conformitate cu strategia Curții pentru perioada 2021-2025; ia act de obiectivele strategice ale Curții pentru 2024: îmbunătățirea răspunderii de gestiune, a transparenței și a mecanismelor de audit, vizarea domeniilor și a temelor în care auditurile pot aduce cea mai mare valoare adăugată și furnizarea unei asigurări solide în materie de audit într-un mediu dificil și în schimbare; invită Curtea să își prezinte în viitor indicatorii-cheie de performanță, progresele realizate și obiectivele într-un mod sintetic (format tabelar); </w:t>
            </w:r>
            <w:r>
              <w:rPr>
                <w:b/>
                <w:i/>
              </w:rPr>
              <w:t>invită Curtea să dezvolte în continuare indicatorii-cheie de performanță pe baza performanței și a rezultatelor politicilor europene, pentru a măsura în mod clar impactul politicilor urmărite de Comisie;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invită Curtea să își consolideze constatările într-o analiză comparativă a performanței și să elaboreze o metodologie pentru o „busolă a performanței” programelor Uniunii;</w:t>
            </w:r>
            <w:r>
              <w:t xml:space="preserve"> </w:t>
            </w:r>
            <w:r>
              <w:rPr>
                <w:b/>
                <w:i/>
              </w:rPr>
              <w:t>consideră că un astfel de instrument ar oferi autorității care acordă descărcarea de gestiune, factorilor de decizie și publicului larg orientări clare cu privire la programele care utilizează resursele în mod eficace și la cele care ar putea fi reziliate sau restructurate în profunzime, respectând totodată diversitatea politicilor;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constată, pe baza raportului de monitorizare, că Comisia a fost de acord să furnizeze Curții o extragere manuală a datelor din instrumentul ARACHNE; regretă însă că accesul Curții la FENIX, instrumentul de raportare privind MRR, rămâne o chestiune deschisă, Comisia acordând Curții acces numai la unele dintre modulele FENIX; salută creșterea raportată a numărului de utilizatori ai Curții care au acces la FENIX; sprijină totuși solicitarea Curții de a i se acorda acces deplin cât mai curând posibil de către Comisie; reamintește că Direcția Generală Afaceri Economice și Financiare a Comisiei s-a străduit să acorde Curții acces la dosarele FENIX în termen de două săptămâni de la aprobarea unei cereri de plată; se declară însă alarmat că, în practică, acest termen nu este respectat în multe cazuri și că, în unele cazuri, s-au înregistrat întârzieri de până la 2,5 luni, ceea ce a încetinit simțitor prezentarea constatărilor Curții; reamintește Comisiei obligația care îi revine în temeiul articolului 263 din Regulamentul financiar de a acorda Curții un acces cuprinzător la toate sistemele și bazele de date relevante (ARACHNE, FENIX, ARES, printre altele);</w:t>
            </w:r>
          </w:p>
        </w:tc>
        <w:tc>
          <w:tcPr>
            <w:tcW w:w="4876" w:type="dxa"/>
            <w:tcBorders>
              <w:top w:val="nil"/>
              <w:left w:val="nil"/>
              <w:bottom w:val="nil"/>
              <w:right w:val="nil"/>
            </w:tcBorders>
          </w:tcPr>
          <w:p>
            <w:pPr>
              <w:pStyle w:val="Normal6a"/>
            </w:pPr>
            <w:r>
              <w:t>19.</w:t>
            </w:r>
            <w:r>
              <w:tab/>
            </w:r>
            <w:r>
              <w:t xml:space="preserve">constată, pe baza raportului de monitorizare, că Comisia a fost de acord să furnizeze Curții o extragere manuală a datelor din instrumentul ARACHNE; regretă însă că accesul Curții la FENIX, instrumentul de raportare privind MRR, rămâne o chestiune deschisă, Comisia acordând Curții acces numai la unele dintre modulele FENIX; salută creșterea raportată a numărului de utilizatori ai Curții care au acces la FENIX; sprijină totuși solicitarea Curții de a i se acorda acces deplin cât mai curând posibil de către Comisie; reamintește că Direcția Generală Afaceri Economice și Financiare a Comisiei s-a străduit să acorde Curții acces la dosarele FENIX în termen de două săptămâni de la aprobarea unei cereri de plată; se declară însă alarmat că, în practică, acest termen nu este respectat în multe cazuri și că, în unele cazuri, s-au înregistrat întârzieri de până la 2,5 luni, ceea ce a încetinit simțitor prezentarea constatărilor Curții; reamintește Comisiei obligația care îi revine în temeiul articolului 263 din Regulamentul financiar de a acorda Curții un acces cuprinzător la toate sistemele și bazele de date relevante (ARACHNE, FENIX, ARES, printre altele); </w:t>
            </w:r>
            <w:r>
              <w:rPr>
                <w:b/>
                <w:i/>
              </w:rPr>
              <w:t>consideră că întârzierile persistente și accesul parțial la principalele sisteme informatice ale Comisiei, în special la FENIX și ARACHNE, subminează eficacitatea și promptitudinea activității de audit a Curții privind cheltuielile cu risc ridicat, cum ar fi Mecanismul de redresare și reziliență;</w:t>
            </w:r>
            <w:r>
              <w:t xml:space="preserve"> </w:t>
            </w:r>
            <w:r>
              <w:rPr>
                <w:b/>
                <w:i/>
              </w:rPr>
              <w:t>invită Comisia să remedieze fără întârziere această situație și invită Curtea să informeze autoritatea care acordă descărcarea de gestiune cu privire la îmbunătățirile concrete realizate;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constată, pe baza raportului de monitorizare, că Comisia a fost de acord să furnizeze Curții o extragere manuală a datelor din instrumentul ARACHNE; regretă însă că accesul Curții la FENIX, instrumentul de raportare privind MRR, rămâne o chestiune deschisă, Comisia acordând Curții acces numai la unele dintre modulele FENIX; salută creșterea raportată a numărului de utilizatori ai Curții care au acces la FENIX; sprijină totuși solicitarea Curții de a i se acorda acces deplin cât mai curând posibil de către Comisie; reamintește că Direcția Generală Afaceri Economice și Financiare a Comisiei s-a străduit să acorde Curții acces la dosarele FENIX în termen de două săptămâni de la aprobarea unei cereri de plată; se declară însă alarmat că, în practică, acest termen nu este respectat în multe cazuri și că, în unele cazuri, s-au înregistrat întârzieri de până la 2,5 luni, ceea ce a încetinit simțitor prezentarea constatărilor Curții; reamintește Comisiei obligația care îi revine în temeiul articolului 263 din Regulamentul financiar de a acorda Curții un acces cuprinzător la toate sistemele și bazele de date relevante (ARACHNE, FENIX, ARES, printre altele);</w:t>
            </w:r>
          </w:p>
        </w:tc>
        <w:tc>
          <w:tcPr>
            <w:tcW w:w="4876" w:type="dxa"/>
            <w:tcBorders>
              <w:top w:val="nil"/>
              <w:left w:val="nil"/>
              <w:bottom w:val="nil"/>
              <w:right w:val="nil"/>
            </w:tcBorders>
          </w:tcPr>
          <w:p>
            <w:pPr>
              <w:pStyle w:val="Normal6a"/>
            </w:pPr>
            <w:r>
              <w:t>19.</w:t>
            </w:r>
            <w:r>
              <w:tab/>
            </w:r>
            <w:r>
              <w:t>constată, pe baza raportului de monitorizare, că Comisia a fost de acord să furnizeze Curții o extragere manuală a datelor din instrumentul ARACHNE; regretă însă că accesul Curții la FENIX, instrumentul de raportare privind MRR, rămâne</w:t>
            </w:r>
            <w:r>
              <w:rPr>
                <w:b/>
                <w:i/>
              </w:rPr>
              <w:t> în continuare</w:t>
            </w:r>
            <w:r>
              <w:t xml:space="preserve"> o chestiune deschisă, Comisia acordând Curții acces numai la unele dintre modulele FENIX; salută creșterea raportată a numărului de utilizatori ai Curții care au acces la FENIX; sprijină totuși solicitarea Curții de a i se acorda acces deplin cât mai curând posibil de către Comisie; reamintește că Direcția Generală Afaceri Economice și Financiare a Comisiei s-a străduit să acorde Curții acces la dosarele FENIX în termen de două săptămâni de la aprobarea unei cereri de plată; se declară însă alarmat că, în practică, acest termen nu este respectat în multe cazuri și că, în unele cazuri, s-au înregistrat întârzieri de până la 2,5 luni, ceea ce a încetinit simțitor prezentarea constatărilor Curții; reamintește Comisiei obligația care îi revine în temeiul articolului 263 din Regulamentul financiar de a acorda Curții un acces cuprinzător la toate sistemele și bazele de date relevante (ARACHNE, FENIX, ARES, printre altele); </w:t>
            </w:r>
            <w:r>
              <w:rPr>
                <w:b/>
                <w:i/>
              </w:rPr>
              <w:t>solicită Comisiei să stabilească, fără întârziere, un acord interinstituțional obligatoriu care să garanteze accesul deplin, sistematic și în timp real al Curții la toate bazele de date relevante, inclusiv la ARACHNE și FENIX;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constată, pe baza raportului de monitorizare, că Comisia a fost de acord să furnizeze Curții o extragere manuală a datelor din instrumentul ARACHNE; regretă însă că accesul Curții la FENIX, instrumentul de raportare privind MRR, rămâne o chestiune deschisă, Comisia acordând Curții acces numai la unele dintre modulele FENIX; salută creșterea raportată a numărului de utilizatori ai Curții care au acces la FENIX; sprijină totuși solicitarea Curții de a i se acorda acces deplin cât mai curând posibil de către Comisie; reamintește că Direcția Generală Afaceri Economice și Financiare a Comisiei s-a străduit să acorde Curții acces la dosarele FENIX în termen de două săptămâni de la aprobarea unei cereri de plată; se declară însă alarmat că, în practică, acest termen nu este respectat în multe cazuri și că, în unele cazuri, s-au înregistrat întârzieri de până la 2,5 luni, ceea ce a încetinit simțitor prezentarea constatărilor Curții; reamintește Comisiei obligația care îi revine în temeiul articolului 263 din Regulamentul financiar de a acorda Curții un acces cuprinzător la toate sistemele și bazele de date relevante (ARACHNE, FENIX, ARES, printre altele);</w:t>
            </w:r>
          </w:p>
        </w:tc>
        <w:tc>
          <w:tcPr>
            <w:tcW w:w="4876" w:type="dxa"/>
            <w:tcBorders>
              <w:top w:val="nil"/>
              <w:left w:val="nil"/>
              <w:bottom w:val="nil"/>
              <w:right w:val="nil"/>
            </w:tcBorders>
          </w:tcPr>
          <w:p>
            <w:pPr>
              <w:pStyle w:val="Normal6a"/>
            </w:pPr>
            <w:r>
              <w:t>19.</w:t>
            </w:r>
            <w:r>
              <w:tab/>
            </w:r>
            <w:r>
              <w:t>constată, pe baza raportului de monitorizare, că Comisia a fost de acord să furnizeze Curții o extragere manuală a datelor din instrumentul ARACHNE; regretă însă că accesul Curții la FENIX, instrumentul de raportare privind MRR, rămâne o chestiune deschisă, Comisia acordând Curții acces numai la unele dintre modulele FENIX</w:t>
            </w:r>
            <w:r>
              <w:rPr>
                <w:b/>
                <w:i/>
              </w:rPr>
              <w:t>, iar informațiile pe care acestea le conțin nu sunt actualizate în timp util</w:t>
            </w:r>
            <w:r>
              <w:t>; salută creșterea raportată a numărului de utilizatori ai Curții care au acces la FENIX; sprijină totuși solicitarea Curții de a i se acorda acces deplin cât mai curând posibil de către Comisie; reamintește că Direcția Generală Afaceri Economice și Financiare a Comisiei s-a străduit să acorde Curții acces la dosarele FENIX în termen de două săptămâni de la aprobarea unei cereri de plată; se declară însă alarmat că, în practică, acest termen nu este respectat în multe cazuri și că, în unele cazuri, s-au înregistrat întârzieri de până la 2,5 luni, ceea ce a încetinit simțitor prezentarea constatărilor Curții; reamintește Comisiei obligația care îi revine în temeiul articolului 263 din Regulamentul financiar de a acorda Curții un acces cuprinzător la toate sistemele și bazele de date relevante (ARACHNE, FENIX, ARES, printre altele);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19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accentuează importanța achizițiilor publice ca instrument de promovare a obiectivelor de politică, inclusiv a obiectivelor sociale și de mediu;</w:t>
            </w:r>
            <w:r>
              <w:t xml:space="preserve"> </w:t>
            </w:r>
            <w:r>
              <w:rPr>
                <w:b/>
                <w:i/>
              </w:rPr>
              <w:t>invită Curtea să consolideze integrarea criteriilor strategice privind responsabilitatea socială și durabilitatea mediului în procedurile sale de achiziții publice;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constată că, la sfârșitul lui 2024, Curtea avea 961 de angajați (în scădere de la 969 în 2023), printre care agenți temporari (192 în 2024, în scădere de la 204 în 2023), agenți contractuali (84 în 2024, în scădere de la 86 în 2023) și experți naționali detașați (26 în 2024, la fel ca în 2023); subliniază importanța de a oferi contracte permanente angajaților pentru a menține competențele </w:t>
            </w:r>
            <w:r>
              <w:rPr>
                <w:b/>
                <w:i/>
              </w:rPr>
              <w:t>și a asigura</w:t>
            </w:r>
            <w:r>
              <w:t xml:space="preserve"> continuitatea și un mediu de lucru productiv;</w:t>
            </w:r>
          </w:p>
        </w:tc>
        <w:tc>
          <w:tcPr>
            <w:tcW w:w="4876" w:type="dxa"/>
            <w:tcBorders>
              <w:top w:val="nil"/>
              <w:left w:val="nil"/>
              <w:bottom w:val="nil"/>
              <w:right w:val="nil"/>
            </w:tcBorders>
          </w:tcPr>
          <w:p>
            <w:pPr>
              <w:pStyle w:val="Normal6a"/>
            </w:pPr>
            <w:r>
              <w:t>20.</w:t>
            </w:r>
            <w:r>
              <w:tab/>
            </w:r>
            <w:r>
              <w:t>constată că, la sfârșitul lui 2024, Curtea avea 961 de angajați (în scădere de la 969 în 2023), printre care agenți temporari (192 în 2024, în scădere de la 204 în 2023), agenți contractuali (84 în 2024, în scădere de la 86 în 2023) și experți naționali detașați (26 în 2024, la fel ca în 2023); subliniază importanța de a oferi contracte permanente angajaților pentru a menține competențele</w:t>
            </w:r>
            <w:r>
              <w:rPr>
                <w:b/>
                <w:i/>
              </w:rPr>
              <w:t>, asigurând</w:t>
            </w:r>
            <w:r>
              <w:t xml:space="preserve"> continuitatea și un mediu de lucru productiv </w:t>
            </w:r>
            <w:r>
              <w:rPr>
                <w:b/>
                <w:i/>
              </w:rPr>
              <w:t>și stabil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constată că, în 2 024, 54 % din personalul Curții erau femei (în creștere față de 53 % în 2023), iar 47 % erau bărbați;</w:t>
            </w:r>
            <w:r>
              <w:t xml:space="preserve"> </w:t>
            </w:r>
            <w:r>
              <w:rPr>
                <w:b/>
                <w:i/>
              </w:rPr>
              <w:t>regretă că femeile reprezintă doar 30 % din personalul de conducere de nivel superior al Curții, la fel ca în 2023;</w:t>
            </w:r>
            <w:r>
              <w:t xml:space="preserve"> </w:t>
            </w:r>
            <w:r>
              <w:rPr>
                <w:b/>
                <w:i/>
              </w:rPr>
              <w:t>regretă însă scăderea proporției de femei în posturi de conducere de nivel mediu, de la 40 % la 37,30 % în 2023;</w:t>
            </w:r>
            <w:r>
              <w:t xml:space="preserve"> </w:t>
            </w:r>
            <w:r>
              <w:rPr>
                <w:b/>
                <w:i/>
              </w:rPr>
              <w:t>reamintește că egalitatea de gen este un principiu bazat pe tratate, care ar trebui respectat de toate instituțiile, și invită Curtea să își continue eforturile de promovare a echilibrului de gen în rândul personalului de conducere de nivel mediu și superior;</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constată că, potrivit chestionarului, Curtea a angajat în 2024 64 de stagiari, dintre care 59 au primit o indemnizație lunară;</w:t>
            </w:r>
            <w:r>
              <w:t xml:space="preserve"> </w:t>
            </w:r>
            <w:r>
              <w:rPr>
                <w:b/>
                <w:i/>
              </w:rPr>
              <w:t>salută noul program al Curții, intitulat „TraineEca Career Development”, care urmărește să ofere oportunități de angajare stagiarilor celor mai merituoși;</w:t>
            </w:r>
            <w:r>
              <w:t xml:space="preserve"> </w:t>
            </w:r>
            <w:r>
              <w:rPr>
                <w:b/>
                <w:i/>
              </w:rPr>
              <w:t>ia act și de planul Curții de a oferi stagii speciale în domeniul IA proaspeților absolvenți de universitate și doctoranzilor din acest domeniu;</w:t>
            </w:r>
            <w:r>
              <w:t xml:space="preserve"> </w:t>
            </w:r>
            <w:r>
              <w:rPr>
                <w:b/>
                <w:i/>
              </w:rPr>
              <w:t>subliniază din nou că stagiile ar trebui remunerate, în concordanță cu rezoluția Parlamentului din 15 iunie 2023 referitoare la stagii de calitate în Uniune (2020/2005(INL)), în care se solicită ca toate stagiile din Uniune să fie plătite;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constată că, potrivit chestionarului, Curtea a angajat în 2024 64 de stagiari, dintre care 59 au primit o indemnizație lunară; salută noul program al Curții, intitulat „TraineEca Career Development”, care urmărește să ofere oportunități de angajare stagiarilor celor mai merituoși; ia act și de planul Curții de a oferi stagii speciale în domeniul IA proaspeților absolvenți de universitate și doctoranzilor din acest domeniu; subliniază din nou că stagiile ar trebui remunerate, în concordanță cu rezoluția Parlamentului din 15 iunie 2023 referitoare la stagii de calitate în Uniune (2020/2005(INL)), în care se solicită ca toate stagiile din Uniune să fie plătite;</w:t>
            </w:r>
          </w:p>
        </w:tc>
        <w:tc>
          <w:tcPr>
            <w:tcW w:w="4876" w:type="dxa"/>
            <w:tcBorders>
              <w:top w:val="nil"/>
              <w:left w:val="nil"/>
              <w:bottom w:val="nil"/>
              <w:right w:val="nil"/>
            </w:tcBorders>
          </w:tcPr>
          <w:p>
            <w:pPr>
              <w:pStyle w:val="Normal6a"/>
            </w:pPr>
            <w:r>
              <w:t>22.</w:t>
            </w:r>
            <w:r>
              <w:tab/>
            </w:r>
            <w:r>
              <w:t xml:space="preserve">constată că, potrivit chestionarului, Curtea a angajat în 2024 64 de stagiari, dintre care 59 au primit o indemnizație lunară; salută noul program al Curții, intitulat „TraineEca Career Development”, care urmărește să ofere oportunități de angajare stagiarilor celor mai merituoși; ia act și de planul Curții de a oferi stagii speciale în domeniul IA proaspeților absolvenți de universitate și doctoranzilor din acest domeniu; subliniază din nou că stagiile ar trebui remunerate, în concordanță cu rezoluția Parlamentului din 15 iunie 2023 referitoare la stagii de calitate în Uniune (2020/2005(INL)), în care se solicită ca toate stagiile din Uniune să fie plătite; </w:t>
            </w:r>
            <w:r>
              <w:rPr>
                <w:b/>
                <w:i/>
              </w:rPr>
              <w:t>subliniază că stagiile neremunerate constituie o formă de exploatare a lucrătorilor tineri și o barieră în calea egalității de șanse;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remarcă și că, potrivit chestionarului, recrutarea de funcționari a continuat să fie problematică pentru Curte în 2024, din cauza lipsei de atractivitate a Luxemburgului ca loc de muncă sau a lipsei de interes pentru locurile de muncă de audit și control în rândul tinerilor; ia act cu satisfacție de încercările Curții în a depăși această problemă prin organizarea de proceduri de selecție periodice care vizează stagiarii ce lucrează la Curte, prin organizarea de concursuri interne pentru a-i păstra pe cei mai merituoși și prin intensificarea activităților de informare; recunoaște, în acest context, că este necesară o clauză de concurs pentru a organiza și concursuri EPSO exclusiv pentru Luxemburg; felicită Curtea pentru că s-a alăturat la acordul interinstituțional prin care personalul recrutat de instituțiile Uniunii cu sediul în Luxemburg primește o alocație pentru locuință începând din 2025 pentru a compensa costul ridicat al vieții în Luxemburg;</w:t>
            </w:r>
          </w:p>
        </w:tc>
        <w:tc>
          <w:tcPr>
            <w:tcW w:w="4876" w:type="dxa"/>
            <w:tcBorders>
              <w:top w:val="nil"/>
              <w:left w:val="nil"/>
              <w:bottom w:val="nil"/>
              <w:right w:val="nil"/>
            </w:tcBorders>
          </w:tcPr>
          <w:p>
            <w:pPr>
              <w:pStyle w:val="Normal6a"/>
            </w:pPr>
            <w:r>
              <w:t>23.</w:t>
            </w:r>
            <w:r>
              <w:tab/>
            </w:r>
            <w:r>
              <w:t xml:space="preserve">remarcă și că, potrivit chestionarului, recrutarea de funcționari a continuat să fie problematică pentru Curte în 2024, din cauza lipsei de atractivitate a Luxemburgului ca loc de muncă sau a lipsei de interes pentru locurile de muncă de audit și control în rândul tinerilor; ia act cu satisfacție de încercările Curții în a depăși această problemă prin organizarea de proceduri de selecție periodice care vizează stagiarii ce lucrează la Curte, prin organizarea de concursuri interne pentru a-i păstra pe cei mai merituoși și prin intensificarea activităților de informare; </w:t>
            </w:r>
            <w:r>
              <w:rPr>
                <w:b/>
                <w:i/>
              </w:rPr>
              <w:t>încurajează Curtea să își continue aceste eforturi pentru a garanta continuitatea activității sale;</w:t>
            </w:r>
            <w:r>
              <w:t xml:space="preserve"> recunoaște, în acest context, că este necesară o clauză de concurs pentru a organiza și concursuri EPSO exclusiv pentru Luxemburg; felicită Curtea pentru că s-a alăturat la acordul interinstituțional prin care personalul recrutat de instituțiile Uniunii cu sediul în Luxemburg primește o alocație pentru locuință începând din 2025 pentru a compensa costul ridicat al vieții în Luxemburg;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înțelege că Curtea nu are niciun rol în procesul de selecție a membrilor în temeiul articolului 286 alineatul (2) din TFUE;</w:t>
            </w:r>
            <w:r>
              <w:t xml:space="preserve"> </w:t>
            </w:r>
            <w:r>
              <w:rPr>
                <w:b/>
                <w:i/>
              </w:rPr>
              <w:t>reamintește însă că există în continuare un dezechilibru de gen important în rândul membrilor Curții, doar 10 din cei 27 de membri fiind femei;</w:t>
            </w:r>
            <w:r>
              <w:t xml:space="preserve"> </w:t>
            </w:r>
            <w:r>
              <w:rPr>
                <w:b/>
                <w:i/>
              </w:rPr>
              <w:t>își reiterează apelul adresat statelor membre de a propune candidați de genuri diferite, urmărind o componență mai echilibrată și mai reprezentativă a Curții;</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înțelege că Curtea nu are niciun rol în procesul de selecție a membrilor în temeiul articolului 286 alineatul (2) din TFUE; reamintește însă că există în continuare un dezechilibru de gen important în rândul membrilor Curții, doar 10 din cei 27 de membri fiind femei; își reiterează apelul adresat statelor membre de a </w:t>
            </w:r>
            <w:r>
              <w:rPr>
                <w:b/>
                <w:i/>
              </w:rPr>
              <w:t>propune</w:t>
            </w:r>
            <w:r>
              <w:t xml:space="preserve"> candidați </w:t>
            </w:r>
            <w:r>
              <w:rPr>
                <w:b/>
                <w:i/>
              </w:rPr>
              <w:t>de genuri diferite, urmărind o componență mai echilibrată și mai reprezentativă a Curții</w:t>
            </w:r>
            <w:r>
              <w:t>;</w:t>
            </w:r>
          </w:p>
        </w:tc>
        <w:tc>
          <w:tcPr>
            <w:tcW w:w="4876" w:type="dxa"/>
            <w:tcBorders>
              <w:top w:val="nil"/>
              <w:left w:val="nil"/>
              <w:bottom w:val="nil"/>
              <w:right w:val="nil"/>
            </w:tcBorders>
          </w:tcPr>
          <w:p>
            <w:pPr>
              <w:pStyle w:val="Normal6a"/>
            </w:pPr>
            <w:r>
              <w:t>24.</w:t>
            </w:r>
            <w:r>
              <w:tab/>
            </w:r>
            <w:r>
              <w:t xml:space="preserve">înțelege că Curtea nu are niciun rol în procesul de selecție a membrilor în temeiul articolului 286 alineatul (2) din TFUE; reamintește însă că există în continuare un dezechilibru de gen important în rândul membrilor Curții, doar 10 din cei 27 de membri fiind femei; își reiterează apelul adresat statelor membre de a </w:t>
            </w:r>
            <w:r>
              <w:rPr>
                <w:b/>
                <w:i/>
              </w:rPr>
              <w:t>ține seama de necesitatea echilibrului de gen atunci când propun</w:t>
            </w:r>
            <w:r>
              <w:t xml:space="preserve"> candidați</w:t>
            </w:r>
            <w:r>
              <w:rPr>
                <w:b/>
                <w:i/>
              </w:rPr>
              <w:t>, asigurându-se, în același timp, că nominalizările continuă să se bazeze pe criterii de merit, calificare și independență</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înțelege că Curtea nu are niciun rol în procesul de selecție a membrilor în temeiul articolului 286 alineatul (2) din TFUE; reamintește însă că există în continuare un dezechilibru de gen important în rândul membrilor Curții, doar 10 din cei 27 de membri fiind femei; își reiterează apelul adresat statelor membre de a propune candidați de genuri diferite, urmărind o componență mai echilibrată și mai reprezentativă a Curții;</w:t>
            </w:r>
          </w:p>
        </w:tc>
        <w:tc>
          <w:tcPr>
            <w:tcW w:w="4876" w:type="dxa"/>
            <w:tcBorders>
              <w:top w:val="nil"/>
              <w:left w:val="nil"/>
              <w:bottom w:val="nil"/>
              <w:right w:val="nil"/>
            </w:tcBorders>
          </w:tcPr>
          <w:p>
            <w:pPr>
              <w:pStyle w:val="Normal6a"/>
            </w:pPr>
            <w:r>
              <w:t>24.</w:t>
            </w:r>
            <w:r>
              <w:tab/>
            </w:r>
            <w:r>
              <w:t xml:space="preserve">înțelege că Curtea nu are niciun rol în procesul de selecție a membrilor în temeiul articolului 286 alineatul (2) din TFUE; reamintește însă că există în continuare un dezechilibru de gen important în rândul membrilor Curții, doar 10 din cei 27 de membri fiind femei; </w:t>
            </w:r>
            <w:r>
              <w:rPr>
                <w:b/>
                <w:i/>
              </w:rPr>
              <w:t>regretă că mai multe state membre nu au nominalizat niciodată o femeie ca membră a Curții;</w:t>
            </w:r>
            <w:r>
              <w:t xml:space="preserve"> își reiterează apelul adresat statelor membre de a propune candidați de genuri diferite, urmărind o componență mai echilibrată și mai reprezentativă a Curții;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28.</w:t>
            </w:r>
            <w:r>
              <w:tab/>
            </w:r>
            <w:r>
              <w:rPr>
                <w:b/>
                <w:i/>
              </w:rPr>
              <w:t>constată că mai multe naționalități, în special din statele membre nordice, sunt subreprezentate în rândul personalului Curții;</w:t>
            </w:r>
            <w:r>
              <w:t xml:space="preserve"> </w:t>
            </w:r>
            <w:r>
              <w:rPr>
                <w:b/>
                <w:i/>
              </w:rPr>
              <w:t>constată că există riscul ca situația să se înrăutățească și mai mult din cauza îmbătrânirii personalului și a problemelor de recrutare de candidați din aceste state membre;</w:t>
            </w:r>
            <w:r>
              <w:t xml:space="preserve"> </w:t>
            </w:r>
            <w:r>
              <w:rPr>
                <w:b/>
                <w:i/>
              </w:rPr>
              <w:t>reamintește eforturile recurente întreprinse de Curtea pentru a soluționa aceste dezechilibre, cum ar fi creșterea publicității pentru concursurile Curții și anunțurile de posturi vacante în statele membre vizibil subreprezentate, cooperarea cu membrii Curții pentru a disemina aceste anunțuri și comunicarea cu potențialii candidați prin participarea la burse de locuri de muncă în anumite state membre;</w:t>
            </w:r>
            <w:r>
              <w:t xml:space="preserve"> </w:t>
            </w:r>
            <w:r>
              <w:rPr>
                <w:b/>
                <w:i/>
              </w:rPr>
              <w:t>mai constată și că, potrivit raportului de monitorizare, Curtea a elaborat totodată un plan de acțiune cu 10 acțiuni în următorii 5 ani, cu scopul de a inversa actuala tendință de subreprezentare a anumitor state membre;</w:t>
            </w:r>
            <w:r>
              <w:t xml:space="preserve"> </w:t>
            </w:r>
            <w:r>
              <w:rPr>
                <w:b/>
                <w:i/>
              </w:rPr>
              <w:t>invită Curtea să informeze autoritatea care acordă descărcarea de gestiune cu privire la progresele în aplicarea acestui plan de acțiune;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constată că mai multe naționalități, în special din statele membre nordice, sunt subreprezentate în rândul personalului Curții; constată că există riscul ca situația să se înrăutățească și mai mult din cauza îmbătrânirii personalului și a problemelor de recrutare de candidați din aceste state membre; reamintește eforturile recurente întreprinse de Curtea pentru a soluționa aceste dezechilibre, cum ar fi creșterea publicității pentru concursurile Curții și anunțurile de posturi vacante în statele membre vizibil subreprezentate, cooperarea cu membrii Curții pentru a disemina aceste anunțuri și comunicarea cu potențialii candidați prin participarea la burse de locuri de muncă în anumite state membre; mai constată și că, potrivit raportului de monitorizare, Curtea a elaborat totodată un plan de acțiune cu 10 acțiuni în următorii 5 ani, cu scopul de a inversa actuala tendință de subreprezentare a anumitor state membre; invită Curtea să informeze autoritatea care acordă descărcarea de gestiune cu privire la progresele în aplicarea acestui plan de acțiune;</w:t>
            </w:r>
          </w:p>
        </w:tc>
        <w:tc>
          <w:tcPr>
            <w:tcW w:w="4876" w:type="dxa"/>
            <w:tcBorders>
              <w:top w:val="nil"/>
              <w:left w:val="nil"/>
              <w:bottom w:val="nil"/>
              <w:right w:val="nil"/>
            </w:tcBorders>
          </w:tcPr>
          <w:p>
            <w:pPr>
              <w:pStyle w:val="Normal6a"/>
            </w:pPr>
            <w:r>
              <w:t>28.</w:t>
            </w:r>
            <w:r>
              <w:tab/>
            </w:r>
            <w:r>
              <w:t xml:space="preserve">constată că mai multe naționalități, în special din statele membre nordice, sunt subreprezentate în rândul personalului Curții; constată că există riscul ca situația să se înrăutățească și mai mult din cauza îmbătrânirii personalului și a problemelor de recrutare de candidați din aceste state membre; reamintește eforturile recurente întreprinse de Curtea pentru a soluționa aceste dezechilibre, cum ar fi creșterea publicității pentru concursurile Curții și anunțurile de posturi vacante în statele membre vizibil subreprezentate, cooperarea cu membrii Curții pentru a disemina aceste anunțuri și comunicarea cu potențialii candidați prin participarea la burse de locuri de muncă în anumite state membre; mai constată și că, potrivit raportului de monitorizare, Curtea a elaborat totodată un plan de acțiune cu 10 acțiuni în următorii 5 ani, cu scopul de a inversa actuala tendință de subreprezentare a anumitor state membre; invită Curtea să informeze autoritatea care acordă descărcarea de gestiune cu privire la progresele în aplicarea acestui plan de acțiune; </w:t>
            </w:r>
            <w:r>
              <w:rPr>
                <w:b/>
                <w:i/>
              </w:rPr>
              <w:t>salută eforturile depuse până în prezent de Curte pentru a-și îndeplini sarcinile legate de MRR, cu toate că resursele disponibile nu sunt pe deplin adecvate;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Ondřej Knotek, Virginie Joron, Julien Sanchez,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reamintește că, la sfârșitul lui 2023, toate cele 29 de posturi suplimentare (agenți temporari) necesare pentru auditul MRR în valoare de 723,8 miliarde EUR erau ocupate; înțelege și că pragul de semnificație, complexitatea, sumele mari și plățile rapide din MRR continuă să reprezinte provocări și că resursele actuale nu sunt suficiente pentru a asigura în mod sistematic conformitatea cheltuielilor din MRR cu normele Uniunii și cu normele naționale și pentru a răspunde intensificării activităților Uniunii; sprijină, în acest context, solicitarea Curții de a transforma cele 29 de posturi de agenți temporari angajate pentru audituri ce țin de MRR în posturi permanente;</w:t>
            </w:r>
          </w:p>
        </w:tc>
        <w:tc>
          <w:tcPr>
            <w:tcW w:w="4876" w:type="dxa"/>
            <w:tcBorders>
              <w:top w:val="nil"/>
              <w:left w:val="nil"/>
              <w:bottom w:val="nil"/>
              <w:right w:val="nil"/>
            </w:tcBorders>
          </w:tcPr>
          <w:p>
            <w:pPr>
              <w:pStyle w:val="Normal6a"/>
            </w:pPr>
            <w:r>
              <w:t>29.</w:t>
            </w:r>
            <w:r>
              <w:tab/>
            </w:r>
            <w:r>
              <w:t xml:space="preserve">reamintește că, la sfârșitul lui 2023, toate cele 29 de posturi suplimentare (agenți temporari) necesare pentru auditul MRR în valoare de 723,8 miliarde EUR erau ocupate; înțelege și că pragul de semnificație, complexitatea, sumele mari și plățile rapide din MRR continuă să reprezinte provocări și că resursele actuale nu sunt suficiente pentru a asigura în mod sistematic conformitatea cheltuielilor din MRR cu normele Uniunii și cu normele naționale și pentru a răspunde intensificării activităților Uniunii; sprijină, în acest context, solicitarea Curții de a transforma cele 29 de posturi de agenți temporari angajate pentru audituri ce țin de MRR în posturi permanente; </w:t>
            </w:r>
            <w:r>
              <w:rPr>
                <w:b/>
                <w:i/>
              </w:rPr>
              <w:t>subliniază că evaluarea jaloanelor și a țintelor este în mod inerent mai complexă și necesită mai mult timp, deoarece acestea au adesea un caracter calitativ și se referă mai degrabă la reforme legislative, modificări administrative sau structuri de guvernanță decât la date financiare cuantificabile;</w:t>
            </w:r>
            <w:r>
              <w:t xml:space="preserve"> </w:t>
            </w:r>
            <w:r>
              <w:rPr>
                <w:b/>
                <w:i/>
              </w:rPr>
              <w:t>își exprimă îngrijorarea că reproducerea sau extinderea unor modele similare de finanțare bazate pe performanță în următorul cadru financiar multianual, fără a aduce ajustări corespunzătoare metodologiilor de audit, accesului la informații și resurse, ar putea slăbi în mod considerabil eficacitatea controlului, a răspunderii și a asigurării privind cheltuielile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reamintește că, la sfârșitul lui 2023, toate cele 29 de posturi suplimentare (agenți temporari) necesare pentru auditul MRR în valoare de 723,8 miliarde EUR erau ocupate; înțelege și că pragul de semnificație, complexitatea, sumele mari și plățile rapide din MRR continuă să reprezinte provocări și că resursele actuale nu sunt suficiente pentru a asigura în mod sistematic conformitatea cheltuielilor din MRR cu normele Uniunii și cu normele naționale și pentru a răspunde intensificării activităților Uniunii; sprijină, în acest context, solicitarea Curții de a transforma cele 29 de posturi de agenți temporari angajate pentru audituri ce țin de MRR în posturi permanente;</w:t>
            </w:r>
          </w:p>
        </w:tc>
        <w:tc>
          <w:tcPr>
            <w:tcW w:w="4876" w:type="dxa"/>
            <w:tcBorders>
              <w:top w:val="nil"/>
              <w:left w:val="nil"/>
              <w:bottom w:val="nil"/>
              <w:right w:val="nil"/>
            </w:tcBorders>
          </w:tcPr>
          <w:p>
            <w:pPr>
              <w:pStyle w:val="Normal6a"/>
            </w:pPr>
            <w:r>
              <w:t>29.</w:t>
            </w:r>
            <w:r>
              <w:tab/>
            </w:r>
            <w:r>
              <w:t xml:space="preserve">reamintește că, la sfârșitul lui 2023, toate cele 29 de posturi suplimentare (agenți temporari) necesare pentru auditul MRR în valoare de 723,8 miliarde EUR erau ocupate; înțelege și că pragul de semnificație, complexitatea, sumele mari și plățile rapide din MRR continuă să reprezinte provocări și că resursele actuale nu sunt suficiente pentru a asigura în mod sistematic conformitatea cheltuielilor din MRR cu normele Uniunii și cu normele naționale și pentru a răspunde intensificării activităților Uniunii; sprijină, în acest context, solicitarea Curții de a transforma cele 29 de posturi de agenți temporari angajate pentru audituri ce țin de MRR în posturi permanente; </w:t>
            </w:r>
            <w:r>
              <w:rPr>
                <w:b/>
                <w:i/>
              </w:rPr>
              <w:t>subliniază că este important să se garanteze că Curtea dispune în permanență de personal suficient pentru a-și îndeplini atât mandatul, cât și responsabilitățile suplimentare care decurg din noile instrumente de finanțare, cum ar fi MRR;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 xml:space="preserve">reamintește că, la sfârșitul lui 2023, toate cele 29 de posturi suplimentare (agenți temporari) necesare pentru auditul MRR în valoare de 723,8 miliarde EUR erau ocupate; înțelege și că pragul de semnificație, complexitatea, sumele mari și plățile rapide din MRR continuă să reprezinte provocări și că resursele actuale nu sunt suficiente pentru a asigura în mod sistematic conformitatea cheltuielilor din MRR cu normele Uniunii și cu normele naționale și pentru a răspunde intensificării activităților Uniunii; sprijină, în acest context, solicitarea Curții de a transforma cele 29 de posturi de agenți temporari </w:t>
            </w:r>
            <w:r>
              <w:rPr>
                <w:b/>
                <w:i/>
              </w:rPr>
              <w:t>angajate</w:t>
            </w:r>
            <w:r>
              <w:t xml:space="preserve"> pentru audituri ce țin de MRR în posturi permanente;</w:t>
            </w:r>
          </w:p>
        </w:tc>
        <w:tc>
          <w:tcPr>
            <w:tcW w:w="4876" w:type="dxa"/>
            <w:tcBorders>
              <w:top w:val="nil"/>
              <w:left w:val="nil"/>
              <w:bottom w:val="nil"/>
              <w:right w:val="nil"/>
            </w:tcBorders>
          </w:tcPr>
          <w:p>
            <w:pPr>
              <w:pStyle w:val="Normal6a"/>
            </w:pPr>
            <w:r>
              <w:t>29.</w:t>
            </w:r>
            <w:r>
              <w:tab/>
            </w:r>
            <w:r>
              <w:t xml:space="preserve">reamintește că, la sfârșitul lui 2023, toate cele 29 de posturi suplimentare (agenți temporari) necesare pentru auditul MRR în valoare de 723,8 miliarde EUR erau ocupate; înțelege și că pragul de semnificație, complexitatea, sumele mari și plățile rapide din MRR continuă să reprezinte provocări și că resursele actuale nu sunt suficiente pentru a asigura în mod sistematic conformitatea cheltuielilor din MRR cu normele Uniunii și cu normele naționale și pentru a răspunde intensificării activităților Uniunii; sprijină, în acest context, solicitarea Curții de a transforma cele 29 de posturi de agenți temporari </w:t>
            </w:r>
            <w:r>
              <w:rPr>
                <w:b/>
                <w:i/>
              </w:rPr>
              <w:t>angajați</w:t>
            </w:r>
            <w:r>
              <w:t xml:space="preserve"> pentru audituri ce țin de MRR în posturi permanente</w:t>
            </w:r>
            <w:r>
              <w:rPr>
                <w:b/>
                <w:i/>
              </w:rPr>
              <w:t>, cu scopul de a garanta că Curtea dispune de mijloace structurale pentru a audita MRR și viitoarele instrumente bazate pe performanță, inclusiv CFM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29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observă cu satisfacție că tot în 2024, Curtea a depășit obiectivul în materie de zile de formare profesională de 5 zile de formare pe an pentru auditori, fiind excluse cursurile de limbi străine, în conformitate cu recomandările Federației Internaționale a Contabililor, și de 2 zile pentru personalul din afara activității de audit (5,8 și, respectiv, 3,9).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constată că în 2024 au fost consemnate 13 cazuri de epuizare profesională, o creștere față de 7 cazuri consemnate în 2023; salută faptul că Curtea a luat mai multe măsuri pentru a reduce riscul de epuizare profesională, inițiind un program complet de bunăstare prin care se oferă formare în materie de reziliență, se publică și se pun în practică orientări pentru revenirea la locul de muncă după un concediu medical de durată, se oferă în continuare primul ajutor în materie de sănătate mintală și se oferă sprijin financiar membrilor personalului prin acoperirea costului a 10 ședințe la un psiholog ales de aceștia; constată, în special, că Curtea a organizat în 2024 patru ședințe de formare obligatorie pentru cadrele de conducere, axate pe starea de bine a personalului, performanță, echilibrul dintre viața profesională și cea privată și prevenirea epuizării profesionale;</w:t>
            </w:r>
          </w:p>
        </w:tc>
        <w:tc>
          <w:tcPr>
            <w:tcW w:w="4876" w:type="dxa"/>
            <w:tcBorders>
              <w:top w:val="nil"/>
              <w:left w:val="nil"/>
              <w:bottom w:val="nil"/>
              <w:right w:val="nil"/>
            </w:tcBorders>
          </w:tcPr>
          <w:p>
            <w:pPr>
              <w:pStyle w:val="Normal6a"/>
            </w:pPr>
            <w:r>
              <w:t>31.</w:t>
            </w:r>
            <w:r>
              <w:tab/>
            </w:r>
            <w:r>
              <w:t xml:space="preserve">constată </w:t>
            </w:r>
            <w:r>
              <w:rPr>
                <w:b/>
                <w:i/>
              </w:rPr>
              <w:t>cu deosebită preocupare</w:t>
            </w:r>
            <w:r>
              <w:t xml:space="preserve"> că în 2024 au fost consemnate 13 cazuri de epuizare profesională, o creștere față de 7 cazuri consemnate în 2023</w:t>
            </w:r>
            <w:r>
              <w:rPr>
                <w:b/>
                <w:i/>
              </w:rPr>
              <w:t>;</w:t>
            </w:r>
            <w:r>
              <w:t xml:space="preserve"> </w:t>
            </w:r>
            <w:r>
              <w:rPr>
                <w:b/>
                <w:i/>
              </w:rPr>
              <w:t>invită Curtea să efectueze o analiză aprofundată și bazată pe dovezi a motivelor acestei creșteri semnificative a cazurilor de epuizare raportate în 2024</w:t>
            </w:r>
            <w:r>
              <w:t xml:space="preserve">; salută faptul că Curtea a luat mai multe măsuri pentru a reduce riscul de epuizare profesională, inițiind un program complet de bunăstare prin care se oferă formare în materie de reziliență, se publică și se pun în practică orientări pentru revenirea la locul de muncă după un concediu medical de durată, se oferă în continuare primul ajutor în materie de sănătate mintală și se oferă sprijin financiar membrilor personalului prin acoperirea costului a 10 ședințe la un psiholog ales de aceștia; constată, în special, că Curtea a organizat în 2024 patru ședințe de formare obligatorie pentru cadrele de conducere, axate pe starea de bine a personalului, performanță, echilibrul dintre viața profesională și cea privată și prevenirea epuizării profesionale; </w:t>
            </w:r>
            <w:r>
              <w:rPr>
                <w:b/>
                <w:i/>
              </w:rPr>
              <w:t>invită Curtea, în lumina constatărilor acestei analize, să își revizuiască și să își adapteze abordarea în consecință, pentru a preveni în mod eficace epuizarea și a îmbunătăți mediul de lucru;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constată că în 2024 au fost consemnate 13 cazuri de epuizare profesională, o creștere față de 7 cazuri consemnate în 2023; salută faptul că Curtea a luat mai multe măsuri pentru a reduce riscul de epuizare profesională, inițiind un program complet de bunăstare prin care se oferă formare în materie de reziliență, se publică și se pun în practică orientări pentru revenirea la locul de muncă după un concediu medical de durată, se oferă în continuare primul ajutor în materie de sănătate mintală și se oferă sprijin financiar membrilor personalului prin acoperirea costului a 10 ședințe la un psiholog ales de aceștia; constată, în special, că Curtea a organizat în 2024 patru ședințe de formare obligatorie pentru cadrele de conducere, axate pe starea de bine a personalului, performanță, echilibrul dintre viața profesională și cea privată și prevenirea epuizării profesionale;</w:t>
            </w:r>
          </w:p>
        </w:tc>
        <w:tc>
          <w:tcPr>
            <w:tcW w:w="4876" w:type="dxa"/>
            <w:tcBorders>
              <w:top w:val="nil"/>
              <w:left w:val="nil"/>
              <w:bottom w:val="nil"/>
              <w:right w:val="nil"/>
            </w:tcBorders>
          </w:tcPr>
          <w:p>
            <w:pPr>
              <w:pStyle w:val="Normal6a"/>
            </w:pPr>
            <w:r>
              <w:t>31.</w:t>
            </w:r>
            <w:r>
              <w:tab/>
            </w:r>
            <w:r>
              <w:t>constată că în 2024 au fost consemnate 13 cazuri de epuizare profesională, o creștere față de 7 cazuri consemnate în 2023</w:t>
            </w:r>
            <w:r>
              <w:rPr>
                <w:b/>
                <w:i/>
              </w:rPr>
              <w:t>;</w:t>
            </w:r>
            <w:r>
              <w:t xml:space="preserve"> </w:t>
            </w:r>
            <w:r>
              <w:rPr>
                <w:b/>
                <w:i/>
              </w:rPr>
              <w:t>ia act cu îngrijorare de creșterea semnificativă a cazurilor de epuizare raportate în 2024;</w:t>
            </w:r>
            <w:r>
              <w:t xml:space="preserve"> </w:t>
            </w:r>
            <w:r>
              <w:rPr>
                <w:b/>
                <w:i/>
              </w:rPr>
              <w:t>invită Curtea să analizeze mai în detaliu distribuția volumului de muncă, factorii organizaționali și riscurile structurale și să integreze constatările în practicile sale de planificare și de gestionare a resurselor umane</w:t>
            </w:r>
            <w:r>
              <w:t>; salută faptul că Curtea a luat mai multe măsuri pentru a reduce riscul de epuizare profesională, inițiind un program complet de bunăstare prin care se oferă formare în materie de reziliență, se publică și se pun în practică orientări pentru revenirea la locul de muncă după un concediu medical de durată, se oferă în continuare primul ajutor în materie de sănătate mintală și se oferă sprijin financiar membrilor personalului prin acoperirea costului a 10 ședințe la un psiholog ales de aceștia; constată, în special, că Curtea a organizat în 2024 patru ședințe de formare obligatorie pentru cadrele de conducere, axate pe starea de bine a personalului, performanță, echilibrul dintre viața profesională și cea privată și prevenirea epuizării profesionale;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33.</w:t>
            </w:r>
            <w:r>
              <w:tab/>
            </w:r>
            <w:r>
              <w:rPr>
                <w:b/>
                <w:i/>
              </w:rPr>
              <w:t>ia act de faptul că, potrivit chestionarului, Curtea a luat numeroase măsuri în 2024, în conformitate cu Planul său de acțiune pentru 2021-2025 privind diversitatea și incluziunea, în diverse domenii, cum ar fi recrutarea, formarea, dezvoltarea carierei, condițiile de muncă și sensibilizarea personalului;</w:t>
            </w:r>
            <w:r>
              <w:t xml:space="preserve"> </w:t>
            </w:r>
            <w:r>
              <w:rPr>
                <w:b/>
                <w:i/>
              </w:rPr>
              <w:t>ia act de faptul că Curtea integrează principiile diversității și incluziunii în procesele sale de gestionare, evaluare și certificare a performanței și de promovare, precum și în programele sale de formare, astfel încât, în 2024, 13 manageri au efectuat o evaluare voluntară a aspectelor ce țin de diversitate și incluziune;</w:t>
            </w:r>
            <w:r>
              <w:t xml:space="preserve"> </w:t>
            </w:r>
            <w:r>
              <w:rPr>
                <w:b/>
                <w:i/>
              </w:rPr>
              <w:t>salută cursul de formare specializată intitulat „Creșterea numărului de femei în posturi de conducere: dezvoltarea competențelor pentru a reuși”, organizată de Curte pentru a încuraja femeile să vizeze roluri de conducere;</w:t>
            </w:r>
            <w:r>
              <w:t xml:space="preserve"> </w:t>
            </w:r>
            <w:r>
              <w:rPr>
                <w:b/>
                <w:i/>
              </w:rPr>
              <w:t>salută, de asemenea, noile programe de acțiune pozitivă ale Curții pentru stagiari și agenți contractuali care vizează persoanele cu dizabilități, două stagii pe an fiind oferite persoanelor cu dizabilități recunoscute;</w:t>
            </w:r>
            <w:r>
              <w:t xml:space="preserve"> </w:t>
            </w:r>
            <w:r>
              <w:rPr>
                <w:b/>
                <w:i/>
              </w:rPr>
              <w:t>ia act cu satisfacție de faptul că, în 2024, Curtea a organizat cea de a patra Săptămână de sensibilizare cu privire la dizabilități, în cadrul căreia a fost lansată o nouă foaie de parcurs privind persoanele cu dizabilități, fiind astfel scoase în evidență eforturile depuse de Curte pentru realizarea unui loc de muncă mai favorabil incluziunii;</w:t>
            </w:r>
            <w:r>
              <w:t xml:space="preserve"> </w:t>
            </w:r>
            <w:r>
              <w:rPr>
                <w:b/>
                <w:i/>
              </w:rPr>
              <w:t>observă cu satisfacție că Curtea publică, de asemenea, evaluări la jumătatea perioadei ale planului său de acțiune privind diversitatea și incluziunea, pentru a asigura transparența și implicarea în întreaga organizație;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își reiterează profunda îngrijorare cu privire la refuzul Curții de a ridica imunitatea fostului său președinte și la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w:t>
            </w:r>
            <w:r>
              <w:rPr>
                <w:b/>
                <w:i/>
              </w:rPr>
              <w:t>subliniază că competențele instituțiilor Uniunii de a nu autoriza audierea membrilor personalului lor ca martori nu includ posibilitatea de a avea un cuvânt de spus cu privire la fondul procedurilor judiciare în care trebuie să depună mărturie membrii personalului și pot fi invocate numai în situații în care ar fi puse în pericol interese ale Uniunii de o importanță considerabilă și vitale pentru Uniune;</w:t>
            </w:r>
            <w:r>
              <w:t xml:space="preserve"> </w:t>
            </w:r>
            <w:r>
              <w:rPr>
                <w:b/>
                <w:i/>
              </w:rPr>
              <w:t>îndeamnă Curtea</w:t>
            </w:r>
            <w:r>
              <w:t xml:space="preserve"> să mențină un nivel ridicat de transparență și responsabilitate în cooperarea sa cu EPPO și cu alte organisme ale </w:t>
            </w:r>
            <w:r>
              <w:rPr>
                <w:b/>
                <w:i/>
              </w:rPr>
              <w:t>UE</w:t>
            </w:r>
            <w:r>
              <w:t xml:space="preserve"> responsabile de combaterea fraudelor și a abaterilor;</w:t>
            </w:r>
          </w:p>
        </w:tc>
        <w:tc>
          <w:tcPr>
            <w:tcW w:w="4876" w:type="dxa"/>
            <w:tcBorders>
              <w:top w:val="nil"/>
              <w:left w:val="nil"/>
              <w:bottom w:val="nil"/>
              <w:right w:val="nil"/>
            </w:tcBorders>
          </w:tcPr>
          <w:p>
            <w:pPr>
              <w:pStyle w:val="Normal6a"/>
            </w:pPr>
            <w:r>
              <w:t>35.</w:t>
            </w:r>
            <w:r>
              <w:tab/>
            </w:r>
            <w:r>
              <w:t xml:space="preserve">își reiterează profunda îngrijorare cu privire la refuzul Curții de a ridica imunitatea fostului său președinte și la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w:t>
            </w:r>
            <w:r>
              <w:rPr>
                <w:b/>
                <w:i/>
              </w:rPr>
              <w:t>solicită Curții</w:t>
            </w:r>
            <w:r>
              <w:t xml:space="preserve"> să mențină un nivel ridicat de transparență și responsabilitate în cooperarea sa cu EPPO și cu alte organisme ale </w:t>
            </w:r>
            <w:r>
              <w:rPr>
                <w:b/>
                <w:i/>
              </w:rPr>
              <w:t>Uniunii</w:t>
            </w:r>
            <w:r>
              <w:t xml:space="preserve"> responsabile de combaterea fraudelor și a abaterilor; </w:t>
            </w:r>
            <w:r>
              <w:rPr>
                <w:b/>
                <w:i/>
              </w:rPr>
              <w:t>îndeamnă Curtea să clarifice criteriile aplicate atunci când decide cu privire la cererile adresate de EPPO și să se asigure că aceste decizii nu pot fi percepute ca un obstacol în calea anchetelor judiciare;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își reiterează profunda îngrijorare cu privire la refuzul Curții de a ridica imunitatea fostului său președinte și la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subliniază că competențele instituțiilor Uniunii de a nu autoriza audierea membrilor personalului lor ca martori nu includ posibilitatea de a avea un cuvânt de spus cu privire la fondul procedurilor judiciare în care trebuie să depună mărturie membrii personalului și pot fi invocate numai în situații în care ar fi puse în pericol interese ale Uniunii de o importanță considerabilă și vitale pentru Uniune; </w:t>
            </w:r>
            <w:r>
              <w:rPr>
                <w:b/>
                <w:i/>
              </w:rPr>
              <w:t>îndeamnă</w:t>
            </w:r>
            <w:r>
              <w:t xml:space="preserve"> Curtea să </w:t>
            </w:r>
            <w:r>
              <w:rPr>
                <w:b/>
                <w:i/>
              </w:rPr>
              <w:t>mențină un nivel ridicat de transparență și responsabilitate în cooperarea sa cu EPPO și cu alte organisme ale UE responsabile de combaterea fraudelor și a abaterilor</w:t>
            </w:r>
            <w:r>
              <w:t>;</w:t>
            </w:r>
          </w:p>
        </w:tc>
        <w:tc>
          <w:tcPr>
            <w:tcW w:w="4876" w:type="dxa"/>
            <w:tcBorders>
              <w:top w:val="nil"/>
              <w:left w:val="nil"/>
              <w:bottom w:val="nil"/>
              <w:right w:val="nil"/>
            </w:tcBorders>
          </w:tcPr>
          <w:p>
            <w:pPr>
              <w:pStyle w:val="Normal6a"/>
            </w:pPr>
            <w:r>
              <w:t>35.</w:t>
            </w:r>
            <w:r>
              <w:tab/>
            </w:r>
            <w:r>
              <w:t xml:space="preserve">își reiterează profunda îngrijorare cu privire la refuzul Curții de a ridica imunitatea fostului său președinte și la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subliniază că competențele instituțiilor Uniunii de a nu autoriza audierea membrilor personalului lor ca martori nu includ posibilitatea de a avea un cuvânt de spus cu privire la fondul procedurilor judiciare în care trebuie să depună mărturie membrii personalului și pot fi invocate numai în situații în care ar fi puse în pericol interese ale Uniunii de o importanță considerabilă și vitale pentru Uniune; </w:t>
            </w:r>
            <w:r>
              <w:rPr>
                <w:b/>
                <w:i/>
              </w:rPr>
              <w:t>subliniază că obligația de cooperare loială a instituțiilor Uniunii impune ca autorizațiile de audiere a personalului în calitate de martori în cadrul anchetelor penale să fie refuzate numai în circumstanțe strict excepționale;</w:t>
            </w:r>
            <w:r>
              <w:t xml:space="preserve"> </w:t>
            </w:r>
            <w:r>
              <w:rPr>
                <w:b/>
                <w:i/>
              </w:rPr>
              <w:t>reamintește că astfel de decizii nu trebuie să aducă atingere aprecierii pe fond a procedurilor penale;</w:t>
            </w:r>
            <w:r>
              <w:t xml:space="preserve"> </w:t>
            </w:r>
            <w:r>
              <w:rPr>
                <w:b/>
                <w:i/>
              </w:rPr>
              <w:t>reiterează că se așteaptă ca</w:t>
            </w:r>
            <w:r>
              <w:t xml:space="preserve"> Curtea să </w:t>
            </w:r>
            <w:r>
              <w:rPr>
                <w:b/>
                <w:i/>
              </w:rPr>
              <w:t>asigure o cooperare deplină, în timp util și de bună credință cu Parchetul European și să informeze în mod corespunzător autoritatea care acordă descărcarea de gestiune cu privire la toate evoluțiile relevante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își reiterează profunda îngrijorare cu privire la refuzul Curții de a ridica imunitatea fostului său președinte și la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subliniază că competențele instituțiilor Uniunii de a nu autoriza audierea membrilor personalului lor ca martori nu includ posibilitatea de a avea un cuvânt de spus cu privire la fondul procedurilor judiciare în care trebuie să depună mărturie membrii personalului și pot fi invocate numai în situații în care ar fi puse în pericol interese ale Uniunii de o importanță considerabilă și vitale pentru Uniune; îndeamnă Curtea să mențină un nivel ridicat de transparență și responsabilitate în cooperarea sa cu EPPO și cu alte organisme ale </w:t>
            </w:r>
            <w:r>
              <w:rPr>
                <w:b/>
                <w:i/>
              </w:rPr>
              <w:t>UE</w:t>
            </w:r>
            <w:r>
              <w:t xml:space="preserve"> responsabile de combaterea </w:t>
            </w:r>
            <w:r>
              <w:rPr>
                <w:b/>
                <w:i/>
              </w:rPr>
              <w:t>fraudelor</w:t>
            </w:r>
            <w:r>
              <w:t xml:space="preserve"> și a abaterilor;</w:t>
            </w:r>
          </w:p>
        </w:tc>
        <w:tc>
          <w:tcPr>
            <w:tcW w:w="4876" w:type="dxa"/>
            <w:tcBorders>
              <w:top w:val="nil"/>
              <w:left w:val="nil"/>
              <w:bottom w:val="nil"/>
              <w:right w:val="nil"/>
            </w:tcBorders>
          </w:tcPr>
          <w:p>
            <w:pPr>
              <w:pStyle w:val="Normal6a"/>
            </w:pPr>
            <w:r>
              <w:t>35.</w:t>
            </w:r>
            <w:r>
              <w:tab/>
            </w:r>
            <w:r>
              <w:t xml:space="preserve">își reiterează profunda îngrijorare cu privire la refuzul Curții de a ridica imunitatea fostului său președinte și la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subliniază că competențele instituțiilor Uniunii de a nu autoriza audierea membrilor personalului lor ca martori nu includ posibilitatea de a avea un cuvânt de spus cu privire la fondul procedurilor judiciare în care trebuie să depună mărturie membrii personalului și pot fi invocate numai în situații în care ar fi puse în pericol interese ale Uniunii de o importanță considerabilă și vitale pentru Uniune; îndeamnă Curtea să mențină un nivel ridicat de transparență și responsabilitate în cooperarea sa cu EPPO și cu alte organisme ale </w:t>
            </w:r>
            <w:r>
              <w:rPr>
                <w:b/>
                <w:i/>
              </w:rPr>
              <w:t>Uniunii</w:t>
            </w:r>
            <w:r>
              <w:t xml:space="preserve"> responsabile de combaterea </w:t>
            </w:r>
            <w:r>
              <w:rPr>
                <w:b/>
                <w:i/>
              </w:rPr>
              <w:t>fraudei</w:t>
            </w:r>
            <w:r>
              <w:t xml:space="preserve"> și a abaterilor </w:t>
            </w:r>
            <w:r>
              <w:rPr>
                <w:b/>
                <w:i/>
              </w:rPr>
              <w:t>și să se asigure că nu se invocă imunitatea pentru a împiedica procedurile judiciare legitime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rPr>
                <w:b/>
                <w:i/>
              </w:rPr>
              <w:t>își reiterează profunda îngrijorare cu privire la</w:t>
            </w:r>
            <w:r>
              <w:t xml:space="preserve"> refuzul Curții de a ridica imunitatea fostului său președinte și </w:t>
            </w:r>
            <w:r>
              <w:rPr>
                <w:b/>
                <w:i/>
              </w:rPr>
              <w:t>la</w:t>
            </w:r>
            <w:r>
              <w:t xml:space="preserve">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subliniază că competențele instituțiilor Uniunii de a nu autoriza audierea membrilor personalului lor ca martori nu includ posibilitatea de a avea un cuvânt de spus cu privire la fondul procedurilor judiciare în care trebuie să depună mărturie membrii personalului și pot fi invocate numai în situații în care ar fi puse în pericol interese ale Uniunii de o importanță considerabilă și vitale pentru Uniune; îndeamnă Curtea să mențină un nivel ridicat de transparență și responsabilitate în cooperarea sa cu EPPO și cu alte organisme ale UE responsabile de combaterea fraudelor și a abaterilor;</w:t>
            </w:r>
          </w:p>
        </w:tc>
        <w:tc>
          <w:tcPr>
            <w:tcW w:w="4876" w:type="dxa"/>
            <w:tcBorders>
              <w:top w:val="nil"/>
              <w:left w:val="nil"/>
              <w:bottom w:val="nil"/>
              <w:right w:val="nil"/>
            </w:tcBorders>
          </w:tcPr>
          <w:p>
            <w:pPr>
              <w:pStyle w:val="Normal6a"/>
            </w:pPr>
            <w:r>
              <w:t>35.</w:t>
            </w:r>
            <w:r>
              <w:tab/>
            </w:r>
            <w:r>
              <w:rPr>
                <w:b/>
                <w:i/>
              </w:rPr>
              <w:t>ia act de</w:t>
            </w:r>
            <w:r>
              <w:t xml:space="preserve"> refuzul Curții de a ridica imunitatea fostului său președinte și </w:t>
            </w:r>
            <w:r>
              <w:rPr>
                <w:b/>
                <w:i/>
              </w:rPr>
              <w:t>de</w:t>
            </w:r>
            <w:r>
              <w:t xml:space="preserve"> decizia Curții de a refuza cererea Parchetului European (EPPO) de a permite mai multor membri ai personalului Curții să depună mărturii în cadrul unei anchete penale în curs; ia act, din raportul de monitorizare, de poziția Curții potrivit căreia aceasta nu a ridicat imunitatea menționată deoarece EPPO nu a prezentat Curții „suficiente informații care să îi permită să înțeleagă de ce acțiuni sunt acuzate persoanele în cauză și în ce măsură astfel de acțiuni ar putea constitui un comportament infracțional”, întemeindu-și poziția pe jurisprudența care face parte din cadrul juridic aplicabil; ia act de faptul că, la 10 februarie 2025, EPPO a introdus o cale de atac (cauza nr. T-99/25) la Curtea de Justiție a Uniunii Europene în temeiul articolului 263 alineatul (4) din TFUE împotriva deciziei Curții de a respinge cererea EPPO prin care acesta solicită ca mai mulți membri ai personalului Curții să depună mărturie în cadrul unei anchete penale în curs; constată, de asemenea, că în recursul menționat nu se contestă refuzul de ridicare a imunității persoanelor vizate; subliniază că competențele instituțiilor Uniunii de a nu autoriza audierea membrilor personalului lor ca martori nu includ posibilitatea de a avea un cuvânt de spus cu privire la fondul procedurilor judiciare în care trebuie să depună mărturie membrii personalului și pot fi invocate numai în situații în care ar fi puse în pericol interese ale Uniunii de o importanță considerabilă și vitale pentru Uniune; îndeamnă Curtea să mențină un nivel ridicat de transparență și responsabilitate în cooperarea sa cu EPPO și cu alte organisme ale UE responsabile de combaterea fraudelor și a abaterilor;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35a.</w:t>
            </w:r>
            <w:r>
              <w:tab/>
            </w:r>
            <w:r>
              <w:rPr>
                <w:b/>
                <w:i/>
              </w:rPr>
              <w:t>invită Curtea, în cazurile care implică decizii de ridicare a imunității membrilor săi, să comunice Parlamentului o motivare suficient de detaliată și neconfidențială pentru a permite un control democratic adecvat, respectând totodată pe deplin procedurile judiciare și drepturile persoanelor în cauză;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42.</w:t>
            </w:r>
            <w:r>
              <w:tab/>
            </w:r>
            <w:r>
              <w:t>reamintește că Serviciul de Audit Intern al Curții (IAS) a efectuat un audit privind cadrul de etică aplicabil personalului și membrilor Curții; constată că, potrivit Raportului final (02/2023) trimis de Curte Președintei Parlamentului la 9 iulie 2024 și potrivit chestionarului, IAS a emis 16 recomandări, dintre care 15 au fost deja finalizate, iar una este în curs de realizare și privește conflictele de interese ale personalului;</w:t>
            </w:r>
          </w:p>
        </w:tc>
        <w:tc>
          <w:tcPr>
            <w:tcW w:w="4876" w:type="dxa"/>
            <w:tcBorders>
              <w:top w:val="nil"/>
              <w:left w:val="nil"/>
              <w:bottom w:val="nil"/>
              <w:right w:val="nil"/>
            </w:tcBorders>
          </w:tcPr>
          <w:p>
            <w:pPr>
              <w:pStyle w:val="Normal6a"/>
            </w:pPr>
            <w:r>
              <w:t>42.</w:t>
            </w:r>
            <w:r>
              <w:tab/>
            </w:r>
            <w:r>
              <w:t xml:space="preserve">reamintește că Serviciul de Audit Intern al Curții (IAS) a efectuat un audit privind cadrul de etică aplicabil personalului și membrilor Curții; constată că, potrivit Raportului final (02/2023) trimis de Curte Președintei Parlamentului la 9 iulie 2024 și potrivit chestionarului, IAS a emis 16 recomandări, dintre care 15 au fost deja finalizate, iar una este în curs de realizare și privește conflictele de interese ale personalului; </w:t>
            </w:r>
            <w:r>
              <w:rPr>
                <w:b/>
                <w:i/>
              </w:rPr>
              <w:t>îndeamnă Curtea să finalizeze fără întârziere recomandarea restantă și o invită să informeze în mod corespunzător autoritatea care acordă descărcarea de gestiune cu privire la progresele înregistrate în acest sens;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43.</w:t>
            </w:r>
            <w:r>
              <w:tab/>
            </w:r>
            <w:r>
              <w:t xml:space="preserve">ia act de faptul că, potrivit raportului Curții, în 2024 nu au fost identificate cazuri de corupție sau fraudă în operațiunile interne ale Curții; apreciază organizarea de către Curte a unor cursuri de formare preventivă privind politicile și procedurile de combatere a corupției, 10 ședințe având loc în 2024, la care au participat în total 257 de persoane; apreciază faptul că, potrivit raportului de monitorizare, Curtea a emis în 2024 un document consolidat unic privind </w:t>
            </w:r>
            <w:r>
              <w:rPr>
                <w:b/>
                <w:i/>
              </w:rPr>
              <w:t>combaterea fraudelor</w:t>
            </w:r>
            <w:r>
              <w:t xml:space="preserve"> în contextul activităților sale de audit, armonizând astfel modul în care camerele de audit ale Curții abordează </w:t>
            </w:r>
            <w:r>
              <w:rPr>
                <w:b/>
                <w:i/>
              </w:rPr>
              <w:t>aspectele legate de fraude</w:t>
            </w:r>
            <w:r>
              <w:t xml:space="preserve"> depistate în cursul activităților de audit externe; ia act de faptul că riscul de fraudă în legătură cu operațiunile interne ale Curții este gestionat prin intermediul cadrului de control intern al Curții menit să prevină, să depisteze, să corecteze și să monitorizeze orice nereguli în care sunt implicați membri ai Curții sau membri ai personalului acesteia și care ar putea afecta interesele financiare ale Uniunii; ia act, de asemenea, de opinia Curții potrivit căreia elaborarea unei strategii de combatere a fraudelor de sine stătătoare pentru operațiunile interne „ar implica o sarcină administrativă disproporționată, având în vedere controalele ample deja desfășurate”, dar continuă să solicite Curții să adopte o strategie de combatere a fraudelor care să acopere toate tipurile de operațiuni;</w:t>
            </w:r>
          </w:p>
        </w:tc>
        <w:tc>
          <w:tcPr>
            <w:tcW w:w="4876" w:type="dxa"/>
            <w:tcBorders>
              <w:top w:val="nil"/>
              <w:left w:val="nil"/>
              <w:bottom w:val="nil"/>
              <w:right w:val="nil"/>
            </w:tcBorders>
          </w:tcPr>
          <w:p>
            <w:pPr>
              <w:pStyle w:val="Normal6a"/>
            </w:pPr>
            <w:r>
              <w:t>43.</w:t>
            </w:r>
            <w:r>
              <w:tab/>
            </w:r>
            <w:r>
              <w:t xml:space="preserve">ia act de faptul că, potrivit raportului Curții, în 2024 nu au fost identificate cazuri de corupție sau fraudă în operațiunile interne ale Curții; apreciază organizarea de către Curte a unor cursuri de formare preventivă privind politicile și procedurile de combatere a corupției, 10 ședințe având loc în 2024, la care au participat în total 257 de persoane; apreciază faptul că, potrivit raportului de monitorizare, Curtea a emis în 2024 un document consolidat unic privind </w:t>
            </w:r>
            <w:r>
              <w:rPr>
                <w:b/>
                <w:i/>
              </w:rPr>
              <w:t>abordarea chestiunilor legate de fraudă</w:t>
            </w:r>
            <w:r>
              <w:t xml:space="preserve"> în contextul activităților sale de audit</w:t>
            </w:r>
            <w:r>
              <w:rPr>
                <w:b/>
                <w:i/>
              </w:rPr>
              <w:t>, care oferă orientări cuprinzătoare și detaliate auditorilor Curții</w:t>
            </w:r>
            <w:r>
              <w:t xml:space="preserve">, armonizând astfel modul în care camerele de audit ale Curții abordează </w:t>
            </w:r>
            <w:r>
              <w:rPr>
                <w:b/>
                <w:i/>
              </w:rPr>
              <w:t>cazurile de suspiciune de fraudă, corupție sau orice altă activitate ilegală care afectează interesele financiare ale Uniunii</w:t>
            </w:r>
            <w:r>
              <w:t xml:space="preserve"> depistate în cursul activităților de audit externe </w:t>
            </w:r>
            <w:r>
              <w:rPr>
                <w:b/>
                <w:i/>
              </w:rPr>
              <w:t>și contribuind la asigurarea coerenței</w:t>
            </w:r>
            <w:r>
              <w:t>; ia act de faptul că riscul de fraudă în legătură cu operațiunile interne ale Curții este gestionat prin intermediul cadrului de control intern al Curții menit să prevină, să depisteze, să corecteze și să monitorizeze orice nereguli în care sunt implicați membri ai Curții sau membri ai personalului acesteia și care ar putea afecta interesele financiare ale Uniunii; ia act, de asemenea, de opinia Curții potrivit căreia elaborarea unei strategii de combatere a fraudelor de sine stătătoare pentru operațiunile interne „ar implica o sarcină administrativă disproporționată, având în vedere controalele ample deja desfășurate”, dar continuă să solicite Curții să adopte o strategie de combatere a fraudelor care să acopere toate tipurile de operațiuni;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44.</w:t>
            </w:r>
            <w:r>
              <w:tab/>
            </w:r>
            <w:r>
              <w:t>ia act de opinia Curții, exprimată în raportul de monitorizare, potrivit căreia rolul său de instituție de audit extern independentă o plasează în afara categoriei tipice a entităților care încearcă să interacționeze cu organismele decizionale ale Uniunii și să desfășoare activități de lobby pe lângă acestea; este de părere că acest argument nu este întru totul valabil, deoarece Curtea emite rapoarte speciale în care examinează dacă au fost îndeplinite obiectivele politicilor și programelor Uniunii, ceea ce conferă activității Curții fie o dimensiune politică, fie o dimensiune consultativă, chiar dacă Curtea nu este un organ decizional; reamintește, în plus, că există și alte organe ale Uniunii fără puteri decizionale, cu atribuții consultative, care s-au înscris oficial în registrul de transparență al Uniunii; își reiterează</w:t>
            </w:r>
            <w:r>
              <w:rPr>
                <w:b/>
                <w:i/>
              </w:rPr>
              <w:t>, prin urmare,</w:t>
            </w:r>
            <w:r>
              <w:t xml:space="preserve"> apelul adresat Curții de a se înscrie în registrul de transparență, pentru a </w:t>
            </w:r>
            <w:r>
              <w:rPr>
                <w:b/>
                <w:i/>
              </w:rPr>
              <w:t>adera la principiile de bază ale transparenței fără ca acest lucru să afecteze</w:t>
            </w:r>
            <w:r>
              <w:t xml:space="preserve"> independența </w:t>
            </w:r>
            <w:r>
              <w:rPr>
                <w:b/>
                <w:i/>
              </w:rPr>
              <w:t>deplină a Curții</w:t>
            </w:r>
            <w:r>
              <w:t>;</w:t>
            </w:r>
          </w:p>
        </w:tc>
        <w:tc>
          <w:tcPr>
            <w:tcW w:w="4876" w:type="dxa"/>
            <w:tcBorders>
              <w:top w:val="nil"/>
              <w:left w:val="nil"/>
              <w:bottom w:val="nil"/>
              <w:right w:val="nil"/>
            </w:tcBorders>
          </w:tcPr>
          <w:p>
            <w:pPr>
              <w:pStyle w:val="Normal6a"/>
            </w:pPr>
            <w:r>
              <w:t>44.</w:t>
            </w:r>
            <w:r>
              <w:tab/>
            </w:r>
            <w:r>
              <w:t>ia act de opinia Curții, exprimată în raportul de monitorizare, potrivit căreia rolul său de instituție de audit extern independentă o plasează în afara categoriei tipice a entităților care încearcă să interacționeze cu organismele decizionale ale Uniunii și să desfășoare activități de lobby pe lângă acestea; este de părere că acest argument nu este întru totul valabil, deoarece Curtea emite rapoarte speciale în care examinează dacă au fost îndeplinite obiectivele politicilor și programelor Uniunii, ceea ce conferă activității Curții fie o dimensiune politică, fie o dimensiune consultativă, chiar dacă Curtea nu este un organ decizional; reamintește, în plus, că există și alte organe ale Uniunii fără puteri decizionale, cu atribuții consultative, care s-au înscris oficial în registrul de transparență al Uniunii; își reiterează apelul adresat Curții de a se înscrie </w:t>
            </w:r>
            <w:r>
              <w:rPr>
                <w:b/>
                <w:i/>
              </w:rPr>
              <w:t>fără întârziere</w:t>
            </w:r>
            <w:r>
              <w:t xml:space="preserve"> în registrul de transparență, </w:t>
            </w:r>
            <w:r>
              <w:rPr>
                <w:b/>
                <w:i/>
              </w:rPr>
              <w:t>în conformitate cu practicile altor organisme ale Uniunii fără puteri decizionale,</w:t>
            </w:r>
            <w:r>
              <w:t xml:space="preserve"> pentru a </w:t>
            </w:r>
            <w:r>
              <w:rPr>
                <w:b/>
                <w:i/>
              </w:rPr>
              <w:t>consolida încrederea publicului, păstrându-și totodată pe deplin</w:t>
            </w:r>
            <w:r>
              <w:t xml:space="preserve"> independența </w:t>
            </w:r>
            <w:r>
              <w:rPr>
                <w:b/>
                <w:i/>
              </w:rPr>
              <w:t>de auditor extern al Uniunii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sprijină ferm eforturile Curții de a dezvolta un ecosistem de cunoștințe de audit prin digitalizare; constată, în acest context, că, potrivit chestionarului, Curtea a pus în aplicare în 2024 mai multe inițiative pentru a-și îmbunătăți capacitățile digitale și eficiența operațională, inclusiv integrarea sistemelor de informații de audit, îmbunătățirea interoperabilității dintre sisteme și aplicații, introducerea asistentului pentru citirea documentelor (DORA) pentru a sprijini gestionarea cunoștințelor în activitățile de audit, lansarea serviciului de inițiere în colecții BibliotECA și adoptarea unei noi politici de arhivare digitală; subliniază că asocierea digitalizării cu un număr mai mare de vizite la fața locului ar trebui să conducă la rezultate de audit mai eficiente și mai exacte;</w:t>
            </w:r>
          </w:p>
        </w:tc>
        <w:tc>
          <w:tcPr>
            <w:tcW w:w="4876" w:type="dxa"/>
            <w:tcBorders>
              <w:top w:val="nil"/>
              <w:left w:val="nil"/>
              <w:bottom w:val="nil"/>
              <w:right w:val="nil"/>
            </w:tcBorders>
          </w:tcPr>
          <w:p>
            <w:pPr>
              <w:pStyle w:val="Normal6a"/>
            </w:pPr>
            <w:r>
              <w:t>46.</w:t>
            </w:r>
            <w:r>
              <w:tab/>
            </w:r>
            <w:r>
              <w:t xml:space="preserve">sprijină ferm eforturile Curții de a dezvolta un ecosistem de cunoștințe de audit prin digitalizare; constată, în acest context, că, potrivit chestionarului, Curtea a pus în aplicare în 2024 mai multe inițiative pentru a-și îmbunătăți capacitățile digitale și eficiența operațională, inclusiv integrarea sistemelor de informații de audit, îmbunătățirea interoperabilității dintre sisteme și aplicații, introducerea asistentului pentru citirea documentelor (DORA) pentru a sprijini gestionarea cunoștințelor în activitățile de audit, lansarea serviciului de inițiere în colecții BibliotECA și adoptarea unei noi politici de arhivare digitală; subliniază că asocierea digitalizării cu un număr mai mare de vizite la fața locului ar trebui să conducă la rezultate de audit mai eficiente și mai exacte; </w:t>
            </w:r>
            <w:r>
              <w:rPr>
                <w:b/>
                <w:i/>
              </w:rPr>
              <w:t>încurajează realizarea de investiții suplimentare în instrumente de audit asistate de IA și în interoperabilitatea sistemelor pentru a îmbunătăți precizia auditului, a reduce sarcina administrativă și a maximiza raportul calitate-preț;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 xml:space="preserve">apreciază publicarea strategiei inițiale a Curții privind inteligența artificială și a foii de parcurs pentru implementare pentru perioada 2024-2025; constată cu satisfacție că, potrivit chestionarului, Curtea a înregistrat progrese constante în punerea în aplicare a acestei strategii, concentrându-se, printre altele, pe testarea și pregătirea pentru introducerea unor instrumente precum Microsoft Copilot și GPT@EC, pe sensibilizarea personalului cu privire la formarea specifică în domeniul IA, precum și pe testarea utilizării IA în activitatea de audit și schimbul de constatări preliminare; </w:t>
            </w:r>
            <w:r>
              <w:rPr>
                <w:b/>
                <w:i/>
              </w:rPr>
              <w:t>salută, de asemenea, consolidarea guvernanței Curții în domeniul IA în 2024 prin înființarea Comitetului consultativ</w:t>
            </w:r>
            <w:r>
              <w:t xml:space="preserve"> pentru </w:t>
            </w:r>
            <w:r>
              <w:rPr>
                <w:b/>
                <w:i/>
              </w:rPr>
              <w:t>IA și numirea unui corespondent pentru IA;</w:t>
            </w:r>
            <w:r>
              <w:t xml:space="preserve"> </w:t>
            </w:r>
            <w:r>
              <w:rPr>
                <w:b/>
                <w:i/>
              </w:rPr>
              <w:t>constată cu satisfacție că Comitetul consultativ pentru IA, al cărui rol este de a sprijini Curtea și de a-i oferi consiliere în legătură cu îndeplinirea obligațiilor sale care decurg din cadrul juridic și de etică care reglementează</w:t>
            </w:r>
            <w:r>
              <w:t xml:space="preserve"> utilizarea </w:t>
            </w:r>
            <w:r>
              <w:rPr>
                <w:b/>
                <w:i/>
              </w:rPr>
              <w:t>IA, este alcătuit din membri ai personalului care au competențe de specialitate în diferite domenii, ceea ce asigură o abordare și o înțelegere cuprinzătoare a impactului IA</w:t>
            </w:r>
            <w:r>
              <w:t>;</w:t>
            </w:r>
          </w:p>
        </w:tc>
        <w:tc>
          <w:tcPr>
            <w:tcW w:w="4876" w:type="dxa"/>
            <w:tcBorders>
              <w:top w:val="nil"/>
              <w:left w:val="nil"/>
              <w:bottom w:val="nil"/>
              <w:right w:val="nil"/>
            </w:tcBorders>
          </w:tcPr>
          <w:p>
            <w:pPr>
              <w:pStyle w:val="Normal6a"/>
            </w:pPr>
            <w:r>
              <w:t>47.</w:t>
            </w:r>
            <w:r>
              <w:tab/>
            </w:r>
            <w:r>
              <w:t xml:space="preserve">apreciază publicarea strategiei inițiale a Curții privind inteligența artificială și a foii de parcurs pentru implementare pentru perioada 2024-2025; constată cu satisfacție că, potrivit chestionarului, Curtea a înregistrat progrese constante în punerea în aplicare a acestei strategii, concentrându-se, printre altele, pe testarea și pregătirea pentru introducerea unor instrumente precum Microsoft Copilot și GPT@EC, pe sensibilizarea personalului cu privire la formarea specifică în domeniul IA, precum și pe testarea utilizării IA în activitatea de audit și schimbul de constatări preliminare; </w:t>
            </w:r>
            <w:r>
              <w:rPr>
                <w:b/>
                <w:i/>
              </w:rPr>
              <w:t>ia la cunoștință dezvoltarea de către Curte a unei strategii</w:t>
            </w:r>
            <w:r>
              <w:t xml:space="preserve"> pentru </w:t>
            </w:r>
            <w:r>
              <w:rPr>
                <w:b/>
                <w:i/>
              </w:rPr>
              <w:t>utilizarea instrumentelor IA;</w:t>
            </w:r>
            <w:r>
              <w:t xml:space="preserve"> </w:t>
            </w:r>
            <w:r>
              <w:rPr>
                <w:b/>
                <w:i/>
              </w:rPr>
              <w:t>subliniază că</w:t>
            </w:r>
            <w:r>
              <w:t xml:space="preserve"> utilizarea </w:t>
            </w:r>
            <w:r>
              <w:rPr>
                <w:b/>
                <w:i/>
              </w:rPr>
              <w:t>lor trebuie să fie strict limitată la activitățile legate de audit și evaluată periodic din perspectiva raportului costuri-beneficii, a securității datelor și a valorii adăugate</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apreciază publicarea strategiei inițiale a Curții privind inteligența artificială și a foii de parcurs pentru implementare pentru perioada 2024-2025; constată cu satisfacție că, potrivit chestionarului, Curtea a înregistrat progrese constante în punerea în aplicare a acestei strategii, concentrându-se, printre altele, pe testarea și pregătirea pentru introducerea unor instrumente precum Microsoft Copilot și GPT@EC, pe sensibilizarea personalului cu privire la formarea specifică în domeniul IA, precum și pe testarea utilizării IA în activitatea de audit și schimbul de constatări preliminare; salută, de asemenea, consolidarea guvernanței Curții în domeniul IA în 2024 prin înființarea Comitetului consultativ pentru IA și numirea unui corespondent pentru IA; constată cu satisfacție că Comitetul consultativ pentru IA, al cărui rol este de a sprijini Curtea și de a-i oferi consiliere în legătură cu îndeplinirea obligațiilor sale care decurg din cadrul juridic și de etică care reglementează utilizarea IA, este alcătuit din membri ai personalului care au competențe de specialitate în diferite domenii, ceea ce asigură o abordare și o înțelegere cuprinzătoare a impactului IA;</w:t>
            </w:r>
          </w:p>
        </w:tc>
        <w:tc>
          <w:tcPr>
            <w:tcW w:w="4876" w:type="dxa"/>
            <w:tcBorders>
              <w:top w:val="nil"/>
              <w:left w:val="nil"/>
              <w:bottom w:val="nil"/>
              <w:right w:val="nil"/>
            </w:tcBorders>
          </w:tcPr>
          <w:p>
            <w:pPr>
              <w:pStyle w:val="Normal6a"/>
            </w:pPr>
            <w:r>
              <w:t>47.</w:t>
            </w:r>
            <w:r>
              <w:tab/>
            </w:r>
            <w:r>
              <w:t xml:space="preserve">apreciază publicarea strategiei inițiale a Curții privind inteligența artificială și a foii de parcurs pentru implementare pentru perioada 2024-2025; constată cu satisfacție că, potrivit chestionarului, Curtea a înregistrat progrese constante în punerea în aplicare a acestei strategii, concentrându-se, printre altele, pe testarea și pregătirea pentru introducerea unor instrumente precum Microsoft Copilot și GPT@EC, pe sensibilizarea personalului cu privire la formarea specifică în domeniul IA, precum și pe testarea utilizării IA în activitatea de audit și schimbul de constatări preliminare; salută, de asemenea, consolidarea guvernanței Curții în domeniul IA în 2024 prin înființarea Comitetului consultativ pentru IA și numirea unui corespondent pentru IA; constată cu satisfacție că Comitetul consultativ pentru IA, al cărui rol este de a sprijini Curtea și de a-i oferi consiliere în legătură cu îndeplinirea obligațiilor sale care decurg din cadrul juridic și de etică care reglementează utilizarea IA, este alcătuit din membri ai personalului care au competențe de specialitate în diferite domenii, ceea ce asigură o abordare și o înțelegere cuprinzătoare a impactului IA; </w:t>
            </w:r>
            <w:r>
              <w:rPr>
                <w:b/>
                <w:i/>
              </w:rPr>
              <w:t>invită Curtea, în cadrul strategiei sale privind inteligența artificială, să elaboreze indicatori clari pentru a evalua valoarea adăugată, riscurile și limitările instrumentelor de audit sprijinite de IA și să raporteze periodic Parlamentului cu privire la impactul acestora asupra calității auditului, a transparenței și a răspunderii;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apreciază publicarea strategiei inițiale a Curții privind inteligența artificială și a foii de parcurs pentru implementare pentru perioada 2024-2025; constată cu satisfacție că, potrivit chestionarului, Curtea a înregistrat progrese constante în punerea în aplicare a acestei strategii, concentrându-se, printre altele, pe testarea și pregătirea pentru introducerea unor instrumente precum Microsoft Copilot și GPT@EC, pe sensibilizarea personalului cu privire la formarea specifică în domeniul IA, precum și pe testarea utilizării IA în activitatea de audit și schimbul de constatări preliminare; salută, de asemenea, consolidarea guvernanței Curții în domeniul IA în 2024 prin înființarea Comitetului consultativ pentru IA și numirea unui corespondent pentru IA; constată cu satisfacție că Comitetul consultativ pentru IA, al cărui rol este de a sprijini Curtea și de a-i oferi consiliere în legătură cu îndeplinirea obligațiilor sale care decurg din cadrul juridic și de etică care reglementează utilizarea IA, este alcătuit din membri ai personalului care au competențe de specialitate în diferite domenii, ceea ce asigură o abordare și o înțelegere cuprinzătoare a impactului IA;</w:t>
            </w:r>
          </w:p>
        </w:tc>
        <w:tc>
          <w:tcPr>
            <w:tcW w:w="4876" w:type="dxa"/>
            <w:tcBorders>
              <w:top w:val="nil"/>
              <w:left w:val="nil"/>
              <w:bottom w:val="nil"/>
              <w:right w:val="nil"/>
            </w:tcBorders>
          </w:tcPr>
          <w:p>
            <w:pPr>
              <w:pStyle w:val="Normal6a"/>
            </w:pPr>
            <w:r>
              <w:t>47.</w:t>
            </w:r>
            <w:r>
              <w:tab/>
            </w:r>
            <w:r>
              <w:t xml:space="preserve">apreciază publicarea strategiei inițiale a Curții privind inteligența artificială și a foii de parcurs pentru implementare pentru perioada 2024-2025; constată cu satisfacție că, potrivit chestionarului, Curtea a înregistrat progrese constante în punerea în aplicare a acestei strategii, concentrându-se, printre altele, pe testarea și pregătirea pentru introducerea unor instrumente precum Microsoft Copilot și GPT@EC, pe sensibilizarea personalului cu privire la formarea specifică în domeniul IA, precum și pe testarea utilizării IA în activitatea de audit și schimbul de constatări preliminare; salută, de asemenea, consolidarea guvernanței Curții în domeniul IA în 2024 prin înființarea Comitetului consultativ pentru IA și numirea unui corespondent pentru IA; constată cu satisfacție că Comitetul consultativ pentru IA, al cărui rol este de a sprijini Curtea și de a-i oferi consiliere în legătură cu îndeplinirea obligațiilor sale care decurg din cadrul juridic și de etică care reglementează utilizarea IA, este alcătuit din membri ai personalului care au competențe de specialitate în diferite domenii, ceea ce asigură o abordare și o înțelegere cuprinzătoare a impactului IA; </w:t>
            </w:r>
            <w:r>
              <w:rPr>
                <w:b/>
                <w:i/>
              </w:rPr>
              <w:t>subliniază că este necesar ca, în contextul utilizării inteligenței artificiale, să se garanteze respectarea unor principii stricte de utilizare etică, transparență, protecție a datelor, supraveghere umană și protecție împotriva părtinirii algoritmice sau a utilizării abuzive;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49.</w:t>
            </w:r>
            <w:r>
              <w:tab/>
            </w:r>
            <w:r>
              <w:rPr>
                <w:b/>
                <w:i/>
              </w:rPr>
              <w:t>ia act cu îngrijorare de faptul că Curtea s-a confruntat cu un atac cibernetic, revendicat de un grup pro-rus, care a scos din funcțiune site-ul public al Curții și care a făcut parte dintr-o acțiune coordonată de destabilizare a alegerilor europene din 2024;</w:t>
            </w:r>
            <w:r>
              <w:t xml:space="preserve"> </w:t>
            </w:r>
            <w:r>
              <w:rPr>
                <w:b/>
                <w:i/>
              </w:rPr>
              <w:t>salută angajamentul Curții de a reevalua riscurile în materie de securitate cibernetică cel puțin o dată la doi ani;</w:t>
            </w:r>
            <w:r>
              <w:t xml:space="preserve"> </w:t>
            </w:r>
            <w:r>
              <w:rPr>
                <w:b/>
                <w:i/>
              </w:rPr>
              <w:t>încurajează desfășurarea în continuare de evenimente periodice de formare a personalului cu privire la amenințările cibernetice, pentru a îmbunătăți reziliența instituțională;</w:t>
            </w:r>
            <w:r>
              <w:t xml:space="preserve"> </w:t>
            </w:r>
            <w:r>
              <w:rPr>
                <w:b/>
                <w:i/>
              </w:rPr>
              <w:t>invită Curtea să informeze autoritatea care acordă descărcarea de gestiune cu privire la rezultatul eventualelor evaluări ale riscurilor în materie de securitate cibernetică pe care Curtea ar putea să le efectueze în contextul punerii în aplicare a Regulamentului (UE, Euratom) 2023/2841</w:t>
            </w:r>
            <w:r>
              <w:rPr>
                <w:b/>
                <w:i/>
                <w:vertAlign w:val="superscript"/>
              </w:rPr>
              <w:t>1</w:t>
            </w:r>
            <w:r>
              <w:rPr>
                <w:b/>
                <w:i/>
              </w:rPr>
              <w:t>;</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w:t>
            </w:r>
            <w:r>
              <w:t xml:space="preserve"> </w:t>
            </w:r>
            <w:r>
              <w:rPr>
                <w:b/>
                <w:i/>
              </w:rPr>
              <w:t>Regulamentul (UE, Euratom) 2023/2841 al Parlamentului European și al Consiliului din 13 decembrie 2023 privind măsuri pentru un nivel comun ridicat de securitate cibernetică în instituțiile, organele, oficiile și agențiile Uniunii (JO L, 2023/2841, 18.12.2023, ELI: http://data.europa.eu/eli/reg/2023/2841/oj).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50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50.</w:t>
            </w:r>
            <w:r>
              <w:tab/>
            </w:r>
            <w:r>
              <w:t>salută inițiativele planificate pentru 2025 care vizează aprofundarea în continuare a transformării digitale și a securității cibernetice, cum ar fi implementarea Microsoft Copilot, implementarea modelelor locale de IA generativă și instalarea autentificării biometrice pe laptopuri; ia act, de asemenea, de planul Curții de a-și moderniza infrastructura informatică cu noi servere, de a instala noi capacități pentru reuniunile în format hibrid și de a-și intensifica cooperarea cu Comitetul interinstituțional pentru transformarea digitală în ceea ce privește tehnologiile emergente, cum ar fi IA;</w:t>
            </w:r>
          </w:p>
        </w:tc>
        <w:tc>
          <w:tcPr>
            <w:tcW w:w="4876" w:type="dxa"/>
            <w:tcBorders>
              <w:top w:val="nil"/>
              <w:left w:val="nil"/>
              <w:bottom w:val="nil"/>
              <w:right w:val="nil"/>
            </w:tcBorders>
          </w:tcPr>
          <w:p>
            <w:pPr>
              <w:pStyle w:val="Normal6a"/>
            </w:pPr>
            <w:r>
              <w:t>50.</w:t>
            </w:r>
            <w:r>
              <w:tab/>
            </w:r>
            <w:r>
              <w:t xml:space="preserve">salută inițiativele planificate pentru 2025 care vizează aprofundarea în continuare a transformării digitale și a securității cibernetice, cum ar fi implementarea Microsoft Copilot, implementarea modelelor locale de IA generativă și instalarea autentificării biometrice pe laptopuri; ia act, de asemenea, de planul Curții de a-și moderniza infrastructura informatică cu noi servere, de a instala noi capacități pentru reuniunile în format hibrid și de a-și intensifica cooperarea cu Comitetul interinstituțional pentru transformarea digitală în ceea ce privește tehnologiile emergente, cum ar fi IA; </w:t>
            </w:r>
            <w:r>
              <w:rPr>
                <w:b/>
                <w:i/>
              </w:rPr>
              <w:t>subliniază că suplimentarea cheltuielilor pentru reuniunile hibride și infrastructura tehnică ar trebui să survină doar pe baza unei analize clare a nevoilor și în cadrul limitelor bugetare existente;</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Subtitlul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Mediul și sustenabilitatea</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56.</w:t>
            </w:r>
            <w:r>
              <w:tab/>
            </w:r>
            <w:r>
              <w:rPr>
                <w:b/>
                <w:i/>
              </w:rPr>
              <w:t>salută cu satisfacție eforturile continue ale Curții de a fi o instituție sustenabilă;</w:t>
            </w:r>
            <w:r>
              <w:t xml:space="preserve"> </w:t>
            </w:r>
            <w:r>
              <w:rPr>
                <w:b/>
                <w:i/>
              </w:rPr>
              <w:t>ia act de faptul că, în 2024, Curtea a publicat cel de al patrulea raport privind sustenabilitatea, care măsoară impactul economic, social și de mediu al activităților Curții;</w:t>
            </w:r>
            <w:r>
              <w:t xml:space="preserve"> </w:t>
            </w:r>
            <w:r>
              <w:rPr>
                <w:b/>
                <w:i/>
              </w:rPr>
              <w:t>constată cu satisfacție că 91 % dintre rapoartele speciale și analizele publicate de Curte în 2024 au vizat subiecte legate de obiectivele de dezvoltare durabilă ale Organizației Națiunilor Unite;</w:t>
            </w:r>
            <w:r>
              <w:t xml:space="preserve"> </w:t>
            </w:r>
            <w:r>
              <w:rPr>
                <w:b/>
                <w:i/>
              </w:rPr>
              <w:t>salută faptul că, în 2024, 40 % din contractele de achiziții ale Curții au inclus criterii privind economia verde și circulară, iar 98 % din bunurile și serviciile achiziționate de Curte au provenit de la furnizori locali;</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57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57.</w:t>
            </w:r>
            <w:r>
              <w:tab/>
            </w:r>
            <w:r>
              <w:rPr>
                <w:b/>
                <w:i/>
              </w:rPr>
              <w:t>ia act de faptul că Curtea dispune de certificatul EMAS și are o politică de mediu din 2014, care a fost actualizată în 2025;</w:t>
            </w:r>
            <w:r>
              <w:t xml:space="preserve"> </w:t>
            </w:r>
            <w:r>
              <w:rPr>
                <w:b/>
                <w:i/>
              </w:rPr>
              <w:t>ia act de faptul că Curtea își măsoară amprenta de carbon utilizând cea mai recentă versiune a metodei „Bilan Carbon”, care vizează elemente operaționale (activitățile Curții) și organizaționale (cele trei clădiri din Luxemburg);</w:t>
            </w:r>
            <w:r>
              <w:t xml:space="preserve"> </w:t>
            </w:r>
            <w:r>
              <w:rPr>
                <w:b/>
                <w:i/>
              </w:rPr>
              <w:t>ia act de faptul că emisiile totale de gaze cu efect de seră ale Curții au fost de 9 108 tone de CO</w:t>
            </w:r>
            <w:r>
              <w:rPr>
                <w:b/>
                <w:i/>
                <w:vertAlign w:val="subscript"/>
              </w:rPr>
              <w:t>2</w:t>
            </w:r>
            <w:r>
              <w:rPr>
                <w:b/>
                <w:i/>
              </w:rPr>
              <w:t xml:space="preserve"> în 2024, ceea ce reprezintă o scădere de 15 % față de emisiile din 2014, dar o creștere de 1,60 % față de cele din 2023;</w:t>
            </w:r>
            <w:r>
              <w:t xml:space="preserve"> </w:t>
            </w:r>
            <w:r>
              <w:rPr>
                <w:b/>
                <w:i/>
              </w:rPr>
              <w:t>ia act de faptul că achizițiile de bunuri și servicii și transportul de călători au contribuit cel mai mult la totalul emisiilor Curții în 2024, și anume 31 % și, respectiv, 29 %;</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Ondřej Knotek, Julien Sanchez, 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57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57a.</w:t>
            </w:r>
            <w:r>
              <w:tab/>
            </w:r>
            <w:r>
              <w:rPr>
                <w:b/>
                <w:i/>
              </w:rPr>
              <w:t>accentuează că inițiativele de mediu din instituțiile Uniunii trebuie să rămână eficiente din punctul de vedere al costurilor și neutre din punct de vedere tehnologic;</w:t>
            </w:r>
            <w:r>
              <w:t xml:space="preserve"> </w:t>
            </w:r>
            <w:r>
              <w:rPr>
                <w:b/>
                <w:i/>
              </w:rPr>
              <w:t>invită Curtea să prezinte o analiză cost-beneficiu transparentă a investițiilor verzi și a practicilor sale de achiziții publice și să se asigure că aspectele de mediu nu prevalează asupra eficienței sau a disciplinei bugetare;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58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58.</w:t>
            </w:r>
            <w:r>
              <w:tab/>
            </w:r>
            <w:r>
              <w:rPr>
                <w:b/>
                <w:i/>
              </w:rPr>
              <w:t>ia act cu satisfacție de declarația de mediu a Curții în care sunt prezentate rezultatele pentru 2024, inclusiv acțiunile deja întreprinse și cele planificate spre realizare pentru a se reduce impactul activităților Curții asupra mediului și pentru a se atinge sau depăși obiectivele sale anuale de performanță de mediu;</w:t>
            </w:r>
            <w:r>
              <w:t xml:space="preserve"> </w:t>
            </w:r>
            <w:r>
              <w:rPr>
                <w:b/>
                <w:i/>
              </w:rPr>
              <w:t>ia act de faptul că Curtea își măsoară performanța de mediu utilizând o serie de indicatori și parametri de excelență;</w:t>
            </w:r>
            <w:r>
              <w:t xml:space="preserve"> </w:t>
            </w:r>
            <w:r>
              <w:rPr>
                <w:b/>
                <w:i/>
              </w:rPr>
              <w:t>ia act de faptul că Curtea are o serie de obiective generale și concrete în cadrul programului său de mediu pentru perioada 2023-2025, majoritatea fiind atinse în 2024, în special în ceea ce privește reducerea consumului de energie al Curții (energie electrică: -24 %;</w:t>
            </w:r>
            <w:r>
              <w:t xml:space="preserve"> </w:t>
            </w:r>
            <w:r>
              <w:rPr>
                <w:b/>
                <w:i/>
              </w:rPr>
              <w:t>încălzire: -21,80 %), a emisiilor atmosferice (-30 %) și a consumului de apă (-45 %) și majorarea numărului de proceduri de achiziții publice care includ criterii de mediu (peste 30 %);</w:t>
            </w:r>
            <w:r>
              <w:t xml:space="preserve"> </w:t>
            </w:r>
            <w:r>
              <w:rPr>
                <w:b/>
                <w:i/>
              </w:rPr>
              <w:t>constată, cu toate acestea, o inversare a tendinței în ceea ce privește numărul de pagini imprimate (+9,1 %) și reducerea deșeurilor generate anual (+27,50 %);</w:t>
            </w:r>
            <w:r>
              <w:t xml:space="preserve"> </w:t>
            </w:r>
            <w:r>
              <w:rPr>
                <w:b/>
                <w:i/>
              </w:rPr>
              <w:t>apreciază măsurile întreprinse de Curte pentru a contrabalansa impactul său negativ asupra biodiversității;</w:t>
            </w:r>
            <w:r>
              <w:t xml:space="preserve"> </w:t>
            </w:r>
            <w:r>
              <w:rPr>
                <w:b/>
                <w:i/>
              </w:rPr>
              <w:t>ia act de faptul că Curtea găzduiește, la sediul său, mai multe colonii de albine care produc miere, aceasta fiind recoltată de voluntari din rândul personalului, și participă la inițiative de plantare a arborilor în Luxemburg;</w:t>
            </w:r>
            <w:r>
              <w:t xml:space="preserve"> </w:t>
            </w:r>
            <w:r>
              <w:rPr>
                <w:b/>
                <w:i/>
              </w:rPr>
              <w:t>Curtea a participat, de asemenea, și la alte activități legate de mediu în cadrul zilelor interinstituționale EMAS ale UE din 2024;</w:t>
            </w:r>
            <w:r>
              <w:t xml:space="preserve"> </w:t>
            </w:r>
            <w:r>
              <w:rPr>
                <w:b/>
                <w:i/>
              </w:rPr>
              <w:t>salută faptul că numărul angajaților care utilizează bicicletele publice din Luxemburg a crescut de la 172 în 2023 la 201 în 2024;</w:t>
            </w:r>
            <w:r>
              <w:t xml:space="preserve"> </w:t>
            </w:r>
            <w:r>
              <w:rPr>
                <w:b/>
                <w:i/>
              </w:rPr>
              <w:t>salută sprijinul acordat de Curte pentru utilizarea soluțiilor de mobilitate de către navetiști, cum ar fi mersul cu bicicleta, prin acoperirea costurilor abonamentelor pentru sistemul de biciclete publice din Luxemburg sau pentru transportul în comun, prin rambursarea parțială a abonamentelor pentru personalul transfrontalier, numărul membrilor personalului care beneficiază de acest tip de sistem de rambursare crescând de la 28 în 2023 la 30 în 2024;</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63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63a.</w:t>
            </w:r>
            <w:r>
              <w:tab/>
            </w:r>
            <w:r>
              <w:rPr>
                <w:b/>
                <w:i/>
              </w:rPr>
              <w:t>subliniază rolul important al CCE în arhitectura antifraudă;</w:t>
            </w:r>
            <w:r>
              <w:t xml:space="preserve"> </w:t>
            </w:r>
            <w:r>
              <w:rPr>
                <w:b/>
                <w:i/>
              </w:rPr>
              <w:t>observă că auditurile și rapoartele sale speciale identifică în mod sistematic deficiențele, neregulile și riscurile, declanșând astfel acțiuni corective și de recuperare din partea Comisiei, a statelor membre și a altor actori din arhitectura antifraudă;</w:t>
            </w:r>
            <w:r>
              <w:t xml:space="preserve"> </w:t>
            </w:r>
            <w:r>
              <w:rPr>
                <w:b/>
                <w:i/>
              </w:rPr>
              <w:t>prin această funcție de supraveghere, CCE nu numai că îmbunătățește transparența și responsabilitatea, ci și consolidează capacitatea generală de descurajare și detectare a sistemului UE, garantând că fondurile publice sunt gestionate corect și protejate împotriva fraudei și a utilizării abuzive.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65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65.</w:t>
            </w:r>
            <w:r>
              <w:tab/>
            </w:r>
            <w:r>
              <w:rPr>
                <w:b/>
                <w:i/>
              </w:rPr>
              <w:t>își exprimă din nou regretul</w:t>
            </w:r>
            <w:r>
              <w:t xml:space="preserve"> cu privire la </w:t>
            </w:r>
            <w:r>
              <w:rPr>
                <w:b/>
                <w:i/>
              </w:rPr>
              <w:t>faptul că, în pofida îmbunătățirii accesului la documentele și informațiile Băncii Europene</w:t>
            </w:r>
            <w:r>
              <w:t xml:space="preserve"> de Investiții </w:t>
            </w:r>
            <w:r>
              <w:rPr>
                <w:b/>
                <w:i/>
              </w:rPr>
              <w:t>(BEI), Curtea nu dispune de un mandat de a supune auditului operațiunile finanțate din fondurile proprii ale BEI;</w:t>
            </w:r>
            <w:r>
              <w:t xml:space="preserve"> </w:t>
            </w:r>
            <w:r>
              <w:rPr>
                <w:b/>
                <w:i/>
              </w:rPr>
              <w:t>solicită să se acorde Curții acest mandat, având în vedere misiunea BEI de a îndeplini obiectivele Uniunii și rolul său din ce în ce mai important în peisajul economic și politic al Uniunii, care depășește utilizarea bugetului Uniunii pentru a garanta operațiunile sale;</w:t>
            </w:r>
            <w:r>
              <w:t xml:space="preserve"> </w:t>
            </w:r>
            <w:r>
              <w:rPr>
                <w:b/>
                <w:i/>
              </w:rPr>
              <w:t>reamintește că, în Raportul special 05/2023 intitulat „Peisajul financiar al UE – O construcție eterogenă care</w:t>
            </w:r>
            <w:r>
              <w:t xml:space="preserve"> necesită </w:t>
            </w:r>
            <w:r>
              <w:rPr>
                <w:b/>
                <w:i/>
              </w:rPr>
              <w:t>progrese în materie de simplificare și de răspundere de gestiune”, Curtea a afirmat că ar trebui instituit un mandat de audit public pentru toate tipurile de finanțare a politicilor Uniunii</w:t>
            </w:r>
            <w:r>
              <w:t>;</w:t>
            </w:r>
          </w:p>
        </w:tc>
        <w:tc>
          <w:tcPr>
            <w:tcW w:w="4876" w:type="dxa"/>
            <w:tcBorders>
              <w:top w:val="nil"/>
              <w:left w:val="nil"/>
              <w:bottom w:val="nil"/>
              <w:right w:val="nil"/>
            </w:tcBorders>
          </w:tcPr>
          <w:p>
            <w:pPr>
              <w:pStyle w:val="Normal6a"/>
            </w:pPr>
            <w:r>
              <w:t>65.</w:t>
            </w:r>
            <w:r>
              <w:tab/>
            </w:r>
            <w:r>
              <w:rPr>
                <w:b/>
                <w:i/>
              </w:rPr>
              <w:t>reamintește că orice lărgire a mandatului de audit al Curții</w:t>
            </w:r>
            <w:r>
              <w:t xml:space="preserve"> cu privire la </w:t>
            </w:r>
            <w:r>
              <w:rPr>
                <w:b/>
                <w:i/>
              </w:rPr>
              <w:t>Banca Europeană</w:t>
            </w:r>
            <w:r>
              <w:t xml:space="preserve"> de Investiții necesită </w:t>
            </w:r>
            <w:r>
              <w:rPr>
                <w:b/>
                <w:i/>
              </w:rPr>
              <w:t>un temei juridic clar și o evaluare atentă a competențelor</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68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68.</w:t>
            </w:r>
            <w:r>
              <w:tab/>
            </w:r>
            <w:r>
              <w:rPr>
                <w:b/>
                <w:i/>
              </w:rPr>
              <w:t>sprijină strategia mediatică tot mai puternică a Curții, care s-a concretizat în înregistrarea unui număr record de peste 24 000 de articole de presă publicate online în 2024, care au vizat rapoartele de audit ale Curții, alte publicații sau Curtea în general, confirmându-se astfel tendința observată în ultimii ani ce trădează o acoperire tot mai amplă (2023:</w:t>
            </w:r>
            <w:r>
              <w:t xml:space="preserve"> </w:t>
            </w:r>
            <w:r>
              <w:rPr>
                <w:b/>
                <w:i/>
              </w:rPr>
              <w:t>22 000;</w:t>
            </w:r>
            <w:r>
              <w:t xml:space="preserve"> </w:t>
            </w:r>
            <w:r>
              <w:rPr>
                <w:b/>
                <w:i/>
              </w:rPr>
              <w:t>2022:</w:t>
            </w:r>
            <w:r>
              <w:t xml:space="preserve"> </w:t>
            </w:r>
            <w:r>
              <w:rPr>
                <w:b/>
                <w:i/>
              </w:rPr>
              <w:t>20 000;</w:t>
            </w:r>
            <w:r>
              <w:t xml:space="preserve"> </w:t>
            </w:r>
            <w:r>
              <w:rPr>
                <w:b/>
                <w:i/>
              </w:rPr>
              <w:t>2021:</w:t>
            </w:r>
            <w:r>
              <w:t xml:space="preserve"> </w:t>
            </w:r>
            <w:r>
              <w:rPr>
                <w:b/>
                <w:i/>
              </w:rPr>
              <w:t>18 000);</w:t>
            </w:r>
            <w:r>
              <w:t xml:space="preserve"> </w:t>
            </w:r>
            <w:r>
              <w:rPr>
                <w:b/>
                <w:i/>
              </w:rPr>
              <w:t>constată cu satisfacție că, potrivit raportului Curții, s-a înregistrat o creștere a numărului de vizitatori ai site-ului web al Curții, lansat în 2023, în 2024 înregistrându-se 780 000 de vizite (2023:</w:t>
            </w:r>
            <w:r>
              <w:t xml:space="preserve"> </w:t>
            </w:r>
            <w:r>
              <w:rPr>
                <w:b/>
                <w:i/>
              </w:rPr>
              <w:t>700 000), 1 295 025 vizualizări unice ale paginilor și 56 440 descărcări;</w:t>
            </w:r>
            <w:r>
              <w:t xml:space="preserve"> </w:t>
            </w:r>
            <w:r>
              <w:rPr>
                <w:b/>
                <w:i/>
              </w:rPr>
              <w:t>salută faptul că, la sfârșitul anului 2024, cele patru conturi ale Curții de pe principalele platforme de comunicare socială (X, LinkedIn, Facebook, Instagram) au însumat peste 61 500 de urmăritori, un număr în creștere față de 55 000 în 2023 și 49 500 în 2022;</w:t>
            </w:r>
            <w:r>
              <w:t xml:space="preserve"> </w:t>
            </w:r>
            <w:r>
              <w:rPr>
                <w:b/>
                <w:i/>
              </w:rPr>
              <w:t>felicită Curtea pentru lansarea primului său buletin informativ lunar LinkedIn (ECA Insights) în noiembrie 2024, care conține elemente importante din rapoartele recente și analize preliminare ale viitoarelor audituri și care a atras peste 8 500 de abonați până la sfârșitul anului respectiv;</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69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69.</w:t>
            </w:r>
            <w:r>
              <w:tab/>
            </w:r>
            <w:r>
              <w:rPr>
                <w:b/>
                <w:i/>
              </w:rPr>
              <w:t>salută faptul că Curtea dispune de un site web accesibil digital (nivelul A++), care este supus auditului de două ori pe an de către un consultant extern pentru a analiza conformitatea site-ului cu standardele de accesibilitate aplicabile și pentru a identifica obstacolele care împiedică accesul utilizatorii cu dizabilități;</w:t>
            </w:r>
            <w:r>
              <w:t xml:space="preserve"> </w:t>
            </w:r>
            <w:r>
              <w:rPr>
                <w:b/>
                <w:i/>
              </w:rPr>
              <w:t>apreciază că, în general, realizarea măsurilor de accesibilitate este evaluată ca fiind foarte bună și ia act de faptul că, în urma auditului, au fost propuse unele recomandări pentru îmbunătățirea și menținerea în continuare a punctajului de accesibilitate al site-ului web;</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70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70.</w:t>
            </w:r>
            <w:r>
              <w:tab/>
            </w:r>
            <w:r>
              <w:t xml:space="preserve">ia act de faptul că, în 2024, Curtea a publicat 44 de comunicate de presă în 24 de limbi ale UE, precum și diverse note de informare, informări de presă și declarații în format audio („gata de utilizare”) în anumite limbi; constată, de asemenea, că, în anul în cauză, Curtea a organizat 20 de briefinguri de presă online și 14 briefinguri de presă suplimentare pentru anumite țări cu privire la raportul anual; </w:t>
            </w:r>
            <w:r>
              <w:rPr>
                <w:b/>
                <w:i/>
              </w:rPr>
              <w:t>subliniază faptul că, în total, briefingurile</w:t>
            </w:r>
            <w:r>
              <w:t xml:space="preserve"> Curții </w:t>
            </w:r>
            <w:r>
              <w:rPr>
                <w:b/>
                <w:i/>
              </w:rPr>
              <w:t>au atras 876 de jurnaliști, majoritatea reprezentând principalele canale mass-media naționale din statele membre</w:t>
            </w:r>
            <w:r>
              <w:t>;</w:t>
            </w:r>
          </w:p>
        </w:tc>
        <w:tc>
          <w:tcPr>
            <w:tcW w:w="4876" w:type="dxa"/>
            <w:tcBorders>
              <w:top w:val="nil"/>
              <w:left w:val="nil"/>
              <w:bottom w:val="nil"/>
              <w:right w:val="nil"/>
            </w:tcBorders>
          </w:tcPr>
          <w:p>
            <w:pPr>
              <w:pStyle w:val="Normal6a"/>
            </w:pPr>
            <w:r>
              <w:t>70.</w:t>
            </w:r>
            <w:r>
              <w:tab/>
            </w:r>
            <w:r>
              <w:t xml:space="preserve">ia act de faptul că, în 2024, Curtea a publicat 44 de comunicate de presă în 24 de limbi ale UE, precum și diverse note de informare, informări de presă și declarații în format audio („gata de utilizare”) în anumite limbi; constată, de asemenea, că, în anul în cauză, Curtea a organizat 20 de briefinguri de presă online și 14 briefinguri de presă suplimentare pentru anumite țări cu privire la raportul anual; </w:t>
            </w:r>
            <w:r>
              <w:rPr>
                <w:b/>
                <w:i/>
              </w:rPr>
              <w:t>ia cunoștință de aceste activități și evidențiază că măsurile de comunicare ale</w:t>
            </w:r>
            <w:r>
              <w:t xml:space="preserve"> Curții </w:t>
            </w:r>
            <w:r>
              <w:rPr>
                <w:b/>
                <w:i/>
              </w:rPr>
              <w:t>ar trebui limitate strict la comunicarea obiectivă a rezultatelor auditului</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70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70b.</w:t>
            </w:r>
            <w:r>
              <w:tab/>
            </w:r>
            <w:r>
              <w:rPr>
                <w:b/>
                <w:i/>
              </w:rPr>
              <w:t>salută Raportul special nr. 11/2025 al Curții de Conturi Europene:</w:t>
            </w:r>
            <w:r>
              <w:t xml:space="preserve"> </w:t>
            </w:r>
            <w:r>
              <w:rPr>
                <w:b/>
                <w:i/>
              </w:rPr>
              <w:t>Transparența finanțării acordate de UE ONG-urilor;</w:t>
            </w:r>
            <w:r>
              <w:t xml:space="preserve"> </w:t>
            </w:r>
            <w:r>
              <w:rPr>
                <w:b/>
                <w:i/>
              </w:rPr>
              <w:t>ia act cu îngrijorare de problemele identificate în acesta, inclusiv de deficiențele în materie de transparență, clasificare și supraveghere;</w:t>
            </w:r>
            <w:r>
              <w:t xml:space="preserve"> </w:t>
            </w:r>
            <w:r>
              <w:rPr>
                <w:b/>
                <w:i/>
              </w:rPr>
              <w:t>subliniază necesitatea ca CCE să continue să își consolideze monitorizarea și raportarea cu privire la aceste aspecte pentru a asigura respectarea deplină a normelor financiare, a cerințelor de transparență și a valorilor fundamentale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70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70a.</w:t>
            </w:r>
            <w:r>
              <w:tab/>
            </w:r>
            <w:r>
              <w:rPr>
                <w:b/>
                <w:i/>
              </w:rPr>
              <w:t>încurajează Curtea, în acest context, să pregătească un raport special privind finanțarea acordată de UE ONG-urilor active în Gaza și organizațiilor implicate în elaborarea manualelor școlare palestiniene;</w:t>
            </w:r>
            <w:r>
              <w:t xml:space="preserve"> </w:t>
            </w:r>
            <w:r>
              <w:rPr>
                <w:b/>
                <w:i/>
              </w:rPr>
              <w:t>subliniază că acest control este esențial pentru a se asigura că fondurile UE nu sunt deturnate, direct sau indirect, către organizații teroriste sau afiliații acestora și nici nu sunt utilizate într-un mod care promovează ura, radicalizarea sau incitarea la violență și pentru a garanta că normele financiare, standardele de transparență și valorile fundamentale ale Uniunii sunt pe deplin respectate;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71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71.</w:t>
            </w:r>
            <w:r>
              <w:tab/>
            </w:r>
            <w:r>
              <w:rPr>
                <w:b/>
                <w:i/>
              </w:rPr>
              <w:t>salută faptul că, pentru a spori implicarea publicului, Curtea a oferit cetățenilor posibilitatea, începând din 2024, de a contribui la programul său de lucru prin formularea de sugestii de audit pe site-ul Curții;</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782.521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46</w:t>
    </w:r>
    <w:r>
      <w:fldChar w:fldCharType="end"/>
    </w:r>
    <w:r>
      <w:t>/</w:t>
    </w:r>
    <w:r>
      <w:fldChar w:fldCharType="begin"/>
    </w:r>
    <w:r>
      <w:instrText xml:space="preserve"> NUMPAGES </w:instrText>
    </w:r>
    <w:r>
      <w:fldChar w:fldCharType="separate"/>
    </w:r>
    <w:r>
      <w:t>46</w:t>
    </w:r>
    <w:r>
      <w:fldChar w:fldCharType="end"/>
    </w:r>
    <w:r>
      <w:tab/>
    </w:r>
    <w:r>
      <w:rPr>
        <w:rStyle w:val="HideTWBExt"/>
      </w:rPr>
      <w:t>&lt;PathFdR&gt;</w:t>
    </w:r>
    <w:r>
      <w:t>AM\1336164RO.docx</w:t>
    </w:r>
    <w:r>
      <w:rPr>
        <w:rStyle w:val="HideTWBExt"/>
      </w:rPr>
      <w:t>&lt;/PathFdR&gt;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AM\1336164RO.docx</w:t>
    </w:r>
    <w:r>
      <w:rPr>
        <w:rStyle w:val="HideTWBExt"/>
      </w:rPr>
      <w:t>&lt;/PathFdR&gt;</w:t>
    </w:r>
    <w:r>
      <w:tab/>
    </w:r>
    <w:r>
      <w:fldChar w:fldCharType="begin"/>
    </w:r>
    <w:r>
      <w:instrText xml:space="preserve"> PAGE </w:instrText>
    </w:r>
    <w:r>
      <w:fldChar w:fldCharType="separate"/>
    </w:r>
    <w:r>
      <w:t>45</w:t>
    </w:r>
    <w:r>
      <w:fldChar w:fldCharType="end"/>
    </w:r>
    <w:r>
      <w:t>/</w:t>
    </w:r>
    <w:r>
      <w:fldChar w:fldCharType="begin"/>
    </w:r>
    <w:r>
      <w:instrText xml:space="preserve"> NUMPAGES </w:instrText>
    </w:r>
    <w:r>
      <w:fldChar w:fldCharType="separate"/>
    </w:r>
    <w:r>
      <w:t>46</w:t>
    </w:r>
    <w:r>
      <w:fldChar w:fldCharType="end"/>
    </w:r>
    <w:r>
      <w:tab/>
    </w:r>
    <w:r>
      <w:t>PE</w:t>
    </w:r>
    <w:r>
      <w:rPr>
        <w:rStyle w:val="HideTWBExt"/>
      </w:rPr>
      <w:t>&lt;NoPE&gt;</w:t>
    </w:r>
    <w:r>
      <w:t>782.521</w:t>
    </w:r>
    <w:r>
      <w:rPr>
        <w:rStyle w:val="HideTWBExt"/>
      </w:rPr>
      <w:t>&lt;/NoPE&gt;</w:t>
    </w:r>
    <w:r>
      <w:rPr>
        <w:rStyle w:val="HideTWBExt"/>
      </w:rPr>
      <w:t>&lt;Version&gt;</w:t>
    </w:r>
    <w:r>
      <w:t>v01-00</w:t>
    </w:r>
    <w:r>
      <w:rPr>
        <w:rStyle w:val="HideTWBExt"/>
      </w:rPr>
      <w:t>&lt;/Version&gt;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AM\1336164RO.docx</w:t>
    </w:r>
    <w:r>
      <w:rPr>
        <w:rStyle w:val="HideTWBExt"/>
      </w:rPr>
      <w:t>&lt;/PathFdR&gt;</w:t>
    </w:r>
    <w:r>
      <w:tab/>
    </w:r>
    <w:r>
      <w:tab/>
    </w:r>
    <w:r>
      <w:t>PE</w:t>
    </w:r>
    <w:r>
      <w:rPr>
        <w:rStyle w:val="HideTWBExt"/>
      </w:rPr>
      <w:t>&lt;NoPE&gt;</w:t>
    </w:r>
    <w:r>
      <w:t>782.521</w:t>
    </w:r>
    <w:r>
      <w:rPr>
        <w:rStyle w:val="HideTWBExt"/>
      </w:rPr>
      <w:t>&lt;/NoPE&gt;</w:t>
    </w:r>
    <w:r>
      <w:rPr>
        <w:rStyle w:val="HideTWBExt"/>
      </w:rPr>
      <w:t>&lt;Version&gt;</w:t>
    </w:r>
    <w:r>
      <w:t>v01-00</w:t>
    </w:r>
    <w:r>
      <w:rPr>
        <w:rStyle w:val="HideTWBExt"/>
      </w:rPr>
      <w:t>&lt;/Version&gt;</w:t>
    </w:r>
  </w:p>
  <w:p>
    <w:pPr>
      <w:pStyle w:val="EPFooter2"/>
    </w:pPr>
    <w:r>
      <w:t>RO</w:t>
    </w:r>
    <w:r>
      <w:tab/>
    </w:r>
    <w:r>
      <w:rPr>
        <w:rStyle w:val="EPFooter2Motto"/>
      </w:rPr>
      <w:t>Unită în diversitate</w:t>
    </w:r>
    <w:r>
      <w:tab/>
    </w:r>
    <w:r>
      <w:t>RO</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46</Pages>
  <Words>14163</Words>
  <Characters>80235</Characters>
  <Application>Microsoft Office Word</Application>
  <DocSecurity>0</DocSecurity>
  <Lines>1</Lines>
  <Paragraphs>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1336164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374781</vt:lpwstr>
  </property>
  <property fmtid="{D5CDD505-2E9C-101B-9397-08002B2CF9AE}" pid="7" name="dmxml.render.traceId">
    <vt:lpwstr>698c5edba5fdec960afabb01219e90f9</vt:lpwstr>
  </property>
  <property fmtid="{D5CDD505-2E9C-101B-9397-08002B2CF9AE}" pid="8" name="FooterPath">
    <vt:lpwstr>AM\1336164RO.docx</vt:lpwstr>
  </property>
  <property fmtid="{D5CDD505-2E9C-101B-9397-08002B2CF9AE}" pid="9" name="PE Number">
    <vt:lpwstr>782.521</vt:lpwstr>
  </property>
  <property fmtid="{D5CDD505-2E9C-101B-9397-08002B2CF9AE}" pid="10" name="UID">
    <vt:lpwstr>eu.europa.europarl-DIN1-2026-0000016605_01.00-ro-01.00_text-xml</vt:lpwstr>
  </property>
</Properties>
</file>