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Výbor pre kontrolu rozpočtu</w:t>
      </w:r>
      <w:r>
        <w:rPr>
          <w:rStyle w:val="HideTWBExt"/>
        </w:rPr>
        <w:t>&lt;/Commission&gt;</w:t>
      </w:r>
    </w:p>
    <w:p>
      <w:pPr>
        <w:pStyle w:val="LineBottom"/>
      </w:pPr>
      <w:r>
        <w:t xml:space="preserve"> </w:t>
      </w:r>
    </w:p>
    <w:p>
      <w:pPr>
        <w:pStyle w:val="CoverReference"/>
      </w:pPr>
      <w:r>
        <w:rPr>
          <w:rStyle w:val="HideTWBExt"/>
        </w:rPr>
        <w:t>&lt;RefProc&gt;</w:t>
      </w:r>
      <w:r>
        <w:t>2025/2149</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1</w:t>
      </w:r>
      <w:r>
        <w:t xml:space="preserve"> - </w:t>
      </w:r>
      <w:r>
        <w:t>58</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(PE778.062v01-00)</w:t>
      </w:r>
      <w:r>
        <w:rPr>
          <w:rStyle w:val="HideTWBExt"/>
        </w:rPr>
        <w:t>&lt;/DocRefPE&gt;</w:t>
      </w:r>
    </w:p>
    <w:p>
      <w:pPr>
        <w:pStyle w:val="CoverNormal"/>
      </w:pPr>
      <w:r>
        <w:rPr>
          <w:rStyle w:val="HideTWBExt"/>
        </w:rPr>
        <w:t>&lt;Titre&gt;</w:t>
      </w:r>
      <w:r>
        <w:t>Absolutórium za rok 2024: všeobecný rozpočet EÚ – Dvor audítorov</w:t>
      </w:r>
      <w:r>
        <w:rPr>
          <w:rStyle w:val="HideTWBExt"/>
        </w:rPr>
        <w:t>&lt;/Titre&gt;</w:t>
      </w:r>
    </w:p>
    <w:p>
      <w:pPr>
        <w:pStyle w:val="CoverNormal24a"/>
      </w:pPr>
      <w:r>
        <w:rPr>
          <w:rStyle w:val="HideTWBExt"/>
        </w:rPr>
        <w:t>&lt;DocRef&gt;</w:t>
      </w:r>
      <w:r>
        <w:t>(2025/2149(DEC))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konštatuje, že rozpočet Dvora audítorov patrí do okruhu 7 VFR „Európska verejná správa“, ktorý v roku </w:t>
            </w:r>
            <w:r>
              <w:rPr>
                <w:b/>
                <w:i/>
              </w:rPr>
              <w:t>2023</w:t>
            </w:r>
            <w:r>
              <w:t xml:space="preserve"> predstavoval 13,3 miliardy EUR (čo predstavuje 6,9 % celkového rozpočtu Únie); konštatuje, že rozpočet Dvora audítorov vo výške približne 0,2 miliardy EUR predstavuje zhruba 1,5 % celkových administratívnych výdavkov Únie;</w:t>
            </w:r>
          </w:p>
        </w:tc>
        <w:tc>
          <w:tcPr>
            <w:tcW w:w="4876" w:type="dxa"/>
            <w:tcBorders>
              <w:top w:val="nil"/>
              <w:left w:val="nil"/>
              <w:bottom w:val="nil"/>
              <w:right w:val="nil"/>
            </w:tcBorders>
          </w:tcPr>
          <w:p>
            <w:pPr>
              <w:pStyle w:val="Normal6a"/>
            </w:pPr>
            <w:r>
              <w:t>1.</w:t>
            </w:r>
            <w:r>
              <w:tab/>
            </w:r>
            <w:r>
              <w:t xml:space="preserve">konštatuje, že rozpočet Dvora audítorov patrí do okruhu 7 VFR „Európska verejná správa“, ktorý v roku </w:t>
            </w:r>
            <w:r>
              <w:rPr>
                <w:b/>
                <w:i/>
              </w:rPr>
              <w:t>2024</w:t>
            </w:r>
            <w:r>
              <w:t xml:space="preserve"> predstavoval 13,3 miliardy EUR (čo predstavuje 6,9 % celkového rozpočtu Únie);konštatuje, že rozpočet Dvora audítorov vo výške približne 0,2 miliardy EUR predstavuje zhruba 1,5 % celkových administratívnych výdavkov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berie na vedomie oznámenie Dvora audítorov z 1. októbra 2025 o zavedení revidovaného prístupu k auditu spoločných podnikov počnúc rozpočtovým rokom 2025;</w:t>
            </w:r>
            <w:r>
              <w:t xml:space="preserve"> </w:t>
            </w:r>
            <w:r>
              <w:rPr>
                <w:b/>
                <w:i/>
              </w:rPr>
              <w:t>konštatuje, že túto zmenu podnietili okrem iného obmedzené personálne kapacity a ukončenie auditov spoločných podnikov v rámci programu Horizont Európa útvarom Komisie pre vnútorný audit, ktorý predtým vykonával audit spoločných podnikov, čím sa obmedzila dostupnosť doplnkového uistenia auditu;</w:t>
            </w:r>
            <w:r>
              <w:t xml:space="preserve"> </w:t>
            </w:r>
            <w:r>
              <w:rPr>
                <w:b/>
                <w:i/>
              </w:rPr>
              <w:t>ďalej poznamenáva, že nový prístup predpokladá primeranú veľkosť audítorskej vzorky, konsolidáciu audítorskej práce vo všetkých spoločných podnikoch a vydanie dvoch samostatných vyhlásení o vierohodnosti, ktoré budú podopreté dodatočnými tematickými a osobitnými správami;</w:t>
            </w:r>
            <w:r>
              <w:t xml:space="preserve"> </w:t>
            </w:r>
            <w:r>
              <w:rPr>
                <w:b/>
                <w:i/>
              </w:rPr>
              <w:t>vyzýva Dvor audítorov, aby zabezpečil včasné zavedenie revidovanej metodiky a aby táto metodika naďalej spĺňala najvyššie štandardy kvality, spoľahlivosti a uistenia auditu v záujme ochrany finančných záujmov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konštatuje, že miera plnenia záväzkov a platieb na rok 2024 zostala vysoká, takmer rovnaká ako v roku 2023, pričom miera čerpania rozpočtových prostriedkov dosiahla 97,30 % a platby predstavovali 94,81 % celkových záväzkov v roku 2024; všíma si zvýšenie zrušených rozpočtových prostriedkov ku koncu roka z približne 3,4 milióna EUR v roku 2023 na 4,4 milióna EUR v roku 2024; vyzdvihuje skutočnosť, že Dvor audítorov v roku 2024 udržal priemernú lehotu splatnosti faktúr kratšiu ako 11 dní;</w:t>
            </w:r>
          </w:p>
        </w:tc>
        <w:tc>
          <w:tcPr>
            <w:tcW w:w="4876" w:type="dxa"/>
            <w:tcBorders>
              <w:top w:val="nil"/>
              <w:left w:val="nil"/>
              <w:bottom w:val="nil"/>
              <w:right w:val="nil"/>
            </w:tcBorders>
          </w:tcPr>
          <w:p>
            <w:pPr>
              <w:pStyle w:val="Normal6a"/>
            </w:pPr>
            <w:r>
              <w:t>7.</w:t>
            </w:r>
            <w:r>
              <w:tab/>
            </w:r>
            <w:r>
              <w:t xml:space="preserve">konštatuje, že miera plnenia záväzkov a platieb na rok 2024 zostala vysoká, takmer rovnaká ako v roku 2023, pričom miera čerpania rozpočtových prostriedkov dosiahla 97,30 % a platby predstavovali 94,81 % celkových záväzkov v roku 2024; všíma si zvýšenie zrušených rozpočtových prostriedkov ku koncu roka z približne 3,4 milióna EUR v roku 2023 na 4,4 milióna EUR v roku 2024; vyzdvihuje skutočnosť, že Dvor audítorov v roku 2024 udržal priemernú lehotu splatnosti faktúr kratšiu ako 11 dní; </w:t>
            </w:r>
            <w:r>
              <w:rPr>
                <w:b/>
                <w:i/>
              </w:rPr>
              <w:t>nabáda Dvor audítorov, aby zachoval prísnu nákladovú disciplínu, naďalej uprednostňoval prevádzkovú efektívnosť a ďalej znižoval zrušenia ma konci roka, čím zlepší efektívnosť a pomer nákladov a prínosov pri využívaní svojich rozpočtových prostriedkov;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konštatuje, že podľa dotazníka Dvor audítorov pocítil vplyv ruskej útočnej vojny proti Ukrajine prostredníctvom zvýšenia nákladov na tovar, služby a logistiku v roku 2024 spôsobeného infláciou; víta opatrenia Dvora audítorov na boj proti takýmto účinkom prostredníctvom podrobnejších analýz pred uvedením na trh s cieľom zabezpečiť realistické plánovanie a účinné obstarávanie; ďalej s uspokojením konštatuje, že náklady Dvora audítorov na spotrebu energie (</w:t>
            </w:r>
            <w:r>
              <w:rPr>
                <w:b/>
                <w:i/>
              </w:rPr>
              <w:t>rozpočtový bod</w:t>
            </w:r>
            <w:r>
              <w:t xml:space="preserve"> č. 2024) výrazne klesli z 1 556 671 EUR v roku 2023 na 887 827 EUR v roku 2024, najmä z dôvodu zníženia pevnej ceny elektrickej energie v súlade s medziinštitucionálnou zmluvou s príslušným poskytovateľom; uznáva, že je potrebné, aby všetky inštitúcie Únie zlepšili svoje rozpočtové hospodárenie, a to aj tým, že pri uzatváraní zmlúv s poskytovateľmi služieb zohľadnia nestálosť cien, najmä v sektore energetiky;</w:t>
            </w:r>
          </w:p>
        </w:tc>
        <w:tc>
          <w:tcPr>
            <w:tcW w:w="4876" w:type="dxa"/>
            <w:tcBorders>
              <w:top w:val="nil"/>
              <w:left w:val="nil"/>
              <w:bottom w:val="nil"/>
              <w:right w:val="nil"/>
            </w:tcBorders>
          </w:tcPr>
          <w:p>
            <w:pPr>
              <w:pStyle w:val="Normal6a"/>
            </w:pPr>
            <w:r>
              <w:t>9.</w:t>
            </w:r>
            <w:r>
              <w:tab/>
            </w:r>
            <w:r>
              <w:t xml:space="preserve">konštatuje, že podľa dotazníka Dvor audítorov pocítil vplyv </w:t>
            </w:r>
            <w:r>
              <w:rPr>
                <w:b/>
                <w:i/>
              </w:rPr>
              <w:t>nezákonnej</w:t>
            </w:r>
            <w:r>
              <w:t xml:space="preserve"> ruskej útočnej vojny proti Ukrajine prostredníctvom zvýšenia nákladov na tovar, služby a logistiku v roku 2024 spôsobeného infláciou; víta opatrenia Dvora audítorov na boj proti takýmto účinkom prostredníctvom podrobnejších analýz pred uvedením na trh s cieľom zabezpečiť realistické plánovanie a účinné obstarávanie; ďalej s uspokojením konštatuje, že náklady Dvora audítorov na spotrebu energie (</w:t>
            </w:r>
            <w:r>
              <w:rPr>
                <w:b/>
                <w:i/>
              </w:rPr>
              <w:t>rozpočtová položka</w:t>
            </w:r>
            <w:r>
              <w:t xml:space="preserve"> č. 2024) výrazne klesli z 1 556 671 EUR v roku 2023 na 887 827 EUR v roku 2024, najmä z dôvodu zníženia pevnej ceny elektrickej energie v súlade s medziinštitucionálnou zmluvou s príslušným poskytovateľom; uznáva, že je potrebné, aby všetky inštitúcie Únie zlepšili svoje rozpočtové hospodárenie, a to aj tým, že pri uzatváraní zmlúv s poskytovateľmi služieb zohľadnia nestálosť cien, najmä v sektore energetiky;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s uspokojením</w:t>
            </w:r>
            <w:r>
              <w:t xml:space="preserve"> konštatuje, že podľa dotazníka sa rozpočtové prostriedky </w:t>
            </w:r>
            <w:r>
              <w:rPr>
                <w:b/>
                <w:i/>
              </w:rPr>
              <w:t>v rozpočtovej položke</w:t>
            </w:r>
            <w:r>
              <w:t xml:space="preserve"> Dvora audítorov </w:t>
            </w:r>
            <w:r>
              <w:rPr>
                <w:b/>
                <w:i/>
              </w:rPr>
              <w:t>na publikácie</w:t>
            </w:r>
            <w:r>
              <w:t xml:space="preserve"> znížili </w:t>
            </w:r>
            <w:r>
              <w:rPr>
                <w:b/>
                <w:i/>
              </w:rPr>
              <w:t>z 810 000 EUR v roku 2014 na 300 000 EUR v roku 2024 v dôsledku zvýšenia internej produkcie správ a virtuálnej propagácie publikácií</w:t>
            </w:r>
            <w:r>
              <w:t xml:space="preserve">; </w:t>
            </w:r>
            <w:r>
              <w:rPr>
                <w:b/>
                <w:i/>
              </w:rPr>
              <w:t>konštatuje, že odhady Dvora audítorov pre túto rozpočtovú položku sa v nasledujúcich rozpočtových rokoch ďalej znižovali;</w:t>
            </w:r>
            <w:r>
              <w:t xml:space="preserve"> </w:t>
            </w:r>
            <w:r>
              <w:rPr>
                <w:b/>
                <w:i/>
              </w:rPr>
              <w:t>ďalej</w:t>
            </w:r>
            <w:r>
              <w:t xml:space="preserve"> berie na vedomie </w:t>
            </w:r>
            <w:r>
              <w:rPr>
                <w:b/>
                <w:i/>
              </w:rPr>
              <w:t>tendenciu Dvora audítorov znižovať rozpočet na tlmočenie a služby odborníkov (konzultácie, štúdie atď.) a plán vyradiť z prevádzky pevnú telefónnu sieť s cieľom dosiahnuť</w:t>
            </w:r>
            <w:r>
              <w:t xml:space="preserve"> ďalšie úspory;</w:t>
            </w:r>
          </w:p>
        </w:tc>
        <w:tc>
          <w:tcPr>
            <w:tcW w:w="4876" w:type="dxa"/>
            <w:tcBorders>
              <w:top w:val="nil"/>
              <w:left w:val="nil"/>
              <w:bottom w:val="nil"/>
              <w:right w:val="nil"/>
            </w:tcBorders>
          </w:tcPr>
          <w:p>
            <w:pPr>
              <w:pStyle w:val="Normal6a"/>
            </w:pPr>
            <w:r>
              <w:t>12.</w:t>
            </w:r>
            <w:r>
              <w:tab/>
            </w:r>
            <w:r>
              <w:t xml:space="preserve">konštatuje, že podľa dotazníka sa rozpočtové prostriedky </w:t>
            </w:r>
            <w:r>
              <w:rPr>
                <w:b/>
                <w:i/>
              </w:rPr>
              <w:t>na publikácie</w:t>
            </w:r>
            <w:r>
              <w:t xml:space="preserve"> Dvora audítorov </w:t>
            </w:r>
            <w:r>
              <w:rPr>
                <w:b/>
                <w:i/>
              </w:rPr>
              <w:t>v období 2014 – 2024 výrazne</w:t>
            </w:r>
            <w:r>
              <w:t xml:space="preserve"> znížili; berie </w:t>
            </w:r>
            <w:r>
              <w:rPr>
                <w:b/>
                <w:i/>
              </w:rPr>
              <w:t>tento vývoj</w:t>
            </w:r>
            <w:r>
              <w:t xml:space="preserve"> na vedomie </w:t>
            </w:r>
            <w:r>
              <w:rPr>
                <w:b/>
                <w:i/>
              </w:rPr>
              <w:t>a zdôrazňuje, že by sa mali naďalej zvažovať</w:t>
            </w:r>
            <w:r>
              <w:t xml:space="preserve"> ďalšie úspory </w:t>
            </w:r>
            <w:r>
              <w:rPr>
                <w:b/>
                <w:i/>
              </w:rPr>
              <w:t>pri súčasnom zachovaní transparentnosti a dostupnosti správ</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konštatuje, že v roku 2024 Dvor audítorov predložil 2 výročné správy, 3 osobitné výročné správy, 28 osobitných správ, 4 preskúmania a 3 stanoviská, spolu 40 dokumentov (čo je menej ako 45 dokumentov v roku 2023);</w:t>
            </w:r>
            <w:r>
              <w:t xml:space="preserve"> </w:t>
            </w:r>
            <w:r>
              <w:rPr>
                <w:b/>
                <w:i/>
              </w:rPr>
              <w:t>víta skutočnosť, že Dvor audítorov sa v roku 2024 prostredníctvom osobitných správ a preskúmaní zameriaval na naliehavé výzvy, ktorým Únia čelila v kľúčových témach, ako sú bezpečnosť dodávok plynu, investície do umelej inteligencie, adaptácia na zmenu klímy, čerpanie prostriedkov z Mechanizmu na podporu obnovy a odolnosti, cesta k vozidlám s nulovými emisiami, podpora utečencov v Turecku a priemyselná politika Únie v oblasti vodíka;</w:t>
            </w:r>
            <w:r>
              <w:t xml:space="preserve"> </w:t>
            </w:r>
            <w:r>
              <w:rPr>
                <w:b/>
                <w:i/>
              </w:rPr>
              <w:t>ďalej víta plánované správy Dvora audítorov o Mechanizme na podporu obnovy a odolnosti v oblastiach, ako je transparentnosť a vysledovateľnosť, ako aj o štruktúre a stratégii Únie v boji proti podvodom a o podpore Únie pre Ukrajinu, Moldavsko a Gruzínsko;</w:t>
            </w:r>
            <w:r>
              <w:t xml:space="preserve"> </w:t>
            </w:r>
            <w:r>
              <w:rPr>
                <w:b/>
                <w:i/>
              </w:rPr>
              <w:t>všíma si zlepšenie spokojnosti zainteresovaných strán s prácou Dvora audítorov, pričom prieskum uskutočnený v roku 2024 ukázal, že 89 % respondentov (teda viac ako 85 % v roku 2023) považuje správy Dvora audítorov za užitočné a 82 % (oproti 78 %) sa domnieva, že práca Dvora audítorov má reálny vplyv;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konštatuje, že v roku 2024 Dvor audítorov predložil 2 výročné správy, 3 osobitné výročné správy, 28 osobitných správ, 4 preskúmania a 3 stanoviská, spolu 40 dokumentov (čo je menej ako 45 dokumentov v roku 2023); víta skutočnosť, že Dvor audítorov sa v roku 2024 prostredníctvom osobitných správ a preskúmaní zameriaval na naliehavé výzvy, ktorým Únia čelila v kľúčových témach, ako sú bezpečnosť dodávok plynu, investície do umelej inteligencie, adaptácia na zmenu klímy, čerpanie prostriedkov z Mechanizmu na podporu obnovy a odolnosti, cesta k vozidlám s nulovými emisiami, podpora utečencov v Turecku a priemyselná politika Únie v oblasti vodíka; ďalej víta plánované správy Dvora audítorov o Mechanizme na podporu obnovy a odolnosti v oblastiach, ako je transparentnosť a vysledovateľnosť, ako aj o štruktúre a stratégii Únie v boji proti podvodom a o podpore Únie pre Ukrajinu, Moldavsko a Gruzínsko; všíma si zlepšenie spokojnosti zainteresovaných strán s prácou Dvora audítorov, pričom prieskum uskutočnený v roku 2024 ukázal, že 89 % respondentov (teda viac ako 85 % v roku 2023) považuje správy Dvora audítorov za užitočné a 82 % (oproti 78 %) sa domnieva, že práca Dvora audítorov má reálny vplyv;</w:t>
            </w:r>
          </w:p>
        </w:tc>
        <w:tc>
          <w:tcPr>
            <w:tcW w:w="4876" w:type="dxa"/>
            <w:tcBorders>
              <w:top w:val="nil"/>
              <w:left w:val="nil"/>
              <w:bottom w:val="nil"/>
              <w:right w:val="nil"/>
            </w:tcBorders>
          </w:tcPr>
          <w:p>
            <w:pPr>
              <w:pStyle w:val="Normal6a"/>
            </w:pPr>
            <w:r>
              <w:t>16.</w:t>
            </w:r>
            <w:r>
              <w:tab/>
            </w:r>
            <w:r>
              <w:t xml:space="preserve">konštatuje, že v roku 2024 Dvor audítorov predložil 2 výročné správy, 3 osobitné výročné správy, 28 osobitných správ, 4 preskúmania a 3 stanoviská, spolu 40 dokumentov (čo je menej ako 45 dokumentov v roku 2023); víta skutočnosť, že Dvor audítorov sa v roku 2024 prostredníctvom osobitných správ a preskúmaní zameriaval na naliehavé výzvy, ktorým Únia čelila v kľúčových témach, ako sú </w:t>
            </w:r>
            <w:r>
              <w:rPr>
                <w:b/>
                <w:i/>
              </w:rPr>
              <w:t>finančné nástroje v politike súdržnosti, transparentnosť financovania mimovládnych organizácií zo strany EÚ, orgány EU pôsobiace v oblasti boja proti podvodom,</w:t>
            </w:r>
            <w:r>
              <w:t xml:space="preserve"> bezpečnosť dodávok plynu, investície do umelej inteligencie, adaptácia na zmenu klímy, čerpanie prostriedkov z Mechanizmu na podporu obnovy a odolnosti, cesta k vozidlám s nulovými emisiami, podpora utečencov v Turecku a priemyselná politika Únie v oblasti vodíka; ďalej víta plánované správy Dvora audítorov o Mechanizme na podporu obnovy a odolnosti v oblastiach, ako je transparentnosť a vysledovateľnosť, ako aj o štruktúre a stratégii Únie v boji proti podvodom a o podpore Únie pre Ukrajinu, Moldavsko a Gruzínsko; všíma si zlepšenie spokojnosti zainteresovaných strán s prácou Dvora audítorov, pričom prieskum uskutočnený v roku 2024 ukázal, že 89 % respondentov (teda viac ako 85 % v roku 2023) považuje správy Dvora audítorov za užitočné a 82 % (oproti 78 %) sa domnieva, že práca Dvora audítorov má reálny vplyv;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vyzýva Európsky dvor audítorov, aby poskytol podrobnejšie a systematickejšie posúdenia účinkov presahovania programov financovaných Úniou na členské štáty, a to členské štáty s vysokou aj nízkou mierou čerpania európskych finančných prostriedkov;</w:t>
            </w:r>
            <w:r>
              <w:t xml:space="preserve"> </w:t>
            </w:r>
            <w:r>
              <w:rPr>
                <w:b/>
                <w:i/>
              </w:rPr>
              <w:t>zdôrazňuje, že komplexná analýza hospodárskych, sociálnych, administratívnych a územných vplyvov takýchto účinkov presahovania vrátane cezhraničných a distribučných účinkov by posilnila hodnotenie dlhodobého vplyvu, pridanej hodnoty a udržateľnosti výdavkov EÚ a podporila informovanejšiu tvorbu politík na úrovni Únie aj na vnútroštátnej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konštatuje, že Dvor audítorov má súbor kľúčových ukazovateľov výkonnosti (KPI) na meranie pokroku pri dosahovaní svojich strategických cieľov v súlade so stratégiou Dvora audítorov na roky 2021 – 2025; berie na vedomie strategické ciele Dvora audítorov na rok 2024: zlepšenie zodpovednosti, transparentnosti a audítorských opatrení, zameranie sa na oblasti a témy, v ktorých môžu audity priniesť najväčšiu pridanú hodnotu, a poskytovanie silného audítorského uistenia v náročnom a meniacom sa prostredí; vyzýva Dvor audítorov, aby v budúcnosti svoje kľúčové ukazovatele výkonnosti, mieru dosiahnutého pokroku a ciele prezentoval súhrnne (vo forme tabuľky);</w:t>
            </w:r>
          </w:p>
        </w:tc>
        <w:tc>
          <w:tcPr>
            <w:tcW w:w="4876" w:type="dxa"/>
            <w:tcBorders>
              <w:top w:val="nil"/>
              <w:left w:val="nil"/>
              <w:bottom w:val="nil"/>
              <w:right w:val="nil"/>
            </w:tcBorders>
          </w:tcPr>
          <w:p>
            <w:pPr>
              <w:pStyle w:val="Normal6a"/>
            </w:pPr>
            <w:r>
              <w:t>17.</w:t>
            </w:r>
            <w:r>
              <w:tab/>
            </w:r>
            <w:r>
              <w:t xml:space="preserve">konštatuje, že Dvor audítorov má súbor kľúčových ukazovateľov výkonnosti (KPI) na meranie pokroku pri dosahovaní svojich strategických cieľov v súlade so stratégiou Dvora audítorov na roky 2021 – 2025; berie na vedomie strategické ciele Dvora audítorov na rok 2024: zlepšenie zodpovednosti, transparentnosti a audítorských opatrení, zameranie sa na oblasti a témy, v ktorých môžu audity priniesť najväčšiu pridanú hodnotu, a poskytovanie silného audítorského uistenia v náročnom a meniacom sa prostredí; vyzýva Dvor audítorov, aby v budúcnosti svoje kľúčové ukazovatele výkonnosti, mieru dosiahnutého pokroku a ciele prezentoval súhrnne (vo forme tabuľky); </w:t>
            </w:r>
            <w:r>
              <w:rPr>
                <w:b/>
                <w:i/>
              </w:rPr>
              <w:t>vyzýva Dvor audítorov, aby ďalej rozvíjal KPI založené na výkonnosti a výsledkoch európskych politík s cieľom jasne merať vplyv politík vykonávaných Komisiou;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vyzýva Dvor audítorov, aby svoje zistenia skonsolidoval do porovnávacej analýzy výkonnosti a vypracoval metodiku pre „kompas výkonnosti“ programov Únie;</w:t>
            </w:r>
            <w:r>
              <w:t xml:space="preserve"> </w:t>
            </w:r>
            <w:r>
              <w:rPr>
                <w:b/>
                <w:i/>
              </w:rPr>
              <w:t>domnieva sa, že takýto nástroj by pri rešpektovaní rozmanitosti politík poskytol orgánu udeľujúcemu absolutórium, subjektom s rozhodovacou právomocou a širokej verejnosti jasné usmernenia o tom, ktoré programy účinne využívajú zdroje a ktoré by bolo vhodné ukončiť alebo zásadne reštrukturalizovať;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 základe správy o následných opatreniach konštatuje, že Komisia súhlasila s tým, že Dvoru audítorov poskytne manuálne extrahované údaje z nástroja ARACHNE; vyjadruje však poľutovanie nad tým, že prístup Dvora audítorov k nástroju FENIX, ktorý slúži na podávanie správ o Mechanizme na podporu obnovy a odolnosti, zostáva otvorenou otázkou, keďže Komisia poskytla Dvoru audítorov prístup len k niektorým modulom nástroja FENIX; víta hlásené zvýšenie počtu používateľov Dvora audítorov, ktorí majú prístup k systému FENIX; podporuje však žiadosť Dvora audítorov, aby mu Komisia čo najskôr poskytla úplný prístup; pripomína, že Generálne riaditeľstvo Komisie pre hospodárske a finančné záležitosti sa snažilo poskytnúť Dvoru audítorov prístup k spisom z nástroja FENIX do dvoch týždňov od schválenia žiadosti o platbu; je však znepokojený tým, že v praxi sa táto lehota v mnohých prípadoch nedodržiava a že v niektorých prípadoch došlo k oneskoreniam až o dva a pol mesiaca, čo výrazne spomalilo publikovanie zistení Dvora audítorov; pripomína Komisii jej povinnosť podľa článku 263 nariadenia o rozpočtových pravidlách poskytnúť Dvoru audítorov komplexný prístup do všetkých príslušných systémov a databáz (okrem iného ARACHNE, FENIX a ARES);</w:t>
            </w:r>
          </w:p>
        </w:tc>
        <w:tc>
          <w:tcPr>
            <w:tcW w:w="4876" w:type="dxa"/>
            <w:tcBorders>
              <w:top w:val="nil"/>
              <w:left w:val="nil"/>
              <w:bottom w:val="nil"/>
              <w:right w:val="nil"/>
            </w:tcBorders>
          </w:tcPr>
          <w:p>
            <w:pPr>
              <w:pStyle w:val="Normal6a"/>
            </w:pPr>
            <w:r>
              <w:t>19.</w:t>
            </w:r>
            <w:r>
              <w:tab/>
            </w:r>
            <w:r>
              <w:t xml:space="preserve">na základe správy o následných opatreniach konštatuje, že Komisia súhlasila s tým, že Dvoru audítorov poskytne manuálne extrahované údaje z nástroja ARACHNE; vyjadruje však poľutovanie nad tým, že prístup Dvora audítorov k nástroju FENIX, ktorý slúži na podávanie správ o Mechanizme na podporu obnovy a odolnosti, zostáva otvorenou otázkou, keďže Komisia poskytla Dvoru audítorov prístup len k niektorým modulom nástroja FENIX; víta hlásené zvýšenie počtu používateľov Dvora audítorov, ktorí majú prístup k systému FENIX; podporuje však žiadosť Dvora audítorov, aby mu Komisia čo najskôr poskytla úplný prístup; pripomína, že Generálne riaditeľstvo Komisie pre hospodárske a finančné záležitosti sa snažilo poskytnúť Dvoru audítorov prístup k spisom z nástroja FENIX do dvoch týždňov od schválenia žiadosti o platbu; je však znepokojený tým, že v praxi sa táto lehota v mnohých prípadoch nedodržiava a že v niektorých prípadoch došlo k oneskoreniam až o dva a pol mesiaca, čo výrazne spomalilo publikovanie zistení Dvora audítorov; pripomína Komisii jej povinnosť podľa článku 263 nariadenia o rozpočtových pravidlách poskytnúť Dvoru audítorov komplexný prístup do všetkých príslušných systémov a databáz (okrem iného ARACHNE, FENIX a ARES); </w:t>
            </w:r>
            <w:r>
              <w:rPr>
                <w:b/>
                <w:i/>
              </w:rPr>
              <w:t>domnieva sa, že pretrvávajúce oneskorenia a čiastočný prístup ku kľúčovým informačným systémom Komisie, najmä FENIX a ARACHNE, oslabujú účinnosť a včasnosť audítorskej práce Dvora audítorov týkajúcej sa vysokorizikových výdavkov, ako je Mechanizmus na podporu obnovy a odolnosti;</w:t>
            </w:r>
            <w:r>
              <w:t xml:space="preserve"> </w:t>
            </w:r>
            <w:r>
              <w:rPr>
                <w:b/>
                <w:i/>
              </w:rPr>
              <w:t>vyzýva Komisiu, aby túto situáciu bezodkladne napravila, a vyzýva Dvor audítorov, aby informoval orgán udeľujúci absolutórium o konkrétnych dosiahnutých zlepšeniach;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 základe správy o následných opatreniach konštatuje, že Komisia súhlasila s tým, že Dvoru audítorov poskytne manuálne extrahované údaje z nástroja ARACHNE; vyjadruje však poľutovanie nad tým, že prístup Dvora audítorov k nástroju FENIX, ktorý slúži na podávanie správ o Mechanizme na podporu obnovy a odolnosti, zostáva otvorenou otázkou, keďže Komisia poskytla Dvoru audítorov prístup len k niektorým modulom nástroja FENIX; víta hlásené zvýšenie počtu používateľov Dvora audítorov, ktorí majú prístup k systému FENIX; podporuje však žiadosť Dvora audítorov, aby mu Komisia čo najskôr poskytla úplný prístup; pripomína, že Generálne riaditeľstvo Komisie pre hospodárske a finančné záležitosti sa snažilo poskytnúť Dvoru audítorov prístup k spisom z nástroja FENIX do dvoch týždňov od schválenia žiadosti o platbu; je však znepokojený tým, že v praxi sa táto lehota v mnohých prípadoch nedodržiava a že v niektorých prípadoch došlo k oneskoreniam až o dva a pol mesiaca, čo výrazne spomalilo publikovanie zistení Dvora audítorov; pripomína Komisii jej povinnosť podľa článku 263 nariadenia o rozpočtových pravidlách poskytnúť Dvoru audítorov komplexný prístup do všetkých príslušných systémov a databáz (okrem iného ARACHNE, FENIX a ARES);</w:t>
            </w:r>
          </w:p>
        </w:tc>
        <w:tc>
          <w:tcPr>
            <w:tcW w:w="4876" w:type="dxa"/>
            <w:tcBorders>
              <w:top w:val="nil"/>
              <w:left w:val="nil"/>
              <w:bottom w:val="nil"/>
              <w:right w:val="nil"/>
            </w:tcBorders>
          </w:tcPr>
          <w:p>
            <w:pPr>
              <w:pStyle w:val="Normal6a"/>
            </w:pPr>
            <w:r>
              <w:t>19.</w:t>
            </w:r>
            <w:r>
              <w:tab/>
            </w:r>
            <w:r>
              <w:t xml:space="preserve">na základe správy o následných opatreniach konštatuje, že Komisia súhlasila s tým, že Dvoru audítorov poskytne manuálne extrahované údaje z nástroja ARACHNE; vyjadruje však poľutovanie nad tým, že prístup Dvora audítorov k nástroju FENIX, ktorý slúži na podávanie správ o Mechanizme na podporu obnovy a odolnosti, zostáva </w:t>
            </w:r>
            <w:r>
              <w:rPr>
                <w:b/>
                <w:i/>
              </w:rPr>
              <w:t>naďalej</w:t>
            </w:r>
            <w:r>
              <w:t xml:space="preserve"> otvorenou otázkou, keďže Komisia poskytla Dvoru audítorov prístup len k niektorým modulom nástroja FENIX; víta hlásené zvýšenie počtu používateľov Dvora audítorov, ktorí majú prístup k systému FENIX; podporuje však žiadosť Dvora audítorov, aby mu Komisia čo najskôr poskytla úplný prístup; pripomína, že Generálne riaditeľstvo Komisie pre hospodárske a finančné záležitosti sa snažilo poskytnúť Dvoru audítorov prístup k spisom z nástroja FENIX do dvoch týždňov od schválenia žiadosti o platbu; je však znepokojený tým, že v praxi sa táto lehota v mnohých prípadoch nedodržiava a že v niektorých prípadoch došlo k oneskoreniam až o dva a pol mesiaca, čo výrazne spomalilo publikovanie zistení Dvora audítorov; pripomína Komisii jej povinnosť podľa článku 263 nariadenia o rozpočtových pravidlách poskytnúť Dvoru audítorov komplexný prístup do všetkých príslušných systémov a databáz (okrem iného ARACHNE, FENIX a ARES); </w:t>
            </w:r>
            <w:r>
              <w:rPr>
                <w:b/>
                <w:i/>
              </w:rPr>
              <w:t>žiada Komisiu, aby bez ďalšieho odkladu uzatvorila záväznú medziinštitucionálnu dohodu, ktorou sa zabezpečí úplný, systematický prístup Dvora audítorov v reálnom čase ku všetkým príslušným databázam vrátane databáz ARACHNE a FENIX;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 základe správy o následných opatreniach konštatuje, že Komisia súhlasila s tým, že Dvoru audítorov poskytne manuálne extrahované údaje z nástroja ARACHNE; vyjadruje však poľutovanie nad tým, že prístup Dvora audítorov k nástroju FENIX, ktorý slúži na podávanie správ o Mechanizme na podporu obnovy a odolnosti, zostáva otvorenou otázkou, keďže Komisia poskytla Dvoru audítorov prístup len k niektorým modulom nástroja FENIX; víta hlásené zvýšenie počtu používateľov Dvora audítorov, ktorí majú prístup k systému FENIX; podporuje však žiadosť Dvora audítorov, aby mu Komisia čo najskôr poskytla úplný prístup; pripomína, že Generálne riaditeľstvo Komisie pre hospodárske a finančné záležitosti sa snažilo poskytnúť Dvoru audítorov prístup k spisom z nástroja FENIX do dvoch týždňov od schválenia žiadosti o platbu; je však znepokojený tým, že v praxi sa táto lehota v mnohých prípadoch nedodržiava a že v niektorých prípadoch došlo k oneskoreniam až o dva a pol mesiaca, čo výrazne spomalilo publikovanie zistení Dvora audítorov; pripomína Komisii jej povinnosť podľa článku 263 nariadenia o rozpočtových pravidlách poskytnúť Dvoru audítorov komplexný prístup do všetkých príslušných systémov a databáz (okrem iného ARACHNE, FENIX a ARES);</w:t>
            </w:r>
          </w:p>
        </w:tc>
        <w:tc>
          <w:tcPr>
            <w:tcW w:w="4876" w:type="dxa"/>
            <w:tcBorders>
              <w:top w:val="nil"/>
              <w:left w:val="nil"/>
              <w:bottom w:val="nil"/>
              <w:right w:val="nil"/>
            </w:tcBorders>
          </w:tcPr>
          <w:p>
            <w:pPr>
              <w:pStyle w:val="Normal6a"/>
            </w:pPr>
            <w:r>
              <w:t>19.</w:t>
            </w:r>
            <w:r>
              <w:tab/>
            </w:r>
            <w:r>
              <w:t xml:space="preserve">na základe správy o následných opatreniach konštatuje, že Komisia súhlasila s tým, že Dvoru audítorov poskytne manuálne extrahované údaje z nástroja ARACHNE; vyjadruje však poľutovanie nad tým, že prístup Dvora audítorov k nástroju FENIX, ktorý slúži na podávanie správ o Mechanizme na podporu obnovy a odolnosti, zostáva otvorenou otázkou, keďže Komisia poskytla Dvoru audítorov prístup len k niektorým modulom nástroja FENIX </w:t>
            </w:r>
            <w:r>
              <w:rPr>
                <w:b/>
                <w:i/>
              </w:rPr>
              <w:t>a informácie, ktoré obsahujú, nie sú včas aktualizované</w:t>
            </w:r>
            <w:r>
              <w:t>; víta hlásené zvýšenie počtu používateľov Dvora audítorov, ktorí majú prístup k systému FENIX; podporuje však žiadosť Dvora audítorov, aby mu Komisia čo najskôr poskytla úplný prístup; pripomína, že Generálne riaditeľstvo Komisie pre hospodárske a finančné záležitosti sa snažilo poskytnúť Dvoru audítorov prístup k spisom z nástroja FENIX do dvoch týždňov od schválenia žiadosti o platbu; je však znepokojený tým, že v praxi sa táto lehota v mnohých prípadoch nedodržiava a že v niektorých prípadoch došlo k oneskoreniam až o dva a pol mesiaca, čo výrazne spomalilo publikovanie zistení Dvora audítorov; pripomína Komisii jej povinnosť podľa článku 263 nariadenia o rozpočtových pravidlách poskytnúť Dvoru audítorov komplexný prístup do všetkých príslušných systémov a databáz (okrem iného ARACHNE, FENIX a ARES);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zdôrazňuje význam verejného obstarávania ako nástroja na presadzovanie politických cieľov vrátane sociálnych a environmentálnych cieľov;</w:t>
            </w:r>
            <w:r>
              <w:t xml:space="preserve"> </w:t>
            </w:r>
            <w:r>
              <w:rPr>
                <w:b/>
                <w:i/>
              </w:rPr>
              <w:t>vyzýva Dvor audítorov, aby posilnil začleňovanie strategických kritérií týkajúcich sa sociálnej zodpovednosti a environmentálnej udržateľnosti do svojich postupov verejného obstarávania;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konštatuje, že na konci roka 2024 mal Dvor audítorov 961 zamestnancov (menej ako 969 v roku 2023) vrátane dočasných zamestnancov (192 v roku 2024, menej ako 204 v roku 2023), zmluvných zamestnancov (84 v roku 2024, menej ako 86 v roku 2023) a vyslaných národných expertov (26 v roku 2024, rovnako ako v roku 2023); pripomína, že je dôležité poskytovať zamestnancom pracovné zmluvy na neurčitý čas s cieľom udržiavať kvalifikáciu a zabezpečovať kontinuitu a produktívne pracovné prostredie;</w:t>
            </w:r>
          </w:p>
        </w:tc>
        <w:tc>
          <w:tcPr>
            <w:tcW w:w="4876" w:type="dxa"/>
            <w:tcBorders>
              <w:top w:val="nil"/>
              <w:left w:val="nil"/>
              <w:bottom w:val="nil"/>
              <w:right w:val="nil"/>
            </w:tcBorders>
          </w:tcPr>
          <w:p>
            <w:pPr>
              <w:pStyle w:val="Normal6a"/>
            </w:pPr>
            <w:r>
              <w:t>20.</w:t>
            </w:r>
            <w:r>
              <w:tab/>
            </w:r>
            <w:r>
              <w:t xml:space="preserve">konštatuje, že na konci roka 2024 mal Dvor audítorov 961 zamestnancov (menej ako 969 v roku 2023) vrátane dočasných zamestnancov (192 v roku 2024, menej ako 204 v roku 2023), zmluvných zamestnancov (84 v roku 2024, menej ako 86 v roku 2023) a vyslaných národných expertov (26 v roku 2024, rovnako ako v roku 2023); pripomína, že je dôležité poskytovať zamestnancom pracovné zmluvy na neurčitý čas s cieľom udržiavať kvalifikáciu a zabezpečovať </w:t>
            </w:r>
            <w:r>
              <w:rPr>
                <w:b/>
                <w:i/>
              </w:rPr>
              <w:t>tak</w:t>
            </w:r>
            <w:r>
              <w:t xml:space="preserve"> kontinuitu a produktívne </w:t>
            </w:r>
            <w:r>
              <w:rPr>
                <w:b/>
                <w:i/>
              </w:rPr>
              <w:t>a stabilné</w:t>
            </w:r>
            <w:r>
              <w:t xml:space="preserve"> pracovné prostredie;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konštatuje, že v roku 2024 tvorili 54 % zamestnancov Dvora audítorov ženy (v roku 2023 to bolo 53 %) a 47 % muži;</w:t>
            </w:r>
            <w:r>
              <w:t xml:space="preserve"> </w:t>
            </w:r>
            <w:r>
              <w:rPr>
                <w:b/>
                <w:i/>
              </w:rPr>
              <w:t>vyjadruje poľutovanie nad skutočnosťou, že ženy tvoria len 30 % vyššieho manažmentu Dvora audítorov, čo je rovnaký podiel ako v roku 2023;</w:t>
            </w:r>
            <w:r>
              <w:t xml:space="preserve"> </w:t>
            </w:r>
            <w:r>
              <w:rPr>
                <w:b/>
                <w:i/>
              </w:rPr>
              <w:t>vyjadruje poľutovanie nad ďalším poklesom podielu žien na stredných riadiacich pozíciách zo 40 % na 37,30 % v roku 2023;</w:t>
            </w:r>
            <w:r>
              <w:t xml:space="preserve"> </w:t>
            </w:r>
            <w:r>
              <w:rPr>
                <w:b/>
                <w:i/>
              </w:rPr>
              <w:t>pripomína skutočnosť, že rodová rovnosť je zásadou zakotvenou v zmluvách, ktorú by mali dodržiavať všetky inštitúcie, a vyzýva Dvor audítorov, aby pokračoval vo svojom úsilí o podporu rodovej rovnováhy na úrovni stredného a vyššieho manažmentu;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konštatuje, že podľa dotazníka Dvor audítorov v roku 2024 zamestnával 64 stážistov, z ktorých 59 dostávalo mesačný príspevok;</w:t>
            </w:r>
            <w:r>
              <w:t xml:space="preserve"> </w:t>
            </w:r>
            <w:r>
              <w:rPr>
                <w:b/>
                <w:i/>
              </w:rPr>
              <w:t>víta nový program Dvora audítorov s názvom TraineEca Career Development, ktorého cieľom je ponúknuť pracovné príležitosti najzaslúžilejším stážistom;</w:t>
            </w:r>
            <w:r>
              <w:t xml:space="preserve"> </w:t>
            </w:r>
            <w:r>
              <w:rPr>
                <w:b/>
                <w:i/>
              </w:rPr>
              <w:t>okrem toho berie na vedomie plán Dvora audítorov ponúknuť osobitné stáže v oblasti umelej inteligencie čerstvým absolventom vysokých škôl a doktorandom v tejto oblasti;</w:t>
            </w:r>
            <w:r>
              <w:t xml:space="preserve"> </w:t>
            </w:r>
            <w:r>
              <w:rPr>
                <w:b/>
                <w:i/>
              </w:rPr>
              <w:t>opätovne zdôrazňuje, že stáže by mali byť platené v súlade s uznesením Parlamentu z 15. júna 2023 o kvalitných stážach v Únii (2020/2005(INL)), v ktorom sa požaduje, aby všetky stáže v Únii boli platené;</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konštatuje, že podľa dotazníka Dvor audítorov v roku 2024 zamestnával 64 stážistov, z ktorých 59 dostávalo mesačný príspevok; víta nový program Dvora audítorov s názvom TraineEca Career Development, ktorého cieľom je ponúknuť pracovné príležitosti najzaslúžilejším stážistom; okrem toho berie na vedomie plán Dvora audítorov ponúknuť osobitné stáže v oblasti umelej inteligencie čerstvým absolventom vysokých škôl a doktorandom v tejto oblasti; opätovne zdôrazňuje, že stáže by mali byť platené v súlade s uznesením Parlamentu z 15. júna 2023 o kvalitných stážach v Únii (2020/2005(INL)), v ktorom sa požaduje, aby všetky stáže v Únii boli platené;</w:t>
            </w:r>
          </w:p>
        </w:tc>
        <w:tc>
          <w:tcPr>
            <w:tcW w:w="4876" w:type="dxa"/>
            <w:tcBorders>
              <w:top w:val="nil"/>
              <w:left w:val="nil"/>
              <w:bottom w:val="nil"/>
              <w:right w:val="nil"/>
            </w:tcBorders>
          </w:tcPr>
          <w:p>
            <w:pPr>
              <w:pStyle w:val="Normal6a"/>
            </w:pPr>
            <w:r>
              <w:t>22.</w:t>
            </w:r>
            <w:r>
              <w:tab/>
            </w:r>
            <w:r>
              <w:t xml:space="preserve">konštatuje, že podľa dotazníka Dvor audítorov v roku 2024 zamestnával 64 stážistov, z ktorých 59 dostávalo mesačný príspevok; víta nový program Dvora audítorov s názvom TraineEca Career Development, ktorého cieľom je ponúknuť pracovné príležitosti najzaslúžilejším stážistom; okrem toho berie na vedomie plán Dvora audítorov ponúknuť osobitné stáže v oblasti umelej inteligencie čerstvým absolventom vysokých škôl a doktorandom v tejto oblasti; opätovne zdôrazňuje, že stáže by mali byť platené v súlade s uznesením Parlamentu z 15. júna 2023 o kvalitných stážach v Únii (2020/2005(INL)), v ktorom sa požaduje, aby všetky stáže v Únii boli platené; </w:t>
            </w:r>
            <w:r>
              <w:rPr>
                <w:b/>
                <w:i/>
              </w:rPr>
              <w:t>zdôrazňuje, že neplatené stáže predstavujú formu vykorisťovania mladých pracovníkov a prekážku v zabezpečovaní rovnakých príležitostí;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konštatuje, že podľa dotazníka bolo prijímanie úradníkov pre Dvor audítorov v roku 2024 naďalej výzvou, a to z dôvodu nedostatočnej atraktívnosti Luxemburgu ako miesta výkonu práce alebo nedostatočného záujmu mladých pracovníkov o prácu v oblasti auditu a kontroly; s uspokojením konštatuje, že Dvor audítorov riešil tento problém organizovaním pravidelných výberových konaní zameraných na stážistov Dvora audítorov, organizovaním interných výberových konaní s cieľom udržať si najväčšie talenty a zintenzívnením informačných aktivít; v tejto súvislosti uznáva, že je potrebná doložka o výberových konaniach s cieľom usporiadať aj výberové konania EPSO výlučne pre Luxembursko; oceňuje, že sa Dvor audítorov pripojil k medziinštitucionálnej dohode, na základe ktorej zamestnanci prijatí inštitúciami Únie so sídlom v Luxemburgu dostávajú od roku 2025 príspevok na bývanie s cieľom kompenzovať vysoké životné náklady v Luxemburgu;</w:t>
            </w:r>
          </w:p>
        </w:tc>
        <w:tc>
          <w:tcPr>
            <w:tcW w:w="4876" w:type="dxa"/>
            <w:tcBorders>
              <w:top w:val="nil"/>
              <w:left w:val="nil"/>
              <w:bottom w:val="nil"/>
              <w:right w:val="nil"/>
            </w:tcBorders>
          </w:tcPr>
          <w:p>
            <w:pPr>
              <w:pStyle w:val="Normal6a"/>
            </w:pPr>
            <w:r>
              <w:t>23.</w:t>
            </w:r>
            <w:r>
              <w:tab/>
            </w:r>
            <w:r>
              <w:t xml:space="preserve">konštatuje, že podľa dotazníka bolo prijímanie úradníkov pre Dvor audítorov v roku 2024 naďalej výzvou, a to z dôvodu nedostatočnej atraktívnosti Luxemburgu ako miesta výkonu práce alebo nedostatočného záujmu mladých pracovníkov o prácu v oblasti auditu a kontroly; s uspokojením konštatuje, že Dvor audítorov riešil tento problém organizovaním pravidelných výberových konaní zameraných na stážistov Dvora audítorov, organizovaním interných výberových konaní s cieľom udržať si najväčšie talenty a zintenzívnením informačných aktivít; </w:t>
            </w:r>
            <w:r>
              <w:rPr>
                <w:b/>
                <w:i/>
              </w:rPr>
              <w:t>nabáda Dvor audítorov, aby pokračoval v tomto úsilí s cieľom zabezpečiť kontinuitu svojej činnosti;</w:t>
            </w:r>
            <w:r>
              <w:t xml:space="preserve"> v tejto súvislosti uznáva, že je potrebná doložka o výberových konaniach s cieľom usporiadať aj výberové konania EPSO výlučne pre Luxembursko; oceňuje, že sa Dvor audítorov pripojil k medziinštitucionálnej dohode, na základe ktorej zamestnanci prijatí inštitúciami Únie so sídlom v Luxemburgu dostávajú od roku 2025 príspevok na bývanie s cieľom kompenzovať vysoké životné náklady v Luxemburgu;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je si vedomý toho, že Dvor audítorov nemá žiadnu úlohu v procese výberu členov podľa článku 286 ods. 2 ZFEÚ;</w:t>
            </w:r>
            <w:r>
              <w:t xml:space="preserve"> </w:t>
            </w:r>
            <w:r>
              <w:rPr>
                <w:b/>
                <w:i/>
              </w:rPr>
              <w:t>poukazuje však na to, že medzi členmi Dvora audítorov stále pretrváva značná rodová nerovnováha, keďže medzi 27 členmi je len 10 žien;</w:t>
            </w:r>
            <w:r>
              <w:t xml:space="preserve"> </w:t>
            </w:r>
            <w:r>
              <w:rPr>
                <w:b/>
                <w:i/>
              </w:rPr>
              <w:t>opakuje svoju výzvu členským štátom, aby navrhovali kandidátov rôznych pohlaví s cieľom dosiahnuť vyváženejšie a reprezentatívnejšie zloženie Dvora audítorov;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je si vedomý toho, že Dvor audítorov nemá žiadnu úlohu v procese výberu členov podľa článku 286 ods. 2 ZFEÚ; poukazuje však na to, že medzi členmi Dvora audítorov stále pretrváva značná rodová nerovnováha, keďže medzi 27 členmi je len 10 žien; opakuje svoju výzvu členským štátom, aby </w:t>
            </w:r>
            <w:r>
              <w:rPr>
                <w:b/>
                <w:i/>
              </w:rPr>
              <w:t>navrhovali</w:t>
            </w:r>
            <w:r>
              <w:t xml:space="preserve"> kandidátov </w:t>
            </w:r>
            <w:r>
              <w:rPr>
                <w:b/>
                <w:i/>
              </w:rPr>
              <w:t>rôznych pohlaví s cieľom dosiahnuť vyváženejšie a reprezentatívnejšie zloženie Dvora audítorov</w:t>
            </w:r>
            <w:r>
              <w:t>;</w:t>
            </w:r>
          </w:p>
        </w:tc>
        <w:tc>
          <w:tcPr>
            <w:tcW w:w="4876" w:type="dxa"/>
            <w:tcBorders>
              <w:top w:val="nil"/>
              <w:left w:val="nil"/>
              <w:bottom w:val="nil"/>
              <w:right w:val="nil"/>
            </w:tcBorders>
          </w:tcPr>
          <w:p>
            <w:pPr>
              <w:pStyle w:val="Normal6a"/>
            </w:pPr>
            <w:r>
              <w:t>24.</w:t>
            </w:r>
            <w:r>
              <w:tab/>
            </w:r>
            <w:r>
              <w:t xml:space="preserve">je si vedomý toho, že Dvor audítorov nemá žiadnu úlohu v procese výberu členov podľa článku 286 ods. 2 ZFEÚ; poukazuje však na to, že medzi členmi Dvora audítorov stále pretrváva značná rodová nerovnováha, keďže medzi 27 členmi je len 10 žien; opakuje svoju výzvu členským štátom, aby </w:t>
            </w:r>
            <w:r>
              <w:rPr>
                <w:b/>
                <w:i/>
              </w:rPr>
              <w:t>pri navrhovaní</w:t>
            </w:r>
            <w:r>
              <w:t xml:space="preserve"> kandidátov </w:t>
            </w:r>
            <w:r>
              <w:rPr>
                <w:b/>
                <w:i/>
              </w:rPr>
              <w:t>zohľadňovali potrebu rodovej rovnováhy a zároveň zabezpečili, aby nominácie boli naďalej založené na kritériách zásluh, kvalifikácie a nezávislosti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je si vedomý toho, že Dvor audítorov nemá žiadnu úlohu v procese výberu členov podľa článku 286 ods. 2 ZFEÚ; poukazuje však na to, že medzi členmi Dvora audítorov stále pretrváva značná rodová nerovnováha, keďže medzi 27 členmi je len 10 žien; opakuje svoju výzvu členským štátom, aby navrhovali kandidátov rôznych pohlaví s cieľom dosiahnuť vyváženejšie a reprezentatívnejšie zloženie Dvora audítorov;</w:t>
            </w:r>
          </w:p>
        </w:tc>
        <w:tc>
          <w:tcPr>
            <w:tcW w:w="4876" w:type="dxa"/>
            <w:tcBorders>
              <w:top w:val="nil"/>
              <w:left w:val="nil"/>
              <w:bottom w:val="nil"/>
              <w:right w:val="nil"/>
            </w:tcBorders>
          </w:tcPr>
          <w:p>
            <w:pPr>
              <w:pStyle w:val="Normal6a"/>
            </w:pPr>
            <w:r>
              <w:t>24.</w:t>
            </w:r>
            <w:r>
              <w:tab/>
            </w:r>
            <w:r>
              <w:t xml:space="preserve">je si vedomý toho, že Dvor audítorov nemá žiadnu úlohu v procese výberu členov podľa článku 286 ods. 2 ZFEÚ; poukazuje však na to, že medzi členmi Dvora audítorov stále pretrváva značná rodová nerovnováha, keďže medzi 27 členmi je len 10 žien; </w:t>
            </w:r>
            <w:r>
              <w:rPr>
                <w:b/>
                <w:i/>
              </w:rPr>
              <w:t>vyjadruje poľutovanie nad tým, že viacero členských štátov nikdy nenavrhlo ženu za členku Dvora audítorov;</w:t>
            </w:r>
            <w:r>
              <w:t xml:space="preserve"> opakuje svoju výzvu členským štátom, aby navrhovali kandidátov rôznych pohlaví s cieľom dosiahnuť vyváženejšie a reprezentatívnejšie zloženie Dvora audítorov;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w:t>
            </w:r>
            <w:r>
              <w:tab/>
            </w:r>
            <w:r>
              <w:rPr>
                <w:b/>
                <w:i/>
              </w:rPr>
              <w:t>konštatuje, že medzi zamestnancami Dvora audítorov nie sú dostatočne zastúpené niektoré národnosti, najmä zo severských členských štátov;</w:t>
            </w:r>
            <w:r>
              <w:t xml:space="preserve"> </w:t>
            </w:r>
            <w:r>
              <w:rPr>
                <w:b/>
                <w:i/>
              </w:rPr>
              <w:t>poznamenáva, že existuje riziko ďalšieho zhoršovania situácie v dôsledku starnutia personálu a nedostatočného prijímania uchádzačov z týchto členských štátov;</w:t>
            </w:r>
            <w:r>
              <w:t xml:space="preserve"> </w:t>
            </w:r>
            <w:r>
              <w:rPr>
                <w:b/>
                <w:i/>
              </w:rPr>
              <w:t>pripomína opakované úsilie Dvora audítorov o odstránenie tejto nerovnováhy väčšou propagáciou výberových konaní a oznámení o voľných pracovných miestach Dvora audítorov vo výrazne nedostatočne zastúpených členských štátoch, ako aj spoluprácou s členmi Dvora audítorov pri šírení jeho oznámení a oslovovaním potenciálnych uchádzačov prostredníctvom účasti na veľtrhoch práce v niektorých členských štátoch;</w:t>
            </w:r>
            <w:r>
              <w:t xml:space="preserve"> </w:t>
            </w:r>
            <w:r>
              <w:rPr>
                <w:b/>
                <w:i/>
              </w:rPr>
              <w:t>okrem toho poznamenáva, že podľa správy o následných opatreniach Dvor audítorov vypracoval aj akčný plán s desiatimi opatreniami na nasledujúcich päť rokov s cieľom zvrátiť súčasné nedostatočné zastúpenie niektorých členských štátov;</w:t>
            </w:r>
            <w:r>
              <w:t xml:space="preserve"> </w:t>
            </w:r>
            <w:r>
              <w:rPr>
                <w:b/>
                <w:i/>
              </w:rPr>
              <w:t>vyzýva Dvor audítorov, aby informoval orgán udeľujúci absolutórium o pokroku a výsledkoch vykonávania tohto akčného plánu;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konštatuje, že medzi zamestnancami Dvora audítorov nie sú dostatočne zastúpené niektoré národnosti, najmä zo severských členských štátov; poznamenáva, že existuje riziko ďalšieho zhoršovania situácie v dôsledku starnutia personálu a nedostatočného prijímania uchádzačov z týchto členských štátov; pripomína opakované úsilie Dvora audítorov o odstránenie tejto nerovnováhy väčšou propagáciou výberových konaní a oznámení o voľných pracovných miestach Dvora audítorov vo výrazne nedostatočne zastúpených členských štátoch, ako aj spoluprácou s členmi Dvora audítorov pri šírení jeho oznámení a oslovovaním potenciálnych uchádzačov prostredníctvom účasti na veľtrhoch práce v niektorých členských štátoch; okrem toho poznamenáva, že podľa správy o následných opatreniach Dvor audítorov vypracoval aj akčný plán s desiatimi opatreniami na nasledujúcich päť rokov s cieľom zvrátiť súčasné nedostatočné zastúpenie niektorých členských štátov; vyzýva Dvor audítorov, aby informoval orgán udeľujúci absolutórium o pokroku a výsledkoch vykonávania tohto akčného plánu;</w:t>
            </w:r>
          </w:p>
        </w:tc>
        <w:tc>
          <w:tcPr>
            <w:tcW w:w="4876" w:type="dxa"/>
            <w:tcBorders>
              <w:top w:val="nil"/>
              <w:left w:val="nil"/>
              <w:bottom w:val="nil"/>
              <w:right w:val="nil"/>
            </w:tcBorders>
          </w:tcPr>
          <w:p>
            <w:pPr>
              <w:pStyle w:val="Normal6a"/>
            </w:pPr>
            <w:r>
              <w:t>28.</w:t>
            </w:r>
            <w:r>
              <w:tab/>
            </w:r>
            <w:r>
              <w:t xml:space="preserve">konštatuje, že medzi zamestnancami Dvora audítorov nie sú dostatočne zastúpené niektoré národnosti, najmä zo severských členských štátov; poznamenáva, že existuje riziko ďalšieho zhoršovania situácie v dôsledku starnutia personálu a nedostatočného prijímania uchádzačov z týchto členských štátov; pripomína opakované úsilie Dvora audítorov o odstránenie tejto nerovnováhy väčšou propagáciou výberových konaní a oznámení o voľných pracovných miestach Dvora audítorov vo výrazne nedostatočne zastúpených členských štátoch, ako aj spoluprácou s členmi Dvora audítorov pri šírení jeho oznámení a oslovovaním potenciálnych uchádzačov prostredníctvom účasti na veľtrhoch práce v niektorých členských štátoch; okrem toho poznamenáva, že podľa správy o následných opatreniach Dvor audítorov vypracoval aj akčný plán s desiatimi opatreniami na nasledujúcich päť rokov s cieľom zvrátiť súčasné nedostatočné zastúpenie niektorých členských štátov; vyzýva Dvor audítorov, aby informoval orgán udeľujúci absolutórium o pokroku a výsledkoch vykonávania tohto akčného plánu; </w:t>
            </w:r>
            <w:r>
              <w:rPr>
                <w:b/>
                <w:i/>
              </w:rPr>
              <w:t>oceňuje úsilie, ktoré Dvor audítorov vynaložil na plnenie svojich povinností v súvislosti s Mechanizmom na podporu obnovy a odolnosti, a to napriek tomu, že nie sú k dispozícii plne primerané zdroje;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pripomína, že na konci roka 2023 bolo obsadených všetkých 29 dodatočných pracovných miest (dočasní zamestnanci) potrebných na audit Mechanizmu na podporu obnovy a odolnosti vo výške 723,8 miliardy EUR; chápe však, že významnosť, zložitosť, veľké sumy a rýchle vyplácanie prostriedkov v rámci Mechanizmu na podporu obnovy a odolnosti naďalej predstavujú výzvy a že súčasné zdroje nie sú dostatočné na systematické zabezpečovanie súladu výdavkov tohto mechanizmu s pravidlami Únie a vnútroštátnymi pravidlami a na reagovanie na zvýšené aktivity Únie; v tejto súvislosti podporuje požiadavku Dvora audítorov zmeniť 29 dočasných zamestnancov prijatých na audity súvisiace s Mechanizmom na podporu obnovy a odolnosti na stále pracovné miesta;</w:t>
            </w:r>
          </w:p>
        </w:tc>
        <w:tc>
          <w:tcPr>
            <w:tcW w:w="4876" w:type="dxa"/>
            <w:tcBorders>
              <w:top w:val="nil"/>
              <w:left w:val="nil"/>
              <w:bottom w:val="nil"/>
              <w:right w:val="nil"/>
            </w:tcBorders>
          </w:tcPr>
          <w:p>
            <w:pPr>
              <w:pStyle w:val="Normal6a"/>
            </w:pPr>
            <w:r>
              <w:t>29.</w:t>
            </w:r>
            <w:r>
              <w:tab/>
            </w:r>
            <w:r>
              <w:t xml:space="preserve">pripomína, že na konci roka 2023 bolo obsadených všetkých 29 dodatočných pracovných miest (dočasní zamestnanci) potrebných na audit Mechanizmu na podporu obnovy a odolnosti vo výške 723,8 miliardy EUR; chápe však, že významnosť, zložitosť, veľké sumy a rýchle vyplácanie prostriedkov v rámci Mechanizmu na podporu obnovy a odolnosti naďalej predstavujú výzvy a že súčasné zdroje nie sú dostatočné na systematické zabezpečovanie súladu výdavkov tohto mechanizmu s pravidlami Únie a vnútroštátnymi pravidlami a na reagovanie na zvýšené aktivity Únie; v tejto súvislosti podporuje požiadavku Dvora audítorov zmeniť 29 dočasných zamestnancov prijatých na audity súvisiace s Mechanizmom na podporu obnovy a odolnosti na stále pracovné miesta; </w:t>
            </w:r>
            <w:r>
              <w:rPr>
                <w:b/>
                <w:i/>
              </w:rPr>
              <w:t>zdôrazňuje, že posudzovanie míľnikov a cieľov je vo svojej podstate zložitejšie a časovo náročnejšie, keďže majú často kvalitatívny charakter a týkajú sa skôr legislatívnych reforiem, administratívnych zmien alebo riadiacich štruktúr než kvantifikovateľných finančných údajov;</w:t>
            </w:r>
            <w:r>
              <w:t xml:space="preserve"> </w:t>
            </w:r>
            <w:r>
              <w:rPr>
                <w:b/>
                <w:i/>
              </w:rPr>
              <w:t>vyjadruje znepokojenie nad tým, že replikácia alebo rozšírenie podobných modelov financovania založených na výkonnosti v budúcom viacročnom finančnom rámci bez zodpovedajúcich úprav metodík auditu, prístupu k informáciám a zdrojom by mohli výrazne oslabiť účinnú kontrolu, zodpovednosť a uistenie v súvislosti s výdavkami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pripomína, že na konci roka 2023 bolo obsadených všetkých 29 dodatočných pracovných miest (dočasní zamestnanci) potrebných na audit Mechanizmu na podporu obnovy a odolnosti vo výške 723,8 miliardy EUR; chápe však, že významnosť, zložitosť, veľké sumy a rýchle vyplácanie prostriedkov v rámci Mechanizmu na podporu obnovy a odolnosti naďalej predstavujú výzvy a že súčasné zdroje nie sú dostatočné na systematické zabezpečovanie súladu výdavkov tohto mechanizmu s pravidlami Únie a vnútroštátnymi pravidlami a na reagovanie na zvýšené aktivity Únie; v tejto súvislosti podporuje požiadavku Dvora audítorov zmeniť 29 dočasných zamestnancov prijatých na audity súvisiace s Mechanizmom na podporu obnovy a odolnosti na stále pracovné miesta;</w:t>
            </w:r>
          </w:p>
        </w:tc>
        <w:tc>
          <w:tcPr>
            <w:tcW w:w="4876" w:type="dxa"/>
            <w:tcBorders>
              <w:top w:val="nil"/>
              <w:left w:val="nil"/>
              <w:bottom w:val="nil"/>
              <w:right w:val="nil"/>
            </w:tcBorders>
          </w:tcPr>
          <w:p>
            <w:pPr>
              <w:pStyle w:val="Normal6a"/>
            </w:pPr>
            <w:r>
              <w:t>29.</w:t>
            </w:r>
            <w:r>
              <w:tab/>
            </w:r>
            <w:r>
              <w:t xml:space="preserve">pripomína, že na konci roka 2023 bolo obsadených všetkých 29 dodatočných pracovných miest (dočasní zamestnanci) potrebných na audit Mechanizmu na podporu obnovy a odolnosti vo výške 723,8 miliardy EUR; chápe však, že významnosť, zložitosť, veľké sumy a rýchle vyplácanie prostriedkov v rámci Mechanizmu na podporu obnovy a odolnosti naďalej predstavujú výzvy a že súčasné zdroje nie sú dostatočné na systematické zabezpečovanie súladu výdavkov tohto mechanizmu s pravidlami Únie a vnútroštátnymi pravidlami a na reagovanie na zvýšené aktivity Únie; v tejto súvislosti podporuje požiadavku Dvora audítorov zmeniť 29 dočasných zamestnancov prijatých na audity súvisiace s Mechanizmom na podporu obnovy a odolnosti na stále pracovné miesta; </w:t>
            </w:r>
            <w:r>
              <w:rPr>
                <w:b/>
                <w:i/>
              </w:rPr>
              <w:t>zdôrazňuje, že je dôležité zabezpečiť, aby sa Dvoru audítorov neustále poskytovalo primerané personálne obsadenie na plnenie jeho mandátu, ako aj dodatočných povinností vyplývajúcich z nových finančných nástrojov, ako je Mechanizmus na podporu obnovy a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pripomína, že na konci roka 2023 bolo obsadených všetkých 29 dodatočných pracovných miest (dočasní zamestnanci) potrebných na audit Mechanizmu na podporu obnovy a odolnosti vo výške 723,8 miliardy EUR; chápe však, že významnosť, zložitosť, veľké sumy a rýchle vyplácanie prostriedkov v rámci Mechanizmu na podporu obnovy a odolnosti naďalej predstavujú výzvy a že súčasné zdroje nie sú dostatočné na systematické zabezpečovanie súladu výdavkov tohto mechanizmu s pravidlami Únie a vnútroštátnymi pravidlami a na reagovanie na zvýšené aktivity Únie; </w:t>
            </w:r>
            <w:r>
              <w:rPr>
                <w:b/>
                <w:i/>
              </w:rPr>
              <w:t>v</w:t>
            </w:r>
            <w:r>
              <w:t xml:space="preserve"> tejto súvislosti podporuje požiadavku Dvora audítorov zmeniť 29 dočasných zamestnancov prijatých na audity súvisiace s Mechanizmom na podporu obnovy a odolnosti na stále pracovné miesta;</w:t>
            </w:r>
          </w:p>
        </w:tc>
        <w:tc>
          <w:tcPr>
            <w:tcW w:w="4876" w:type="dxa"/>
            <w:tcBorders>
              <w:top w:val="nil"/>
              <w:left w:val="nil"/>
              <w:bottom w:val="nil"/>
              <w:right w:val="nil"/>
            </w:tcBorders>
          </w:tcPr>
          <w:p>
            <w:pPr>
              <w:pStyle w:val="Normal6a"/>
            </w:pPr>
            <w:r>
              <w:t>29.</w:t>
            </w:r>
            <w:r>
              <w:tab/>
            </w:r>
            <w:r>
              <w:t xml:space="preserve">pripomína, že na konci roka 2023 bolo obsadených všetkých 29 dodatočných pracovných miest (dočasní zamestnanci) potrebných na audit Mechanizmu na podporu obnovy a odolnosti vo výške 723,8 miliardy EUR; chápe však, že významnosť, zložitosť, veľké sumy a rýchle vyplácanie prostriedkov v rámci Mechanizmu na podporu obnovy a odolnosti naďalej predstavujú výzvy a že súčasné zdroje nie sú dostatočné na systematické zabezpečovanie súladu výdavkov tohto mechanizmu s pravidlami Únie a vnútroštátnymi pravidlami a na reagovanie na zvýšené aktivity Únie; </w:t>
            </w:r>
            <w:r>
              <w:rPr>
                <w:b/>
                <w:i/>
              </w:rPr>
              <w:t> </w:t>
            </w:r>
            <w:r>
              <w:t>tejto súvislosti podporuje požiadavku Dvora audítorov zmeniť 29 dočasných zamestnancov prijatých na audity súvisiace s Mechanizmom na podporu obnovy a odolnosti na stále pracovné miesta</w:t>
            </w:r>
            <w:r>
              <w:rPr>
                <w:b/>
                <w:i/>
              </w:rPr>
              <w:t>, aby sa zabezpečilo štrukturálne vybavenie Dvora audítorov na audit Mechanizmu na podporu obnovy a odolnosti a budúcich nástrojov založených na výkonnosti vrátane VFR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s uznaním konštatuje, že aj v roku 2024 Dvor audítorov prekročil cieľ odbornej prípravy, ktorý je stanovený ako päť dní inej než jazykovej odbornej prípravy ročne pre audítorov v súlade s odporúčaniami vydanými Medzinárodnou federáciou účtovníkov a dva dni pre ostatných zamestnancov (5,8 a 3,9);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konštatuje, že v roku 2024 bolo hlásených 13 prípadov vyhorenia, čo je viac ako 7 prípadov v roku 2023; víta skutočnosť, že Dvor audítorov prijal niekoľko krokov na zníženie rizika vyhorenia zavedením úplného programu dobrých životných podmienok, ponúknutím odbornej prípravy v oblasti odolnosti, uverejnením a vykonávaním usmernení o návrate do práce po dlhodobej práceneschopnosti, pokračovaním v poskytovaní prvej pomoci v oblasti duševného zdravia a poskytovaním finančnej podpory zamestnancom tým, že pokryje náklady na 10 konzultácií s psychológom podľa vlastného výberu; poznamenáva najmä, že Dvor audítorov v roku 2024 usporiadal 4 povinné školenia pre vedúcich pracovníkov, ktoré sa zameriavali na pohodu zamestnancov, výkonnosť, rovnováhu medzi pracovným a súkromným životom a prevenciu vyhorenia;</w:t>
            </w:r>
          </w:p>
        </w:tc>
        <w:tc>
          <w:tcPr>
            <w:tcW w:w="4876" w:type="dxa"/>
            <w:tcBorders>
              <w:top w:val="nil"/>
              <w:left w:val="nil"/>
              <w:bottom w:val="nil"/>
              <w:right w:val="nil"/>
            </w:tcBorders>
          </w:tcPr>
          <w:p>
            <w:pPr>
              <w:pStyle w:val="Normal6a"/>
            </w:pPr>
            <w:r>
              <w:t>31.</w:t>
            </w:r>
            <w:r>
              <w:tab/>
            </w:r>
            <w:r>
              <w:rPr>
                <w:b/>
                <w:i/>
              </w:rPr>
              <w:t>s vážnym znepokojením</w:t>
            </w:r>
            <w:r>
              <w:t xml:space="preserve"> konštatuje, že v roku 2024 bolo hlásených 13 prípadov vyhorenia, čo je viac ako 7 prípadov v roku 2023</w:t>
            </w:r>
            <w:r>
              <w:rPr>
                <w:b/>
                <w:i/>
              </w:rPr>
              <w:t>;</w:t>
            </w:r>
            <w:r>
              <w:t xml:space="preserve"> </w:t>
            </w:r>
            <w:r>
              <w:rPr>
                <w:b/>
                <w:i/>
              </w:rPr>
              <w:t>vyzýva Dvor audítorov, aby vykonal dôkladnú analýzu dôvodov tohto výrazného nárastu nahlásených prípadov vyhorenia v roku 2024 založenú na dôkazoch</w:t>
            </w:r>
            <w:r>
              <w:t xml:space="preserve">; víta skutočnosť, že Dvor audítorov prijal niekoľko krokov na zníženie rizika vyhorenia zavedením úplného programu dobrých životných podmienok, ponúknutím odbornej prípravy v oblasti odolnosti, uverejnením a vykonávaním usmernení o návrate do práce po dlhodobej práceneschopnosti, pokračovaním v poskytovaní prvej pomoci v oblasti duševného zdravia a poskytovaním finančnej podpory zamestnancom tým, že pokryje náklady na 10 konzultácií s psychológom podľa vlastného výberu; poznamenáva najmä, že Dvor audítorov v roku 2024 usporiadal 4 povinné školenia pre vedúcich pracovníkov, ktoré sa zameriavali na pohodu zamestnancov, výkonnosť, rovnováhu medzi pracovným a súkromným životom a prevenciu vyhorenia; </w:t>
            </w:r>
            <w:r>
              <w:rPr>
                <w:b/>
                <w:i/>
              </w:rPr>
              <w:t>vyzýva Dvor audítorov, aby na základe zistení tejto analýzy preskúmal a zodpovedajúcim spôsobom prispôsobil svoj prístup s cieľom účinne predchádzať vyhoreniu a zlepšiť pracovné prostredie;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konštatuje, že v roku 2024 bolo hlásených 13 prípadov vyhorenia, čo je viac ako 7 prípadov v roku 2023; víta skutočnosť, že Dvor audítorov prijal niekoľko krokov na zníženie rizika vyhorenia zavedením úplného programu dobrých životných podmienok, ponúknutím odbornej prípravy v oblasti odolnosti, uverejnením a vykonávaním usmernení o návrate do práce po dlhodobej práceneschopnosti, pokračovaním v poskytovaní prvej pomoci v oblasti duševného zdravia a poskytovaním finančnej podpory zamestnancom tým, že pokryje náklady na 10 konzultácií s psychológom podľa vlastného výberu; poznamenáva najmä, že Dvor audítorov v roku 2024 usporiadal 4 povinné školenia pre vedúcich pracovníkov, ktoré sa zameriavali na pohodu zamestnancov, výkonnosť, rovnováhu medzi pracovným a súkromným životom a prevenciu vyhorenia;</w:t>
            </w:r>
          </w:p>
        </w:tc>
        <w:tc>
          <w:tcPr>
            <w:tcW w:w="4876" w:type="dxa"/>
            <w:tcBorders>
              <w:top w:val="nil"/>
              <w:left w:val="nil"/>
              <w:bottom w:val="nil"/>
              <w:right w:val="nil"/>
            </w:tcBorders>
          </w:tcPr>
          <w:p>
            <w:pPr>
              <w:pStyle w:val="Normal6a"/>
            </w:pPr>
            <w:r>
              <w:t>31.</w:t>
            </w:r>
            <w:r>
              <w:tab/>
            </w:r>
            <w:r>
              <w:t>konštatuje, že v roku 2024 bolo hlásených 13 prípadov vyhorenia, čo je viac ako 7 prípadov v roku 2023</w:t>
            </w:r>
            <w:r>
              <w:rPr>
                <w:b/>
                <w:i/>
              </w:rPr>
              <w:t>;</w:t>
            </w:r>
            <w:r>
              <w:t xml:space="preserve"> </w:t>
            </w:r>
            <w:r>
              <w:rPr>
                <w:b/>
                <w:i/>
              </w:rPr>
              <w:t>so znepokojením berie na vedomie výrazný nárast nahlásených prípadov vyhorenia v roku 2024;</w:t>
            </w:r>
            <w:r>
              <w:t xml:space="preserve"> </w:t>
            </w:r>
            <w:r>
              <w:rPr>
                <w:b/>
                <w:i/>
              </w:rPr>
              <w:t>vyzýva Dvor audítorov, aby ďalej analyzoval rozdelenie pracovného zaťaženia, organizačné faktory a štrukturálne riziká a aby začlenil zistenia do svojich postupov plánovania a riadenia ľudských zdrojov</w:t>
            </w:r>
            <w:r>
              <w:t>; víta skutočnosť, že Dvor audítorov prijal niekoľko krokov na zníženie rizika vyhorenia zavedením úplného programu dobrých životných podmienok, ponúknutím odbornej prípravy v oblasti odolnosti, uverejnením a vykonávaním usmernení o návrate do práce po dlhodobej práceneschopnosti, pokračovaním v poskytovaní prvej pomoci v oblasti duševného zdravia a poskytovaním finančnej podpory zamestnancom tým, že pokryje náklady na 10 konzultácií s psychológom podľa vlastného výberu; poznamenáva najmä, že Dvor audítorov v roku 2024 usporiadal 4 povinné školenia pre vedúcich pracovníkov, ktoré sa zameriavali na pohodu zamestnancov, výkonnosť, rovnováhu medzi pracovným a súkromným životom a prevenciu vyhorenia;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konštatuje, že podľa dotazníka prijal Dvor audítorov v roku 2024 mnoho opatrení v súlade so svojím akčným plánom pre rozmanitosť a začlenenie na roky 2021 – 2025 v rôznych oblastiach, ako sú prijímanie pracovníkov, odborná príprava, kariérny rast, pracovné podmienky a informovanosť zamestnancov;</w:t>
            </w:r>
            <w:r>
              <w:t xml:space="preserve"> </w:t>
            </w:r>
            <w:r>
              <w:rPr>
                <w:b/>
                <w:i/>
              </w:rPr>
              <w:t>konštatuje, že Dvor audítorov integruje rozmanitosť a začlenenie do svojich procesov riadenia výkonnosti, hodnotenia, certifikácie a povyšovania, ako aj do svojich programov odbornej prípravy, pričom v roku 2024 sa 13 manažérov zúčastnilo dobrovoľného hodnotenia v oblasti rozmanitosti a začlenenia;</w:t>
            </w:r>
            <w:r>
              <w:t xml:space="preserve"> </w:t>
            </w:r>
            <w:r>
              <w:rPr>
                <w:b/>
                <w:i/>
              </w:rPr>
              <w:t>víta špecializované školenie s názvom „Women managers rise up: skilling for success“, ktoré Dvor audítorov usporiadal s cieľom povzbudiť ženy, aby sa uchádzali o riadiace funkcie;</w:t>
            </w:r>
            <w:r>
              <w:t xml:space="preserve"> </w:t>
            </w:r>
            <w:r>
              <w:rPr>
                <w:b/>
                <w:i/>
              </w:rPr>
              <w:t>ďalej víta nové programy pozitívnych opatrení Dvora audítorov pre stážistov a zmluvných zamestnancov zamerané na osoby so zdravotným postihnutím, pričom dve stáže ročne sa ponúkajú osobám s uznaným zdravotným postihnutím;</w:t>
            </w:r>
            <w:r>
              <w:t xml:space="preserve"> </w:t>
            </w:r>
            <w:r>
              <w:rPr>
                <w:b/>
                <w:i/>
              </w:rPr>
              <w:t>s uspokojením konštatuje, že Dvor audítorov usporiadal v roku 2024 štvrtý Týždeň informovanosti o zdravotnom postihnutí, v rámci ktorého predstavil nový plán pre osoby so zdravotným postihnutím, ktorý zvýrazňuje úsilie Dvora audítorov o inkluzívnejšie pracovisko;</w:t>
            </w:r>
            <w:r>
              <w:t xml:space="preserve"> </w:t>
            </w:r>
            <w:r>
              <w:rPr>
                <w:b/>
                <w:i/>
              </w:rPr>
              <w:t>s uspokojením konštatuje, že Dvor audítorov zverejňuje aj priebežné hodnotenia svojho akčného plánu v oblasti rozmanitosti a začlenenia s cieľom zabezpečiť transparentnosť a zapojenie celej organizácie;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opätovne vyjadruje hlboké znepokojenie nad tým, že Dvor audítorov odmietol zbaviť imunity svojho bývalého predsedu, ako aj nad rozhodnutím Dvora audítorov zamietnuť žiadosť Európskej prokuratúry, aby viacerí zamestnanci Dvora audítorov mohli vypovedať v prebiehajúcom trestnom vyšetrovaní; berie na vedomie stanovisko Dvora audítorov zo správy o následných opatreniach, podľa ktorého Dvor audítorov k zbaveniu imunity nepristúpil z dôvodu, že Európska prokuratúra mu neposkytla „dostatočné informácie, na základe ktorých by bolo možné pochopiť, z akých činov sú dotknuté osoby obvinené a do akej miery môžu tieto činy predstavovať trestnú činnosť“, pričom na podporu svojho stanoviska uvádza judikatúru ako súčasť platného právneho rámca; konštatuje, že 10. februára 2025 podala Európska prokuratúra na Súdny dvor Európskej únie odvolanie (vec T-99/25) podľa článku 263 ods. 4 ZFEÚ proti rozhodnutiu Dvora audítorov zamietnuť žiadosť Európskej prokuratúry, aby viacerí zamestnanci Dvora audítorov mohli vypovedať v prebiehajúcom trestnom vyšetrovaní; ďalej poznamenáva, že uvedené odvolanie nesmerovalo proti nezrušeniu imunity dotknutých osôb; </w:t>
            </w:r>
            <w:r>
              <w:rPr>
                <w:b/>
                <w:i/>
              </w:rPr>
              <w:t>zdôrazňuje, že právomoc inštitúcií Únie neschváliť vypočutie svojich zamestnancov ako svedkov nezahŕňa právo vyjadriť sa k podstate súdneho konania, v ktorom majú zamestnanci vypovedať, a možno sa na ňu odvolávať len v situáciách, keď by boli ohrozené záujmy Únie, ktoré musia mať značný význam a byť pre Úniu zásadné;</w:t>
            </w:r>
            <w:r>
              <w:t xml:space="preserve"> </w:t>
            </w:r>
            <w:r>
              <w:rPr>
                <w:b/>
                <w:i/>
              </w:rPr>
              <w:t>naliehavo</w:t>
            </w:r>
            <w:r>
              <w:t xml:space="preserve"> vyzýva Dvor audítorov, aby pri spolupráci s Európskou prokuratúrou a inými orgánmi EÚ zodpovednými za boj proti podvodom a zneužitiam právomoci udržiaval vysokú úroveň transparentnosti a zodpovednosti;</w:t>
            </w:r>
          </w:p>
        </w:tc>
        <w:tc>
          <w:tcPr>
            <w:tcW w:w="4876" w:type="dxa"/>
            <w:tcBorders>
              <w:top w:val="nil"/>
              <w:left w:val="nil"/>
              <w:bottom w:val="nil"/>
              <w:right w:val="nil"/>
            </w:tcBorders>
          </w:tcPr>
          <w:p>
            <w:pPr>
              <w:pStyle w:val="Normal6a"/>
            </w:pPr>
            <w:r>
              <w:t>35.</w:t>
            </w:r>
            <w:r>
              <w:tab/>
            </w:r>
            <w:r>
              <w:t xml:space="preserve">opätovne vyjadruje hlboké znepokojenie nad tým, že Dvor audítorov odmietol zbaviť imunity svojho bývalého predsedu, ako aj nad rozhodnutím Dvora audítorov zamietnuť žiadosť Európskej prokuratúry, aby viacerí zamestnanci Dvora audítorov mohli vypovedať v prebiehajúcom trestnom vyšetrovaní; berie na vedomie stanovisko Dvora audítorov zo správy o následných opatreniach, podľa ktorého Dvor audítorov k zbaveniu imunity nepristúpil z dôvodu, že Európska prokuratúra mu neposkytla „dostatočné informácie, na základe ktorých by bolo možné pochopiť, z akých činov sú dotknuté osoby obvinené a do akej miery môžu tieto činy predstavovať trestnú činnosť“, pričom na podporu svojho stanoviska uvádza judikatúru ako súčasť platného právneho rámca; konštatuje, že 10. februára 2025 podala Európska prokuratúra na Súdny dvor Európskej únie odvolanie (vec T-99/25) podľa článku 263 ods. 4 ZFEÚ proti rozhodnutiu Dvora audítorov zamietnuť žiadosť Európskej prokuratúry, aby viacerí zamestnanci Dvora audítorov mohli vypovedať v prebiehajúcom trestnom vyšetrovaní; ďalej poznamenáva, že uvedené odvolanie nesmerovalo proti nezrušeniu imunity dotknutých osôb; vyzýva Dvor audítorov, aby pri spolupráci s Európskou prokuratúrou a inými orgánmi EÚ zodpovednými za boj proti podvodom a zneužitiam právomoci udržiaval vysokú úroveň transparentnosti a zodpovednosti; </w:t>
            </w:r>
            <w:r>
              <w:rPr>
                <w:b/>
                <w:i/>
              </w:rPr>
              <w:t>naliehavo vyzýva Dvor audítorov, aby objasnil kritériá uplatňované pri rozhodovaní o žiadostiach Európskej prokuratúry a zabezpečil, aby takéto rozhodnutia nemohli byť vnímané ako marenie súdneho vyšetrovania;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opätovne vyjadruje hlboké znepokojenie nad tým, že Dvor audítorov odmietol zbaviť imunity svojho bývalého predsedu, ako aj nad rozhodnutím Dvora audítorov zamietnuť žiadosť Európskej prokuratúry, aby viacerí zamestnanci Dvora audítorov mohli vypovedať v prebiehajúcom trestnom vyšetrovaní; berie na vedomie stanovisko Dvora audítorov zo správy o následných opatreniach, podľa ktorého Dvor audítorov k zbaveniu imunity nepristúpil z dôvodu, že Európska prokuratúra mu neposkytla „dostatočné informácie, na základe ktorých by bolo možné pochopiť, z akých činov sú dotknuté osoby obvinené a do akej miery môžu tieto činy predstavovať trestnú činnosť“, pričom na podporu svojho stanoviska uvádza judikatúru ako súčasť platného právneho rámca; konštatuje, že 10. februára 2025 podala Európska prokuratúra na Súdny dvor Európskej únie odvolanie (vec T-99/25) podľa článku 263 ods. 4 ZFEÚ proti rozhodnutiu Dvora audítorov zamietnuť žiadosť Európskej prokuratúry, aby viacerí zamestnanci Dvora audítorov mohli vypovedať v prebiehajúcom trestnom vyšetrovaní; ďalej poznamenáva, že uvedené odvolanie nesmerovalo proti nezrušeniu imunity dotknutých osôb; zdôrazňuje, že právomoc inštitúcií Únie neschváliť vypočutie svojich zamestnancov ako svedkov nezahŕňa právo vyjadriť sa k podstate súdneho konania, v ktorom majú zamestnanci vypovedať, a možno sa na ňu odvolávať len v situáciách, keď by boli ohrozené záujmy Únie, ktoré musia mať značný význam a byť pre Úniu zásadné; </w:t>
            </w:r>
            <w:r>
              <w:rPr>
                <w:b/>
                <w:i/>
              </w:rPr>
              <w:t>naliehavo vyzýva</w:t>
            </w:r>
            <w:r>
              <w:t xml:space="preserve"> Dvor audítorov</w:t>
            </w:r>
            <w:r>
              <w:rPr>
                <w:b/>
                <w:i/>
              </w:rPr>
              <w:t>, aby pri spolupráci</w:t>
            </w:r>
            <w:r>
              <w:t xml:space="preserve"> s Európskou prokuratúrou a </w:t>
            </w:r>
            <w:r>
              <w:rPr>
                <w:b/>
                <w:i/>
              </w:rPr>
              <w:t>inými orgánmi EÚ zodpovednými za boj proti podvodom a zneužitiam právomoci udržiaval vysokú úroveň transparentnosti a zodpovednosti</w:t>
            </w:r>
            <w:r>
              <w:t>;</w:t>
            </w:r>
          </w:p>
        </w:tc>
        <w:tc>
          <w:tcPr>
            <w:tcW w:w="4876" w:type="dxa"/>
            <w:tcBorders>
              <w:top w:val="nil"/>
              <w:left w:val="nil"/>
              <w:bottom w:val="nil"/>
              <w:right w:val="nil"/>
            </w:tcBorders>
          </w:tcPr>
          <w:p>
            <w:pPr>
              <w:pStyle w:val="Normal6a"/>
            </w:pPr>
            <w:r>
              <w:t>35.</w:t>
            </w:r>
            <w:r>
              <w:tab/>
            </w:r>
            <w:r>
              <w:t xml:space="preserve">opätovne vyjadruje hlboké znepokojenie nad tým, že Dvor audítorov odmietol zbaviť imunity svojho bývalého predsedu, ako aj nad rozhodnutím Dvora audítorov zamietnuť žiadosť Európskej prokuratúry, aby viacerí zamestnanci Dvora audítorov mohli vypovedať v prebiehajúcom trestnom vyšetrovaní; berie na vedomie stanovisko Dvora audítorov zo správy o následných opatreniach, podľa ktorého Dvor audítorov k zbaveniu imunity nepristúpil z dôvodu, že Európska prokuratúra mu neposkytla „dostatočné informácie, na základe ktorých by bolo možné pochopiť, z akých činov sú dotknuté osoby obvinené a do akej miery môžu tieto činy predstavovať trestnú činnosť“, pričom na podporu svojho stanoviska uvádza judikatúru ako súčasť platného právneho rámca; konštatuje, že 10. februára 2025 podala Európska prokuratúra na Súdny dvor Európskej únie odvolanie (vec T-99/25) podľa článku 263 ods. 4 ZFEÚ proti rozhodnutiu Dvora audítorov zamietnuť žiadosť Európskej prokuratúry, aby viacerí zamestnanci Dvora audítorov mohli vypovedať v prebiehajúcom trestnom vyšetrovaní; ďalej poznamenáva, že uvedené odvolanie nesmerovalo proti nezrušeniu imunity dotknutých osôb; zdôrazňuje, že právomoc inštitúcií Únie neschváliť vypočutie svojich zamestnancov ako svedkov nezahŕňa právo vyjadriť sa k podstate súdneho konania, v ktorom majú zamestnanci vypovedať, a možno sa na ňu odvolávať len v situáciách, keď by boli ohrozené záujmy Únie, ktoré musia mať značný význam a byť pre Úniu zásadné; </w:t>
            </w:r>
            <w:r>
              <w:rPr>
                <w:b/>
                <w:i/>
              </w:rPr>
              <w:t>zdôrazňuje, že povinnosť lojálnej spolupráce inštitúcií Únie si vyžaduje, aby sa povolenia na vypočutie zamestnancov ako svedkov pri vyšetrovaní trestných činov zamietali len za výnimočných okolností;</w:t>
            </w:r>
            <w:r>
              <w:t xml:space="preserve"> </w:t>
            </w:r>
            <w:r>
              <w:rPr>
                <w:b/>
                <w:i/>
              </w:rPr>
              <w:t>pripomína, že takéto rozhodnutia nesmú zasahovať do posúdenia skutkovej podstaty trestného konania;</w:t>
            </w:r>
            <w:r>
              <w:t xml:space="preserve"> </w:t>
            </w:r>
            <w:r>
              <w:rPr>
                <w:b/>
                <w:i/>
              </w:rPr>
              <w:t>opakuje, že očakáva, že</w:t>
            </w:r>
            <w:r>
              <w:t xml:space="preserve"> Dvor audítorov </w:t>
            </w:r>
            <w:r>
              <w:rPr>
                <w:b/>
                <w:i/>
              </w:rPr>
              <w:t>zabezpečí úplnú, včasnú a dobromyseľnú spoluprácu</w:t>
            </w:r>
            <w:r>
              <w:t xml:space="preserve"> s Európskou prokuratúrou a </w:t>
            </w:r>
            <w:r>
              <w:rPr>
                <w:b/>
                <w:i/>
              </w:rPr>
              <w:t>náležite informuje orgán udeľujúci absolutórium o všetkých relevantných udalostiach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opätovne vyjadruje hlboké znepokojenie nad tým, že Dvor audítorov odmietol zbaviť imunity svojho bývalého predsedu, ako aj nad rozhodnutím Dvora audítorov zamietnuť žiadosť Európskej prokuratúry, aby viacerí zamestnanci Dvora audítorov mohli vypovedať v prebiehajúcom trestnom vyšetrovaní; berie na vedomie stanovisko Dvora audítorov zo správy o následných opatreniach, podľa ktorého Dvor audítorov k zbaveniu imunity nepristúpil z dôvodu, že Európska prokuratúra mu neposkytla „dostatočné informácie, na základe ktorých by bolo možné pochopiť, z akých činov sú dotknuté osoby obvinené a do akej miery môžu tieto činy predstavovať trestnú činnosť“, pričom na podporu svojho stanoviska uvádza judikatúru ako súčasť platného právneho rámca; konštatuje, že 10. februára 2025 podala Európska prokuratúra na Súdny dvor Európskej únie odvolanie (vec T-99/25) podľa článku 263 ods. 4 ZFEÚ proti rozhodnutiu Dvora audítorov zamietnuť žiadosť Európskej prokuratúry, aby viacerí zamestnanci Dvora audítorov mohli vypovedať v prebiehajúcom trestnom vyšetrovaní; ďalej poznamenáva, že uvedené odvolanie nesmerovalo proti nezrušeniu imunity dotknutých osôb; zdôrazňuje, že právomoc inštitúcií Únie neschváliť vypočutie svojich zamestnancov ako svedkov nezahŕňa právo vyjadriť sa k podstate súdneho konania, v ktorom majú zamestnanci vypovedať, a možno sa na ňu odvolávať len v situáciách, keď by boli ohrozené záujmy Únie, ktoré musia mať značný význam a byť pre Úniu zásadné; naliehavo vyzýva Dvor audítorov, aby pri spolupráci s Európskou prokuratúrou a inými orgánmi EÚ zodpovednými za boj proti podvodom a zneužitiam právomoci udržiaval vysokú úroveň transparentnosti a zodpovednosti;</w:t>
            </w:r>
          </w:p>
        </w:tc>
        <w:tc>
          <w:tcPr>
            <w:tcW w:w="4876" w:type="dxa"/>
            <w:tcBorders>
              <w:top w:val="nil"/>
              <w:left w:val="nil"/>
              <w:bottom w:val="nil"/>
              <w:right w:val="nil"/>
            </w:tcBorders>
          </w:tcPr>
          <w:p>
            <w:pPr>
              <w:pStyle w:val="Normal6a"/>
            </w:pPr>
            <w:r>
              <w:t>35.</w:t>
            </w:r>
            <w:r>
              <w:tab/>
            </w:r>
            <w:r>
              <w:t xml:space="preserve">opätovne vyjadruje hlboké znepokojenie nad tým, že Dvor audítorov odmietol zbaviť imunity svojho bývalého predsedu, ako aj nad rozhodnutím Dvora audítorov zamietnuť žiadosť Európskej prokuratúry, aby viacerí zamestnanci Dvora audítorov mohli vypovedať v prebiehajúcom trestnom vyšetrovaní; berie na vedomie stanovisko Dvora audítorov zo správy o následných opatreniach, podľa ktorého Dvor audítorov k zbaveniu imunity nepristúpil z dôvodu, že Európska prokuratúra mu neposkytla „dostatočné informácie, na základe ktorých by bolo možné pochopiť, z akých činov sú dotknuté osoby obvinené a do akej miery môžu tieto činy predstavovať trestnú činnosť“, pričom na podporu svojho stanoviska uvádza judikatúru ako súčasť platného právneho rámca; konštatuje, že 10. februára 2025 podala Európska prokuratúra na Súdny dvor Európskej únie odvolanie (vec T-99/25) podľa článku 263 ods. 4 ZFEÚ proti rozhodnutiu Dvora audítorov zamietnuť žiadosť Európskej prokuratúry, aby viacerí zamestnanci Dvora audítorov mohli vypovedať v prebiehajúcom trestnom vyšetrovaní; ďalej poznamenáva, že uvedené odvolanie nesmerovalo proti nezrušeniu imunity dotknutých osôb; zdôrazňuje, že právomoc inštitúcií Únie neschváliť vypočutie svojich zamestnancov ako svedkov nezahŕňa právo vyjadriť sa k podstate súdneho konania, v ktorom majú zamestnanci vypovedať, a možno sa na ňu odvolávať len v situáciách, keď by boli ohrozené záujmy Únie, ktoré musia mať značný význam a byť pre Úniu zásadné; naliehavo vyzýva Dvor audítorov, aby pri spolupráci s Európskou prokuratúrou a inými orgánmi EÚ zodpovednými za boj proti podvodom a zneužitiam právomoci udržiaval vysokú úroveň transparentnosti a zodpovednosti </w:t>
            </w:r>
            <w:r>
              <w:rPr>
                <w:b/>
                <w:i/>
              </w:rPr>
              <w:t>a aby zabezpečil, že sa imunita nebude uplatňovať s cieľom brániť legitímnym súdnym konaniam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opätovne vyjadruje hlboké znepokojenie nad tým</w:t>
            </w:r>
            <w:r>
              <w:t>, že Dvor audítorov odmietol zbaviť imunity svojho bývalého predsedu, ako aj nad rozhodnutím Dvora audítorov zamietnuť žiadosť Európskej prokuratúry, aby viacerí zamestnanci Dvora audítorov mohli vypovedať v prebiehajúcom trestnom vyšetrovaní; berie na vedomie stanovisko Dvora audítorov zo správy o následných opatreniach, podľa ktorého Dvor audítorov k zbaveniu imunity nepristúpil z dôvodu, že Európska prokuratúra mu neposkytla „dostatočné informácie, na základe ktorých by bolo možné pochopiť, z akých činov sú dotknuté osoby obvinené a do akej miery môžu tieto činy predstavovať trestnú činnosť“, pričom na podporu svojho stanoviska uvádza judikatúru ako súčasť platného právneho rámca; konštatuje, že 10. februára 2025 podala Európska prokuratúra na Súdny dvor Európskej únie odvolanie (vec T-99/25) podľa článku 263 ods. 4 ZFEÚ proti rozhodnutiu Dvora audítorov zamietnuť žiadosť Európskej prokuratúry, aby viacerí zamestnanci Dvora audítorov mohli vypovedať v prebiehajúcom trestnom vyšetrovaní; ďalej poznamenáva, že uvedené odvolanie nesmerovalo proti nezrušeniu imunity dotknutých osôb; zdôrazňuje, že právomoc inštitúcií Únie neschváliť vypočutie svojich zamestnancov ako svedkov nezahŕňa právo vyjadriť sa k podstate súdneho konania, v ktorom majú zamestnanci vypovedať, a možno sa na ňu odvolávať len v situáciách, keď by boli ohrozené záujmy Únie, ktoré musia mať značný význam a byť pre Úniu zásadné; naliehavo vyzýva Dvor audítorov, aby pri spolupráci s Európskou prokuratúrou a inými orgánmi EÚ zodpovednými za boj proti podvodom a zneužitiam právomoci udržiaval vysokú úroveň transparentnosti a zodpovednosti;</w:t>
            </w:r>
          </w:p>
        </w:tc>
        <w:tc>
          <w:tcPr>
            <w:tcW w:w="4876" w:type="dxa"/>
            <w:tcBorders>
              <w:top w:val="nil"/>
              <w:left w:val="nil"/>
              <w:bottom w:val="nil"/>
              <w:right w:val="nil"/>
            </w:tcBorders>
          </w:tcPr>
          <w:p>
            <w:pPr>
              <w:pStyle w:val="Normal6a"/>
            </w:pPr>
            <w:r>
              <w:t>35.</w:t>
            </w:r>
            <w:r>
              <w:tab/>
            </w:r>
            <w:r>
              <w:rPr>
                <w:b/>
                <w:i/>
              </w:rPr>
              <w:t>konštatuje</w:t>
            </w:r>
            <w:r>
              <w:t>, že Dvor audítorov odmietol zbaviť imunity svojho bývalého predsedu, ako aj nad rozhodnutím Dvora audítorov zamietnuť žiadosť Európskej prokuratúry, aby viacerí zamestnanci Dvora audítorov mohli vypovedať v prebiehajúcom trestnom vyšetrovaní; berie na vedomie stanovisko Dvora audítorov zo správy o následných opatreniach, podľa ktorého Dvor audítorov k zbaveniu imunity nepristúpil z dôvodu, že Európska prokuratúra mu neposkytla „dostatočné informácie, na základe ktorých by bolo možné pochopiť, z akých činov sú dotknuté osoby obvinené a do akej miery môžu tieto činy predstavovať trestnú činnosť“, pričom na podporu svojho stanoviska uvádza judikatúru ako súčasť platného právneho rámca; konštatuje, že 10. februára 2025 podala Európska prokuratúra na Súdny dvor Európskej únie odvolanie (vec T-99/25) podľa článku 263 ods. 4 ZFEÚ proti rozhodnutiu Dvora audítorov zamietnuť žiadosť Európskej prokuratúry, aby viacerí zamestnanci Dvora audítorov mohli vypovedať v prebiehajúcom trestnom vyšetrovaní; ďalej poznamenáva, že uvedené odvolanie nesmerovalo proti nezrušeniu imunity dotknutých osôb; zdôrazňuje, že právomoc inštitúcií Únie neschváliť vypočutie svojich zamestnancov ako svedkov nezahŕňa právo vyjadriť sa k podstate súdneho konania, v ktorom majú zamestnanci vypovedať, a možno sa na ňu odvolávať len v situáciách, keď by boli ohrozené záujmy Únie, ktoré musia mať značný význam a byť pre Úniu zásadné; naliehavo vyzýva Dvor audítorov, aby pri spolupráci s Európskou prokuratúrou a inými orgánmi EÚ zodpovednými za boj proti podvodom a zneužitiam právomoci udržiaval vysokú úroveň transparentnosti a zodpovednosti;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vyzýva Dvor audítorov, aby vo veciach týkajúcich sa rozhodnutí o zbavení imunity svojich členov poskytol Parlamentu dostatočne podrobné odôvodnenie, ktoré nemá dôverný charakter, s cieľom umožniť zmysluplnú demokratickú kontrolu pri plnom rešpektovaní súdnych konaní a práv dotknutých osôb;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pripomína skutočnosť, že útvar vnútorného auditu (IAS) Dvora audítorov vykonal audit etického rámca platného pre zamestnancov a členov Dvora audítorov; konštatuje, že podľa záverečnej správy (02/2023), ktorú Dvor audítorov zaslal predsedovi Parlamentu 9. júla 2024, a podľa dotazníka vydal IAS 16 odporúčaní, z ktorých 15 už bolo splnených, pričom na jednom, ktoré sa týka konfliktu záujmov zamestnancov, sa ešte pracuje;</w:t>
            </w:r>
          </w:p>
        </w:tc>
        <w:tc>
          <w:tcPr>
            <w:tcW w:w="4876" w:type="dxa"/>
            <w:tcBorders>
              <w:top w:val="nil"/>
              <w:left w:val="nil"/>
              <w:bottom w:val="nil"/>
              <w:right w:val="nil"/>
            </w:tcBorders>
          </w:tcPr>
          <w:p>
            <w:pPr>
              <w:pStyle w:val="Normal6a"/>
            </w:pPr>
            <w:r>
              <w:t>42.</w:t>
            </w:r>
            <w:r>
              <w:tab/>
            </w:r>
            <w:r>
              <w:t xml:space="preserve">pripomína skutočnosť, že útvar vnútorného auditu (IAS) Dvora audítorov vykonal audit etického rámca platného pre zamestnancov a členov Dvora audítorov; konštatuje, že podľa záverečnej správy (02/2023), ktorú Dvor audítorov zaslal predsedovi Parlamentu 9. júla 2024, a podľa dotazníka vydal IAS 16 odporúčaní, z ktorých 15 už bolo splnených, pričom na jednom, ktoré sa týka konfliktu záujmov zamestnancov, sa ešte pracuje; </w:t>
            </w:r>
            <w:r>
              <w:rPr>
                <w:b/>
                <w:i/>
              </w:rPr>
              <w:t>naliehavo vyzýva Dvor audítorov, aby bezodkladne dokončil zostávajúce odporúčanie, a vyzýva ho, aby orgán udeľujúci absolutórium riadne informoval o pokroku dosiahnutom v tejto súvislosti;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konštatuje, že podľa správy Dvora audítorov neboli v roku 2024 zistené v rámci vnútorných operácií Dvora audítorov žiadne prípady korupcie alebo podvodu; oceňuje, že Dvor audítorov organizuje preventívne školenia o protikorupčných politikách a postupoch, ktorých sa v roku 2024 uskutočnilo 10 a zúčastnilo sa ich celkovo 257 osôb; oceňuje skutočnosť, že podľa správy o následných opatreniach Dvor audítorov vydal v roku 2024 jednotný konsolidovaný dokument o riešení </w:t>
            </w:r>
            <w:r>
              <w:rPr>
                <w:b/>
                <w:i/>
              </w:rPr>
              <w:t>podvodov</w:t>
            </w:r>
            <w:r>
              <w:t xml:space="preserve"> v kontexte svojich audítorských činností, čím harmonizoval spôsob, akým audítorské komory Dvora audítorov riešia </w:t>
            </w:r>
            <w:r>
              <w:rPr>
                <w:b/>
                <w:i/>
              </w:rPr>
              <w:t>záležitosti týkajúce sa podvodov</w:t>
            </w:r>
            <w:r>
              <w:t xml:space="preserve"> odhalené počas externého auditu; konštatuje, že riziko podvodu v súvislosti s vnútornými operáciami Dvora audítorov sa riadi prostredníctvom rámca vnútornej kontroly Dvora audítorov, ktorého cieľom je predchádzať akýmkoľvek nezrovnalostiam týkajúcim sa členov alebo zamestnancov Dvora audítorov, ktoré by mohli mať vplyv na finančné záujmy Únie, odhaľovať ich, naprávať a prijímať následné opatrenia; ďalej berie na vedomie názor Dvora audítorov, že vypracovanie samostatnej stratégie boja proti podvodom pre interné operácie „by znamenalo neprimeranú administratívnu záťaž vzhľadom na už zavedené rozsiahle kontroly“, ale naďalej žiada Dvor audítorov, aby prijal stratégiu boja proti podvodom, ktorá by sa vzťahovala na všetky typy operácií;</w:t>
            </w:r>
          </w:p>
        </w:tc>
        <w:tc>
          <w:tcPr>
            <w:tcW w:w="4876" w:type="dxa"/>
            <w:tcBorders>
              <w:top w:val="nil"/>
              <w:left w:val="nil"/>
              <w:bottom w:val="nil"/>
              <w:right w:val="nil"/>
            </w:tcBorders>
          </w:tcPr>
          <w:p>
            <w:pPr>
              <w:pStyle w:val="Normal6a"/>
            </w:pPr>
            <w:r>
              <w:t>43.</w:t>
            </w:r>
            <w:r>
              <w:tab/>
            </w:r>
            <w:r>
              <w:t xml:space="preserve">konštatuje, že podľa správy Dvora audítorov neboli v roku 2024 zistené v rámci vnútorných operácií Dvora audítorov žiadne prípady korupcie alebo podvodu; oceňuje, že Dvor audítorov organizuje preventívne školenia o protikorupčných politikách a postupoch, ktorých sa v roku 2024 uskutočnilo 10 a zúčastnilo sa ich celkovo 257 osôb; oceňuje skutočnosť, že podľa správy o následných opatreniach Dvor audítorov vydal v roku 2024 jednotný konsolidovaný dokument o riešení </w:t>
            </w:r>
            <w:r>
              <w:rPr>
                <w:b/>
                <w:i/>
              </w:rPr>
              <w:t>záležitostí súvisiacich s podvodmi</w:t>
            </w:r>
            <w:r>
              <w:t xml:space="preserve"> v kontexte svojich audítorských činností</w:t>
            </w:r>
            <w:r>
              <w:rPr>
                <w:b/>
                <w:i/>
              </w:rPr>
              <w:t>, ktorý poskytuje komplexné a podrobné usmernenia pre audítorov Dvora audítorov</w:t>
            </w:r>
            <w:r>
              <w:t xml:space="preserve">, čím harmonizoval spôsob, akým audítorské komory Dvora audítorov riešia </w:t>
            </w:r>
            <w:r>
              <w:rPr>
                <w:b/>
                <w:i/>
              </w:rPr>
              <w:t>prípady podozrenia z podvodu, korupcie alebo akéhokoľvek iného protiprávneho konania poškodzujúceho finančné záujmy Únie</w:t>
            </w:r>
            <w:r>
              <w:t xml:space="preserve"> odhalené počas externého auditu</w:t>
            </w:r>
            <w:r>
              <w:rPr>
                <w:b/>
                <w:i/>
              </w:rPr>
              <w:t>, a prispel k zabezpečeniu konzistentnosti</w:t>
            </w:r>
            <w:r>
              <w:t>; konštatuje, že riziko podvodu v súvislosti s vnútornými operáciami Dvora audítorov sa riadi prostredníctvom rámca vnútornej kontroly Dvora audítorov, ktorého cieľom je predchádzať akýmkoľvek nezrovnalostiam týkajúcim sa členov alebo zamestnancov Dvora audítorov, ktoré by mohli mať vplyv na finančné záujmy Únie, odhaľovať ich, naprávať a prijímať následné opatrenia; ďalej berie na vedomie názor Dvora audítorov, že vypracovanie samostatnej stratégie boja proti podvodom pre interné operácie „by znamenalo neprimeranú administratívnu záťaž vzhľadom na už zavedené rozsiahle kontroly“, ale naďalej žiada Dvor audítorov, aby prijal stratégiu boja proti podvodom, ktorá by sa vzťahovala na všetky typy operácií;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berie na vedomie názor Dvora audítorov vyjadrený v správe o následných opatreniach, že jeho úloha nezávislej externej audítorskej inštitúcie ho stavia mimo typického okruhu subjektov, ktoré sa snažia komunikovať s rozhodovacími orgánmi Únie a lobovať v nich; zastáva názor, že tento argument neplatí v plnej miere, pretože Dvor audítorov vydáva osobitné správy, v ktorých skúma, či boli splnené ciele politík a programov Únie, čo dáva práci Dvora audítorov politický alebo poradný rozmer, aj keď Dvor audítorov nie je rozhodovacím orgánom; okrem toho pripomína, že existujú aj iné nerozhodovacie a poradné orgány Únie, ktoré sa oficiálne pripojili k registru transparentnosti Únie; opakuje </w:t>
            </w:r>
            <w:r>
              <w:rPr>
                <w:b/>
                <w:i/>
              </w:rPr>
              <w:t>preto</w:t>
            </w:r>
            <w:r>
              <w:t xml:space="preserve"> svoju výzvu, aby sa Dvor audítorov pridal k registru transparentnosti </w:t>
            </w:r>
            <w:r>
              <w:rPr>
                <w:b/>
                <w:i/>
              </w:rPr>
              <w:t>EÚ, čím by dodržal základné zásady transparentnosti bez toho, aby tým vznikli akékoľvek prekážky jeho úplnej</w:t>
            </w:r>
            <w:r>
              <w:t xml:space="preserve"> nezávislosti;</w:t>
            </w:r>
          </w:p>
        </w:tc>
        <w:tc>
          <w:tcPr>
            <w:tcW w:w="4876" w:type="dxa"/>
            <w:tcBorders>
              <w:top w:val="nil"/>
              <w:left w:val="nil"/>
              <w:bottom w:val="nil"/>
              <w:right w:val="nil"/>
            </w:tcBorders>
          </w:tcPr>
          <w:p>
            <w:pPr>
              <w:pStyle w:val="Normal6a"/>
            </w:pPr>
            <w:r>
              <w:t>44.</w:t>
            </w:r>
            <w:r>
              <w:tab/>
            </w:r>
            <w:r>
              <w:t xml:space="preserve">berie na vedomie názor Dvora audítorov vyjadrený v správe o následných opatreniach, že jeho úloha nezávislej externej audítorskej inštitúcie ho stavia mimo typického okruhu subjektov, ktoré sa snažia komunikovať s rozhodovacími orgánmi Únie a lobovať v nich; zastáva názor, že tento argument neplatí v plnej miere, pretože Dvor audítorov vydáva osobitné správy, v ktorých skúma, či boli splnené ciele politík a programov Únie, čo dáva práci Dvora audítorov politický alebo poradný rozmer, aj keď Dvor audítorov nie je rozhodovacím orgánom; okrem toho pripomína, že existujú aj iné nerozhodovacie a poradné orgány Únie, ktoré sa oficiálne pripojili k registru transparentnosti Únie; opakuje svoju výzvu, aby sa Dvor audítorov </w:t>
            </w:r>
            <w:r>
              <w:rPr>
                <w:b/>
                <w:i/>
              </w:rPr>
              <w:t>bezodkladne</w:t>
            </w:r>
            <w:r>
              <w:t xml:space="preserve"> pridal k registru transparentnosti </w:t>
            </w:r>
            <w:r>
              <w:rPr>
                <w:b/>
                <w:i/>
              </w:rPr>
              <w:t>v súlade s postupmi iných orgánov Únie, ktoré nemajú rozhodovaciu právomoc, s cieľom posilniť dôveru verejnosti pri plnom zachovaní svojej</w:t>
            </w:r>
            <w:r>
              <w:t xml:space="preserve"> nezávislosti </w:t>
            </w:r>
            <w:r>
              <w:rPr>
                <w:b/>
                <w:i/>
              </w:rPr>
              <w:t>ako externého audítora Únie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dôrazne podporuje úsilie Dvora audítorov o rozvoj znalostného ekosystému v oblasti auditu prostredníctvom digitalizácie; v tejto súvislosti poznamenáva, že podľa dotazníka Dvor audítorov v roku 2024 realizoval niekoľko iniciatív na zvýšenie svojich digitálnych kapacít a prevádzkovej efektívnosti vrátane integrácie informačných systémov auditu, zvýšenia interoperability medzi systémami a aplikáciami, zavedenia asistenta na čítanie dokumentov (DORA) na podporu riadenia znalostí pri audítorských činnostiach, spustenia služby BibliotECA Discovery Collections Service a prijatia novej politiky digitálneho archivovania; zdôrazňuje, že spojenie digitalizácie so zvýšeným počtom kontrol na mieste by malo viesť k efektívnejším a presnejším výsledkom auditu;</w:t>
            </w:r>
          </w:p>
        </w:tc>
        <w:tc>
          <w:tcPr>
            <w:tcW w:w="4876" w:type="dxa"/>
            <w:tcBorders>
              <w:top w:val="nil"/>
              <w:left w:val="nil"/>
              <w:bottom w:val="nil"/>
              <w:right w:val="nil"/>
            </w:tcBorders>
          </w:tcPr>
          <w:p>
            <w:pPr>
              <w:pStyle w:val="Normal6a"/>
            </w:pPr>
            <w:r>
              <w:t>46.</w:t>
            </w:r>
            <w:r>
              <w:tab/>
            </w:r>
            <w:r>
              <w:t xml:space="preserve">dôrazne podporuje úsilie Dvora audítorov o rozvoj znalostného ekosystému v oblasti auditu prostredníctvom digitalizácie; v tejto súvislosti poznamenáva, že podľa dotazníka Dvor audítorov v roku 2024 realizoval niekoľko iniciatív na zvýšenie svojich digitálnych kapacít a prevádzkovej efektívnosti vrátane integrácie informačných systémov auditu, zvýšenia interoperability medzi systémami a aplikáciami, zavedenia asistenta na čítanie dokumentov (DORA) na podporu riadenia znalostí pri audítorských činnostiach, spustenia služby BibliotECA Discovery Collections Service a prijatia novej politiky digitálneho archivovania; zdôrazňuje, že spojenie digitalizácie so zvýšeným počtom kontrol na mieste by malo viesť k efektívnejším a presnejším výsledkom auditu; </w:t>
            </w:r>
            <w:r>
              <w:rPr>
                <w:b/>
                <w:i/>
              </w:rPr>
              <w:t>nabáda na ďalšie investície do nástrojov auditu podporovaných umelou inteligenciou a interoperability systémov s cieľom zvýšiť presnosť auditu, znížiť administratívnu záťaž a maximalizovať pomer nákladov a prínosov;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oceňuje zverejnenie počiatočnej stratégie a plánu Dvora audítorov na zavádzanie umelej inteligencie na roky 2024 – 2025; s uspokojením konštatuje, že podľa dotazníka Dvor audítorov dosahoval pri vykonávaní tejto stratégie stabilný pokrok, pričom sa okrem iného zameral na testovanie a prípravu na zavedenie nástrojov, ako sú Microsoft Copilot a GPT@EC, na zvyšovanie informovanosti zamestnancov prostredníctvom cielených školení o umelej inteligencii, ako aj na testovanie aplikácií umelej inteligencie v audítorskej práci a informovanie o predbežných zisteniach; </w:t>
            </w:r>
            <w:r>
              <w:rPr>
                <w:b/>
                <w:i/>
              </w:rPr>
              <w:t>ďalej víta posilnenie riadenia Dvora audítorov v oblasti umelej inteligencie, pričom</w:t>
            </w:r>
            <w:r>
              <w:t xml:space="preserve"> Dvor audítorov </w:t>
            </w:r>
            <w:r>
              <w:rPr>
                <w:b/>
                <w:i/>
              </w:rPr>
              <w:t>zriadil poradný výbor pre umelú inteligenciu a v roku 2024 vymenoval korešpondenta pre umelú inteligenciu;</w:t>
            </w:r>
            <w:r>
              <w:t xml:space="preserve"> </w:t>
            </w:r>
            <w:r>
              <w:rPr>
                <w:b/>
                <w:i/>
              </w:rPr>
              <w:t>s uspokojením konštatuje, že poradný výbor pre umelú inteligenciu, ktorého úlohou je poskytovať Dvoru audítorov podporu a poradenstvo pri plnení jeho povinností vyplývajúcich z právneho a etického rámca upravujúceho</w:t>
            </w:r>
            <w:r>
              <w:t xml:space="preserve"> používanie </w:t>
            </w:r>
            <w:r>
              <w:rPr>
                <w:b/>
                <w:i/>
              </w:rPr>
              <w:t>umelej inteligencie, je zložený z pracovníkov s rôznymi odbornými znalosťami, aby sa zabezpečil komplexný prístup a pochopenie vplyvu</w:t>
            </w:r>
            <w:r>
              <w:t xml:space="preserve"> umelej inteligencie;</w:t>
            </w:r>
          </w:p>
        </w:tc>
        <w:tc>
          <w:tcPr>
            <w:tcW w:w="4876" w:type="dxa"/>
            <w:tcBorders>
              <w:top w:val="nil"/>
              <w:left w:val="nil"/>
              <w:bottom w:val="nil"/>
              <w:right w:val="nil"/>
            </w:tcBorders>
          </w:tcPr>
          <w:p>
            <w:pPr>
              <w:pStyle w:val="Normal6a"/>
            </w:pPr>
            <w:r>
              <w:t>47.</w:t>
            </w:r>
            <w:r>
              <w:tab/>
            </w:r>
            <w:r>
              <w:t xml:space="preserve">oceňuje zverejnenie počiatočnej stratégie a plánu Dvora audítorov na zavádzanie umelej inteligencie na roky 2024 – 2025; s uspokojením konštatuje, že podľa dotazníka Dvor audítorov dosahoval pri vykonávaní tejto stratégie stabilný pokrok, pričom sa okrem iného zameral na testovanie a prípravu na zavedenie nástrojov, ako sú Microsoft Copilot a GPT@EC, na zvyšovanie informovanosti zamestnancov prostredníctvom cielených školení o umelej inteligencii, ako aj na testovanie aplikácií umelej inteligencie v audítorskej práci a informovanie o predbežných zisteniach; </w:t>
            </w:r>
            <w:r>
              <w:rPr>
                <w:b/>
                <w:i/>
              </w:rPr>
              <w:t>konštatuje, že</w:t>
            </w:r>
            <w:r>
              <w:t xml:space="preserve"> Dvor audítorov </w:t>
            </w:r>
            <w:r>
              <w:rPr>
                <w:b/>
                <w:i/>
              </w:rPr>
              <w:t>vypracoval stratégiu na</w:t>
            </w:r>
            <w:r>
              <w:t xml:space="preserve"> používanie </w:t>
            </w:r>
            <w:r>
              <w:rPr>
                <w:b/>
                <w:i/>
              </w:rPr>
              <w:t>nástrojov</w:t>
            </w:r>
            <w:r>
              <w:t xml:space="preserve"> umelej inteligencie; </w:t>
            </w:r>
            <w:r>
              <w:rPr>
                <w:b/>
                <w:i/>
              </w:rPr>
              <w:t>zdôrazňuje, že ich používanie musí byť prísne obmedzené na činnosti súvisiace s auditom a pravidelne hodnotené z hľadiska pomeru nákladov a prínosov, bezpečnosti údajov a pridanej hodnoty;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oceňuje zverejnenie počiatočnej stratégie a plánu Dvora audítorov na zavádzanie umelej inteligencie na roky 2024 – 2025; s uspokojením konštatuje, že podľa dotazníka Dvor audítorov dosahoval pri vykonávaní tejto stratégie stabilný pokrok, pričom sa okrem iného zameral na testovanie a prípravu na zavedenie nástrojov, ako sú Microsoft Copilot a GPT@EC, na zvyšovanie informovanosti zamestnancov prostredníctvom cielených školení o umelej inteligencii, ako aj na testovanie aplikácií umelej inteligencie v audítorskej práci a informovanie o predbežných zisteniach; ďalej víta posilnenie riadenia Dvora audítorov v oblasti umelej inteligencie, pričom Dvor audítorov zriadil poradný výbor pre umelú inteligenciu a v roku 2024 vymenoval korešpondenta pre umelú inteligenciu; s uspokojením konštatuje, že poradný výbor pre umelú inteligenciu, ktorého úlohou je poskytovať Dvoru audítorov podporu a poradenstvo pri plnení jeho povinností vyplývajúcich z právneho a etického rámca upravujúceho používanie umelej inteligencie, je zložený z pracovníkov s rôznymi odbornými znalosťami, aby sa zabezpečil komplexný prístup a pochopenie vplyvu umelej inteligencie;</w:t>
            </w:r>
          </w:p>
        </w:tc>
        <w:tc>
          <w:tcPr>
            <w:tcW w:w="4876" w:type="dxa"/>
            <w:tcBorders>
              <w:top w:val="nil"/>
              <w:left w:val="nil"/>
              <w:bottom w:val="nil"/>
              <w:right w:val="nil"/>
            </w:tcBorders>
          </w:tcPr>
          <w:p>
            <w:pPr>
              <w:pStyle w:val="Normal6a"/>
            </w:pPr>
            <w:r>
              <w:t>47.</w:t>
            </w:r>
            <w:r>
              <w:tab/>
            </w:r>
            <w:r>
              <w:t xml:space="preserve">oceňuje zverejnenie počiatočnej stratégie a plánu Dvora audítorov na zavádzanie umelej inteligencie na roky 2024 – 2025; s uspokojením konštatuje, že podľa dotazníka Dvor audítorov dosahoval pri vykonávaní tejto stratégie stabilný pokrok, pričom sa okrem iného zameral na testovanie a prípravu na zavedenie nástrojov, ako sú Microsoft Copilot a GPT@EC, na zvyšovanie informovanosti zamestnancov prostredníctvom cielených školení o umelej inteligencii, ako aj na testovanie aplikácií umelej inteligencie v audítorskej práci a informovanie o predbežných zisteniach; ďalej víta posilnenie riadenia Dvora audítorov v oblasti umelej inteligencie, pričom Dvor audítorov zriadil poradný výbor pre umelú inteligenciu a v roku 2024 vymenoval korešpondenta pre umelú inteligenciu; s uspokojením konštatuje, že poradný výbor pre umelú inteligenciu, ktorého úlohou je poskytovať Dvoru audítorov podporu a poradenstvo pri plnení jeho povinností vyplývajúcich z právneho a etického rámca upravujúceho používanie umelej inteligencie, je zložený z pracovníkov s rôznymi odbornými znalosťami, aby sa zabezpečil komplexný prístup a pochopenie vplyvu umelej inteligencie; </w:t>
            </w:r>
            <w:r>
              <w:rPr>
                <w:b/>
                <w:i/>
              </w:rPr>
              <w:t>vyzýva Dvor audítorov, aby v rámci svojej stratégie v oblasti umelej inteligencie vypracoval jasné ukazovatele na posúdenie pridanej hodnoty, rizík a obmedzení nástrojov auditu podporovaných umelou inteligenciou a aby pravidelne podával Parlamentu správy o ich vplyve na kvalitu auditu, transparentnosť a zodpovednosť;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oceňuje zverejnenie počiatočnej stratégie a plánu Dvora audítorov na zavádzanie umelej inteligencie na roky 2024 – 2025; s uspokojením konštatuje, že podľa dotazníka Dvor audítorov dosahoval pri vykonávaní tejto stratégie stabilný pokrok, pričom sa okrem iného zameral na testovanie a prípravu na zavedenie nástrojov, ako sú Microsoft Copilot a GPT@EC, na zvyšovanie informovanosti zamestnancov prostredníctvom cielených školení o umelej inteligencii, ako aj na testovanie aplikácií umelej inteligencie v audítorskej práci a informovanie o predbežných zisteniach; ďalej víta posilnenie riadenia Dvora audítorov v oblasti umelej inteligencie, pričom Dvor audítorov zriadil poradný výbor pre umelú inteligenciu a v roku 2024 vymenoval korešpondenta pre umelú inteligenciu; s uspokojením konštatuje, že poradný výbor pre umelú inteligenciu, ktorého úlohou je poskytovať Dvoru audítorov podporu a poradenstvo pri plnení jeho povinností vyplývajúcich z právneho a etického rámca upravujúceho používanie umelej inteligencie, je zložený z pracovníkov s rôznymi odbornými znalosťami, aby sa zabezpečil komplexný prístup a pochopenie vplyvu umelej inteligencie;</w:t>
            </w:r>
          </w:p>
        </w:tc>
        <w:tc>
          <w:tcPr>
            <w:tcW w:w="4876" w:type="dxa"/>
            <w:tcBorders>
              <w:top w:val="nil"/>
              <w:left w:val="nil"/>
              <w:bottom w:val="nil"/>
              <w:right w:val="nil"/>
            </w:tcBorders>
          </w:tcPr>
          <w:p>
            <w:pPr>
              <w:pStyle w:val="Normal6a"/>
            </w:pPr>
            <w:r>
              <w:t>47.</w:t>
            </w:r>
            <w:r>
              <w:tab/>
            </w:r>
            <w:r>
              <w:t xml:space="preserve">oceňuje zverejnenie počiatočnej stratégie a plánu Dvora audítorov na zavádzanie umelej inteligencie na roky 2024 – 2025; s uspokojením konštatuje, že podľa dotazníka Dvor audítorov dosahoval pri vykonávaní tejto stratégie stabilný pokrok, pričom sa okrem iného zameral na testovanie a prípravu na zavedenie nástrojov, ako sú Microsoft Copilot a GPT@EC, na zvyšovanie informovanosti zamestnancov prostredníctvom cielených školení o umelej inteligencii, ako aj na testovanie aplikácií umelej inteligencie v audítorskej práci a informovanie o predbežných zisteniach; ďalej víta posilnenie riadenia Dvora audítorov v oblasti umelej inteligencie, pričom Dvor audítorov zriadil poradný výbor pre umelú inteligenciu a v roku 2024 vymenoval korešpondenta pre umelú inteligenciu; s uspokojením konštatuje, že poradný výbor pre umelú inteligenciu, ktorého úlohou je poskytovať Dvoru audítorov podporu a poradenstvo pri plnení jeho povinností vyplývajúcich z právneho a etického rámca upravujúceho používanie umelej inteligencie, je zložený z pracovníkov s rôznymi odbornými znalosťami, aby sa zabezpečil komplexný prístup a pochopenie vplyvu umelej inteligencie; </w:t>
            </w:r>
            <w:r>
              <w:rPr>
                <w:b/>
                <w:i/>
              </w:rPr>
              <w:t>zdôrazňuje, že pri využívaní umelej inteligencie sa musia zaručovať prísne zásady etického používania, transparentnosti, ochrany údajov, ľudského dohľadu a ochrany pred zaujatosťou alebo zneužitím algoritmov;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49.</w:t>
            </w:r>
            <w:r>
              <w:tab/>
            </w:r>
            <w:r>
              <w:rPr>
                <w:b/>
                <w:i/>
              </w:rPr>
              <w:t>so znepokojením konštatuje, že Dvor audítorov bol vystavený kybernetickému útoku, ku ktorému sa prihlásila proruská skupina a ktorý viedol k zlyhaniu jeho verejného webového sídla, čo bolo súčasťou koordinovanej akcie zameranej na destabilizáciu volieb do Európskeho parlamentu v roku 2024;</w:t>
            </w:r>
            <w:r>
              <w:t xml:space="preserve"> </w:t>
            </w:r>
            <w:r>
              <w:rPr>
                <w:b/>
                <w:i/>
              </w:rPr>
              <w:t>víta záväzok Dvora audítorov prehodnocovať riziká v oblasti kybernetickej bezpečnosti aspoň každé dva roky;</w:t>
            </w:r>
            <w:r>
              <w:t xml:space="preserve"> </w:t>
            </w:r>
            <w:r>
              <w:rPr>
                <w:b/>
                <w:i/>
              </w:rPr>
              <w:t>podporuje pokračovanie v pravidelných školeniach pre zamestnancov o kybernetických hrozbách s cieľom zvýšiť inštitucionálnu odolnosť;</w:t>
            </w:r>
            <w:r>
              <w:t xml:space="preserve"> </w:t>
            </w:r>
            <w:r>
              <w:rPr>
                <w:b/>
                <w:i/>
              </w:rPr>
              <w:t>vyzýva Dvor audítorov, aby informoval orgán udeľujúci absolutórium o výsledku akéhokoľvek posúdenia rizika v oblasti kybernetickej bezpečnosti, ktoré by Dvor audítorov uskutočnil v súvislosti s vykonávaním nariadenia (EÚ, Euratom) 2023/2841</w:t>
            </w:r>
            <w:r>
              <w:rPr>
                <w:b/>
                <w:i/>
                <w:vertAlign w:val="superscript"/>
              </w:rPr>
              <w:t>1</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Nariadenie Európskeho parlamentu a Rady (EÚ, Euratom) 2023/2841 z 13. decembra 2023, ktorým sa stanovujú opatrenia na zabezpečenie vysokej spoločnej úrovne kybernetickej bezpečnosti v inštitúciách, orgánoch, úradoch a agentúrach Únie (OJ L, 2023/2841, 18.12.2023, ELI: http://data.europa.eu/eli/reg/2023/2841/oj?locale=sk).</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víta plánované iniciatívy na rok 2025, ktorých cieľom je ďalšie posilnenie digitálnej transformácie a kybernetickej bezpečnosti, ako napríklad zavedenie systému Microsoft Copilot, implementácia lokálnych generatívnych modelov umelej inteligencie a inštalácia biometrickej autentifikácie na prenosných počítačoch; berie na vedomie aj plán Dvora audítorov modernizovať svoju IT infraštruktúru o nové servery, inštalovať nové kapacity na podporu hybridných zasadnutí a posilniť spoluprácu s Medziinštitucionálnym výborom pre digitálnu transformáciu v oblasti nových technológií, ako je napríklad umelá inteligencia;</w:t>
            </w:r>
          </w:p>
        </w:tc>
        <w:tc>
          <w:tcPr>
            <w:tcW w:w="4876" w:type="dxa"/>
            <w:tcBorders>
              <w:top w:val="nil"/>
              <w:left w:val="nil"/>
              <w:bottom w:val="nil"/>
              <w:right w:val="nil"/>
            </w:tcBorders>
          </w:tcPr>
          <w:p>
            <w:pPr>
              <w:pStyle w:val="Normal6a"/>
            </w:pPr>
            <w:r>
              <w:t>50.</w:t>
            </w:r>
            <w:r>
              <w:tab/>
            </w:r>
            <w:r>
              <w:t xml:space="preserve">víta plánované iniciatívy na rok 2025, ktorých cieľom je ďalšie posilnenie digitálnej transformácie a kybernetickej bezpečnosti, ako napríklad zavedenie systému Microsoft Copilot, implementácia lokálnych generatívnych modelov umelej inteligencie a inštalácia biometrickej autentifikácie na prenosných počítačoch; berie na vedomie aj plán Dvora audítorov modernizovať svoju IT infraštruktúru o nové servery, inštalovať nové kapacity na podporu hybridných zasadnutí a posilniť spoluprácu s Medziinštitucionálnym výborom pre digitálnu transformáciu v oblasti nových technológií, ako je napríklad umelá inteligencia; </w:t>
            </w:r>
            <w:r>
              <w:rPr>
                <w:b/>
                <w:i/>
              </w:rPr>
              <w:t>zdôrazňuje, že dodatočné výdavky na hybridné schôdze a technickú infraštruktúru by sa mali vynakladať len na základe jasnej analýzy potrieb a v rámci existujúcich rozpočtových stropov;</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Životné prostredie a udržateľnosť</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56.</w:t>
            </w:r>
            <w:r>
              <w:tab/>
            </w:r>
            <w:r>
              <w:rPr>
                <w:b/>
                <w:i/>
              </w:rPr>
              <w:t>s uznaním víta pokračujúce úsilie Dvora audítorov stať sa udržateľnou inštitúciou;</w:t>
            </w:r>
            <w:r>
              <w:t xml:space="preserve"> </w:t>
            </w:r>
            <w:r>
              <w:rPr>
                <w:b/>
                <w:i/>
              </w:rPr>
              <w:t>konštatuje, že Dvor audítorov vydal v roku 2024 svoju štvrtú správu o udržateľnosti, v ktorej sa hodnotia hospodárske, sociálne a environmentálne vplyvy jeho činnosti;</w:t>
            </w:r>
            <w:r>
              <w:t xml:space="preserve"> </w:t>
            </w:r>
            <w:r>
              <w:rPr>
                <w:b/>
                <w:i/>
              </w:rPr>
              <w:t>s uspokojením konštatuje, že 91 % osobitných správ a preskúmaní Dvora audítorov uverejnených v roku 2024 sa týkalo tém súvisiacich s cieľmi OSN v oblasti udržateľného rozvoja;</w:t>
            </w:r>
            <w:r>
              <w:t xml:space="preserve"> </w:t>
            </w:r>
            <w:r>
              <w:rPr>
                <w:b/>
                <w:i/>
              </w:rPr>
              <w:t>víta skutočnosť, že 40 % zákaziek Dvora audítorov zahŕňalo kritériá ekologického a obehového hospodárstva a 98 % nákupov tovaru a služieb Dvora audítorov bolo v roku 2024 od miestnych dodávateľov;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57.</w:t>
            </w:r>
            <w:r>
              <w:tab/>
            </w:r>
            <w:r>
              <w:rPr>
                <w:b/>
                <w:i/>
              </w:rPr>
              <w:t>konštatuje, že Dvor audítorov je držiteľom certifikátu EMAS a od roku 2014 má environmentálnu politiku, ktorá bola aktualizovaná v roku 2025;</w:t>
            </w:r>
            <w:r>
              <w:t xml:space="preserve"> </w:t>
            </w:r>
            <w:r>
              <w:rPr>
                <w:b/>
                <w:i/>
              </w:rPr>
              <w:t>konštatuje, že Dvor audítorov meria svoju uhlíkovú stopu pomocou najnovšej verzie metódy „Bilan Carbon“, ktorá zahŕňa rozsah na prevádzkovej (činnosti Dvora audítorov) a organizačnej úrovni (tri budovy v Luxemburgu);</w:t>
            </w:r>
            <w:r>
              <w:t xml:space="preserve"> </w:t>
            </w:r>
            <w:r>
              <w:rPr>
                <w:b/>
                <w:i/>
              </w:rPr>
              <w:t>konštatuje, že celkové emisie skleníkových plynov Dvora audítorov v roku 2024 predstavovali 9 108 ton CO</w:t>
            </w:r>
            <w:r>
              <w:rPr>
                <w:b/>
                <w:i/>
                <w:vertAlign w:val="subscript"/>
              </w:rPr>
              <w:t>2</w:t>
            </w:r>
            <w:r>
              <w:rPr>
                <w:b/>
                <w:i/>
              </w:rPr>
              <w:t>, čo je o 15 % menej ako v roku 2014, ale o 1,60 % viac ako v roku 2023;</w:t>
            </w:r>
            <w:r>
              <w:t xml:space="preserve"> </w:t>
            </w:r>
            <w:r>
              <w:rPr>
                <w:b/>
                <w:i/>
              </w:rPr>
              <w:t>konštatuje, že k celkovým emisiám Dvora audítorov v roku 2024 najviac prispeli nákupy tovarov a služieb a osobná doprava, a to na úrovni 31 %, resp. 29 %;</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zdôrazňuje, že environmentálne iniciatívy v rámci inštitúcií Únie musia zostať nákladovo efektívne a technologicky neutrálne;</w:t>
            </w:r>
            <w:r>
              <w:t xml:space="preserve"> </w:t>
            </w:r>
            <w:r>
              <w:rPr>
                <w:b/>
                <w:i/>
              </w:rPr>
              <w:t>vyzýva Dvor audítorov, aby poskytol transparentnú analýzu nákladov a prínosov svojich ekologických investícií a postupov verejného obstarávania a zabezpečil, aby environmentálne aspekty nemali prednosť pred efektívnosťou alebo rozpočtovou disciplínou.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w:t>
            </w:r>
            <w:r>
              <w:tab/>
            </w:r>
            <w:r>
              <w:rPr>
                <w:b/>
                <w:i/>
              </w:rPr>
              <w:t>s uspokojením berie na vedomie environmentálne vyhlásenie Dvora audítorov, v ktorom sú uvedené výsledky za rok 2024 vrátane už prijatých opatrení a opatrení plánovaných na realizáciu, ktorých cieľom je znížiť vplyv činností Dvora audítorov na životné prostredie a dosiahnuť alebo prekročiť jeho ročné ciele v oblasti environmentálneho správania;</w:t>
            </w:r>
            <w:r>
              <w:t xml:space="preserve"> </w:t>
            </w:r>
            <w:r>
              <w:rPr>
                <w:b/>
                <w:i/>
              </w:rPr>
              <w:t>konštatuje, že Dvor audítorov meria svoje environmentálne správanie pomocou súboru ukazovateľov a referenčných hodnôt excelentnosti;</w:t>
            </w:r>
            <w:r>
              <w:t xml:space="preserve"> </w:t>
            </w:r>
            <w:r>
              <w:rPr>
                <w:b/>
                <w:i/>
              </w:rPr>
              <w:t>konštatuje, že Dvor audítorov má v rámci svojho environmentálneho programu na roky 2023 – 2025 súbor všeobecných a špecifických cieľov, z ktorých väčšinu dosiahol v roku 2024, najmä pokiaľ ide o zníženie spotreby energie (elektrina: –24 %;</w:t>
            </w:r>
            <w:r>
              <w:t xml:space="preserve"> </w:t>
            </w:r>
            <w:r>
              <w:rPr>
                <w:b/>
                <w:i/>
              </w:rPr>
              <w:t>vykurovanie: –21,80 %), emisií do ovzdušia (–30 %) a spotreby vody (–45 %) a zvýšenie počtu postupov verejného obstarávania, ktoré zahŕňajú environmentálne kritériá (viac ako 30 %);</w:t>
            </w:r>
            <w:r>
              <w:t xml:space="preserve"> </w:t>
            </w:r>
            <w:r>
              <w:rPr>
                <w:b/>
                <w:i/>
              </w:rPr>
              <w:t>zaznamenáva však obrat trendu, pokiaľ ide o počet vytlačených strán (+9,1 %) a zníženie ročnej produkcie odpadu (+27,50 %);</w:t>
            </w:r>
            <w:r>
              <w:t xml:space="preserve"> </w:t>
            </w:r>
            <w:r>
              <w:rPr>
                <w:b/>
                <w:i/>
              </w:rPr>
              <w:t>oceňuje opatrenia Dvora audítorov na vyváženie jeho negatívneho vplyvu na biodiverzitu;</w:t>
            </w:r>
            <w:r>
              <w:t xml:space="preserve"> </w:t>
            </w:r>
            <w:r>
              <w:rPr>
                <w:b/>
                <w:i/>
              </w:rPr>
              <w:t>berie na vedomie, že Dvor audítorov vo svojich priestoroch hostí niekoľko včelích rodín na produkciu medu, ktorý zbierajú dobrovoľníci spomedzi zamestnancov, a zúčastňuje sa na iniciatívach zameraných na výsadbu stromov v Luxemburgu, pričom v roku 2024 sa zúčastnil aj na ďalších ekologických aktivitách v rámci účasti Dvora audítorov na medziinštitucionálnych dňoch EMAS EÚ;</w:t>
            </w:r>
            <w:r>
              <w:t xml:space="preserve"> </w:t>
            </w:r>
            <w:r>
              <w:rPr>
                <w:b/>
                <w:i/>
              </w:rPr>
              <w:t>víta skutočnosť, že počet zamestnancov využívajúcich mestský systém zdieľaných bicyklov sa zvýšil zo 172 v roku 2023 na 201 v roku 2024;</w:t>
            </w:r>
            <w:r>
              <w:t xml:space="preserve"> </w:t>
            </w:r>
            <w:r>
              <w:rPr>
                <w:b/>
                <w:i/>
              </w:rPr>
              <w:t>víta podporu Dvora audítorov pri využívaní mobility na dochádzanie do práce, ako je napríklad bicyklovanie, a to prostredníctvom úhrady nákladov na predplatné v rámci systému zdieľania bicyklov v Luxemburgu, alebo verejnej dopravy prostredníctvom čiastočného preplácania predplatných cestovných lístkov pre cezhraničných zamestnancov, pričom počet zamestnancov využívajúcich tento typ systému úhrady sa zvýšil z 28 v roku 2023 na 30 v roku 2024;</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63a.</w:t>
            </w:r>
            <w:r>
              <w:tab/>
            </w:r>
            <w:r>
              <w:rPr>
                <w:b/>
                <w:i/>
              </w:rPr>
              <w:t>zdôrazňuje dôležitú úlohu Dvora audítorov v štruktúre boja proti podvodom;</w:t>
            </w:r>
            <w:r>
              <w:t xml:space="preserve"> </w:t>
            </w:r>
            <w:r>
              <w:rPr>
                <w:b/>
                <w:i/>
              </w:rPr>
              <w:t>zdôrazňuje, že v jeho auditoch a osobitných správach sa systematicky identifikujú nedostatky, nezrovnalosti a riziká, čím sa aktivujú nápravné opatrenia a opatrenia na vymáhanie prostriedkov vykonávané Komisiou, členskými štátmi a inými aktérmi štruktúry boja proti podvodom;</w:t>
            </w:r>
            <w:r>
              <w:t xml:space="preserve"> </w:t>
            </w:r>
            <w:r>
              <w:rPr>
                <w:b/>
                <w:i/>
              </w:rPr>
              <w:t>zdôrazňuje, že prostredníctvom tejto funkcie dohľadu Dvor audítorov nielen zvyšuje transparentnosť a zodpovednosť, ale posilňuje aj celkovú schopnosť systému EÚ v oblasti odrádzania a odhaľovania, čím sa zabezpečuje riadne hospodárenie s verejnými prostriedkami a ich ochrana pred podvodmi a zneužitím;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rPr>
                <w:b/>
                <w:i/>
              </w:rPr>
              <w:t>opätovne vyjadruje poľutovanie nad tým, že napriek zlepšenému prístupu k dokumentom a informáciám Európskej investičnej banky (EIB) Dvor audítorov nemá mandát na audit operácií financovaných z vlastných zdrojov EIB;</w:t>
            </w:r>
            <w:r>
              <w:t xml:space="preserve"> </w:t>
            </w:r>
            <w:r>
              <w:rPr>
                <w:b/>
                <w:i/>
              </w:rPr>
              <w:t>žiada, aby sa tento mandát udelil Dvoru audítorov vzhľadom na poslanie EIB sledovať ciele Únie a na narastajúcu úlohu EIB v hospodárskom a politickom prostredí Únie, ktorá presahuje využívanie rozpočtu Únie na zaručenie jej operácií;</w:t>
            </w:r>
            <w:r>
              <w:t xml:space="preserve"> pripomína </w:t>
            </w:r>
            <w:r>
              <w:rPr>
                <w:b/>
                <w:i/>
              </w:rPr>
              <w:t>Dvoru</w:t>
            </w:r>
            <w:r>
              <w:t xml:space="preserve"> audítorov, </w:t>
            </w:r>
            <w:r>
              <w:rPr>
                <w:b/>
                <w:i/>
              </w:rPr>
              <w:t>že v osobitnej správe 05/2023 s názvom „Finančné prostredie EÚ – nesúrodá konštrukcia vyžadujúca si ďalšie zjednodušenie a systém vyvodzovania zodpovednosti“ uviedol, že by sa mal stanoviť mandát na verejný audit pre všetky druhy financovania politík Únie</w:t>
            </w:r>
            <w:r>
              <w:t>;</w:t>
            </w:r>
          </w:p>
        </w:tc>
        <w:tc>
          <w:tcPr>
            <w:tcW w:w="4876" w:type="dxa"/>
            <w:tcBorders>
              <w:top w:val="nil"/>
              <w:left w:val="nil"/>
              <w:bottom w:val="nil"/>
              <w:right w:val="nil"/>
            </w:tcBorders>
          </w:tcPr>
          <w:p>
            <w:pPr>
              <w:pStyle w:val="Normal6a"/>
            </w:pPr>
            <w:r>
              <w:t>65.</w:t>
            </w:r>
            <w:r>
              <w:tab/>
            </w:r>
            <w:r>
              <w:t>pripomína</w:t>
            </w:r>
            <w:r>
              <w:rPr>
                <w:b/>
                <w:i/>
              </w:rPr>
              <w:t>, že akékoľvek rozšírenie audítorského mandátu Dvora</w:t>
            </w:r>
            <w:r>
              <w:t xml:space="preserve"> audítorov, </w:t>
            </w:r>
            <w:r>
              <w:rPr>
                <w:b/>
                <w:i/>
              </w:rPr>
              <w:t>pokiaľ ide o Európsku investičnú banku, si vyžaduje jasný právny základ a dôkladné posúdenie zodpovedností</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68.</w:t>
            </w:r>
            <w:r>
              <w:tab/>
            </w:r>
            <w:r>
              <w:rPr>
                <w:b/>
                <w:i/>
              </w:rPr>
              <w:t>podporuje silnejúcu mediálnu stratégiu Dvora audítorov, ktorej výsledkom je uverejnenie viac ako 24 000 novinových článkov online súvisiacich s jeho audítorskými správami, inými publikáciami alebo s Dvorom audítorov vo všeobecnosti, čím sa potvrdzuje stúpajúci trend v mediálnom pokrytí zaznamenaný v posledných rokoch (2023:</w:t>
            </w:r>
            <w:r>
              <w:t xml:space="preserve"> </w:t>
            </w:r>
            <w:r>
              <w:rPr>
                <w:b/>
                <w:i/>
              </w:rPr>
              <w:t>22 000;</w:t>
            </w:r>
            <w:r>
              <w:t xml:space="preserve"> </w:t>
            </w:r>
            <w:r>
              <w:rPr>
                <w:b/>
                <w:i/>
              </w:rPr>
              <w:t>2022:</w:t>
            </w:r>
            <w:r>
              <w:t xml:space="preserve"> </w:t>
            </w:r>
            <w:r>
              <w:rPr>
                <w:b/>
                <w:i/>
              </w:rPr>
              <w:t>20 000;</w:t>
            </w:r>
            <w:r>
              <w:t xml:space="preserve"> </w:t>
            </w:r>
            <w:r>
              <w:rPr>
                <w:b/>
                <w:i/>
              </w:rPr>
              <w:t>2021:</w:t>
            </w:r>
            <w:r>
              <w:t xml:space="preserve"> </w:t>
            </w:r>
            <w:r>
              <w:rPr>
                <w:b/>
                <w:i/>
              </w:rPr>
              <w:t>18 000);</w:t>
            </w:r>
            <w:r>
              <w:t xml:space="preserve"> </w:t>
            </w:r>
            <w:r>
              <w:rPr>
                <w:b/>
                <w:i/>
              </w:rPr>
              <w:t>s uznaním konštatuje, že podľa správy Dvora audítorov sa zvýšil počet návštevníkov webového sídla Dvora audítorov, ktoré bolo spustené v roku 2023, pričom v roku 2024 ho navštívilo 780 000 ľudí (v roku 2023 ich bolo 700 000) a zaznamenalo sa 1 295 025 jedinečných zobrazení stránok a 56 440 stiahnutí;</w:t>
            </w:r>
            <w:r>
              <w:t xml:space="preserve"> </w:t>
            </w:r>
            <w:r>
              <w:rPr>
                <w:b/>
                <w:i/>
              </w:rPr>
              <w:t>víta skutočnosť, že do konca roka 2024 prilákali štyri účty Dvora audítorov na sociálnych sieťach (X, LinkedIn, Facebook a Instagram) približne 61 500 sledovateľov, čo predstavuje nárast v porovnaní s 55 000 v roku 2023 a so 49 500 sledovateľmi v roku 2022;</w:t>
            </w:r>
            <w:r>
              <w:t xml:space="preserve"> </w:t>
            </w:r>
            <w:r>
              <w:rPr>
                <w:b/>
                <w:i/>
              </w:rPr>
              <w:t>chváli Dvor audítorov za to, že v novembri 2024 začal na sieti LinkedIn vydávať svoj prvý mesačný bulletin (ECA Insights), ktorý obsahuje najdôležitejšie informácie o nedávnych správach a náhľady na nadchádzajúce audity a ktorý do konca uvedeného roka získal viac ako 8 500 odberateľov;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69.</w:t>
            </w:r>
            <w:r>
              <w:tab/>
            </w:r>
            <w:r>
              <w:rPr>
                <w:b/>
                <w:i/>
              </w:rPr>
              <w:t>víta skutočnosť, že Dvor audítorov má digitálne prístupné webové sídlo (úroveň A++), ktoré dvakrát ročne kontroluje externý konzultant s cieľom posúdiť súlad webového sídla s príslušnými normami prístupnosti a identifikovať prekážky prístupnosti pre používateľov so zdravotným postihnutím;</w:t>
            </w:r>
            <w:r>
              <w:t xml:space="preserve"> </w:t>
            </w:r>
            <w:r>
              <w:rPr>
                <w:b/>
                <w:i/>
              </w:rPr>
              <w:t>oceňuje, že celkovo sa implementácia prístupnosti hodnotí ako veľmi dobrá, a konštatuje, že na základe auditu boli navrhnuté niektoré odporúčania na ďalšie zlepšovanie a udržiavanie hodnotenia prístupnosti webového sídla;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 xml:space="preserve">konštatuje, že v roku 2024 Dvor audítorov vydal 44 tlačových správ v 24 jazykoch EÚ, ako aj rôzne informačné poznámky, oznámenia pre médiá a v niektorých jazykoch aj okamžite použiteľné zvukové vyhlásenia; ďalej konštatuje, že Dvor audítorov usporiadal v uvedenom roku 20 online tlačových konferencií a 14 dodatočných tlačových konferencií k výročnej správe zameraných na konkrétne krajiny; zdôrazňuje, že </w:t>
            </w:r>
            <w:r>
              <w:rPr>
                <w:b/>
                <w:i/>
              </w:rPr>
              <w:t>tlačové konferencie</w:t>
            </w:r>
            <w:r>
              <w:t xml:space="preserve"> Dvora audítorov </w:t>
            </w:r>
            <w:r>
              <w:rPr>
                <w:b/>
                <w:i/>
              </w:rPr>
              <w:t>celkovo prilákali 876 novinárov, z ktorých väčšina zastupovala významné médiá v členských štátoch</w:t>
            </w:r>
            <w:r>
              <w:t>;</w:t>
            </w:r>
          </w:p>
        </w:tc>
        <w:tc>
          <w:tcPr>
            <w:tcW w:w="4876" w:type="dxa"/>
            <w:tcBorders>
              <w:top w:val="nil"/>
              <w:left w:val="nil"/>
              <w:bottom w:val="nil"/>
              <w:right w:val="nil"/>
            </w:tcBorders>
          </w:tcPr>
          <w:p>
            <w:pPr>
              <w:pStyle w:val="Normal6a"/>
            </w:pPr>
            <w:r>
              <w:t>70.</w:t>
            </w:r>
            <w:r>
              <w:tab/>
            </w:r>
            <w:r>
              <w:t xml:space="preserve">konštatuje, že v roku 2024 Dvor audítorov vydal 44 tlačových správ v 24 jazykoch EÚ, ako aj rôzne informačné poznámky, oznámenia pre médiá a v niektorých jazykoch aj okamžite použiteľné zvukové vyhlásenia; ďalej konštatuje, že Dvor audítorov usporiadal v uvedenom roku 20 online tlačových konferencií a 14 dodatočných tlačových konferencií k výročnej správe zameraných na konkrétne krajiny; </w:t>
            </w:r>
            <w:r>
              <w:rPr>
                <w:b/>
                <w:i/>
              </w:rPr>
              <w:t>berie na vedomie tieto činnosti a</w:t>
            </w:r>
            <w:r>
              <w:t xml:space="preserve"> zdôrazňuje, že </w:t>
            </w:r>
            <w:r>
              <w:rPr>
                <w:b/>
                <w:i/>
              </w:rPr>
              <w:t>komunikačné činnosti</w:t>
            </w:r>
            <w:r>
              <w:t xml:space="preserve"> Dvora audítorov </w:t>
            </w:r>
            <w:r>
              <w:rPr>
                <w:b/>
                <w:i/>
              </w:rPr>
              <w:t>by sa mali prísne obmedzovať na objektívne oznamovanie výsledkov auditu</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70b.</w:t>
            </w:r>
            <w:r>
              <w:tab/>
            </w:r>
            <w:r>
              <w:rPr>
                <w:b/>
                <w:i/>
              </w:rPr>
              <w:t>víta osobitnú správu Európskeho dvora audítorov č. 11/2025 s názvom</w:t>
            </w:r>
            <w:r>
              <w:t xml:space="preserve"> </w:t>
            </w:r>
            <w:r>
              <w:rPr>
                <w:b/>
                <w:i/>
              </w:rPr>
              <w:t>Transparentnosť financovania mimovládnych organizácií zo strany EÚ;</w:t>
            </w:r>
            <w:r>
              <w:t xml:space="preserve"> </w:t>
            </w:r>
            <w:r>
              <w:rPr>
                <w:b/>
                <w:i/>
              </w:rPr>
              <w:t>so znepokojením berie na vedomie problémy, ktoré sa v nej uvádzajú, vrátane nedostatkov v oblasti transparentnosti, klasifikácie a dohľadu;</w:t>
            </w:r>
            <w:r>
              <w:t xml:space="preserve"> </w:t>
            </w:r>
            <w:r>
              <w:rPr>
                <w:b/>
                <w:i/>
              </w:rPr>
              <w:t>zdôrazňuje, že je potrebné, aby Dvor audítorov pokračoval vo svojom monitorovaní a podávaní správ o týchto otázkach a posilnil túto svoju činnosť s cieľom zabezpečiť úplný súlad s rozpočtovými pravidlami, požiadavkami na transparentnosť a základnými hodnotami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70a.</w:t>
            </w:r>
            <w:r>
              <w:tab/>
            </w:r>
            <w:r>
              <w:rPr>
                <w:b/>
                <w:i/>
              </w:rPr>
              <w:t>v tejto súvislosti nabáda Dvor audítorov, aby vypracoval osobitnú správu o finančných prostriedkoch EÚ poskytovaných mimovládnym organizáciám pôsobiacim v Pásme Gazy a organizáciám, ktoré sa podieľajú na zostavovaní palestínskych školských učebníc;</w:t>
            </w:r>
            <w:r>
              <w:t xml:space="preserve"> </w:t>
            </w:r>
            <w:r>
              <w:rPr>
                <w:b/>
                <w:i/>
              </w:rPr>
              <w:t>zdôrazňuje, že takáto kontrola je kľúčová na zabezpečenie toho, aby finančné prostriedky EÚ neboli priamo ani nepriamo presmerované teroristickým organizáciám alebo ich pridruženým organizáciám, ani použité spôsobom, ktorý podporuje nenávisť, radikalizáciu alebo podnecovanie k násiliu, a na zabezpečenie úplného súladu s finančnými pravidlami EÚ, normami transparentnosti a základnými hodnotami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71.</w:t>
            </w:r>
            <w:r>
              <w:tab/>
            </w:r>
            <w:r>
              <w:rPr>
                <w:b/>
                <w:i/>
              </w:rPr>
              <w:t>víta skutočnosť, že v záujme zvýšenia zapojenia verejnosti Dvor audítorov od roku 2024 poskytuje občanom možnosť prispievať k jeho pracovnému programu prostredníctvom návrhov na audit na webovom sídle Dvora audítorov;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782.521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47</w:t>
    </w:r>
    <w:r>
      <w:fldChar w:fldCharType="end"/>
    </w:r>
    <w:r>
      <w:tab/>
    </w:r>
    <w:r>
      <w:rPr>
        <w:rStyle w:val="HideTWBExt"/>
      </w:rPr>
      <w:t>&lt;PathFdR&gt;</w:t>
    </w:r>
    <w:r>
      <w:t>AM\1336164SK.docx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AM\1336164SK.docx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47</w:t>
    </w:r>
    <w:r>
      <w:fldChar w:fldCharType="end"/>
    </w:r>
    <w:r>
      <w:tab/>
    </w:r>
    <w:r>
      <w:t>PE</w:t>
    </w:r>
    <w:r>
      <w:rPr>
        <w:rStyle w:val="HideTWBExt"/>
      </w:rPr>
      <w:t>&lt;NoPE&gt;</w:t>
    </w:r>
    <w:r>
      <w:t>782.521</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AM\1336164SK.docx</w:t>
    </w:r>
    <w:r>
      <w:rPr>
        <w:rStyle w:val="HideTWBExt"/>
      </w:rPr>
      <w:t>&lt;/PathFdR&gt;</w:t>
    </w:r>
    <w:r>
      <w:tab/>
    </w:r>
    <w:r>
      <w:tab/>
    </w:r>
    <w:r>
      <w:t>PE</w:t>
    </w:r>
    <w:r>
      <w:rPr>
        <w:rStyle w:val="HideTWBExt"/>
      </w:rPr>
      <w:t>&lt;NoPE&gt;</w:t>
    </w:r>
    <w:r>
      <w:t>782.521</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47</Pages>
  <Words>12638</Words>
  <Characters>78098</Characters>
  <Application>Microsoft Office Word</Application>
  <DocSecurity>0</DocSecurity>
  <Lines>1</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1336164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367250</vt:lpwstr>
  </property>
  <property fmtid="{D5CDD505-2E9C-101B-9397-08002B2CF9AE}" pid="7" name="dmxml.render.traceId">
    <vt:lpwstr>6989c847d939bd5fad07b7fac4481e3a</vt:lpwstr>
  </property>
  <property fmtid="{D5CDD505-2E9C-101B-9397-08002B2CF9AE}" pid="8" name="FooterPath">
    <vt:lpwstr>AM\1336164SK.docx</vt:lpwstr>
  </property>
  <property fmtid="{D5CDD505-2E9C-101B-9397-08002B2CF9AE}" pid="9" name="PE Number">
    <vt:lpwstr>782.521</vt:lpwstr>
  </property>
  <property fmtid="{D5CDD505-2E9C-101B-9397-08002B2CF9AE}" pid="10" name="UID">
    <vt:lpwstr>eu.europa.europarl-DIN1-2026-0000016605_01.00-sk-01.00_text-xml</vt:lpwstr>
  </property>
</Properties>
</file>