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Паскуале Тридико</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Освобождаване от отговорност във връзка с изпълнението на бюджета за 2024 година: Общ бюджет на ЕС - Европейски икономически и социален комитет</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Ондржей Кнотек, Виржини Жорон, Жюлиен Санчез,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З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като има предвид, че съгласно членове 300 и 304 от Договора за функционирането на Европейския съюз Европейският икономически и социален комитет (ЕИСК) е консултативен орган, чиято основна задача е да изготвя становища;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отбелязва преминаването на Комитета от ориентиран към разходите подход към управление и приоритизиране на ресурсите, както е отразено в стратегическия финансов пакет, одобрен от Бюрото на ЕИСК, и въвеждането на дейности по приоритизиране;</w:t>
            </w:r>
            <w:r>
              <w:t xml:space="preserve"> </w:t>
            </w:r>
            <w:r>
              <w:rPr>
                <w:b/>
                <w:i/>
              </w:rPr>
              <w:t>отбелязва, че тези мерки имат за цел да подобрят финансовото управление и да приведат бюджетните решения в съответствие със стратегическите цели;</w:t>
            </w:r>
            <w:r>
              <w:t xml:space="preserve"> </w:t>
            </w:r>
            <w:r>
              <w:rPr>
                <w:b/>
                <w:i/>
              </w:rPr>
              <w:t>отбелязва усилията за намаляване на административната тежест и рационализиране на процесите с цел постигане на разходна ефективност;</w:t>
            </w:r>
            <w:r>
              <w:t xml:space="preserve"> </w:t>
            </w:r>
            <w:r>
              <w:rPr>
                <w:b/>
                <w:i/>
              </w:rPr>
              <w:t>призовава Комитета да продължи да консолидира този подход, като включи в своя годишен финансов цикъл показатели за изпълнението и планиране на прогнозирането;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приветства </w:t>
            </w:r>
            <w:r>
              <w:rPr>
                <w:b/>
                <w:i/>
              </w:rPr>
              <w:t>Комитета за факта, че неговата</w:t>
            </w:r>
            <w:r>
              <w:t xml:space="preserve"> степен на изпълнение за бюджетните кредити за поети задължения за текущата година се увеличи допълнително от 98,70% през 2023 г. на 99,21% през 2024 г. благодарение на успешния мониторинг на неговото изпълнение на бюджета, но също така и поради високия процент на инфлация, който оказа въздействие върху заплатите на персонала и разходите за сгради; отбелязва в този контекст усилията на Комитета за преразпределяне на средства чрез бюджетни трансфери на обща стойност </w:t>
            </w:r>
            <w:r>
              <w:rPr>
                <w:b/>
                <w:i/>
              </w:rPr>
              <w:t>2 487 139</w:t>
            </w:r>
            <w:r>
              <w:t xml:space="preserve"> EUR (което представлява 1,51% от бюджета му за 2024 г.) по различни бюджетни редове, като най-значителните увеличения бяха свързани с експлоатацията и поддръжката на софтуерни системи (+</w:t>
            </w:r>
            <w:r>
              <w:rPr>
                <w:b/>
                <w:i/>
              </w:rPr>
              <w:t>519 682</w:t>
            </w:r>
            <w:r>
              <w:t xml:space="preserve"> EUR) и сгради (+</w:t>
            </w:r>
            <w:r>
              <w:rPr>
                <w:b/>
                <w:i/>
              </w:rPr>
              <w:t>421 880</w:t>
            </w:r>
            <w:r>
              <w:t xml:space="preserve"> EUR); отбелязва освен това със задоволство, че степента на изпълнение на бюджетните кредити за плащания за текущата година се увеличи от 88,12% през 2022 г. и 90,67% през 2023 г. на 92,85% през 2024 г., а средният срок за плащане намаля от 20,14 дни през 2023 г. на 16,06 дни през 2024 г., което е най-добрият резултат на Комитета от 2021 г. насам;</w:t>
            </w:r>
          </w:p>
        </w:tc>
        <w:tc>
          <w:tcPr>
            <w:tcW w:w="4876" w:type="dxa"/>
            <w:tcBorders>
              <w:top w:val="nil"/>
              <w:left w:val="nil"/>
              <w:bottom w:val="nil"/>
              <w:right w:val="nil"/>
            </w:tcBorders>
          </w:tcPr>
          <w:p>
            <w:pPr>
              <w:pStyle w:val="Normal6a"/>
            </w:pPr>
            <w:r>
              <w:t>5.</w:t>
            </w:r>
            <w:r>
              <w:tab/>
            </w:r>
            <w:r>
              <w:t xml:space="preserve">приветства </w:t>
            </w:r>
            <w:r>
              <w:rPr>
                <w:b/>
                <w:i/>
              </w:rPr>
              <w:t>високата</w:t>
            </w:r>
            <w:r>
              <w:t xml:space="preserve"> степен на изпълнение </w:t>
            </w:r>
            <w:r>
              <w:rPr>
                <w:b/>
                <w:i/>
              </w:rPr>
              <w:t>на Комитета</w:t>
            </w:r>
            <w:r>
              <w:t xml:space="preserve"> за бюджетните кредити за поети задължения за текущата година се увеличи допълнително от 98,70% през 2023 г. на 99,21% през 2024 г. благодарение на успешния мониторинг на неговото изпълнение на бюджета, но също така и поради високия процент на инфлация, който оказа въздействие върху заплатите на персонала и разходите за сгради; отбелязва в този контекст усилията на Комитета за преразпределяне на средства чрез бюджетни трансфери на обща стойност </w:t>
            </w:r>
            <w:r>
              <w:rPr>
                <w:b/>
                <w:i/>
              </w:rPr>
              <w:t>2 487 139</w:t>
            </w:r>
            <w:r>
              <w:t> EUR (което представлява 1,51% от бюджета му за 2024 г.) по различни бюджетни редове, като най-значителните увеличения бяха свързани с експлоатацията и поддръжката на софтуерни системи (+</w:t>
            </w:r>
            <w:r>
              <w:rPr>
                <w:b/>
                <w:i/>
              </w:rPr>
              <w:t>519 682</w:t>
            </w:r>
            <w:r>
              <w:t> EUR) и сгради (+</w:t>
            </w:r>
            <w:r>
              <w:rPr>
                <w:b/>
                <w:i/>
              </w:rPr>
              <w:t>421 880</w:t>
            </w:r>
            <w:r>
              <w:t xml:space="preserve"> EUR); отбелязва освен това със задоволство, че степента на изпълнение на бюджетните кредити за плащания за текущата година се увеличи от 88,12% през 2022 г. и 90,67% през 2023 г. на 92,85% през 2024 г., а средният срок за плащане намаля от 20,14 дни през 2023 г. на 16,06 дни през 2024 г., което е най-добрият резултат на Комитета от 2021 г. насам; </w:t>
            </w:r>
            <w:r>
              <w:rPr>
                <w:b/>
                <w:i/>
              </w:rPr>
              <w:t>насърчава продължаването на ефективния мониторинг, ограничаването на разходите и стратегическото преразпределение, за да се гарантира икономическа ефективност и прозрачност;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отбелязва, че на 21 септември 2024 г. Съветът прие ново решение относно отпускането на дневни надбавки и възстановяването на пътни разходи на членовете на Комитета и техните заместници, съгласно което дневните надбавки за бенефициерите, които участват физически на заседания, се определят на 367 EUR (което представлява увеличение спрямо 290 EUR), а дневните надбавки за бенефициерите, които участват в заседания дистанционно по електронен път, се определят на 149 EUR (което представлява увеличение спрямо 145 EUR); отбелязва въз основа на въпросника, че през 2024 г. Комитетът възстанови за дистанционно участие </w:t>
            </w:r>
            <w:r>
              <w:rPr>
                <w:b/>
                <w:i/>
              </w:rPr>
              <w:t>259 669</w:t>
            </w:r>
            <w:r>
              <w:t xml:space="preserve"> EUR (</w:t>
            </w:r>
            <w:r>
              <w:rPr>
                <w:b/>
                <w:i/>
              </w:rPr>
              <w:t>294 930</w:t>
            </w:r>
            <w:r>
              <w:t xml:space="preserve"> EUR през 2023 г.), което се равнява на </w:t>
            </w:r>
            <w:r>
              <w:rPr>
                <w:b/>
                <w:i/>
              </w:rPr>
              <w:t>1 744</w:t>
            </w:r>
            <w:r>
              <w:t xml:space="preserve"> дни, предвидени за заседания (</w:t>
            </w:r>
            <w:r>
              <w:rPr>
                <w:b/>
                <w:i/>
              </w:rPr>
              <w:t>2 006</w:t>
            </w:r>
            <w:r>
              <w:t xml:space="preserve"> дни, предвидени за заседания, през 2023 г.), а общият размер на фиксираните надбавки, изплатени за физическо участие в заседания, беше </w:t>
            </w:r>
            <w:r>
              <w:rPr>
                <w:b/>
                <w:i/>
              </w:rPr>
              <w:t>6 579 196</w:t>
            </w:r>
            <w:r>
              <w:t xml:space="preserve"> EUR през 2024 г. (което представлява увеличение спрямо </w:t>
            </w:r>
            <w:r>
              <w:rPr>
                <w:b/>
                <w:i/>
              </w:rPr>
              <w:t>5 902 963</w:t>
            </w:r>
            <w:r>
              <w:t xml:space="preserve"> EUR през 2023 г.); отбелязва освен това, че Комитетът разполага със система за потвърждаване на действителното присъствие при дистанционно участие в заседания чрез електронни средства; счита, че </w:t>
            </w:r>
            <w:r>
              <w:rPr>
                <w:b/>
                <w:i/>
              </w:rPr>
              <w:t>макар и</w:t>
            </w:r>
            <w:r>
              <w:t xml:space="preserve"> дистанционното присъствие </w:t>
            </w:r>
            <w:r>
              <w:rPr>
                <w:b/>
                <w:i/>
              </w:rPr>
              <w:t>да</w:t>
            </w:r>
            <w:r>
              <w:t xml:space="preserve"> е важен инструмент за съвременните институции, тъй като намалява разходите за заседания и създава условия за по-широко участие</w:t>
            </w:r>
            <w:r>
              <w:rPr>
                <w:b/>
                <w:i/>
              </w:rPr>
              <w:t>, изплащането на надбавка</w:t>
            </w:r>
            <w:r>
              <w:t xml:space="preserve"> за дистанционно участие </w:t>
            </w:r>
            <w:r>
              <w:rPr>
                <w:b/>
                <w:i/>
              </w:rPr>
              <w:t>в заседания, дори намалена и ограничена до някои видове</w:t>
            </w:r>
            <w:r>
              <w:t xml:space="preserve"> прояви</w:t>
            </w:r>
            <w:r>
              <w:rPr>
                <w:b/>
                <w:i/>
              </w:rPr>
              <w:t>, е трудно за разбиране от обществеността</w:t>
            </w:r>
            <w:r>
              <w:t>;</w:t>
            </w:r>
          </w:p>
        </w:tc>
        <w:tc>
          <w:tcPr>
            <w:tcW w:w="4876" w:type="dxa"/>
            <w:tcBorders>
              <w:top w:val="nil"/>
              <w:left w:val="nil"/>
              <w:bottom w:val="nil"/>
              <w:right w:val="nil"/>
            </w:tcBorders>
          </w:tcPr>
          <w:p>
            <w:pPr>
              <w:pStyle w:val="Normal6a"/>
            </w:pPr>
            <w:r>
              <w:t>7.</w:t>
            </w:r>
            <w:r>
              <w:tab/>
            </w:r>
            <w:r>
              <w:t xml:space="preserve">отбелязва, че на 21 септември 2024 г. Съветът прие ново решение относно отпускането на дневни надбавки и възстановяването на пътни разходи на членовете на Комитета и техните заместници, съгласно което дневните надбавки за бенефициерите, които участват физически на заседания, се определят на 367 EUR (което представлява увеличение спрямо 290 EUR), а дневните надбавки за бенефициерите, които участват в заседания дистанционно по електронен път, се определят на 149 EUR (което представлява увеличение спрямо 145 EUR); отбелязва въз основа на въпросника, че през 2024 г. Комитетът възстанови за дистанционно участие </w:t>
            </w:r>
            <w:r>
              <w:rPr>
                <w:b/>
                <w:i/>
              </w:rPr>
              <w:t>259 669</w:t>
            </w:r>
            <w:r>
              <w:t> EUR (</w:t>
            </w:r>
            <w:r>
              <w:rPr>
                <w:b/>
                <w:i/>
              </w:rPr>
              <w:t>294 930</w:t>
            </w:r>
            <w:r>
              <w:t xml:space="preserve"> EUR през 2023 г.), което се равнява на </w:t>
            </w:r>
            <w:r>
              <w:rPr>
                <w:b/>
                <w:i/>
              </w:rPr>
              <w:t>1 744</w:t>
            </w:r>
            <w:r>
              <w:t xml:space="preserve"> дни, предвидени за заседания (</w:t>
            </w:r>
            <w:r>
              <w:rPr>
                <w:b/>
                <w:i/>
              </w:rPr>
              <w:t>2 006</w:t>
            </w:r>
            <w:r>
              <w:t xml:space="preserve"> дни, предвидени за заседания, през 2023 г.), а общият размер на фиксираните надбавки, изплатени за физическо участие в заседания, беше </w:t>
            </w:r>
            <w:r>
              <w:rPr>
                <w:b/>
                <w:i/>
              </w:rPr>
              <w:t>6 579 196</w:t>
            </w:r>
            <w:r>
              <w:t xml:space="preserve"> EUR през 2024 г. (което представлява увеличение спрямо </w:t>
            </w:r>
            <w:r>
              <w:rPr>
                <w:b/>
                <w:i/>
              </w:rPr>
              <w:t>5 902 963</w:t>
            </w:r>
            <w:r>
              <w:t xml:space="preserve"> EUR през 2023 г.); отбелязва освен това, че Комитетът разполага със система за потвърждаване на действителното присъствие при дистанционно участие в заседания чрез електронни средства; счита, че дистанционното присъствие е важен </w:t>
            </w:r>
            <w:r>
              <w:rPr>
                <w:b/>
                <w:i/>
              </w:rPr>
              <w:t>и ценен</w:t>
            </w:r>
            <w:r>
              <w:t xml:space="preserve"> инструмент за съвременните институции, тъй като намалява разходите за заседания и създава условия за по-широко участие</w:t>
            </w:r>
            <w:r>
              <w:rPr>
                <w:b/>
                <w:i/>
              </w:rPr>
              <w:t>;</w:t>
            </w:r>
            <w:r>
              <w:t xml:space="preserve"> </w:t>
            </w:r>
            <w:r>
              <w:rPr>
                <w:b/>
                <w:i/>
              </w:rPr>
              <w:t>приветства подхода на Комитета за разпределяне на надбавки</w:t>
            </w:r>
            <w:r>
              <w:t xml:space="preserve"> за дистанционно участие </w:t>
            </w:r>
            <w:r>
              <w:rPr>
                <w:b/>
                <w:i/>
              </w:rPr>
              <w:t>за намален и ограничен вид</w:t>
            </w:r>
            <w:r>
              <w:t xml:space="preserve"> прояви </w:t>
            </w:r>
            <w:r>
              <w:rPr>
                <w:b/>
                <w:i/>
              </w:rPr>
              <w:t>по справедлив и пропорционален начин, отразяващ отговорностите на членовете и изискванията за подготовка, като същевременно се гарантират и наблюдават прозрачността и ефективността на разходите</w:t>
            </w:r>
            <w:r>
              <w:t xml:space="preserve">; </w:t>
            </w:r>
            <w:r>
              <w:rPr>
                <w:b/>
                <w:i/>
              </w:rPr>
              <w:t>припомня, че членовете на Европейския икономически и социален комитет не получават възнаграждение за своя мандат;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призовава Комитета да направи повторна оценка на системата за надбавки за дистанционно участие, за да се гарантира пълна прозрачност, пропорционалност и обществено доверие;</w:t>
            </w:r>
            <w:r>
              <w:t xml:space="preserve"> </w:t>
            </w:r>
            <w:r>
              <w:rPr>
                <w:b/>
                <w:i/>
              </w:rPr>
              <w:t>подчертава, че финансовата компенсация за дистанционно участие трябва да бъде строго обоснована, ограничена по обхват и приведена в съответствие с принципите на ефективност на разходите и отчетност;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изразява дълбока загриженост във връзка с нарастващата дългова тежест и разходи за заеми на ЕС;</w:t>
            </w:r>
            <w:r>
              <w:t xml:space="preserve"> </w:t>
            </w:r>
            <w:r>
              <w:rPr>
                <w:b/>
                <w:i/>
              </w:rPr>
              <w:t>отбелязва, че според годишния доклад на Европейската сметна палата непогасените заеми, взети от ЕС, могат да надхвърлят 900 милиарда евро до 2027 г., което е почти десет пъти повече от равнището от 2020 г. преди въвеждането на пакета за възстановяване NextGenerationEU;</w:t>
            </w:r>
            <w:r>
              <w:t xml:space="preserve"> </w:t>
            </w:r>
            <w:r>
              <w:rPr>
                <w:b/>
                <w:i/>
              </w:rPr>
              <w:t>предупреждава, че нарастващите разходи по заеми представляват риск за бъдещите бюджети и намаляват фискалното пространство за нови приоритети;</w:t>
            </w:r>
            <w:r>
              <w:t xml:space="preserve"> </w:t>
            </w:r>
            <w:r>
              <w:rPr>
                <w:b/>
                <w:i/>
              </w:rPr>
              <w:t>поради това настоява, че този безпрецедентен фискален натиск налага стриктно търсене на икономии в рамките на собствения административен бюджет на Комитета;</w:t>
            </w:r>
            <w:r>
              <w:t xml:space="preserve"> </w:t>
            </w:r>
            <w:r>
              <w:rPr>
                <w:b/>
                <w:i/>
              </w:rPr>
              <w:t>призовава генералния секретар да представи план за намаляване на структурните разходи, за да се демонстрира институционална отговорност във времена на висок публичен дълг;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призовава администрацията на Комитета активно да определя и прилага мерки за икономии на разходи, включително чрез засилена употреба на хибридни технологии за провеждане на заседания, оптимизиране на използването на сградите, консолидиране на парламентарните дейности и намаляване на ненужните логистични разходи;</w:t>
            </w:r>
            <w:r>
              <w:t xml:space="preserve"> </w:t>
            </w:r>
            <w:r>
              <w:rPr>
                <w:b/>
                <w:i/>
              </w:rPr>
              <w:t>изисква редовни доклади за напредъка по приложените мерки и постигнатите икономии;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призовава Комитета да приеме структурирана пътна карта за постепенно постигане на целевия показател за разходите за киберсигурност от 10%, включително годишни етапни цели, основано на риска приоритизиране и редовно докладване на органа по освобождаване от отговорност;</w:t>
            </w:r>
            <w:r>
              <w:t xml:space="preserve"> </w:t>
            </w:r>
            <w:r>
              <w:rPr>
                <w:b/>
                <w:i/>
              </w:rPr>
              <w:t>подчертава необходимостта от засилено сътрудничество със CERT-EU и други институции на Съюза, за да се гарантира съгласувана и устойчива позиция в областта на киберсигурността;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потвърждава, че Комитетът играе основна роля в приноса за разработването на политиките и процесите на вземане на решения на Съюза, представлявайки позициите на всички области на организираното гражданско общество в Съюза, като по този начин доближава Европа до нейните граждани и повишава демократичната легитимност на законодателството на Съюза; припомня, че като част от годишната си работна програма Комитетът разполага със система за мониторинг на изпълнението с показатели в различни области, например информационни технологии, човешки ресурси, писмен превод и комуникация, структурирани около пет основни ценности и пет ключови стратегически цели, в рамките на стратегията на Генералния секретариат за периода 2021 – 2025 г.; отбелязва със задоволство, въз основа на последващите действия на Комитета във връзка със забележките в резолюцията на Парламента за освобождаване от отговорност за 2023 г. („доклада за последващите действия“) и въпросника, че вследствие на одит Комитетът започна структуриран процес за подобряване на своя мониторинг на изпълнението, като приведе своята рамка за изпълнение в съответствие със стратегическите цели чрез ключови показатели за ефективност и показатели за въздействие, които да бъдат приведени в съответствие с бъдещите стратегически цели на Комитета, като се има предвид, че висшето ръководство ще играе ключова роля в използването на тези показатели; очаква да бъде информиран за резултатите от прилагането на тази нова рамка чрез бъдещите доклади на Комитета пред органа по освобождаване от отговорност;</w:t>
            </w:r>
          </w:p>
        </w:tc>
        <w:tc>
          <w:tcPr>
            <w:tcW w:w="4876" w:type="dxa"/>
            <w:tcBorders>
              <w:top w:val="nil"/>
              <w:left w:val="nil"/>
              <w:bottom w:val="nil"/>
              <w:right w:val="nil"/>
            </w:tcBorders>
          </w:tcPr>
          <w:p>
            <w:pPr>
              <w:pStyle w:val="Normal6a"/>
            </w:pPr>
            <w:r>
              <w:t>12.</w:t>
            </w:r>
            <w:r>
              <w:tab/>
            </w:r>
            <w:r>
              <w:t>потвърждава, че Комитетът играе основна роля в приноса за разработването на политиките и процесите на вземане на решения на Съюза, представлявайки позициите на всички области на организираното гражданско общество в Съюза, като по този начин доближава Европа до нейните граждани и повишава демократичната легитимност на законодателството на Съюза; припомня, че като част от годишната си работна програма Комитетът разполага със система за мониторинг на изпълнението с показатели в различни области, например информационни технологии, човешки ресурси, писмен превод и комуникация, структурирани около пет основни ценности и пет ключови стратегически цели, в рамките на стратегията на Генералния секретариат за периода 2021 – 2025 г.</w:t>
            </w:r>
            <w:r>
              <w:rPr>
                <w:b/>
                <w:i/>
              </w:rPr>
              <w:t>;</w:t>
            </w:r>
            <w:r>
              <w:t xml:space="preserve"> </w:t>
            </w:r>
            <w:r>
              <w:rPr>
                <w:b/>
                <w:i/>
              </w:rPr>
              <w:t>счита обаче, че добавената стойност на неговите дейности за европейските граждани остава до голяма степен недокладвана;</w:t>
            </w:r>
            <w:r>
              <w:t xml:space="preserve"> </w:t>
            </w:r>
            <w:r>
              <w:rPr>
                <w:b/>
                <w:i/>
              </w:rPr>
              <w:t>приканва Комитета да укрепи допълнително своята рамка за оценка на въздействието, като покаже по-добре как неговите становища и инициативи водят до конкретни политически резултати и осезаеми ползи за гражданите</w:t>
            </w:r>
            <w:r>
              <w:t>; отбелязва със задоволство, въз основа на последващите действия на Комитета във връзка със забележките в резолюцията на Парламента за освобождаване от отговорност за 2023 г. („доклада за последващите действия“) и въпросника, че вследствие на одит Комитетът започна структуриран процес за подобряване на своя мониторинг на изпълнението, като приведе своята рамка за изпълнение в съответствие със стратегическите цели чрез ключови показатели за ефективност и показатели за въздействие, които да бъдат приведени в съответствие с бъдещите стратегически цели на Комитета, като се има предвид, че висшето ръководство ще играе ключова роля в използването на тези показатели; очаква да бъде информиран за резултатите от прилагането на тази нова рамка чрез бъдещите доклади на Комитета пред органа по освобождаване от отговорност;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потвърждава, че Комитетът играе основна роля в приноса за разработването на политиките и процесите на вземане на решения на Съюза, представлявайки позициите на всички области на организираното гражданско общество в Съюза, като по този начин доближава Европа до нейните граждани и повишава демократичната легитимност на законодателството на Съюза; припомня, че като част от годишната си работна програма Комитетът разполага със система за мониторинг на изпълнението с показатели в различни области, например информационни технологии, човешки ресурси, писмен превод и комуникация, структурирани около пет основни ценности и пет ключови стратегически цели, в рамките на стратегията на Генералния секретариат за периода 2021 – 2025 г.; отбелязва със задоволство, въз основа на последващите действия на Комитета във връзка със забележките в резолюцията на Парламента за освобождаване от отговорност за 2023 г. („доклада за последващите действия“) и въпросника, че вследствие на одит Комитетът започна структуриран процес за подобряване на своя мониторинг на изпълнението, като приведе своята рамка за изпълнение в съответствие със стратегическите цели чрез ключови показатели за ефективност и показатели за въздействие, които да бъдат приведени в съответствие с бъдещите стратегически цели на Комитета, като се има предвид, че висшето ръководство ще играе ключова роля в използването на тези показатели; очаква да бъде информиран за резултатите от прилагането на тази нова рамка чрез бъдещите доклади на Комитета пред органа по освобождаване от отговорност;</w:t>
            </w:r>
          </w:p>
        </w:tc>
        <w:tc>
          <w:tcPr>
            <w:tcW w:w="4876" w:type="dxa"/>
            <w:tcBorders>
              <w:top w:val="nil"/>
              <w:left w:val="nil"/>
              <w:bottom w:val="nil"/>
              <w:right w:val="nil"/>
            </w:tcBorders>
          </w:tcPr>
          <w:p>
            <w:pPr>
              <w:pStyle w:val="Normal6a"/>
            </w:pPr>
            <w:r>
              <w:t>12.</w:t>
            </w:r>
            <w:r>
              <w:tab/>
            </w:r>
            <w:r>
              <w:t xml:space="preserve">потвърждава, че Комитетът играе основна роля в приноса за разработването на политиките и процесите на вземане на решения на Съюза, представлявайки позициите на всички области на организираното гражданско общество в Съюза, като по този начин доближава Европа до нейните граждани и повишава демократичната легитимност на законодателството на Съюза; припомня, че като част от годишната си работна програма Комитетът разполага със система за мониторинг на изпълнението с показатели в различни области, например информационни технологии, човешки ресурси, писмен превод и комуникация, структурирани около пет основни ценности и пет ключови стратегически цели, в рамките на стратегията на Генералния секретариат за периода 2021 – 2025 г.; отбелязва със задоволство, въз основа на последващите действия на Комитета във връзка със забележките в резолюцията на Парламента за освобождаване от отговорност за 2023 г. („доклада за последващите действия“) и въпросника, че вследствие на одит Комитетът започна структуриран процес за подобряване на своя мониторинг на изпълнението, като приведе своята рамка за изпълнение в съответствие със стратегическите цели чрез ключови показатели за ефективност и показатели за въздействие, които да бъдат приведени в съответствие с бъдещите стратегически цели на Комитета, като се има предвид, че висшето ръководство ще играе ключова роля в използването на тези показатели; очаква да бъде информиран за резултатите от прилагането на тази нова рамка чрез бъдещите доклади на Комитета пред органа по освобождаване от отговорност; </w:t>
            </w:r>
            <w:r>
              <w:rPr>
                <w:b/>
                <w:i/>
              </w:rPr>
              <w:t>приветства усилията на Комитета да интегрира измерването на въздействието в процеса на вземане на решения и призовава за ясни количествено измерими ключови показатели за изпълнение и редовно докладване, за да се гарантират измерими резултати и отчетност;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отбелязва, че Комитетът изпълнява своята мисия чрез становища по законодателни предложения, направени от Комисията (искания за консултация), становища по собствена инициатива, в които институциите на Съюза се призовават да предприемат действия, и проучвателни становища, които се използват от Комисията за планираните ѝ инициативи, и че позициите на Комитета могат да бъдат посочвани в резолюции или включвани в доклади за оценка и информационни доклади; поздравява Комитета за неговите резултати в подпомагането на Парламента, Съвета и Комисията в хода на законодателния цикъл през 2024 г.; отбелязва в този контекст, че през 2024 г. Комитетът прие 142 становища и доклади, което представлява намаление спрямо 213 през 2023 г., и организира 148 изслушвания и 26 конференции, в сравнение със съответно 146 и 24 през 2023 г.; признава, че подновяването на мандата през 2024 г. доведе до намаляване на броя на исканията за консултация и следователно на броя на становищата, приети от Комитета през същата година; отбелязва, че членове на Комитета участваха в 518 срещи на високо равнище, срещи на върха и конференции през 2024 г. – в сравнение с 429 през 2023 г.;</w:t>
            </w:r>
          </w:p>
        </w:tc>
        <w:tc>
          <w:tcPr>
            <w:tcW w:w="4876" w:type="dxa"/>
            <w:tcBorders>
              <w:top w:val="nil"/>
              <w:left w:val="nil"/>
              <w:bottom w:val="nil"/>
              <w:right w:val="nil"/>
            </w:tcBorders>
          </w:tcPr>
          <w:p>
            <w:pPr>
              <w:pStyle w:val="Normal6a"/>
            </w:pPr>
            <w:r>
              <w:t>13.</w:t>
            </w:r>
            <w:r>
              <w:tab/>
            </w:r>
            <w:r>
              <w:t xml:space="preserve">отбелязва, че Комитетът изпълнява своята мисия чрез становища по законодателни предложения, направени от Комисията (искания за консултация), становища по собствена инициатива, в които институциите на Съюза се призовават да предприемат действия, и проучвателни становища, които се използват от Комисията за планираните ѝ инициативи, и че позициите на Комитета могат да бъдат посочвани в резолюции или включвани в доклади за оценка и информационни доклади; поздравява Комитета за неговите резултати в подпомагането на Парламента, Съвета и Комисията в хода на законодателния цикъл през 2024 г.; отбелязва в този контекст, че през 2024 г. Комитетът прие 142 становища и доклади, което представлява намаление спрямо 213 през 2023 г., и организира 148 изслушвания и 26 конференции, в сравнение със съответно 146 и 24 през 2023 г.; признава, че подновяването на мандата през 2024 г. доведе до намаляване на броя на исканията за консултация и следователно на броя на становищата, приети от Комитета през същата година; отбелязва, че членове на Комитета участваха в 518 срещи на високо равнище, срещи на върха и конференции през 2024 г. – в сравнение с 429 през 2023 г.; </w:t>
            </w:r>
            <w:r>
              <w:rPr>
                <w:b/>
                <w:i/>
              </w:rPr>
              <w:t>насърчава приоритизирането на инициативи, които подкрепят икономическия растеж, конкурентоспособността и стратегическата автономност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13а.</w:t>
            </w:r>
            <w:r>
              <w:tab/>
            </w:r>
            <w:r>
              <w:rPr>
                <w:b/>
                <w:i/>
              </w:rPr>
              <w:t>насърчава Комитета да продължи усилията за съсредоточаване на работата си върху области, в които може да осигури ясен, измерим и значим за политиката принос, както и да продължи да разработва показатели, основани на изпълнението и въздействието, които надхвърлят резултатите по дейности и отразяват по-добре резултатите и значението за гражданите;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приветства въз основа на доклада за последващите действия ангажимента на Комитета да изготвя становища относно трудовите права, социалното приобщаване и нарушенията на правата на човека, както и да разшири обхвата на своите оценки по отношение на законодателството и програмите на Съюза, при условие че са налични подходящи ресурси;</w:t>
            </w:r>
          </w:p>
        </w:tc>
        <w:tc>
          <w:tcPr>
            <w:tcW w:w="4876" w:type="dxa"/>
            <w:tcBorders>
              <w:top w:val="nil"/>
              <w:left w:val="nil"/>
              <w:bottom w:val="nil"/>
              <w:right w:val="nil"/>
            </w:tcBorders>
          </w:tcPr>
          <w:p>
            <w:pPr>
              <w:pStyle w:val="Normal6a"/>
            </w:pPr>
            <w:r>
              <w:t>14.</w:t>
            </w:r>
            <w:r>
              <w:tab/>
            </w:r>
            <w:r>
              <w:t xml:space="preserve">приветства въз основа на доклада за последващите действия ангажимента на Комитета да изготвя становища относно трудовите права, социалното приобщаване и нарушенията на правата на човека, както и да разшири обхвата на своите оценки по отношение на законодателството и програмите на Съюза, </w:t>
            </w:r>
            <w:r>
              <w:rPr>
                <w:b/>
                <w:i/>
              </w:rPr>
              <w:t>като представлява широкото гражданско общество,</w:t>
            </w:r>
            <w:r>
              <w:t xml:space="preserve"> при условие че са налични подходящи ресурси; </w:t>
            </w:r>
            <w:r>
              <w:rPr>
                <w:b/>
                <w:i/>
              </w:rPr>
              <w:t>насърчава Комитета да разшири обхвата на становищата, за да включи допълнително законодателство на Съюза, свързано с обществените блага;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оценява действията на Комитета, предприети през 2024 г. за подобряване на видимостта и въздействието на неговата работа в политическия и законодателния цикъл; приветства официалното стартиране, след пилотен проект, на нов формат на становищата, изготвяни в отговор на задължителни искания за консултация от Парламента, Съвета или Комисията; отбелязва, че новият формат увеличава удобството за ползване и използваемостта за законодателя, като същевременно подобрява определянето на приоритети в работата на Комитета; отбелязва освен това, че благодарение на засилените последващи действия във връзка с избрани становища чрез контролен списък и насоки Комитетът очаква тези становища да продължат да бъдат от значение и след приемането си, както и да бъдат включени в многопластовите законодателни процеси; приветства освен това интегрирането на становищата на Комитета в Инструмента за проследяване на законодателния процес в ЕС, считано от април 2024 г., като те вече фигурират като позовавания в законодателните досиета; отбелязва със задоволство, че Комитетът също така прие вътрешен план за по-добро предвиждане на приоритетите на Съюза, подобряване на междуинституционалната координация, засилване на разпространението и последващите действия, както и по-систематично измерване на въздействието;</w:t>
            </w:r>
          </w:p>
        </w:tc>
        <w:tc>
          <w:tcPr>
            <w:tcW w:w="4876" w:type="dxa"/>
            <w:tcBorders>
              <w:top w:val="nil"/>
              <w:left w:val="nil"/>
              <w:bottom w:val="nil"/>
              <w:right w:val="nil"/>
            </w:tcBorders>
          </w:tcPr>
          <w:p>
            <w:pPr>
              <w:pStyle w:val="Normal6a"/>
            </w:pPr>
            <w:r>
              <w:t>15.</w:t>
            </w:r>
            <w:r>
              <w:tab/>
            </w:r>
            <w:r>
              <w:t>оценява действията на Комитета, предприети през 2024 г. за подобряване на видимостта и въздействието на неговата работа в политическия и законодателния цикъл; приветства официалното стартиране, след пилотен проект, на нов формат на становищата, изготвяни в отговор на задължителни искания за консултация от Парламента, Съвета или Комисията; отбелязва, че новият формат увеличава удобството за ползване и използваемостта за законодателя, като същевременно подобрява определянето на приоритети в работата на Комитета; отбелязва освен това, че благодарение на засилените последващи действия във връзка с избрани становища чрез контролен списък и насоки Комитетът очаква тези становища да продължат да бъдат от значение и след приемането си, както и да бъдат включени в многопластовите законодателни процеси; приветства освен това интегрирането на становищата на Комитета в Инструмента за проследяване на законодателния процес в ЕС, считано от април 2024 г., като те вече фигурират като позовавания в законодателните досиета; отбелязва със задоволство, че Комитетът също така прие вътрешен план за по-добро предвиждане на приоритетите на Съюза, подобряване на междуинституционалната координация, засилване на разпространението и последващите действия, както и по-систематично измерване на въздействието;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Ондржей Кнотек,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15а.</w:t>
            </w:r>
            <w:r>
              <w:tab/>
            </w:r>
            <w:r>
              <w:rPr>
                <w:b/>
                <w:i/>
              </w:rPr>
              <w:t>оценява действията на Комитета, предприети през 2024 г. за подобряване на достъпността, яснотата и използваемостта на своите становища за институциите на Съюза;</w:t>
            </w:r>
            <w:r>
              <w:t xml:space="preserve"> </w:t>
            </w:r>
            <w:r>
              <w:rPr>
                <w:b/>
                <w:i/>
              </w:rPr>
              <w:t>подчертава, че тези действия имат за цел да повишат капацитета на законодателите да вземат информирани решения;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отбелязва със задоволство, че Комитетът постигна напредък по няколко водещи инициативи, които засилиха участието, приобщаването и въздействието на политиките в целия Съюз; отбелязва, че от септември 2024 г. Комитетът пое водеща роля в прилагането на оценката на въздействието на ЕС от гледна точка на младежта в своя процес на изготвяне на становища, в който участва мрежа от 73 младежки организации и бяха проверени около 40 становища; отбелязва освен това, че Комитетът разшири ангажираността си с държавите кандидатки чрез инициативата „Кандидати за членство, обхванати от процеса на разширяване“, като предостави възможност на 146 представители на гражданското общество да допринесат пряко за становищата на Комитета чрез участие в проучвателни групи, заседания на секции и пленарни заседания (проведени през октомври 2024 г.); поздравява Комитета за постигането на напредък по неговия Син пакт за ЕС, който спомага за включването на устойчивостта на водните ресурси в дневния ред на Съюза; подчертава, че Комитетът продължи да ръководи Европейската платформа на заинтересованите страни в областта на кръговата икономика и съорганизира наградите на ЕС за биологично производство през 2024 г., като укрепи връзките с участниците от гражданското общество в областта на биологичното земеделие;</w:t>
            </w:r>
          </w:p>
        </w:tc>
        <w:tc>
          <w:tcPr>
            <w:tcW w:w="4876" w:type="dxa"/>
            <w:tcBorders>
              <w:top w:val="nil"/>
              <w:left w:val="nil"/>
              <w:bottom w:val="nil"/>
              <w:right w:val="nil"/>
            </w:tcBorders>
          </w:tcPr>
          <w:p>
            <w:pPr>
              <w:pStyle w:val="Normal6a"/>
            </w:pPr>
            <w:r>
              <w:t>16.</w:t>
            </w:r>
            <w:r>
              <w:tab/>
            </w:r>
            <w:r>
              <w:t xml:space="preserve">отбелязва със задоволство, че Комитетът постигна напредък по няколко водещи инициативи, които засилиха участието, приобщаването и въздействието на политиките в целия Съюз; отбелязва, че от септември 2024 г. Комитетът пое водеща роля в прилагането на оценката на въздействието на ЕС от гледна точка на младежта в своя процес на изготвяне на становища, в който участва мрежа от 73 младежки организации и бяха проверени около 40 становища; отбелязва освен това, че Комитетът разшири ангажираността си с държавите кандидатки чрез инициативата „Кандидати за членство, обхванати от процеса на разширяване“, като предостави възможност на 146 представители на гражданското общество да допринесат пряко за становищата на Комитета чрез участие в проучвателни групи, заседания на секции и пленарни заседания (проведени през октомври 2024 г.); </w:t>
            </w:r>
            <w:r>
              <w:rPr>
                <w:b/>
                <w:i/>
              </w:rPr>
              <w:t>приветства тази инициатива като положителен принос към приобщаващия диалог и подготовката за бъдещо разширяване;</w:t>
            </w:r>
            <w:r>
              <w:t xml:space="preserve"> поздравява Комитета за постигането на напредък по неговия Син пакт за ЕС, който спомага за включването на устойчивостта на водните ресурси в дневния ред на Съюза; подчертава, че Комитетът продължи да ръководи Европейската платформа на заинтересованите страни в областта на кръговата икономика и съорганизира наградите на ЕС за биологично производство през 2024 г., като укрепи връзките с участниците от гражданското общество в областта на биологичното земеделие; </w:t>
            </w:r>
            <w:r>
              <w:rPr>
                <w:b/>
                <w:i/>
              </w:rPr>
              <w:t>насърчава непрекъснатото привеждане в съответствие със стратегическите цели на политиката и измеримите резултати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отбелязва със задоволство, че Комитетът постигна напредък по няколко водещи инициативи, които засилиха участието, приобщаването и въздействието на политиките в целия Съюз; отбелязва, че от септември 2024 г. Комитетът пое водеща роля в прилагането на оценката на въздействието на ЕС от гледна точка на младежта в своя процес на изготвяне на становища, в който участва мрежа от 73 младежки организации и бяха проверени около 40 становища; отбелязва освен това, че Комитетът разшири ангажираността си с държавите кандидатки чрез инициативата „Кандидати за членство, обхванати от процеса на разширяване“, като предостави възможност на 146 представители на гражданското общество да допринесат пряко за становищата на Комитета чрез участие в проучвателни групи, заседания на секции и пленарни заседания (проведени през октомври 2024 г.); поздравява Комитета за постигането на напредък по неговия Син пакт за ЕС, който спомага за включването на устойчивостта на водните ресурси в дневния ред на Съюза; подчертава, че Комитетът продължи да ръководи Европейската платформа на заинтересованите страни в областта на кръговата икономика и съорганизира наградите на ЕС за биологично производство през 2024 г., като укрепи връзките с участниците от гражданското общество в областта на биологичното земеделие;</w:t>
            </w:r>
          </w:p>
        </w:tc>
        <w:tc>
          <w:tcPr>
            <w:tcW w:w="4876" w:type="dxa"/>
            <w:tcBorders>
              <w:top w:val="nil"/>
              <w:left w:val="nil"/>
              <w:bottom w:val="nil"/>
              <w:right w:val="nil"/>
            </w:tcBorders>
          </w:tcPr>
          <w:p>
            <w:pPr>
              <w:pStyle w:val="Normal6a"/>
            </w:pPr>
            <w:r>
              <w:t>16.</w:t>
            </w:r>
            <w:r>
              <w:tab/>
            </w:r>
            <w:r>
              <w:t>отбелязва със задоволство, че Комитетът постигна напредък по няколко водещи инициативи, които засилиха участието, приобщаването и въздействието на политиките в целия Съюз; отбелязва, че от септември 2024 г. Комитетът пое водеща роля в прилагането на оценката на въздействието на ЕС от гледна точка на младежта в своя процес на изготвяне на становища, в който участва мрежа от 73 младежки организации и бяха проверени около 40 становища</w:t>
            </w:r>
            <w:r>
              <w:rPr>
                <w:b/>
                <w:i/>
              </w:rPr>
              <w:t>;</w:t>
            </w:r>
            <w:r>
              <w:t xml:space="preserve"> </w:t>
            </w:r>
            <w:r>
              <w:rPr>
                <w:b/>
                <w:i/>
              </w:rPr>
              <w:t>приветства и подкрепя инициативите на Комитета, насочени към засилване на участието на младите хора в процеса на изготвяне на политиките</w:t>
            </w:r>
            <w:r>
              <w:t>; отбелязва освен това, че Комитетът разшири ангажираността си с държавите кандидатки чрез инициативата „Кандидати за членство, обхванати от процеса на разширяване“, като предостави възможност на 146 представители на гражданското общество да допринесат пряко за становищата на Комитета чрез участие в проучвателни групи, заседания на секции и пленарни заседания (проведени през октомври 2024 г.); поздравява Комитета за постигането на напредък по неговия Син пакт за ЕС, който спомага за включването на устойчивостта на водните ресурси в дневния ред на Съюза; подчертава, че Комитетът продължи да ръководи Европейската платформа на заинтересованите страни в областта на кръговата икономика и съорганизира наградите на ЕС за биологично производство през 2024 г., като укрепи връзките с участниците от гражданското общество в областта на биологичното земеделие;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отбелязва със задоволство въз основа на въпросника действията на Комитета за намаляване на административната тежест и рационализиране на процесите през 2024 г.; приветства в този смисъл стартирането на нова, по-ефективна програма за регистрация на посетители, използването на софтуер за сътрудничество от някои от служителите на Комитета, работната група между различни дирекции, която управлява използването на методиката на Комитета за управление на работните процеси, опростяването на веригата за проверка по отношение на възложените на външни изпълнители преводи, сливането на няколко езикови отдела и опростяването на правилата за комуникация на Комитета, наред с другото; отбелязва </w:t>
            </w:r>
            <w:r>
              <w:rPr>
                <w:b/>
                <w:i/>
              </w:rPr>
              <w:t>с интерес</w:t>
            </w:r>
            <w:r>
              <w:t>, че за да спести ресурси, Комитетът започва пилотна фаза, като използва изкуствен интелект (ИИ) за преобразуване на дирекция „Писмени преводи“; приканва Комитета да информира редовно органа по освобождаване от отговорност за напредъка по този въпрос;</w:t>
            </w:r>
          </w:p>
        </w:tc>
        <w:tc>
          <w:tcPr>
            <w:tcW w:w="4876" w:type="dxa"/>
            <w:tcBorders>
              <w:top w:val="nil"/>
              <w:left w:val="nil"/>
              <w:bottom w:val="nil"/>
              <w:right w:val="nil"/>
            </w:tcBorders>
          </w:tcPr>
          <w:p>
            <w:pPr>
              <w:pStyle w:val="Normal6a"/>
            </w:pPr>
            <w:r>
              <w:t>17.</w:t>
            </w:r>
            <w:r>
              <w:tab/>
            </w:r>
            <w:r>
              <w:t xml:space="preserve">отбелязва със задоволство въз основа на въпросника действията на Комитета за намаляване на административната тежест и рационализиране на процесите през 2024 г.; приветства в този смисъл стартирането на нова, по-ефективна програма за регистрация на посетители, използването на софтуер за сътрудничество от някои от служителите на Комитета, работната група между различни дирекции, която управлява използването на методиката на Комитета за управление на работните процеси, опростяването на веригата за проверка по отношение на възложените на външни изпълнители преводи, сливането на няколко езикови отдела и опростяването на правилата за комуникация на Комитета, наред с другото; отбелязва, че за да спести ресурси, Комитетът започва пилотна фаза, като използва изкуствен интелект (ИИ) за преобразуване на дирекция „Писмени преводи“; </w:t>
            </w:r>
            <w:r>
              <w:rPr>
                <w:b/>
                <w:i/>
              </w:rPr>
              <w:t>подчертава, че използването на ИИ трябва да се извършва под човешки надзор;</w:t>
            </w:r>
            <w:r>
              <w:t xml:space="preserve"> приканва Комитета да информира редовно органа по освобождаване от отговорност за напредъка по този въпрос;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17а.</w:t>
            </w:r>
            <w:r>
              <w:tab/>
            </w:r>
            <w:r>
              <w:rPr>
                <w:b/>
                <w:i/>
              </w:rPr>
              <w:t>приканва Комитета да засили разработването на всеобхватна стратегия за цифрова трансформация, обхващаща изкуствения интелект, автоматизацията, оперативната съвместимост и управлението на данните, придружена от етична рамка, гарантираща безопасно, отговорно и прозрачно използване на нововъзникващите технологии;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отбелязва с интерес въз основа на въпросника усилията на Комитета да възприеме по-стратегически подход за приоритизиране на работата си, свързана с въздействието, и да постави управлението на въздействието в центъра на процеса на вземане на решения; отбелязва в този контекст организирането на три стратегически семинара на високо равнище с участието на политическото ръководство през 2024 г. и 2025 г., по време на които изготвянето на прогнози беше в основата на разработването на критерии за приоритизиране или деприоритизиране на инициативи и за осигуряване на тематично съответствие с дългосрочните нужди на гражданското общество, наред с други цели; отбелязва, че това приоритизиране ще бъде интегрирано в основните дейности на Комитета, тъй като ще се извършва ежегодно, а на всеки 2,5 години ще се допълва от преглед на всички органи, дейности и важни прояви на Комитета;</w:t>
            </w:r>
          </w:p>
        </w:tc>
        <w:tc>
          <w:tcPr>
            <w:tcW w:w="4876" w:type="dxa"/>
            <w:tcBorders>
              <w:top w:val="nil"/>
              <w:left w:val="nil"/>
              <w:bottom w:val="nil"/>
              <w:right w:val="nil"/>
            </w:tcBorders>
          </w:tcPr>
          <w:p>
            <w:pPr>
              <w:pStyle w:val="Normal6a"/>
            </w:pPr>
            <w:r>
              <w:t>18.</w:t>
            </w:r>
            <w:r>
              <w:tab/>
            </w:r>
            <w:r>
              <w:t>отбелязва с интерес въз основа на въпросника усилията на Комитета да възприеме по-стратегически подход за приоритизиране на работата си, свързана с въздействието, и да постави управлението на въздействието в центъра на процеса на вземане на решения; отбелязва в този контекст организирането на три стратегически семинара на високо равнище с участието на политическото ръководство през 2024 г. и 2025 г., по време на които изготвянето на прогнози беше в основата на разработването на критерии за приоритизиране или деприоритизиране на инициативи и за осигуряване на тематично съответствие с дългосрочните нужди на гражданското общество, наред с други цели; отбелязва, че това приоритизиране ще бъде интегрирано в основните дейности на Комитета, тъй като ще се извършва ежегодно, а на всеки 2,5 години ще се допълва от преглед на всички органи, дейности и важни прояви на Комитета;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отбелязва по отношение на проверката на съответствието за 2024 г. висока степен на съответствие, като средната стойност беше 85 (87% през 2023 г.); изразява съжаление, че ефективността на системата за вътрешен контрол спадна от 78 на 66%; отбелязва в този контекст разминаването между формалното съответствие и практическата ефективност в ежедневните операции; </w:t>
            </w:r>
            <w:r>
              <w:rPr>
                <w:b/>
                <w:i/>
              </w:rPr>
              <w:t>отбелязва, че трябва</w:t>
            </w:r>
            <w:r>
              <w:t xml:space="preserve"> да се </w:t>
            </w:r>
            <w:r>
              <w:rPr>
                <w:b/>
                <w:i/>
              </w:rPr>
              <w:t>положат усилия по отношение на вътрешната</w:t>
            </w:r>
            <w:r>
              <w:t xml:space="preserve"> комуникация</w:t>
            </w:r>
            <w:r>
              <w:rPr>
                <w:b/>
                <w:i/>
              </w:rPr>
              <w:t>, ангажираността с осведомеността относно риска</w:t>
            </w:r>
            <w:r>
              <w:t xml:space="preserve"> и модернизирането на системите за управление на документи и информация, наред с другото; отбелязва освен това, че през 2024 г. Комитетът прие преразгледано решение за опростяване на 23 вида проверки, приложимо от януари 2025 г.; приветства въз основа на въпросника факта, че последващите проверки, вече извършени във връзка с тези проверки, потвърдиха, че опростяването не води до допълнителни рискове;</w:t>
            </w:r>
          </w:p>
        </w:tc>
        <w:tc>
          <w:tcPr>
            <w:tcW w:w="4876" w:type="dxa"/>
            <w:tcBorders>
              <w:top w:val="nil"/>
              <w:left w:val="nil"/>
              <w:bottom w:val="nil"/>
              <w:right w:val="nil"/>
            </w:tcBorders>
          </w:tcPr>
          <w:p>
            <w:pPr>
              <w:pStyle w:val="Normal6a"/>
            </w:pPr>
            <w:r>
              <w:t>19.</w:t>
            </w:r>
            <w:r>
              <w:tab/>
            </w:r>
            <w:r>
              <w:t xml:space="preserve">отбелязва по отношение на проверката на съответствието за 2024 г. висока степен на съответствие, като средната стойност беше 85 (87% през 2023 г.); изразява съжаление, че ефективността на системата за вътрешен контрол спадна от 78 на 66%; отбелязва в този контекст разминаването между формалното съответствие и практическата ефективност в ежедневните операции; </w:t>
            </w:r>
            <w:r>
              <w:rPr>
                <w:b/>
                <w:i/>
              </w:rPr>
              <w:t>призовава Комитета</w:t>
            </w:r>
            <w:r>
              <w:t xml:space="preserve"> да се </w:t>
            </w:r>
            <w:r>
              <w:rPr>
                <w:b/>
                <w:i/>
              </w:rPr>
              <w:t>справи със структурните причини за намаляването на ефективността на вътрешния контрол, по-специално чрез укрепване на културата на осведоменост за риска, подобряване на каналите за вътрешна</w:t>
            </w:r>
            <w:r>
              <w:t xml:space="preserve"> комуникация и </w:t>
            </w:r>
            <w:r>
              <w:rPr>
                <w:b/>
                <w:i/>
              </w:rPr>
              <w:t>ускоряване на</w:t>
            </w:r>
            <w:r>
              <w:t xml:space="preserve"> модернизирането на системите за управление на документи и информация, наред с другото; отбелязва освен това, че през 2024 г. Комитетът прие преразгледано решение за опростяване на 23 вида проверки, приложимо от януари 2025 г.; приветства въз основа на въпросника факта, че последващите проверки, вече извършени във връзка с тези проверки, потвърдиха, че опростяването не води до допълнителни рискове;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отбелязва по отношение на проверката на съответствието за 2024 г. висока степен на съответствие, като средната стойност беше </w:t>
            </w:r>
            <w:r>
              <w:rPr>
                <w:b/>
                <w:i/>
              </w:rPr>
              <w:t>85</w:t>
            </w:r>
            <w:r>
              <w:t xml:space="preserve"> (87% през 2023 г.); изразява съжаление, че ефективността на системата за вътрешен контрол спадна от 78 на 66%; отбелязва в този контекст разминаването между формалното съответствие и практическата ефективност в ежедневните операции; отбелязва, че трябва да се положат усилия по отношение на вътрешната комуникация, ангажираността с осведомеността относно риска и модернизирането на системите за управление на документи и информация, наред с другото; отбелязва освен това, че през 2024 г. Комитетът прие преразгледано решение за опростяване на 23 вида проверки, приложимо от януари 2025 г.; приветства въз основа на въпросника факта, че последващите проверки, вече извършени във връзка с тези проверки, потвърдиха, че опростяването не води до допълнителни рискове;</w:t>
            </w:r>
          </w:p>
        </w:tc>
        <w:tc>
          <w:tcPr>
            <w:tcW w:w="4876" w:type="dxa"/>
            <w:tcBorders>
              <w:top w:val="nil"/>
              <w:left w:val="nil"/>
              <w:bottom w:val="nil"/>
              <w:right w:val="nil"/>
            </w:tcBorders>
          </w:tcPr>
          <w:p>
            <w:pPr>
              <w:pStyle w:val="Normal6a"/>
            </w:pPr>
            <w:r>
              <w:t>19.</w:t>
            </w:r>
            <w:r>
              <w:tab/>
            </w:r>
            <w:r>
              <w:t xml:space="preserve">отбелязва по отношение на проверката на съответствието за 2024 г. висока степен на съответствие, като средната стойност беше </w:t>
            </w:r>
            <w:r>
              <w:rPr>
                <w:b/>
                <w:i/>
              </w:rPr>
              <w:t>85%</w:t>
            </w:r>
            <w:r>
              <w:t xml:space="preserve"> (87% през 2023 г.); изразява съжаление, че ефективността на системата за вътрешен контрол спадна от 78 на 66%; отбелязва в този контекст разминаването между формалното съответствие и практическата ефективност в ежедневните операции; отбелязва, че трябва да се положат усилия по отношение на вътрешната комуникация, ангажираността с осведомеността относно риска и модернизирането на системите за управление на документи и информация, наред с другото; отбелязва освен това, че през 2024 г. Комитетът прие преразгледано решение за опростяване на 23 вида проверки, приложимо от януари 2025 г.; приветства въз основа на въпросника факта, че последващите проверки, вече извършени във връзка с тези проверки, потвърдиха, че опростяването не води до допълнителни рискове;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отбелязва годишния отчет за дейността на Комитета за 2024 г. („доклада на Комитета“), съгласно който през 2024 г. бяха извършени пет нови одита относно надбавката за продължителност и разстояние, управлението на риска, исканията за консултация, ключовите показатели за дейността и изпълнението и пътните разноски, които доведоха до общо 14 препоръки; отбелязва по-специално констатациите на вътрешния одитор по отношение на надбавките за продължителност и разстояние, например липсата на ясно определение за „обичайно местопребиваване“ и липсата на изисквания за подкрепяща документация; отбелязва освен това, че 13 от препоръките останаха неизпълнени в края на януари 2025 г.; отбелязва освен това, че седем препоръки от предишни одити все още не са изпълнени, по-специално по отношение на етиката и почтеността, сроковете за плащане, разрешенията за заседания, делегатите на Консултативната комисия по индустриални промени (CCMI) и стратегическия цикъл; приветства в този контекст факта, че Комитетът прие нови правила относно разрешенията за заседания, надбавките и възстановяването на разходи; приканва Комитета да продължи да информира редовно органа по освобождаване от отговорност за напредъка, постигнат в изпълнението на всички все още неизпълнени препоръки;</w:t>
            </w:r>
          </w:p>
        </w:tc>
        <w:tc>
          <w:tcPr>
            <w:tcW w:w="4876" w:type="dxa"/>
            <w:tcBorders>
              <w:top w:val="nil"/>
              <w:left w:val="nil"/>
              <w:bottom w:val="nil"/>
              <w:right w:val="nil"/>
            </w:tcBorders>
          </w:tcPr>
          <w:p>
            <w:pPr>
              <w:pStyle w:val="Normal6a"/>
            </w:pPr>
            <w:r>
              <w:t>20.</w:t>
            </w:r>
            <w:r>
              <w:tab/>
            </w:r>
            <w:r>
              <w:t xml:space="preserve">отбелязва годишния отчет за дейността на Комитета за 2024 г. („доклада на Комитета“), съгласно който през 2024 г. бяха извършени пет нови одита относно надбавката за продължителност и разстояние, управлението на риска, исканията за консултация, ключовите показатели за дейността и изпълнението и пътните разноски, които доведоха до общо 14 препоръки; отбелязва по-специално констатациите на вътрешния одитор по отношение на надбавките за продължителност и разстояние, например липсата на ясно определение за „обичайно местопребиваване“ и липсата на изисквания за подкрепяща документация; отбелязва освен това, че 13 от препоръките останаха неизпълнени в края на януари 2025 г.; отбелязва освен това, че седем препоръки от предишни одити все още не са изпълнени, по-специално по отношение на етиката и почтеността, сроковете за плащане, разрешенията за заседания, делегатите на Консултативната комисия по индустриални промени (CCMI) и стратегическия цикъл; приветства в този контекст факта, че Комитетът прие нови правила относно разрешенията за заседания, надбавките и възстановяването на разходи; приканва Комитета да </w:t>
            </w:r>
            <w:r>
              <w:rPr>
                <w:b/>
                <w:i/>
              </w:rPr>
              <w:t>гарантира бързото приключване на всички неизпълнени одитни препоръки, особено тези, свързани с надбавките, етиката и почтеността, и да</w:t>
            </w:r>
            <w:r>
              <w:t xml:space="preserve"> продължи да информира редовно органа по освобождаване от отговорност за напредъка, постигнат в изпълнението на всички все още неизпълнени препоръки;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20а.</w:t>
            </w:r>
            <w:r>
              <w:tab/>
            </w:r>
            <w:r>
              <w:rPr>
                <w:b/>
                <w:i/>
              </w:rPr>
              <w:t>подчертава значението на обществените поръчки като инструмент за постигане на напредък по целите на политиката, включително социалните и екологичните цели;</w:t>
            </w:r>
            <w:r>
              <w:t xml:space="preserve"> </w:t>
            </w:r>
            <w:r>
              <w:rPr>
                <w:b/>
                <w:i/>
              </w:rPr>
              <w:t>призовава Комитета да засили включването на стратегически критерии за социална отговорност и екологична устойчивост в своите процедури за възлагане на обществени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отбелязва, че в края на 2024 г. Комитетът има общо 713 служители (в сравнение със 707 през 2023 г.); отбелязва освен това, че през 2024 г. бяха наети 48 договорно наети служители и 144 срочно наети служители (от които 42 назначени през 2024 г.) (в сравнение с 49 договорно наети служители и 130 срочно наети служители през 2023 г.); подчертава, че е важно да се осигурят безсрочни трудови договори с цел поддържането на умения, приемственост и продуктивна работна среда; отбелязва освен това, че Комитетът има 10 доставчици на услуги и 14 души външен персонал, работещ на място, с изключение на служителите в областта на кетъринга, поддръжката, сигурността и безопасността; отбелязва, че през 2024 г. степента на заемане на длъжностите беше 96% (95,50% през 2023 г.) и че текучеството на персонала беше 5,60% (спад спрямо 7% през 2023 г.);</w:t>
            </w:r>
          </w:p>
        </w:tc>
        <w:tc>
          <w:tcPr>
            <w:tcW w:w="4876" w:type="dxa"/>
            <w:tcBorders>
              <w:top w:val="nil"/>
              <w:left w:val="nil"/>
              <w:bottom w:val="nil"/>
              <w:right w:val="nil"/>
            </w:tcBorders>
          </w:tcPr>
          <w:p>
            <w:pPr>
              <w:pStyle w:val="Normal6a"/>
            </w:pPr>
            <w:r>
              <w:t>21.</w:t>
            </w:r>
            <w:r>
              <w:tab/>
            </w:r>
            <w:r>
              <w:t xml:space="preserve">отбелязва, че в края на 2024 г. Комитетът има общо 713 служители (в сравнение със 707 през 2023 г.); отбелязва освен това, че през 2024 г. бяха наети 48 договорно наети служители и 144 срочно наети служители (от които 42 назначени през 2024 г.) (в сравнение с 49 договорно наети служители и 130 срочно наети служители през 2023 г.); подчертава, че е важно да се осигурят безсрочни трудови договори с цел поддържането на умения, приемственост и продуктивна </w:t>
            </w:r>
            <w:r>
              <w:rPr>
                <w:b/>
                <w:i/>
              </w:rPr>
              <w:t>и стабилна</w:t>
            </w:r>
            <w:r>
              <w:t xml:space="preserve"> работна среда</w:t>
            </w:r>
            <w:r>
              <w:rPr>
                <w:b/>
                <w:i/>
              </w:rPr>
              <w:t>, и предупреждава да не се разчита прекомерно на външни доставчици на услуги</w:t>
            </w:r>
            <w:r>
              <w:t>; отбелязва освен това, че Комитетът има 10 доставчици на услуги и 14 души външен персонал, работещ на място, с изключение на служителите в областта на кетъринга, поддръжката, сигурността и безопасността; отбелязва, че през 2024 г. степента на заемане на длъжностите беше 96% (95,50% през 2023 г.) и че текучеството на персонала беше 5,60% (спад спрямо 7% през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Дик Ериксон,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отбелязва, че през 2024 г. всички националности на ЕС бяха представени сред служителите на Комитета, като някои бяха свръхпредставени; отбелязва, че 62,70% от служителите бяха жени, а 37,30% – мъже; отбелязва въз основа на доклада за последващите действия, че жените заемат 52% от ръководните длъжности, което прави Комитета лидер в това отношение; изразява съжаление обаче, че процентът на жените на висши ръководни длъжности остана нисък през 2024 г., като само две от седемте висши ръководни длъжности понастоящем се заемат от жени – както през 2023 г.; </w:t>
            </w:r>
            <w:r>
              <w:rPr>
                <w:b/>
                <w:i/>
              </w:rPr>
              <w:t>признава, че ниското текучество – спрямо размера на Комитета – е една от причините за ниския дял на жените на тези длъжности;</w:t>
            </w:r>
            <w:r>
              <w:t xml:space="preserve"> </w:t>
            </w:r>
            <w:r>
              <w:rPr>
                <w:b/>
                <w:i/>
              </w:rPr>
              <w:t>приветства ангажимента на Комитета за повишаване на осведомеността по този въпрос сред органите по назначаването, за насърчаване на балансирани по отношение на половете назначения и за участие в целенасочени действия чрез Форума на жените и Форума за управлението, които подкрепят развитието на лидерството и кариерата на жените на средни ръководни длъжности;</w:t>
            </w:r>
          </w:p>
        </w:tc>
        <w:tc>
          <w:tcPr>
            <w:tcW w:w="4876" w:type="dxa"/>
            <w:tcBorders>
              <w:top w:val="nil"/>
              <w:left w:val="nil"/>
              <w:bottom w:val="nil"/>
              <w:right w:val="nil"/>
            </w:tcBorders>
          </w:tcPr>
          <w:p>
            <w:pPr>
              <w:pStyle w:val="Normal6a"/>
            </w:pPr>
            <w:r>
              <w:t>24.</w:t>
            </w:r>
            <w:r>
              <w:tab/>
            </w:r>
            <w:r>
              <w:t>отбелязва, че през 2024 г. всички националности на ЕС бяха представени сред служителите на Комитета, като някои бяха свръхпредставени; отбелязва, че 62,70% от служителите бяха жени, а 37,30% – мъже; отбелязва въз основа на доклада за последващите действия, че жените заемат 52% от ръководните длъжности, което прави Комитета лидер в това отношение; изразява съжаление обаче, че процентът на жените на висши ръководни длъжности остана нисък през 2024 г., като само две от седемте висши ръководни длъжности понастоящем се заемат от жени – както през 2023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през 2024 г. всички националности на ЕС бяха представени сред служителите на Комитета, като някои бяха свръхпредставени; отбелязва, че 62,70% от служителите бяха жени, а 37,30% – мъже; отбелязва въз основа на доклада за последващите действия, че жените заемат 52% от ръководните длъжности, което прави Комитета лидер в това отношение; изразява съжаление обаче, че процентът на жените на висши ръководни длъжности остана нисък през 2024 г., като само две от седемте висши ръководни длъжности понастоящем се заемат от жени – както през 2023 г.; признава, че ниското текучество – спрямо размера на Комитета – е една от причините за ниския дял на жените на тези длъжности; приветства ангажимента на Комитета за повишаване на осведомеността по този въпрос сред органите по назначаването, за насърчаване на балансирани по отношение на половете назначения и за участие в целенасочени действия чрез Форума на жените и Форума за управлението, които подкрепят развитието на лидерството и кариерата на жените на средни ръководни длъжности;</w:t>
            </w:r>
          </w:p>
        </w:tc>
        <w:tc>
          <w:tcPr>
            <w:tcW w:w="4876" w:type="dxa"/>
            <w:tcBorders>
              <w:top w:val="nil"/>
              <w:left w:val="nil"/>
              <w:bottom w:val="nil"/>
              <w:right w:val="nil"/>
            </w:tcBorders>
          </w:tcPr>
          <w:p>
            <w:pPr>
              <w:pStyle w:val="Normal6a"/>
            </w:pPr>
            <w:r>
              <w:t>24.</w:t>
            </w:r>
            <w:r>
              <w:tab/>
            </w:r>
            <w:r>
              <w:t xml:space="preserve">отбелязва, че през 2024 г. всички националности на ЕС бяха представени сред служителите на Комитета, като някои бяха свръхпредставени; отбелязва, че 62,70% от служителите бяха жени, а 37,30% – мъже; отбелязва въз основа на доклада за последващите действия, че жените заемат 52% от ръководните длъжности, което прави Комитета лидер в това отношение; изразява съжаление обаче, че процентът на жените на висши ръководни длъжности остана нисък през 2024 г., като само две от седемте висши ръководни длъжности понастоящем се заемат от жени – както през 2023 г.; признава </w:t>
            </w:r>
            <w:r>
              <w:rPr>
                <w:b/>
                <w:i/>
              </w:rPr>
              <w:t>неотдавнашния напредък в интегрирането на равенството между половете и многообразието като стратегически приоритети за насърчаване на приобщаваща и зачитаща достойнството култура на работното място;</w:t>
            </w:r>
            <w:r>
              <w:t xml:space="preserve"> </w:t>
            </w:r>
            <w:r>
              <w:rPr>
                <w:b/>
                <w:i/>
              </w:rPr>
              <w:t>приветства изпълнението на стратегията и плана за действие за многообразие и приобщаване, наред с целенасочените програми за наставничество и развитие на лидерството за жените и по-слабо представените групи;</w:t>
            </w:r>
            <w:r>
              <w:t xml:space="preserve"> </w:t>
            </w:r>
            <w:r>
              <w:rPr>
                <w:b/>
                <w:i/>
              </w:rPr>
              <w:t>признава</w:t>
            </w:r>
            <w:r>
              <w:t>, че ниското текучество – спрямо размера на Комитета – е една от причините за ниския дял на жените на тези длъжности; приветства ангажимента на Комитета за повишаване на осведомеността по този въпрос сред органите по назначаването, за насърчаване на балансирани по отношение на половете назначения и за участие в целенасочени действия чрез Форума на жените и Форума за управлението, които подкрепят развитието на лидерството и кариерата на жените на средни ръководни длъжности;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през 2024 г. всички националности на ЕС бяха представени сред служителите на Комитета, като някои бяха свръхпредставени; отбелязва, че 62,70% от служителите бяха жени, а 37,30% – мъже; отбелязва въз основа на доклада за последващите действия, че жените заемат 52% от ръководните длъжности, което прави Комитета лидер в това отношение; изразява съжаление обаче, че процентът на жените на висши ръководни длъжности остана нисък през 2024 г., като само две от седемте висши ръководни длъжности понастоящем се заемат от жени – както през 2023 г.; признава, че ниското текучество – спрямо размера на Комитета – е една от причините за ниския дял на жените на тези длъжности; приветства ангажимента на Комитета за повишаване на осведомеността по този въпрос сред органите по назначаването, за насърчаване на балансирани по отношение на половете назначения и за участие в целенасочени действия чрез Форума на жените и Форума за управлението, които подкрепят развитието на лидерството и кариерата на жените на средни ръководни длъжности;</w:t>
            </w:r>
          </w:p>
        </w:tc>
        <w:tc>
          <w:tcPr>
            <w:tcW w:w="4876" w:type="dxa"/>
            <w:tcBorders>
              <w:top w:val="nil"/>
              <w:left w:val="nil"/>
              <w:bottom w:val="nil"/>
              <w:right w:val="nil"/>
            </w:tcBorders>
          </w:tcPr>
          <w:p>
            <w:pPr>
              <w:pStyle w:val="Normal6a"/>
            </w:pPr>
            <w:r>
              <w:t>24.</w:t>
            </w:r>
            <w:r>
              <w:tab/>
            </w:r>
            <w:r>
              <w:t xml:space="preserve">отбелязва, че през 2024 г. всички националности на ЕС бяха представени сред служителите на Комитета, като някои бяха свръхпредставени; отбелязва, че 62,70% от служителите бяха жени, а 37,30% – мъже; отбелязва </w:t>
            </w:r>
            <w:r>
              <w:rPr>
                <w:b/>
                <w:i/>
              </w:rPr>
              <w:t>със задоволство</w:t>
            </w:r>
            <w:r>
              <w:t xml:space="preserve"> въз основа на доклада за последващите действия, че жените заемат 52% от ръководните длъжности, което прави Комитета лидер в това отношение</w:t>
            </w:r>
            <w:r>
              <w:rPr>
                <w:b/>
                <w:i/>
              </w:rPr>
              <w:t>;</w:t>
            </w:r>
            <w:r>
              <w:t xml:space="preserve"> </w:t>
            </w:r>
            <w:r>
              <w:rPr>
                <w:b/>
                <w:i/>
              </w:rPr>
              <w:t>отново приветства назначаването на жена генерален секретар през януари 2024 г. като положителна стъпка към постигане на баланс между половете</w:t>
            </w:r>
            <w:r>
              <w:t>; изразява съжаление обаче, че процентът на жените на висши ръководни длъжности остана нисък през 2024 г., като само две от седемте висши ръководни длъжности понастоящем се заемат от жени – както през 2023 г.; признава, че ниското текучество – спрямо размера на Комитета – е една от причините за ниския дял на жените на тези длъжности; приветства ангажимента на Комитета за повишаване на осведомеността по този въпрос сред органите по назначаването, за насърчаване на балансирани по отношение на половете назначения и за участие в целенасочени действия чрез Форума на жените и Форума за управлението, които подкрепят развитието на лидерството и кариерата на жените на средни ръководни длъжности;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припомня инициативата на Комитета да въведе нов подход към стратегическото планиране на работната сила и разпределението на персонала, като използва събиране на данни за уменията на персонала, активно изслушване в цялата организация и размисъл относно стратегическите приоритети от политическите органи на Комитета; отбелязва въз основа на доклада за последващите действия, че този нов вид планиране ще започне чрез пилотен проект в ограничен брой услуги, подбрани въз основа на стратегически приоритети; приканва Комитета да информира редовно органа по освобождаване от отговорност за напредъка и последващите развития;</w:t>
            </w:r>
          </w:p>
        </w:tc>
        <w:tc>
          <w:tcPr>
            <w:tcW w:w="4876" w:type="dxa"/>
            <w:tcBorders>
              <w:top w:val="nil"/>
              <w:left w:val="nil"/>
              <w:bottom w:val="nil"/>
              <w:right w:val="nil"/>
            </w:tcBorders>
          </w:tcPr>
          <w:p>
            <w:pPr>
              <w:pStyle w:val="Normal6a"/>
            </w:pPr>
            <w:r>
              <w:t>25.</w:t>
            </w:r>
            <w:r>
              <w:tab/>
            </w:r>
            <w:r>
              <w:t xml:space="preserve">припомня инициативата на Комитета да въведе нов подход към стратегическото планиране на работната сила и разпределението на персонала, като използва събиране на данни за уменията на персонала, активно изслушване в цялата организация и размисъл относно стратегическите приоритети от политическите органи на Комитета; отбелязва въз основа на доклада за последващите действия, че този нов вид планиране ще започне чрез пилотен проект в ограничен брой услуги, подбрани въз основа на стратегически приоритети; приканва Комитета да информира редовно органа по освобождаване от отговорност за напредъка и последващите развития; </w:t>
            </w:r>
            <w:r>
              <w:rPr>
                <w:b/>
                <w:i/>
              </w:rPr>
              <w:t>подчертава, че стратегическото планиране на работната сила е важно, за да се оптимизира разпределението на ресурсите и да се гарантира съответствие с приоритетите на високо равнище;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приветства усилията на Комитета за създаване на здравословна работна среда за своите служители; приветства по-специално вниманието, което Комитетът обръща на психичното и физическото здраве на персонала, и усилията, полагани за повишаване на осведомеността по въпроси, свързани със здравето; отбелязва мерките на Комитета за управление на отпуските по болест, например работа на непълно работно време по медицински причини и разширена дистанционна работа, за да се гарантира, че служителите, които отсъстват дългосрочно поради болест, се връщат навреме на работа; отбелязва намаляване със 7,50% на общия брой регистрирани дни на отпуск по болест от </w:t>
            </w:r>
            <w:r>
              <w:rPr>
                <w:b/>
                <w:i/>
              </w:rPr>
              <w:t>10 552</w:t>
            </w:r>
            <w:r>
              <w:t xml:space="preserve"> дни през 2023 г. на </w:t>
            </w:r>
            <w:r>
              <w:rPr>
                <w:b/>
                <w:i/>
              </w:rPr>
              <w:t>9 763</w:t>
            </w:r>
            <w:r>
              <w:t xml:space="preserve"> през 2024 г., както и намаляване на процента на отсъствията от 4,08% през 2023 г. на 3,75% през 2023 г. (най-ниското равнище от 2021 г. насам); изразява съжаление, че Комитетът отново не беше в състояние да предостави данни за случаите на професионално изчерпване; отбелязва сред аргументите на Комитета, че служителите не са длъжни предварително да споделят медицински данни, че професионалното изчерпване не е призната медицинска диагноза, че причините за професионалното изчерпване може да не са свързани с работата, а също и медицинската тайна; отбелязва, че Комитетът събира анонимизирани статистически данни за случаи на проблеми с психичното здраве, но наличните данни не позволяват да се направи разграничение между свързаното с работата професионално изчерпване и други проблеми, които не са свързани с работата; въпреки това подчертава, че професионалното изчерпване може да се измерва и без медицински данни, тъй като съществуват инструменти за оценка на свързаното с работата професионално изчерпване, които могат да се използват, и че Европейската агенция за безопасност и здраве при работа (EU-OSHA) подкрепя анонимни въпросници за измерване на свързания с работата стрес и факторите за професионално изчерпване отделно от несвързаните с работата проблеми, свързани с психичното здраве; настоятелно призовава Комитета да се консултира и с Европейския надзорен орган по защита на данните (ЕНОЗД) относно събирането на данни за професионалното изчерпване чрез медицински или немедицински инструменти, както и да информира органа по освобождаване от отговорност за последващите действия;</w:t>
            </w:r>
          </w:p>
        </w:tc>
        <w:tc>
          <w:tcPr>
            <w:tcW w:w="4876" w:type="dxa"/>
            <w:tcBorders>
              <w:top w:val="nil"/>
              <w:left w:val="nil"/>
              <w:bottom w:val="nil"/>
              <w:right w:val="nil"/>
            </w:tcBorders>
          </w:tcPr>
          <w:p>
            <w:pPr>
              <w:pStyle w:val="Normal6a"/>
            </w:pPr>
            <w:r>
              <w:t>26.</w:t>
            </w:r>
            <w:r>
              <w:tab/>
            </w:r>
            <w:r>
              <w:t xml:space="preserve">приветства усилията на Комитета за създаване на здравословна работна среда за своите служители; приветства по-специално вниманието, което Комитетът обръща на психичното и физическото здраве на персонала, и усилията, полагани за повишаване на осведомеността по въпроси, свързани със здравето; отбелязва мерките на Комитета за управление на отпуските по болест, например работа на непълно работно време по медицински причини и разширена дистанционна работа, за да се гарантира, че служителите, които отсъстват дългосрочно поради болест, се връщат навреме на работа; отбелязва намаляване със 7,50% на общия брой регистрирани дни на отпуск по болест от </w:t>
            </w:r>
            <w:r>
              <w:rPr>
                <w:b/>
                <w:i/>
              </w:rPr>
              <w:t>10 552</w:t>
            </w:r>
            <w:r>
              <w:t xml:space="preserve"> дни през 2023 г. на </w:t>
            </w:r>
            <w:r>
              <w:rPr>
                <w:b/>
                <w:i/>
              </w:rPr>
              <w:t>9 763</w:t>
            </w:r>
            <w:r>
              <w:t xml:space="preserve"> през 2024 г., както и намаляване на процента на отсъствията от 4,08% през 2023 г. на 3,75% през 2023 г. (най-ниското равнище от 2021 г. насам); изразява съжаление, че Комитетът отново не беше в състояние да предостави данни за случаите на професионално изчерпване; отбелязва сред аргументите на Комитета, че служителите не са длъжни предварително да споделят медицински данни, че професионалното изчерпване не е призната медицинска диагноза, че причините за професионалното изчерпване може да не са свързани с работата, а също и медицинската тайна; отбелязва, че Комитетът събира анонимизирани статистически данни за случаи на проблеми с психичното здраве, но наличните данни не позволяват да се направи разграничение между свързаното с работата професионално изчерпване и други проблеми, които не са свързани с работата; въпреки това подчертава, че професионалното изчерпване може да се измерва и без медицински данни, тъй като съществуват инструменти за оценка на свързаното с работата професионално изчерпване, които могат да се използват, и че Европейската агенция за безопасност и здраве при работа (EU-OSHA) подкрепя анонимни въпросници за измерване на свързания с работата стрес и факторите за професионално изчерпване отделно от несвързаните с работата проблеми, свързани с психичното здраве; настоятелно призовава Комитета да се консултира и с Европейския надзорен орган по защита на данните (ЕНОЗД) относно събирането на данни за професионалното изчерпване чрез медицински или немедицински инструменти, </w:t>
            </w:r>
            <w:r>
              <w:rPr>
                <w:b/>
                <w:i/>
              </w:rPr>
              <w:t>да предприеме конкретни и решителни мерки, за да гарантира системното публикуване на данни относно случаите на професионално изчерпване,</w:t>
            </w:r>
            <w:r>
              <w:t xml:space="preserve"> както и да информира органа по освобождаване от отговорност за последващите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приветства силния и структуриран социален диалог в процесите на организационни промени през цялата 2024 г.;</w:t>
            </w:r>
            <w:r>
              <w:t xml:space="preserve"> </w:t>
            </w:r>
            <w:r>
              <w:rPr>
                <w:b/>
                <w:i/>
              </w:rPr>
              <w:t>насърчава Комитета да поддържа и допълнително да засили системното участие на представители на персонала в реформите, свързани, наред с другото, с цифровизацията, вътрешната реорганизация и новите методи на работа;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отбелязва въз основа на въпросника, че през 2024 г. бяха докладвани два случая на предполагаем тормоз, които бяха разследвани и приключени през 2025 г., като в единия случай не беше установено наличие на тормоз, а в другия засегнатото лице прие официално извинение за неподходящото поведение; отбелязва освен това, че беше взето решение по друг случай, внесен преди 2024 г., относно тормоз, свързан с дисциплинарна процедура; отбелязва освен това, че през 2024 г. не бяха докладвани случаи на сексуален тормоз;</w:t>
            </w:r>
          </w:p>
        </w:tc>
        <w:tc>
          <w:tcPr>
            <w:tcW w:w="4876" w:type="dxa"/>
            <w:tcBorders>
              <w:top w:val="nil"/>
              <w:left w:val="nil"/>
              <w:bottom w:val="nil"/>
              <w:right w:val="nil"/>
            </w:tcBorders>
          </w:tcPr>
          <w:p>
            <w:pPr>
              <w:pStyle w:val="Normal6a"/>
            </w:pPr>
            <w:r>
              <w:t>31.</w:t>
            </w:r>
            <w:r>
              <w:tab/>
            </w:r>
            <w:r>
              <w:t xml:space="preserve">отбелязва въз основа на въпросника, че през 2024 г. бяха докладвани два случая на предполагаем тормоз, които бяха разследвани и приключени през 2025 г., като в единия случай не беше установено наличие на тормоз, а в другия засегнатото лице прие официално извинение за неподходящото поведение; отбелязва освен това, че беше взето решение по друг случай, внесен преди 2024 г., относно тормоз, свързан с дисциплинарна процедура; отбелязва освен това, че през 2024 г. не бяха докладвани случаи на сексуален тормоз; </w:t>
            </w:r>
            <w:r>
              <w:rPr>
                <w:b/>
                <w:i/>
              </w:rPr>
              <w:t>отново изтъква необходимостта от политика на нулева толерантност към тормоза, за да се гарантира защитата на благосъстоянието на персонала, и припомня, че това е задължение на всеки работодател;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отбелязва, че Комитетът е лидер по отношение на прозрачността, тъй като е първият орган, освен първите подписали страни, който се присъедини към регистъра за прозрачност на Съюза; приветства мерките за прозрачност, приети от Комитета, включително препоръката членовете на Комитета да се срещат само с регистрирани заинтересовани страни, задължението на неговите членове да публикуват своите заседания онлайн и възможността докладчиците на Комитета да прилагат „законодателен отпечатък“ към своите становища, включително чрез пилотен проект, започнат през 2025 г.; отбелязва, че до момента становищата на Комитета се считат за ключови етапи в законодателните досиета в Инструмента за проследяване на законодателния процес в ЕС; отбелязва освен това със задоволство, въз основа на въпросника, действията на Комитета за прозрачност по отношение на основните му административни операции в области като финансите, обществените поръчки, човешките ресурси и достъпа до документи;</w:t>
            </w:r>
          </w:p>
        </w:tc>
        <w:tc>
          <w:tcPr>
            <w:tcW w:w="4876" w:type="dxa"/>
            <w:tcBorders>
              <w:top w:val="nil"/>
              <w:left w:val="nil"/>
              <w:bottom w:val="nil"/>
              <w:right w:val="nil"/>
            </w:tcBorders>
          </w:tcPr>
          <w:p>
            <w:pPr>
              <w:pStyle w:val="Normal6a"/>
            </w:pPr>
            <w:r>
              <w:t>33.</w:t>
            </w:r>
            <w:r>
              <w:tab/>
            </w:r>
            <w:r>
              <w:t xml:space="preserve">отбелязва </w:t>
            </w:r>
            <w:r>
              <w:rPr>
                <w:b/>
                <w:i/>
              </w:rPr>
              <w:t>със задоволство</w:t>
            </w:r>
            <w:r>
              <w:t>, че Комитетът е лидер по отношение на прозрачността, тъй като е първият орган, освен първите подписали страни, който се присъедини към регистъра за прозрачност на Съюза; приветства мерките за прозрачност, приети от Комитета, включително препоръката членовете на Комитета да се срещат само с регистрирани заинтересовани страни, задължението на неговите членове да публикуват своите заседания онлайн и възможността докладчиците на Комитета да прилагат „законодателен отпечатък“ към своите становища, включително чрез пилотен проект, започнат през 2025 г.; отбелязва, че до момента становищата на Комитета се считат за ключови етапи в законодателните досиета в Инструмента за проследяване на законодателния процес в ЕС; отбелязва освен това със задоволство, въз основа на въпросника, действията на Комитета за прозрачност по отношение на основните му административни операции в области като финансите, обществените поръчки, човешките ресурси и достъпа до документи;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отбелязва въз основа на въпросника, че Комитетът изготви стратегия за борба с измамите, която беше предмет на междуведомствени консултации и процес на приемане; приканва Комитета да информира органа по освобождаване от отговорност за последващите действия по този въпрос; приветства факта, че Комитетът организира две обучения, проведени от служителите на OLAF, относно осведомеността за измамите и предотвратяването им в обществените поръчки, като на тези обучения присъстваха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начините да докладват потенциални случаи на Европейската прокуратура;</w:t>
            </w:r>
          </w:p>
        </w:tc>
        <w:tc>
          <w:tcPr>
            <w:tcW w:w="4876" w:type="dxa"/>
            <w:tcBorders>
              <w:top w:val="nil"/>
              <w:left w:val="nil"/>
              <w:bottom w:val="nil"/>
              <w:right w:val="nil"/>
            </w:tcBorders>
          </w:tcPr>
          <w:p>
            <w:pPr>
              <w:pStyle w:val="Normal6a"/>
            </w:pPr>
            <w:r>
              <w:t>36.</w:t>
            </w:r>
            <w:r>
              <w:tab/>
            </w:r>
            <w:r>
              <w:t>отбелязва въз основа на въпросника, че Комитетът изготви стратегия за борба с измамите, която беше предмет на междуведомствени консултации и процес на приемане</w:t>
            </w:r>
            <w:r>
              <w:rPr>
                <w:b/>
                <w:i/>
              </w:rPr>
              <w:t>;</w:t>
            </w:r>
            <w:r>
              <w:t xml:space="preserve"> </w:t>
            </w:r>
            <w:r>
              <w:rPr>
                <w:b/>
                <w:i/>
              </w:rPr>
              <w:t>приветства придружаващия план за действие, в който се изброяват дванадесет конкретни мерки, които да бъдат приложени от четвъртото тримесечие на 2025 г. до четвъртото тримесечие на 2027 г., включително кампании за повишаване на осведомеността, политики за обучение, актуализиране на методиките за риск и вътрешен контрол, интегриране на автоматизирани инструменти за откриване на измами, преразгледани споразумения за сътрудничество с OLAF и Европейската прокуратура и актуализирани правила, уреждащи вътрешните разследвания</w:t>
            </w:r>
            <w:r>
              <w:t>; приканва Комитета да информира органа по освобождаване от отговорност за последващите действия по този въпрос; приветства факта, че Комитетът организира две обучения, проведени от служителите на OLAF, относно осведомеността за измамите и предотвратяването им в обществените поръчки, като на тези обучения присъстваха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начините да докладват потенциални случаи на Европейската прокуратура;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отбелязва въз основа на въпросника, че Комитетът изготви стратегия за борба с измамите, която беше предмет на междуведомствени консултации и процес на приемане; приканва Комитета да информира органа по освобождаване от отговорност за последващите действия по този въпрос; приветства факта, че Комитетът организира две обучения, проведени от служителите на OLAF, относно осведомеността за измамите и предотвратяването им в обществените поръчки, като на тези обучения присъстваха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начините да докладват потенциални случаи на Европейската прокуратура;</w:t>
            </w:r>
          </w:p>
        </w:tc>
        <w:tc>
          <w:tcPr>
            <w:tcW w:w="4876" w:type="dxa"/>
            <w:tcBorders>
              <w:top w:val="nil"/>
              <w:left w:val="nil"/>
              <w:bottom w:val="nil"/>
              <w:right w:val="nil"/>
            </w:tcBorders>
          </w:tcPr>
          <w:p>
            <w:pPr>
              <w:pStyle w:val="Normal6a"/>
            </w:pPr>
            <w:r>
              <w:t>36.</w:t>
            </w:r>
            <w:r>
              <w:tab/>
            </w:r>
            <w:r>
              <w:t xml:space="preserve">отбелязва </w:t>
            </w:r>
            <w:r>
              <w:rPr>
                <w:b/>
                <w:i/>
              </w:rPr>
              <w:t>със задоволство</w:t>
            </w:r>
            <w:r>
              <w:t xml:space="preserve"> въз основа на въпросника, че </w:t>
            </w:r>
            <w:r>
              <w:rPr>
                <w:b/>
                <w:i/>
              </w:rPr>
              <w:t>вследствие на предишни призиви от страна на Парламента</w:t>
            </w:r>
            <w:r>
              <w:t xml:space="preserve"> Комитетът изготви стратегия за борба с измамите, която беше предмет на междуведомствени консултации и процес на приемане</w:t>
            </w:r>
            <w:r>
              <w:rPr>
                <w:b/>
                <w:i/>
              </w:rPr>
              <w:t>;</w:t>
            </w:r>
            <w:r>
              <w:t xml:space="preserve"> </w:t>
            </w:r>
            <w:r>
              <w:rPr>
                <w:b/>
                <w:i/>
              </w:rPr>
              <w:t>настоятелно призовава Комитета да даде приоритет на приемането и прилагането на тази стратегия, включително оценка на риска, превенция, откриване и последващи мерки</w:t>
            </w:r>
            <w:r>
              <w:t>; приканва Комитета да информира органа по освобождаване от отговорност за последващите действия по този въпрос; приветства факта, че Комитетът организира две обучения, проведени от служителите на OLAF, относно осведомеността за измамите и предотвратяването им в обществените поръчки, като на тези обучения присъстваха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начините да докладват потенциални случаи на Европейската прокуратура;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отбелязва въз основа на въпросника, че Комитетът изготви стратегия за борба с измамите, която беше предмет на междуведомствени консултации и процес на приемане; приканва Комитета да информира органа по освобождаване от отговорност за последващите действия по този въпрос; приветства факта, че Комитетът организира две обучения, проведени от служителите на OLAF, относно осведомеността за измамите и предотвратяването им в обществените поръчки, като на тези обучения присъстваха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начините да докладват потенциални случаи на Европейската прокуратура;</w:t>
            </w:r>
          </w:p>
        </w:tc>
        <w:tc>
          <w:tcPr>
            <w:tcW w:w="4876" w:type="dxa"/>
            <w:tcBorders>
              <w:top w:val="nil"/>
              <w:left w:val="nil"/>
              <w:bottom w:val="nil"/>
              <w:right w:val="nil"/>
            </w:tcBorders>
          </w:tcPr>
          <w:p>
            <w:pPr>
              <w:pStyle w:val="Normal6a"/>
            </w:pPr>
            <w:r>
              <w:t>36.</w:t>
            </w:r>
            <w:r>
              <w:tab/>
            </w:r>
            <w:r>
              <w:t xml:space="preserve">отбелязва въз основа на въпросника, че Комитетът изготви стратегия за борба с измамите, която беше предмет на междуведомствени консултации и процес на приемане; приканва Комитета да информира органа по освобождаване от отговорност за последващите действия по този въпрос; приветства факта, че Комитетът организира две обучения, проведени от служителите на OLAF, относно осведомеността за измамите и предотвратяването им в обществените поръчки, като на тези обучения присъстваха 21 участници, и една сесия за повишаване на осведомеността, организирана съвместно с Европейската прокуратура, за да се запознаят служителите на Комитета с мандата на Европейската прокуратура и да им се предоставят насоки за начините да докладват потенциални случаи на Европейската прокуратура; </w:t>
            </w:r>
            <w:r>
              <w:rPr>
                <w:b/>
                <w:i/>
              </w:rPr>
              <w:t>препоръчва тази практика да бъде продължена;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отбелязва, че през 2022 г. общият бюджет за ИТ на Комитета и КР беше 13 700 000 EUR в сравнение с </w:t>
            </w:r>
            <w:r>
              <w:rPr>
                <w:b/>
                <w:i/>
              </w:rPr>
              <w:t>12 700 000</w:t>
            </w:r>
            <w:r>
              <w:t xml:space="preserve"> EUR през 2023 г., т.е. увеличение със 7,87%, като през 2024 г. 760 000 EUR от този бюджет (или приблизително 6% от него) бяха изплатени за киберсигурност; отбелязва въз основа на въпросника, че финансирането на проекти в областта на ИТ се увеличи със </w:t>
            </w:r>
            <w:r>
              <w:rPr>
                <w:b/>
                <w:i/>
              </w:rPr>
              <w:t>109 000</w:t>
            </w:r>
            <w:r>
              <w:t xml:space="preserve"> EUR в сравнение с 2023 г., което представлява увеличение с 4%, главно в подкрепа на програмата за работни места M365 и програмата за трансформация в областта на киберсигурността; отбелязва освен това, че разходите за оборудване нараснаха със </w:t>
            </w:r>
            <w:r>
              <w:rPr>
                <w:b/>
                <w:i/>
              </w:rPr>
              <w:t>117 000</w:t>
            </w:r>
            <w:r>
              <w:t xml:space="preserve"> EUR (т.е. увеличение с 20%), главно поради корекции на цените и стратегически инвестиции в инфраструктура за телефония; признава загрижеността на Комитета, че той страда от структурен недостиг на финансиране в областта на цифровизацията и киберсигурността; изразява съжаление в този контекст, че бюджетният орган не включи в бюджета на Съюза за 2026 г. сумата от </w:t>
            </w:r>
            <w:r>
              <w:rPr>
                <w:b/>
                <w:i/>
              </w:rPr>
              <w:t>1 176 000</w:t>
            </w:r>
            <w:r>
              <w:t xml:space="preserve"> EUR, необходима, за да може Комитетът (и КР) да извърши значително модернизиране на киберсигурността, като по този начин направи непостижима целта, посочена в Регламент (ЕС, Евратом) 2023/2841</w:t>
            </w:r>
            <w:r>
              <w:rPr>
                <w:vertAlign w:val="superscript"/>
              </w:rPr>
              <w:t>1</w:t>
            </w:r>
            <w:r>
              <w:t>, за заделяне на около 10% от общите си разходи за ИТ за киберсигурност;</w:t>
            </w:r>
          </w:p>
        </w:tc>
        <w:tc>
          <w:tcPr>
            <w:tcW w:w="4876" w:type="dxa"/>
            <w:tcBorders>
              <w:top w:val="nil"/>
              <w:left w:val="nil"/>
              <w:bottom w:val="nil"/>
              <w:right w:val="nil"/>
            </w:tcBorders>
          </w:tcPr>
          <w:p>
            <w:pPr>
              <w:pStyle w:val="Normal6a"/>
            </w:pPr>
            <w:r>
              <w:t>37.</w:t>
            </w:r>
            <w:r>
              <w:tab/>
            </w:r>
            <w:r>
              <w:t xml:space="preserve">отбелязва, че през 2022 г. общият бюджет за ИТ на Комитета и КР беше 13 700 000 EUR в сравнение с </w:t>
            </w:r>
            <w:r>
              <w:rPr>
                <w:b/>
                <w:i/>
              </w:rPr>
              <w:t>12 700 000</w:t>
            </w:r>
            <w:r>
              <w:t xml:space="preserve"> EUR през 2023 г., т.е. увеличение със 7,87%, като през 2024 г. 760 000 EUR от този бюджет (или приблизително 6% от него) бяха изплатени за киберсигурност; отбелязва въз основа на въпросника, че финансирането на проекти в областта на ИТ се увеличи със </w:t>
            </w:r>
            <w:r>
              <w:rPr>
                <w:b/>
                <w:i/>
              </w:rPr>
              <w:t>109 000</w:t>
            </w:r>
            <w:r>
              <w:t xml:space="preserve"> EUR в сравнение с 2023 г., което представлява увеличение с 4%, главно в подкрепа на програмата за работни места M365 и програмата за трансформация в областта на киберсигурността; отбелязва освен това, че разходите за оборудване нараснаха със </w:t>
            </w:r>
            <w:r>
              <w:rPr>
                <w:b/>
                <w:i/>
              </w:rPr>
              <w:t>117 000</w:t>
            </w:r>
            <w:r>
              <w:t> EUR (т.е. увеличение с 20%), главно поради корекции на цените и стратегически инвестиции в инфраструктура за телефония; признава загрижеността на Комитета, че той страда от структурен недостиг на финансиране в областта на цифровизацията и киберсигурността</w:t>
            </w:r>
            <w:r>
              <w:rPr>
                <w:b/>
                <w:i/>
              </w:rPr>
              <w:t>, и предупреждава, че трайният недостиг на инвестиции в киберсигурността представлява структурен риск за почтеността на институциите на ЕС</w:t>
            </w:r>
            <w:r>
              <w:t xml:space="preserve">; изразява съжаление в този контекст, че бюджетният орган не включи в бюджета на Съюза за 2026 г. сумата от </w:t>
            </w:r>
            <w:r>
              <w:rPr>
                <w:b/>
                <w:i/>
              </w:rPr>
              <w:t>1 176 000</w:t>
            </w:r>
            <w:r>
              <w:t> EUR, необходима, за да може Комитетът (и КР) да извърши значително модернизиране на киберсигурността, като по този начин направи непостижима целта, посочена в Регламент (ЕС, Евратом) 2023/2841</w:t>
            </w:r>
            <w:r>
              <w:rPr>
                <w:vertAlign w:val="superscript"/>
              </w:rPr>
              <w:t>1</w:t>
            </w:r>
            <w:r>
              <w:t>, за заделяне на около 10% от общите си разходи за ИТ за киберсигурност;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w:t>
            </w:r>
            <w:r>
              <w:rPr>
                <w:b/>
                <w:i/>
              </w:rPr>
              <w:t>г.</w:t>
            </w:r>
            <w:r>
              <w:t>,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отбелязва, че през </w:t>
            </w:r>
            <w:r>
              <w:rPr>
                <w:b/>
                <w:i/>
              </w:rPr>
              <w:t>2022</w:t>
            </w:r>
            <w:r>
              <w:t xml:space="preserve"> г. общият бюджет за ИТ на Комитета и КР беше 13 700 000 EUR в сравнение с </w:t>
            </w:r>
            <w:r>
              <w:rPr>
                <w:b/>
                <w:i/>
              </w:rPr>
              <w:t>12 700 000</w:t>
            </w:r>
            <w:r>
              <w:t xml:space="preserve"> EUR през 2023 г., т.е. увеличение със 7,87%, като през 2024 г. 760 000 EUR от този бюджет (или приблизително 6% от него) бяха изплатени за киберсигурност; отбелязва въз основа на въпросника, че финансирането на проекти в областта на ИТ се увеличи със </w:t>
            </w:r>
            <w:r>
              <w:rPr>
                <w:b/>
                <w:i/>
              </w:rPr>
              <w:t>109 000</w:t>
            </w:r>
            <w:r>
              <w:t xml:space="preserve"> EUR в сравнение с 2023 г., което представлява увеличение с 4%, главно в подкрепа на програмата за работни места M365 и програмата за трансформация в областта на киберсигурността; отбелязва освен това, че разходите за оборудване нараснаха със </w:t>
            </w:r>
            <w:r>
              <w:rPr>
                <w:b/>
                <w:i/>
              </w:rPr>
              <w:t>117 000</w:t>
            </w:r>
            <w:r>
              <w:t xml:space="preserve"> EUR (т.е. увеличение с 20%), главно поради корекции на цените и стратегически инвестиции в инфраструктура за телефония; признава загрижеността на Комитета, че той страда от структурен недостиг на финансиране в областта на цифровизацията и киберсигурността; изразява съжаление в този контекст, че бюджетният орган не включи в бюджета на Съюза за 2026 г. сумата от </w:t>
            </w:r>
            <w:r>
              <w:rPr>
                <w:b/>
                <w:i/>
              </w:rPr>
              <w:t>1 176 000</w:t>
            </w:r>
            <w:r>
              <w:t xml:space="preserve"> EUR, необходима, за да може Комитетът (и КР) да извърши значително модернизиране на киберсигурността, като по този начин направи непостижима целта, посочена в Регламент (ЕС, Евратом) 2023/2841</w:t>
            </w:r>
            <w:r>
              <w:rPr>
                <w:vertAlign w:val="superscript"/>
              </w:rPr>
              <w:t>1</w:t>
            </w:r>
            <w:r>
              <w:rPr>
                <w:b/>
                <w:i/>
              </w:rPr>
              <w:t>,</w:t>
            </w:r>
            <w:r>
              <w:t xml:space="preserve"> за заделяне на около 10% от общите си разходи за ИТ за киберсигурност;</w:t>
            </w:r>
          </w:p>
        </w:tc>
        <w:tc>
          <w:tcPr>
            <w:tcW w:w="4876" w:type="dxa"/>
            <w:tcBorders>
              <w:top w:val="nil"/>
              <w:left w:val="nil"/>
              <w:bottom w:val="nil"/>
              <w:right w:val="nil"/>
            </w:tcBorders>
          </w:tcPr>
          <w:p>
            <w:pPr>
              <w:pStyle w:val="Normal6a"/>
            </w:pPr>
            <w:r>
              <w:t>37.</w:t>
            </w:r>
            <w:r>
              <w:tab/>
            </w:r>
            <w:r>
              <w:t xml:space="preserve">отбелязва, че през </w:t>
            </w:r>
            <w:r>
              <w:rPr>
                <w:b/>
                <w:i/>
              </w:rPr>
              <w:t>2024</w:t>
            </w:r>
            <w:r>
              <w:t xml:space="preserve"> г. общият бюджет за ИТ на Комитета и КР беше 13 700 000 EUR в сравнение с </w:t>
            </w:r>
            <w:r>
              <w:rPr>
                <w:b/>
                <w:i/>
              </w:rPr>
              <w:t>12 700 000</w:t>
            </w:r>
            <w:r>
              <w:t xml:space="preserve"> EUR през 2023 г., т.е. увеличение със 7,87%, като през 2024 г. 760 000 EUR от този бюджет (или приблизително 6% от него) бяха изплатени за киберсигурност; отбелязва въз основа на въпросника, че финансирането на проекти в областта на ИТ се увеличи със </w:t>
            </w:r>
            <w:r>
              <w:rPr>
                <w:b/>
                <w:i/>
              </w:rPr>
              <w:t>109 000</w:t>
            </w:r>
            <w:r>
              <w:t xml:space="preserve"> EUR в сравнение с 2023 г., което представлява увеличение с 4%, главно в подкрепа на програмата за работни места M365 и програмата за трансформация в областта на киберсигурността; отбелязва освен това, че разходите за оборудване нараснаха със </w:t>
            </w:r>
            <w:r>
              <w:rPr>
                <w:b/>
                <w:i/>
              </w:rPr>
              <w:t>117 000</w:t>
            </w:r>
            <w:r>
              <w:t xml:space="preserve"> EUR (т.е. увеличение с 20%), главно поради корекции на цените и стратегически инвестиции в инфраструктура за телефония; признава загрижеността на Комитета, че той страда от структурен недостиг на финансиране в областта на цифровизацията и киберсигурността; изразява съжаление в този контекст, че бюджетният орган не включи в бюджета на Съюза за 2026 г. сумата от </w:t>
            </w:r>
            <w:r>
              <w:rPr>
                <w:b/>
                <w:i/>
              </w:rPr>
              <w:t>1 176 000</w:t>
            </w:r>
            <w:r>
              <w:t> EUR, необходима, за да може Комитетът (и КР) да извърши значително модернизиране на киберсигурността, като по този начин направи непостижима целта, посочена в Регламент (ЕС, Евратом) 2023/2841</w:t>
            </w:r>
            <w:r>
              <w:rPr>
                <w:vertAlign w:val="superscript"/>
              </w:rPr>
              <w:t>1</w:t>
            </w:r>
            <w:r>
              <w:t xml:space="preserve"> за заделяне на около 10% от общите си разходи за ИТ за киберсигурност; </w:t>
            </w:r>
            <w:r>
              <w:rPr>
                <w:b/>
                <w:i/>
              </w:rPr>
              <w:t>призовава за подходящи средства, за да се даде възможност на Комитета и КР да извършат значително модернизиране на киберсигурността;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w:t>
            </w:r>
            <w:r>
              <w:rPr>
                <w:b/>
                <w:i/>
              </w:rPr>
              <w:t>г.</w:t>
            </w:r>
            <w:r>
              <w:t>,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отбелязва, че през </w:t>
            </w:r>
            <w:r>
              <w:rPr>
                <w:b/>
                <w:i/>
              </w:rPr>
              <w:t>2022</w:t>
            </w:r>
            <w:r>
              <w:t xml:space="preserve"> г. общият бюджет за ИТ на Комитета и КР беше 13 700 000 EUR в сравнение с </w:t>
            </w:r>
            <w:r>
              <w:rPr>
                <w:b/>
                <w:i/>
              </w:rPr>
              <w:t>12 700 000</w:t>
            </w:r>
            <w:r>
              <w:t xml:space="preserve"> EUR през 2023 г., т.е. увеличение със 7,87%, като през 2024 г. 760 000 EUR от този бюджет (или приблизително 6% от него) бяха изплатени за киберсигурност; отбелязва въз основа на въпросника, че финансирането на проекти в областта на ИТ се увеличи със </w:t>
            </w:r>
            <w:r>
              <w:rPr>
                <w:b/>
                <w:i/>
              </w:rPr>
              <w:t>109 000</w:t>
            </w:r>
            <w:r>
              <w:t xml:space="preserve"> EUR в сравнение с 2023 г., което представлява увеличение с 4%, главно в подкрепа на програмата за работни места M365 и програмата за трансформация в областта на киберсигурността; отбелязва освен това, че разходите за оборудване нараснаха със </w:t>
            </w:r>
            <w:r>
              <w:rPr>
                <w:b/>
                <w:i/>
              </w:rPr>
              <w:t>117 000</w:t>
            </w:r>
            <w:r>
              <w:t xml:space="preserve"> EUR (т.е. увеличение с 20%), главно поради корекции на цените и стратегически инвестиции в инфраструктура за телефония; признава загрижеността на Комитета, че той страда от структурен недостиг на финансиране в областта на цифровизацията и киберсигурността; изразява съжаление в този контекст, че бюджетният орган не включи в бюджета на Съюза за 2026 г. сумата от </w:t>
            </w:r>
            <w:r>
              <w:rPr>
                <w:b/>
                <w:i/>
              </w:rPr>
              <w:t>1 176 000</w:t>
            </w:r>
            <w:r>
              <w:t xml:space="preserve"> EUR, необходима, за да може Комитетът (и КР) да извърши значително модернизиране на киберсигурността, като по този начин направи непостижима целта, посочена в Регламент (ЕС, Евратом) 2023/2841</w:t>
            </w:r>
            <w:r>
              <w:rPr>
                <w:vertAlign w:val="superscript"/>
              </w:rPr>
              <w:t>1</w:t>
            </w:r>
            <w:r>
              <w:rPr>
                <w:b/>
                <w:i/>
              </w:rPr>
              <w:t>,</w:t>
            </w:r>
            <w:r>
              <w:t xml:space="preserve"> за заделяне на около 10% от общите си разходи за ИТ за киберсигурност;</w:t>
            </w:r>
          </w:p>
        </w:tc>
        <w:tc>
          <w:tcPr>
            <w:tcW w:w="4876" w:type="dxa"/>
            <w:tcBorders>
              <w:top w:val="nil"/>
              <w:left w:val="nil"/>
              <w:bottom w:val="nil"/>
              <w:right w:val="nil"/>
            </w:tcBorders>
          </w:tcPr>
          <w:p>
            <w:pPr>
              <w:pStyle w:val="Normal6a"/>
            </w:pPr>
            <w:r>
              <w:t>37.</w:t>
            </w:r>
            <w:r>
              <w:tab/>
            </w:r>
            <w:r>
              <w:t xml:space="preserve">отбелязва, че през </w:t>
            </w:r>
            <w:r>
              <w:rPr>
                <w:b/>
                <w:i/>
              </w:rPr>
              <w:t>2024</w:t>
            </w:r>
            <w:r>
              <w:t xml:space="preserve"> г. общият бюджет за ИТ на Комитета и КР беше 13 700 000 EUR в сравнение с </w:t>
            </w:r>
            <w:r>
              <w:rPr>
                <w:b/>
                <w:i/>
              </w:rPr>
              <w:t>12 700 000</w:t>
            </w:r>
            <w:r>
              <w:t xml:space="preserve"> EUR през 2023 г., т.е. увеличение със 7,87%, като през 2024 г. 760 000 EUR от този бюджет (или приблизително 6% от него) бяха изплатени за киберсигурност; отбелязва въз основа на въпросника, че финансирането на проекти в областта на ИТ се увеличи със </w:t>
            </w:r>
            <w:r>
              <w:rPr>
                <w:b/>
                <w:i/>
              </w:rPr>
              <w:t>109 000</w:t>
            </w:r>
            <w:r>
              <w:t xml:space="preserve"> EUR в сравнение с 2023 г., което представлява увеличение с 4%, главно в подкрепа на програмата за работни места M365 и програмата за трансформация в областта на киберсигурността; отбелязва освен това, че разходите за оборудване нараснаха със </w:t>
            </w:r>
            <w:r>
              <w:rPr>
                <w:b/>
                <w:i/>
              </w:rPr>
              <w:t>117 000</w:t>
            </w:r>
            <w:r>
              <w:t xml:space="preserve"> EUR (т.е. увеличение с 20%), главно поради корекции на цените и стратегически инвестиции в инфраструктура за телефония; признава загрижеността на Комитета, че той страда от структурен недостиг на финансиране в областта на цифровизацията и киберсигурността; изразява съжаление в този контекст, че бюджетният орган не включи в бюджета на Съюза за 2026 г. сумата от </w:t>
            </w:r>
            <w:r>
              <w:rPr>
                <w:b/>
                <w:i/>
              </w:rPr>
              <w:t>1 176 000</w:t>
            </w:r>
            <w:r>
              <w:t> EUR, необходима, за да може Комитетът (и КР) да извърши значително модернизиране на киберсигурността, като по този начин направи непостижима целта, посочена в Регламент (ЕС, Евратом) 2023/2841</w:t>
            </w:r>
            <w:r>
              <w:rPr>
                <w:vertAlign w:val="superscript"/>
              </w:rPr>
              <w:t>1</w:t>
            </w:r>
            <w:r>
              <w:t xml:space="preserve"> за заделяне на около 10% от общите си разходи за ИТ за киберсигурност;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w:t>
            </w:r>
            <w:r>
              <w:rPr>
                <w:b/>
                <w:i/>
              </w:rPr>
              <w:t>г.</w:t>
            </w:r>
            <w:r>
              <w:t>,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Михал Виезик, Оливие Шастел, Влад Василе-Войкулеску, Жил Боайе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приветства усилията на Комитета през 2024 г. да гарантира, че служителите придобиват цифровите умения, необходими за все по-цифровизираната работна среда и за провеждането на целенасочени информационни кампании, като предлага всеобхватна програма за обучение и наставничество и поддържа актуална база от знания в областта на ИТ с основан на изкуствен интелект интерфейс в подкрепа на развитието на персонала;</w:t>
            </w:r>
          </w:p>
        </w:tc>
        <w:tc>
          <w:tcPr>
            <w:tcW w:w="4876" w:type="dxa"/>
            <w:tcBorders>
              <w:top w:val="nil"/>
              <w:left w:val="nil"/>
              <w:bottom w:val="nil"/>
              <w:right w:val="nil"/>
            </w:tcBorders>
          </w:tcPr>
          <w:p>
            <w:pPr>
              <w:pStyle w:val="Normal6a"/>
            </w:pPr>
            <w:r>
              <w:t>43.</w:t>
            </w:r>
            <w:r>
              <w:tab/>
            </w:r>
            <w:r>
              <w:t xml:space="preserve">приветства усилията на Комитета през 2024 г. да гарантира, че служителите придобиват цифровите умения, необходими за все по-цифровизираната работна среда и за провеждането на целенасочени информационни кампании, като предлага всеобхватна програма за обучение и наставничество и поддържа актуална база от знания в областта на ИТ с основан на изкуствен интелект интерфейс в подкрепа на развитието на персонала; </w:t>
            </w:r>
            <w:r>
              <w:rPr>
                <w:b/>
                <w:i/>
              </w:rPr>
              <w:t>насърчава обученията в областта на киберсигурността и безопасното, етично и ефективно използване на изкуствения интелект;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отбелязва въз основа на въпросника намаляване на потреблението на електроенергия (</w:t>
            </w:r>
            <w:r>
              <w:rPr>
                <w:b/>
                <w:i/>
              </w:rPr>
              <w:t>−</w:t>
            </w:r>
            <w:r>
              <w:t>19%), газ (</w:t>
            </w:r>
            <w:r>
              <w:rPr>
                <w:b/>
                <w:i/>
              </w:rPr>
              <w:t>−</w:t>
            </w:r>
            <w:r>
              <w:t>13%) и вода (</w:t>
            </w:r>
            <w:r>
              <w:rPr>
                <w:b/>
                <w:i/>
              </w:rPr>
              <w:t>−</w:t>
            </w:r>
            <w:r>
              <w:t>12%), както и увеличаване на потреблението на хартия (+1%</w:t>
            </w:r>
            <w:r>
              <w:rPr>
                <w:b/>
                <w:i/>
              </w:rPr>
              <w:t>) и обема на отпадъците (−12%</w:t>
            </w:r>
            <w:r>
              <w:t>) през 2024 г. в сравнение с 2023 г.; приветства освен това намаляването на въглеродните емисии на база ЕПРВ с 4,30% (не са включени емисиите от пътуванията на членовете на Комитета) през същия период; отбелязва въз основа на въпросника действията на Комитета за насърчаване на по-устойчиви възможности за пътуване сред неговите служители и членове, както и текущото преразглеждане на ръководството за командировките на служителите, което ще включва отпечатъка върху околната среда като ключов компонент; приветства освен това акцента на Комитета върху управлението и рециклирането на отпадъците, за да се насърчи културата на намаляване на отпадъците и ефективно използване на ресурсите;</w:t>
            </w:r>
          </w:p>
        </w:tc>
        <w:tc>
          <w:tcPr>
            <w:tcW w:w="4876" w:type="dxa"/>
            <w:tcBorders>
              <w:top w:val="nil"/>
              <w:left w:val="nil"/>
              <w:bottom w:val="nil"/>
              <w:right w:val="nil"/>
            </w:tcBorders>
          </w:tcPr>
          <w:p>
            <w:pPr>
              <w:pStyle w:val="Normal6a"/>
            </w:pPr>
            <w:r>
              <w:t>49.</w:t>
            </w:r>
            <w:r>
              <w:tab/>
            </w:r>
            <w:r>
              <w:t>отбелязва въз основа на въпросника намаляване на потреблението на електроенергия (</w:t>
            </w:r>
            <w:r>
              <w:rPr>
                <w:b/>
                <w:i/>
              </w:rPr>
              <w:t>-</w:t>
            </w:r>
            <w:r>
              <w:t>19%), газ (</w:t>
            </w:r>
            <w:r>
              <w:rPr>
                <w:b/>
                <w:i/>
              </w:rPr>
              <w:t>-</w:t>
            </w:r>
            <w:r>
              <w:t>13%) и вода (</w:t>
            </w:r>
            <w:r>
              <w:rPr>
                <w:b/>
                <w:i/>
              </w:rPr>
              <w:t>-12%), намаляване на обема на отпадъците (-</w:t>
            </w:r>
            <w:r>
              <w:t>12%), както и увеличаване на потреблението на хартия (+1%) през 2024 г. в сравнение с 2023 г.; приветства освен това намаляването на въглеродните емисии на база ЕПРВ с 4,30% (не са включени емисиите от пътуванията на членовете на Комитета) през същия период; отбелязва въз основа на въпросника действията на Комитета за насърчаване на по-устойчиви възможности за пътуване сред неговите служители и членове, както и текущото преразглеждане на ръководството за командировките на служителите, което ще включва отпечатъка върху околната среда като ключов компонент; приветства освен това акцента на Комитета върху управлението и рециклирането на отпадъците, за да се насърчи културата на намаляване на отпадъците и ефективно използване на ресурсите;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Дик Ериксон, Шербан-Димитрие Стурза, Йоахим Станислав Бруджински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отбелязва със задоволство, че всички покани на Комитета за представяне на оферти на стойност над </w:t>
            </w:r>
            <w:r>
              <w:rPr>
                <w:b/>
                <w:i/>
              </w:rPr>
              <w:t>60 000</w:t>
            </w:r>
            <w:r>
              <w:t xml:space="preserve"> EUR и тези на стойност над </w:t>
            </w:r>
            <w:r>
              <w:rPr>
                <w:b/>
                <w:i/>
              </w:rPr>
              <w:t>25 000</w:t>
            </w:r>
            <w:r>
              <w:t xml:space="preserve"> EUR, управлявани съвместно с КР, включват клаузи за устойчивост в съответствие със стандартите на Енергийния съюз, Европейския зелен пакт и принципите на кръговата икономика; отбелязва, че новият рамков договор на Комитета за кетъринг услуги, влязъл в сила през август 2024 г., съдържа изисквания за екологични и местно произведени продукти, дарения на храни и сезонни плодове и зеленчуци;</w:t>
            </w:r>
          </w:p>
        </w:tc>
        <w:tc>
          <w:tcPr>
            <w:tcW w:w="4876" w:type="dxa"/>
            <w:tcBorders>
              <w:top w:val="nil"/>
              <w:left w:val="nil"/>
              <w:bottom w:val="nil"/>
              <w:right w:val="nil"/>
            </w:tcBorders>
          </w:tcPr>
          <w:p>
            <w:pPr>
              <w:pStyle w:val="Normal6a"/>
            </w:pPr>
            <w:r>
              <w:t>50.</w:t>
            </w:r>
            <w:r>
              <w:tab/>
            </w:r>
            <w:r>
              <w:t xml:space="preserve">отбелязва със задоволство, че всички покани на Комитета за представяне на оферти на стойност над </w:t>
            </w:r>
            <w:r>
              <w:rPr>
                <w:b/>
                <w:i/>
              </w:rPr>
              <w:t>60 000</w:t>
            </w:r>
            <w:r>
              <w:t xml:space="preserve"> EUR и тези на стойност над </w:t>
            </w:r>
            <w:r>
              <w:rPr>
                <w:b/>
                <w:i/>
              </w:rPr>
              <w:t>25 000</w:t>
            </w:r>
            <w:r>
              <w:t xml:space="preserve"> EUR, управлявани съвместно с КР, включват клаузи за устойчивост в съответствие със стандартите на Енергийния съюз, Европейския зелен пакт и принципите на кръговата икономика; отбелязва, че новият рамков договор на Комитета за кетъринг услуги, влязъл в сила през август 2024 г., съдържа изисквания за екологични и местно произведени продукти, дарения на храни и сезонни плодове и зеленчуци; </w:t>
            </w:r>
            <w:r>
              <w:rPr>
                <w:b/>
                <w:i/>
              </w:rPr>
              <w:t>посочва обаче, че по-високите стандарти на така наречените „зелени“ мерки увеличават оперативните разходи на институцията, като по този начин не само намаляват наличния бюджет на институцията, но и увеличават разходите за нейното функциониране за данъкоплатците;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Ондржей Кнотек, Жюлиен Санчез, 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подчертава, че инициативите в областта на околната среда в рамките на институциите на Съюза трябва да останат икономически ефективни и технологично неутрални;</w:t>
            </w:r>
            <w:r>
              <w:t xml:space="preserve"> </w:t>
            </w:r>
            <w:r>
              <w:rPr>
                <w:b/>
                <w:i/>
              </w:rPr>
              <w:t>призовава Комитета да предостави прозрачен анализ на разходите и ползите от своите екологосъобразни инвестиции и практики за възлагане на обществени поръчки и да гарантира, че екологичните съображения не надделяват над ефективността или бюджетната дисциплина;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Чаба Молнар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отбелязва, че Комитетът играе централна роля за укрепване на връзките със и между националните икономически и социални съвети (НИСС) на държавите членки; отбелязва в този контекст създаването на нова тематична работна група, съставена от 13 НИСС, публикуването на 32 новинарски статии и 26 резюмета на доклади, приети от НИСС, организирането на годишната среща на председателите и генералните секретари на НИСС в Брюксел и съвместно организиран семинар със 100 участници от европейските социални партньори, организации на гражданското общество, представители на институциите на Съюза и представители на академичните среди през 2024 г.;</w:t>
            </w:r>
          </w:p>
        </w:tc>
        <w:tc>
          <w:tcPr>
            <w:tcW w:w="4876" w:type="dxa"/>
            <w:tcBorders>
              <w:top w:val="nil"/>
              <w:left w:val="nil"/>
              <w:bottom w:val="nil"/>
              <w:right w:val="nil"/>
            </w:tcBorders>
          </w:tcPr>
          <w:p>
            <w:pPr>
              <w:pStyle w:val="Normal6a"/>
            </w:pPr>
            <w:r>
              <w:t>60.</w:t>
            </w:r>
            <w:r>
              <w:tab/>
            </w:r>
            <w:r>
              <w:t xml:space="preserve">отбелязва, че Комитетът играе централна роля за укрепване на връзките със и между националните икономически и социални съвети (НИСС) на държавите членки; отбелязва в този контекст създаването на нова тематична работна група, съставена от 13 НИСС, публикуването на 32 новинарски статии и 26 резюмета на доклади, приети от НИСС, организирането на годишната среща на председателите и генералните секретари на НИСС в Брюксел и съвместно организиран семинар със 100 участници от европейските социални партньори, организации на гражданското общество, представители на институциите на Съюза и представители на академичните среди през 2024 г.; </w:t>
            </w:r>
            <w:r>
              <w:rPr>
                <w:b/>
                <w:i/>
              </w:rPr>
              <w:t>призовава за продължаване на сътрудничеството по теми от общ интерес и обмена на добри практики, като подчертава жизненоважната роля на гражданското общество за справяне с настоящите предизвикателства пред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оценява стартирането на платформата NaviGate през май 2024 г.; отбелязва, че тази платформа, която захранва с интернет връзки Инструмента за проследяване на законодателния процес в ЕС на Службата за публикации на Съюза, значително увеличи видимостта на работата на Комитета и подобри потребителското изживяване за членовете на ЕП, служителите, посетителите от други институции и обществеността, като през 2024 г. достигна </w:t>
            </w:r>
            <w:r>
              <w:rPr>
                <w:b/>
                <w:i/>
              </w:rPr>
              <w:t>4 600</w:t>
            </w:r>
            <w:r>
              <w:t xml:space="preserve"> отделни посетители;</w:t>
            </w:r>
          </w:p>
        </w:tc>
        <w:tc>
          <w:tcPr>
            <w:tcW w:w="4876" w:type="dxa"/>
            <w:tcBorders>
              <w:top w:val="nil"/>
              <w:left w:val="nil"/>
              <w:bottom w:val="nil"/>
              <w:right w:val="nil"/>
            </w:tcBorders>
          </w:tcPr>
          <w:p>
            <w:pPr>
              <w:pStyle w:val="Normal6a"/>
            </w:pPr>
            <w:r>
              <w:t>63.</w:t>
            </w:r>
            <w:r>
              <w:tab/>
            </w:r>
            <w:r>
              <w:rPr>
                <w:b/>
                <w:i/>
              </w:rPr>
              <w:t>приветства усилията, положени от Комитета за повишаване на видимостта на неговата работа;</w:t>
            </w:r>
            <w:r>
              <w:t xml:space="preserve"> </w:t>
            </w:r>
            <w:r>
              <w:rPr>
                <w:b/>
                <w:i/>
              </w:rPr>
              <w:t>счита обаче, че са необходими допълнителни усилия, за да се гарантира, че комуникационните дейности ясно обясняват ролята и конкретния принос на Комитета за присъствието на ЕС на място – по начин, който е достъпен и смислен за гражданите;</w:t>
            </w:r>
            <w:r>
              <w:t xml:space="preserve"> оценява стартирането на платформата NaviGate през май 2024 г.; отбелязва, че тази платформа, която захранва с интернет връзки Инструмента за проследяване на законодателния процес в ЕС на Службата за публикации на Съюза, значително увеличи видимостта на работата на Комитета и подобри потребителското изживяване за членовете на ЕП, служителите, посетителите от други институции и обществеността, като през 2024 г. достигна </w:t>
            </w:r>
            <w:r>
              <w:rPr>
                <w:b/>
                <w:i/>
              </w:rPr>
              <w:t>4 600</w:t>
            </w:r>
            <w:r>
              <w:t xml:space="preserve"> отделни посетители;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AM\1336221BG.docx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AM\1336221BG.docx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AM\1336221BG.docx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12187</Words>
  <Characters>72086</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366833</vt:lpwstr>
  </property>
  <property fmtid="{D5CDD505-2E9C-101B-9397-08002B2CF9AE}" pid="7" name="dmxml.render.traceId">
    <vt:lpwstr>69899b47d84937ae122f940a2858b9f0</vt:lpwstr>
  </property>
  <property fmtid="{D5CDD505-2E9C-101B-9397-08002B2CF9AE}" pid="8" name="FooterPath">
    <vt:lpwstr>AM\1336221BG.docx</vt:lpwstr>
  </property>
  <property fmtid="{D5CDD505-2E9C-101B-9397-08002B2CF9AE}" pid="9" name="PE Number">
    <vt:lpwstr>784.136</vt:lpwstr>
  </property>
  <property fmtid="{D5CDD505-2E9C-101B-9397-08002B2CF9AE}" pid="10" name="UID">
    <vt:lpwstr>eu.europa.europarl-DIN1-2026-0000016192_01.00-bg-01.00_text-xml</vt:lpwstr>
  </property>
</Properties>
</file>