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Evropský parlament</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0.11pt">
                  <v:imagedata r:id="rId4" o:title=""/>
                </v:shape>
              </w:pict>
            </w:r>
          </w:p>
        </w:tc>
      </w:tr>
    </w:tbl>
    <w:p>
      <w:pPr>
        <w:pStyle w:val="LineTop"/>
      </w:pPr>
      <w:r>
        <w:t xml:space="preserve"> </w:t>
      </w:r>
    </w:p>
    <w:p>
      <w:pPr>
        <w:pStyle w:val="EPBody"/>
      </w:pPr>
      <w:r>
        <w:rPr>
          <w:rStyle w:val="HideTWBExt"/>
        </w:rPr>
        <w:t>&lt;Commission&gt;</w:t>
      </w:r>
      <w:r>
        <w:rPr>
          <w:rStyle w:val="HideTWBInt"/>
        </w:rPr>
        <w:t>{CONT}</w:t>
      </w:r>
      <w:r>
        <w:t>Výbor pro rozpočtovou kontrolu</w:t>
      </w:r>
      <w:r>
        <w:rPr>
          <w:rStyle w:val="HideTWBExt"/>
        </w:rPr>
        <w:t>&lt;/Commission&gt;</w:t>
      </w:r>
    </w:p>
    <w:p>
      <w:pPr>
        <w:pStyle w:val="LineBottom"/>
      </w:pPr>
      <w:r>
        <w:t xml:space="preserve"> </w:t>
      </w:r>
    </w:p>
    <w:p>
      <w:pPr>
        <w:pStyle w:val="CoverReference"/>
      </w:pPr>
      <w:r>
        <w:rPr>
          <w:rStyle w:val="HideTWBExt"/>
        </w:rPr>
        <w:t>&lt;RefProc&gt;</w:t>
      </w:r>
      <w:r>
        <w:t>2025/2151</w:t>
      </w:r>
      <w:r>
        <w:rPr>
          <w:rStyle w:val="HideTWBExt"/>
        </w:rPr>
        <w:t>&lt;/RefProc&gt;</w:t>
      </w:r>
      <w:r>
        <w:rPr>
          <w:rStyle w:val="HideTWBExt"/>
        </w:rPr>
        <w:t>&lt;RefTypeProc&gt;</w:t>
      </w:r>
      <w:r>
        <w:t>(DEC)</w:t>
      </w:r>
      <w:r>
        <w:rPr>
          <w:rStyle w:val="HideTWBExt"/>
        </w:rPr>
        <w:t>&lt;/RefTypeProc&gt;</w:t>
      </w:r>
    </w:p>
    <w:p>
      <w:pPr>
        <w:pStyle w:val="CoverDate"/>
      </w:pPr>
      <w:r>
        <w:rPr>
          <w:rStyle w:val="HideTWBExt"/>
        </w:rPr>
        <w:t>&lt;Date&gt;</w:t>
      </w:r>
      <w:r>
        <w:rPr>
          <w:rStyle w:val="HideTWBInt"/>
        </w:rPr>
        <w:t>{28/01/2026}</w:t>
      </w:r>
      <w:r>
        <w:t>28.1.2026</w:t>
      </w:r>
      <w:r>
        <w:rPr>
          <w:rStyle w:val="HideTWBExt"/>
        </w:rPr>
        <w:t>&lt;/Date&gt;</w:t>
      </w:r>
    </w:p>
    <w:p>
      <w:pPr>
        <w:pStyle w:val="CoverDocType"/>
      </w:pPr>
      <w:r>
        <w:rPr>
          <w:rStyle w:val="HideTWBExt"/>
        </w:rPr>
        <w:t>&lt;TypeAM&gt;</w:t>
      </w:r>
      <w:r>
        <w:t>POZMĚŇOVACÍ NÁVRHY</w:t>
      </w:r>
      <w:r>
        <w:rPr>
          <w:rStyle w:val="HideTWBExt"/>
        </w:rPr>
        <w:t>&lt;/TypeAM&gt;</w:t>
      </w:r>
    </w:p>
    <w:p>
      <w:pPr>
        <w:pStyle w:val="CoverDocType24a"/>
      </w:pPr>
      <w:r>
        <w:rPr>
          <w:rStyle w:val="HideTWBExt"/>
        </w:rPr>
        <w:t>&lt;RangeAM&gt;</w:t>
      </w:r>
      <w:r>
        <w:t>1</w:t>
      </w:r>
      <w:r>
        <w:t xml:space="preserve"> - </w:t>
      </w:r>
      <w:r>
        <w:t>45</w:t>
      </w:r>
      <w:r>
        <w:rPr>
          <w:rStyle w:val="HideTWBExt"/>
        </w:rPr>
        <w:t>&lt;/RangeAM&gt;</w:t>
      </w:r>
    </w:p>
    <w:p>
      <w:pPr>
        <w:pStyle w:val="CoverBold"/>
      </w:pPr>
      <w:r>
        <w:rPr>
          <w:rStyle w:val="HideTWBExt"/>
        </w:rPr>
        <w:t>&lt;TitreType&gt;</w:t>
      </w:r>
      <w:r>
        <w:t>Návrh zprávy</w:t>
      </w:r>
      <w:r>
        <w:rPr>
          <w:rStyle w:val="HideTWBExt"/>
        </w:rPr>
        <w:t>&lt;/TitreType&gt;</w:t>
      </w:r>
    </w:p>
    <w:p>
      <w:pPr>
        <w:pStyle w:val="CoverBold"/>
      </w:pPr>
      <w:r>
        <w:rPr>
          <w:rStyle w:val="HideTWBExt"/>
        </w:rPr>
        <w:t>&lt;Rapporteur&gt;</w:t>
      </w:r>
      <w:r>
        <w:t>Pasquale Tridico</w:t>
      </w:r>
      <w:r>
        <w:rPr>
          <w:rStyle w:val="HideTWBExt"/>
        </w:rPr>
        <w:t>&lt;/Rapporteur&gt;</w:t>
      </w:r>
    </w:p>
    <w:p>
      <w:pPr>
        <w:pStyle w:val="CoverNormal24a"/>
      </w:pPr>
      <w:r>
        <w:rPr>
          <w:rStyle w:val="HideTWBExt"/>
        </w:rPr>
        <w:t>&lt;DocRefPE&gt;</w:t>
      </w:r>
      <w:r>
        <w:t>(PE778.063v01-00)</w:t>
      </w:r>
      <w:r>
        <w:rPr>
          <w:rStyle w:val="HideTWBExt"/>
        </w:rPr>
        <w:t>&lt;/DocRefPE&gt;</w:t>
      </w:r>
    </w:p>
    <w:p>
      <w:pPr>
        <w:pStyle w:val="CoverNormal"/>
      </w:pPr>
      <w:r>
        <w:rPr>
          <w:rStyle w:val="HideTWBExt"/>
        </w:rPr>
        <w:t>&lt;Titre&gt;</w:t>
      </w:r>
      <w:r>
        <w:t>Udělení absolutoria za rok 2024: Souhrnný rozpočet EU – Evropský hospodářský a sociální výbor</w:t>
      </w:r>
      <w:r>
        <w:rPr>
          <w:rStyle w:val="HideTWBExt"/>
        </w:rPr>
        <w:t>&lt;/Titre&gt;</w:t>
      </w:r>
    </w:p>
    <w:p>
      <w:pPr>
        <w:pStyle w:val="CoverNormal24a"/>
      </w:pPr>
      <w:r>
        <w:rPr>
          <w:rStyle w:val="HideTWBExt"/>
        </w:rPr>
        <w:t>&lt;DocRef&gt;</w:t>
      </w:r>
      <w:r>
        <w:t>(2025/2151(DEC))</w:t>
      </w:r>
      <w:r>
        <w:rPr>
          <w:rStyle w:val="HideTWBExt"/>
        </w:rPr>
        <w:t>&lt;/DocRef&gt;</w:t>
      </w:r>
    </w:p>
    <w:p>
      <w:r>
        <w:br w:type="page"/>
      </w:r>
      <w:r>
        <w:t>AM_Com_NonLegReport</w:t>
      </w:r>
    </w:p>
    <w:p>
      <w:pPr>
        <w:pStyle w:val="AmNumberTabs"/>
      </w:pPr>
      <w:r>
        <w:br w:type="page"/>
      </w:r>
      <w:r>
        <w:rPr>
          <w:rStyle w:val="HideTWBExt"/>
        </w:rPr>
        <w:t>&lt;RepeatBlock-Amend&gt;</w:t>
      </w:r>
      <w:r>
        <w:rPr>
          <w:rStyle w:val="HideTWBExt"/>
        </w:rPr>
        <w:t>&lt;Amend&gt;</w:t>
      </w:r>
      <w:r>
        <w:t>Pozměňovací návrh</w:t>
      </w:r>
      <w:r>
        <w:tab/>
      </w:r>
      <w:r>
        <w:tab/>
      </w:r>
      <w:r>
        <w:rPr>
          <w:rStyle w:val="HideTWBExt"/>
        </w:rPr>
        <w:t>&lt;NumAm&gt;</w:t>
      </w:r>
      <w:r>
        <w:t>1</w:t>
      </w:r>
      <w:r>
        <w:rPr>
          <w:rStyle w:val="HideTWBExt"/>
        </w:rPr>
        <w:t>&lt;/NumAm&gt;</w:t>
      </w:r>
    </w:p>
    <w:p>
      <w:pPr>
        <w:pStyle w:val="NormalBold"/>
      </w:pPr>
      <w:r>
        <w:rPr>
          <w:rStyle w:val="HideTWBExt"/>
          <w:b w:val="0"/>
        </w:rPr>
        <w:t>&lt;RepeatBlock-By&gt;</w:t>
      </w:r>
      <w:r>
        <w:rPr>
          <w:rStyle w:val="HideTWBExt"/>
          <w:b w:val="0"/>
        </w:rPr>
        <w:t>&lt;Members&gt;</w:t>
      </w:r>
      <w:r>
        <w:t>Ondřej Knotek, Virginie Joron, Julien Sanchez, Tamás Deutsch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H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Ha.</w:t>
            </w:r>
            <w:r>
              <w:tab/>
            </w:r>
            <w:r>
              <w:rPr>
                <w:b/>
                <w:i/>
              </w:rPr>
              <w:t>vzhledem k tomu, že podle článků 300 a 304 Smlouvy o fungování Evropské unie je Evropský hospodářský a sociální výbor poradním orgánem, jehož hlavním posláním je vydávat stanoviska;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w:t>
      </w:r>
      <w:r>
        <w:rPr>
          <w:rStyle w:val="HideTWBExt"/>
        </w:rPr>
        <w:t>&lt;/NumAm&gt;</w:t>
      </w:r>
    </w:p>
    <w:p>
      <w:pPr>
        <w:pStyle w:val="NormalBold"/>
      </w:pPr>
      <w:r>
        <w:rPr>
          <w:rStyle w:val="HideTWBExt"/>
          <w:b w:val="0"/>
        </w:rPr>
        <w:t>&lt;RepeatBlock-By&gt;</w:t>
      </w:r>
      <w:r>
        <w:rPr>
          <w:rStyle w:val="HideTWBExt"/>
          <w:b w:val="0"/>
        </w:rPr>
        <w:t>&lt;Members&gt;</w:t>
      </w:r>
      <w:r>
        <w:t>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4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4a.</w:t>
            </w:r>
            <w:r>
              <w:tab/>
            </w:r>
            <w:r>
              <w:rPr>
                <w:b/>
                <w:i/>
              </w:rPr>
              <w:t>konstatuje, že se Výbor z přístupu zaměřeného na výdaje přeorientoval na řízení zdrojů a stanovování priorit, jak se odráží ve strategickém finančním balíčku schváleném předsednictvem EHSV, a že pracuje na bázi priorit;</w:t>
            </w:r>
            <w:r>
              <w:t xml:space="preserve"> </w:t>
            </w:r>
            <w:r>
              <w:rPr>
                <w:b/>
                <w:i/>
              </w:rPr>
              <w:t>konstatuje, že cílem těchto opatření je zlepšit finanční správu a sladit rozpočtová rozhodnutí se strategickými cíli;</w:t>
            </w:r>
            <w:r>
              <w:t xml:space="preserve"> </w:t>
            </w:r>
            <w:r>
              <w:rPr>
                <w:b/>
                <w:i/>
              </w:rPr>
              <w:t>bere na vědomí úsilí o snížení administrativní zátěže a zefektivnění procesů v zájmu nákladové efektivnosti;</w:t>
            </w:r>
            <w:r>
              <w:t xml:space="preserve"> </w:t>
            </w:r>
            <w:r>
              <w:rPr>
                <w:b/>
                <w:i/>
              </w:rPr>
              <w:t>vyzývá Výbor, aby tento přístup dále upevnil začleněním ukazatelů výkonnosti a prognostického plánování do svého ročního finančního cyklu;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w:t>
      </w:r>
      <w:r>
        <w:rPr>
          <w:rStyle w:val="HideTWBExt"/>
        </w:rPr>
        <w:t>&lt;/NumAm&gt;</w:t>
      </w:r>
    </w:p>
    <w:p>
      <w:pPr>
        <w:pStyle w:val="NormalBold"/>
      </w:pPr>
      <w:r>
        <w:rPr>
          <w:rStyle w:val="HideTWBExt"/>
          <w:b w:val="0"/>
        </w:rPr>
        <w:t>&lt;RepeatBlock-By&gt;</w:t>
      </w:r>
      <w:r>
        <w:rPr>
          <w:rStyle w:val="HideTWBExt"/>
          <w:b w:val="0"/>
        </w:rPr>
        <w:t>&lt;Members&gt;</w:t>
      </w:r>
      <w:r>
        <w:t>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vyjadřuje uznání Výboru za to, že dosáhl </w:t>
            </w:r>
            <w:r>
              <w:rPr>
                <w:b/>
                <w:i/>
              </w:rPr>
              <w:t>dalšího zvýšení</w:t>
            </w:r>
            <w:r>
              <w:t xml:space="preserve"> míry plnění prostředků na závazky na běžný rok z 98,7 % v roce 2023 na 99,21 % v roce 2024, a to díky úspěšnému monitorování plnění rozpočtu, ale i díky vysoké míře inflace, která má dopad na platy zaměstnanců a náklady na budovy; v této souvislosti bere na vědomí úsilí Výboru o přerozdělení prostředků prostřednictvím převodů rozpočtových prostředků v celkové výši </w:t>
            </w:r>
            <w:r>
              <w:rPr>
                <w:b/>
                <w:i/>
              </w:rPr>
              <w:t>2 487 139</w:t>
            </w:r>
            <w:r>
              <w:t xml:space="preserve"> EUR (což představuje 1,51 % rozpočtu na rok 2024) mezi jednotlivými rozpočtovými položkami, přičemž nejvýznamnější navýšení se týkalo provozu a údržby softwarových systémů (+ </w:t>
            </w:r>
            <w:r>
              <w:rPr>
                <w:b/>
                <w:i/>
              </w:rPr>
              <w:t>519 682</w:t>
            </w:r>
            <w:r>
              <w:t xml:space="preserve"> EUR) a budov (+ </w:t>
            </w:r>
            <w:r>
              <w:rPr>
                <w:b/>
                <w:i/>
              </w:rPr>
              <w:t>421 880</w:t>
            </w:r>
            <w:r>
              <w:t xml:space="preserve"> EUR); dále s uspokojením konstatuje, že míra čerpání prostředků na platby v běžném roce se zvýšila z 88,12 % v roce 2022 a 90,67 % v roce 2023 na 92,85 % v roce 2024 a průměrná doba do úhrady se snížila z 20,14 dne v roce 2023 na 16,06 dne v roce 2024, což je nejlepší výsledek, který Výbor zaznamenal od roku 2021;</w:t>
            </w:r>
          </w:p>
        </w:tc>
        <w:tc>
          <w:tcPr>
            <w:tcW w:w="4876" w:type="dxa"/>
            <w:tcBorders>
              <w:top w:val="nil"/>
              <w:left w:val="nil"/>
              <w:bottom w:val="nil"/>
              <w:right w:val="nil"/>
            </w:tcBorders>
          </w:tcPr>
          <w:p>
            <w:pPr>
              <w:pStyle w:val="Normal6a"/>
            </w:pPr>
            <w:r>
              <w:t>5.</w:t>
            </w:r>
            <w:r>
              <w:tab/>
            </w:r>
            <w:r>
              <w:t xml:space="preserve">vyjadřuje uznání Výboru za to, že dosáhl </w:t>
            </w:r>
            <w:r>
              <w:rPr>
                <w:b/>
                <w:i/>
              </w:rPr>
              <w:t>vysoké</w:t>
            </w:r>
            <w:r>
              <w:t xml:space="preserve"> míry plnění prostředků na závazky na běžný rok</w:t>
            </w:r>
            <w:r>
              <w:rPr>
                <w:b/>
                <w:i/>
              </w:rPr>
              <w:t>, která se ještě zvýšila</w:t>
            </w:r>
            <w:r>
              <w:t xml:space="preserve"> z 98,7 % v roce 2023 na 99,21 % v roce 2024, a to díky úspěšnému monitorování plnění rozpočtu, ale i díky vysoké míře inflace, která má dopad na platy zaměstnanců a náklady na budovy; v této souvislosti bere na vědomí úsilí Výboru o přerozdělení prostředků prostřednictvím převodů rozpočtových prostředků v celkové výši </w:t>
            </w:r>
            <w:r>
              <w:rPr>
                <w:b/>
                <w:i/>
              </w:rPr>
              <w:t>2 487 139</w:t>
            </w:r>
            <w:r>
              <w:t xml:space="preserve"> EUR (což představuje 1,51 % rozpočtu na rok 2024) mezi jednotlivými rozpočtovými položkami, přičemž nejvýznamnější navýšení se týkalo provozu a údržby softwarových systémů (+ </w:t>
            </w:r>
            <w:r>
              <w:rPr>
                <w:b/>
                <w:i/>
              </w:rPr>
              <w:t>519 682</w:t>
            </w:r>
            <w:r>
              <w:t xml:space="preserve"> EUR) a budov (+ </w:t>
            </w:r>
            <w:r>
              <w:rPr>
                <w:b/>
                <w:i/>
              </w:rPr>
              <w:t>421 880</w:t>
            </w:r>
            <w:r>
              <w:t xml:space="preserve"> EUR); dále s uspokojením konstatuje, že míra čerpání prostředků na platby v běžném roce se zvýšila z 88,12 % v roce 2022 a 90,67 % v roce 2023 na 92,85 % v roce 2024 a průměrná doba do úhrady se snížila z 20,14 dne v roce 2023 na 16,06 dne v roce 2024, což je nejlepší výsledek, který Výbor zaznamenal od roku 2021; </w:t>
            </w:r>
            <w:r>
              <w:rPr>
                <w:b/>
                <w:i/>
              </w:rPr>
              <w:t>vybízí k další práci na účinném monitorování, omezování nákladů a strategickém přerozdělování s cílem zajistit efektivnost nákladů a transparentnost;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w:t>
      </w:r>
      <w:r>
        <w:rPr>
          <w:rStyle w:val="HideTWBExt"/>
        </w:rPr>
        <w:t>&lt;/NumAm&gt;</w:t>
      </w:r>
    </w:p>
    <w:p>
      <w:pPr>
        <w:pStyle w:val="NormalBold"/>
      </w:pPr>
      <w:r>
        <w:rPr>
          <w:rStyle w:val="HideTWBExt"/>
          <w:b w:val="0"/>
        </w:rPr>
        <w:t>&lt;RepeatBlock-By&gt;</w:t>
      </w:r>
      <w:r>
        <w:rPr>
          <w:rStyle w:val="HideTWBExt"/>
          <w:b w:val="0"/>
        </w:rPr>
        <w:t>&lt;Members&gt;</w:t>
      </w:r>
      <w:r>
        <w:t>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konstatuje, že dne 21. září 2024 přijala Rada nové rozhodnutí o poskytování denních příspěvků a náhrad cestovních výdajů členům Výboru a jejich náhradníkům, přičemž denní příspěvek pro příjemce, kteří se účastní zasedání osobně, je stanoven na 367 EUR (zvýšení z 290 EUR) a denní příspěvek pro příjemce, kteří se účastní zasedání na dálku pomocí elektronických prostředků, je stanoven na 149 EUR (zvýšení ze 145 EUR); na základě dotazníku konstatuje, že v roce 2024 Výbor proplatil za účast na dálku </w:t>
            </w:r>
            <w:r>
              <w:rPr>
                <w:b/>
                <w:i/>
              </w:rPr>
              <w:t>259 669</w:t>
            </w:r>
            <w:r>
              <w:t xml:space="preserve"> EUR (</w:t>
            </w:r>
            <w:r>
              <w:rPr>
                <w:b/>
                <w:i/>
              </w:rPr>
              <w:t>294 930</w:t>
            </w:r>
            <w:r>
              <w:t xml:space="preserve"> EUR v roce 2023), což odpovídá </w:t>
            </w:r>
            <w:r>
              <w:rPr>
                <w:b/>
                <w:i/>
              </w:rPr>
              <w:t>1 744</w:t>
            </w:r>
            <w:r>
              <w:t xml:space="preserve"> dnům zasedání (v roce 2023 bylo </w:t>
            </w:r>
            <w:r>
              <w:rPr>
                <w:b/>
                <w:i/>
              </w:rPr>
              <w:t>2 006</w:t>
            </w:r>
            <w:r>
              <w:t xml:space="preserve"> dnů zasedání), zatímco celková výše paušálních příspěvků vyplacených za osobní účast na zasedáních v roce 2024 činila </w:t>
            </w:r>
            <w:r>
              <w:rPr>
                <w:b/>
                <w:i/>
              </w:rPr>
              <w:t>6 579 196</w:t>
            </w:r>
            <w:r>
              <w:t xml:space="preserve"> EUR (oproti </w:t>
            </w:r>
            <w:r>
              <w:rPr>
                <w:b/>
                <w:i/>
              </w:rPr>
              <w:t>5 902 963</w:t>
            </w:r>
            <w:r>
              <w:t xml:space="preserve"> EUR v roce 2023); dále konstatuje, že Výbor má zaveden systém pro potvrzování skutečné účasti na schůzích na dálku pomocí elektronických prostředků; domnívá se, že </w:t>
            </w:r>
            <w:r>
              <w:rPr>
                <w:b/>
                <w:i/>
              </w:rPr>
              <w:t>ačkoli je</w:t>
            </w:r>
            <w:r>
              <w:t xml:space="preserve"> účast na dálku pro moderní instituce </w:t>
            </w:r>
            <w:r>
              <w:rPr>
                <w:b/>
                <w:i/>
              </w:rPr>
              <w:t>důležitým nástrojem</w:t>
            </w:r>
            <w:r>
              <w:t>, který snižuje náklady na schůze a umožňuje širší účast</w:t>
            </w:r>
            <w:r>
              <w:rPr>
                <w:b/>
                <w:i/>
              </w:rPr>
              <w:t>, je pro veřejnost obtížné porozumět přidělení příspěvku</w:t>
            </w:r>
            <w:r>
              <w:t xml:space="preserve"> na účast na </w:t>
            </w:r>
            <w:r>
              <w:rPr>
                <w:b/>
                <w:i/>
              </w:rPr>
              <w:t>schůzích na</w:t>
            </w:r>
            <w:r>
              <w:t xml:space="preserve"> dálku</w:t>
            </w:r>
            <w:r>
              <w:rPr>
                <w:b/>
                <w:i/>
              </w:rPr>
              <w:t>, a to i v případě, že je tento příspěvek snížen a omezen na určité druhy akcí</w:t>
            </w:r>
            <w:r>
              <w:t>;</w:t>
            </w:r>
          </w:p>
        </w:tc>
        <w:tc>
          <w:tcPr>
            <w:tcW w:w="4876" w:type="dxa"/>
            <w:tcBorders>
              <w:top w:val="nil"/>
              <w:left w:val="nil"/>
              <w:bottom w:val="nil"/>
              <w:right w:val="nil"/>
            </w:tcBorders>
          </w:tcPr>
          <w:p>
            <w:pPr>
              <w:pStyle w:val="Normal6a"/>
            </w:pPr>
            <w:r>
              <w:t>7.</w:t>
            </w:r>
            <w:r>
              <w:tab/>
            </w:r>
            <w:r>
              <w:t xml:space="preserve">konstatuje, že dne 21. září 2024 přijala Rada nové rozhodnutí o poskytování denních příspěvků a náhrad cestovních výdajů členům Výboru a jejich náhradníkům, přičemž denní příspěvek pro příjemce, kteří se účastní zasedání osobně, je stanoven na 367 EUR (zvýšení z 290 EUR) a denní příspěvek pro příjemce, kteří se účastní zasedání na dálku pomocí elektronických prostředků, je stanoven na 149 EUR (zvýšení ze 145 EUR); na základě dotazníku konstatuje, že v roce 2024 Výbor proplatil za účast na dálku </w:t>
            </w:r>
            <w:r>
              <w:rPr>
                <w:b/>
                <w:i/>
              </w:rPr>
              <w:t>259 669</w:t>
            </w:r>
            <w:r>
              <w:t> EUR (</w:t>
            </w:r>
            <w:r>
              <w:rPr>
                <w:b/>
                <w:i/>
              </w:rPr>
              <w:t>294 930</w:t>
            </w:r>
            <w:r>
              <w:t xml:space="preserve"> EUR v roce 2023), což odpovídá </w:t>
            </w:r>
            <w:r>
              <w:rPr>
                <w:b/>
                <w:i/>
              </w:rPr>
              <w:t>1 744</w:t>
            </w:r>
            <w:r>
              <w:t xml:space="preserve"> dnům zasedání (v roce 2023 bylo </w:t>
            </w:r>
            <w:r>
              <w:rPr>
                <w:b/>
                <w:i/>
              </w:rPr>
              <w:t>2 006</w:t>
            </w:r>
            <w:r>
              <w:t xml:space="preserve"> dnů zasedání), zatímco celková výše paušálních příspěvků vyplacených za osobní účast na zasedáních v roce 2024 činila </w:t>
            </w:r>
            <w:r>
              <w:rPr>
                <w:b/>
                <w:i/>
              </w:rPr>
              <w:t>6 579 196</w:t>
            </w:r>
            <w:r>
              <w:t xml:space="preserve"> EUR (oproti </w:t>
            </w:r>
            <w:r>
              <w:rPr>
                <w:b/>
                <w:i/>
              </w:rPr>
              <w:t>5 902 963</w:t>
            </w:r>
            <w:r>
              <w:t xml:space="preserve"> EUR v roce 2023); dále konstatuje, že Výbor má zaveden systém pro potvrzování skutečné účasti na schůzích na dálku pomocí elektronických prostředků; domnívá se, že účast na dálku </w:t>
            </w:r>
            <w:r>
              <w:rPr>
                <w:b/>
                <w:i/>
              </w:rPr>
              <w:t>je důležitým a cenným nástrojem</w:t>
            </w:r>
            <w:r>
              <w:t xml:space="preserve"> pro moderní instituce, který snižuje náklady na schůze a umožňuje širší účast</w:t>
            </w:r>
            <w:r>
              <w:rPr>
                <w:b/>
                <w:i/>
              </w:rPr>
              <w:t>;</w:t>
            </w:r>
            <w:r>
              <w:t xml:space="preserve"> </w:t>
            </w:r>
            <w:r>
              <w:rPr>
                <w:b/>
                <w:i/>
              </w:rPr>
              <w:t>oceňuje spravedlivý a přiměřený způsob, kterým Výbor přistupuje k přidělování příspěvků</w:t>
            </w:r>
            <w:r>
              <w:t xml:space="preserve"> na účast na dálku </w:t>
            </w:r>
            <w:r>
              <w:rPr>
                <w:b/>
                <w:i/>
              </w:rPr>
              <w:t>na omezeném typu akcím a který odráží povinnosti členů a požadavky na přípravu a zároveň zajišťuje a monitoruje transparentnost a nákladovou efektivnost;</w:t>
            </w:r>
            <w:r>
              <w:t xml:space="preserve"> </w:t>
            </w:r>
            <w:r>
              <w:rPr>
                <w:b/>
                <w:i/>
              </w:rPr>
              <w:t>připomíná, že členové Evropského hospodářského a sociálního výboru nedostávají za svůj mandát plat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5</w:t>
      </w:r>
      <w:r>
        <w:rPr>
          <w:rStyle w:val="HideTWBExt"/>
        </w:rPr>
        <w:t>&lt;/NumAm&gt;</w:t>
      </w:r>
    </w:p>
    <w:p>
      <w:pPr>
        <w:pStyle w:val="NormalBold"/>
      </w:pPr>
      <w:r>
        <w:rPr>
          <w:rStyle w:val="HideTWBExt"/>
          <w:b w:val="0"/>
        </w:rPr>
        <w:t>&lt;RepeatBlock-By&gt;</w:t>
      </w:r>
      <w:r>
        <w:rPr>
          <w:rStyle w:val="HideTWBExt"/>
          <w:b w:val="0"/>
        </w:rPr>
        <w:t>&lt;Members&gt;</w:t>
      </w:r>
      <w:r>
        <w:t>Michal Wiezik, Olivier Chastel, Vlad Vasile-Voiculescu, Gilles Boyer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7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7a.</w:t>
            </w:r>
            <w:r>
              <w:tab/>
            </w:r>
            <w:r>
              <w:rPr>
                <w:b/>
                <w:i/>
              </w:rPr>
              <w:t>vyzývá Výbor, aby znovu posoudil systém příspěvků na účast na dálku s cílem zajistit plnou transparentnost, proporcionalitu a důvěru veřejnosti;</w:t>
            </w:r>
            <w:r>
              <w:t xml:space="preserve"> </w:t>
            </w:r>
            <w:r>
              <w:rPr>
                <w:b/>
                <w:i/>
              </w:rPr>
              <w:t>zdůrazňuje, že finanční náhrady za účast na dálku musí být přísně odůvodněny, jejich rozsah musí být omezen a musí být v souladu se zásadami nákladové efektivnosti a odpovědnosti.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6</w:t>
      </w:r>
      <w:r>
        <w:rPr>
          <w:rStyle w:val="HideTWBExt"/>
        </w:rPr>
        <w:t>&lt;/NumAm&gt;</w:t>
      </w:r>
    </w:p>
    <w:p>
      <w:pPr>
        <w:pStyle w:val="NormalBold"/>
      </w:pPr>
      <w:r>
        <w:rPr>
          <w:rStyle w:val="HideTWBExt"/>
          <w:b w:val="0"/>
        </w:rPr>
        <w:t>&lt;RepeatBlock-By&gt;</w:t>
      </w:r>
      <w:r>
        <w:rPr>
          <w:rStyle w:val="HideTWBExt"/>
          <w:b w:val="0"/>
        </w:rPr>
        <w:t>&lt;Members&gt;</w:t>
      </w:r>
      <w:r>
        <w:t>Dick Erixon, Şerban Dimitrie Sturdza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8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8a.</w:t>
            </w:r>
            <w:r>
              <w:tab/>
            </w:r>
            <w:r>
              <w:rPr>
                <w:b/>
                <w:i/>
              </w:rPr>
              <w:t>vyjadřuje hluboké znepokojení nad rostoucím dluhovým zatížením EU a výpůjčními náklady;</w:t>
            </w:r>
            <w:r>
              <w:t xml:space="preserve"> </w:t>
            </w:r>
            <w:r>
              <w:rPr>
                <w:b/>
                <w:i/>
              </w:rPr>
              <w:t>konstatuje, že podle výroční zprávy Evropského účetního dvora by nesplacené úvěry, které si EU vzala, mohly do roku 2027 přesáhnout 900 miliard EUR, což je téměř desetinásobek úrovně z roku 2020 před zavedením ozdravného balíčku nástroje NextGenerationEU;</w:t>
            </w:r>
            <w:r>
              <w:t xml:space="preserve"> </w:t>
            </w:r>
            <w:r>
              <w:rPr>
                <w:b/>
                <w:i/>
              </w:rPr>
              <w:t>varuje, že rostoucí výpůjční náklady představují riziko pro budoucí rozpočty a omezují fiskální prostor pro nové priority;</w:t>
            </w:r>
            <w:r>
              <w:t xml:space="preserve"> </w:t>
            </w:r>
            <w:r>
              <w:rPr>
                <w:b/>
                <w:i/>
              </w:rPr>
              <w:t>trvá proto na tom, že tento bezprecedentní fiskální tlak vyžaduje důsledné hledání úspor v rámci správního rozpočtu Výboru;</w:t>
            </w:r>
            <w:r>
              <w:t xml:space="preserve"> </w:t>
            </w:r>
            <w:r>
              <w:rPr>
                <w:b/>
                <w:i/>
              </w:rPr>
              <w:t>vyzývá generálního tajemníka, aby předložil plán na snížení strukturálních nákladů a prokázal tak institucionální odpovědnost v době vysokého veřejného dluhu;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7</w:t>
      </w:r>
      <w:r>
        <w:rPr>
          <w:rStyle w:val="HideTWBExt"/>
        </w:rPr>
        <w:t>&lt;/NumAm&gt;</w:t>
      </w:r>
    </w:p>
    <w:p>
      <w:pPr>
        <w:pStyle w:val="NormalBold"/>
      </w:pPr>
      <w:r>
        <w:rPr>
          <w:rStyle w:val="HideTWBExt"/>
          <w:b w:val="0"/>
        </w:rPr>
        <w:t>&lt;RepeatBlock-By&gt;</w:t>
      </w:r>
      <w:r>
        <w:rPr>
          <w:rStyle w:val="HideTWBExt"/>
          <w:b w:val="0"/>
        </w:rPr>
        <w:t>&lt;Members&gt;</w:t>
      </w:r>
      <w:r>
        <w:t>Dick Erixon, Şerban Dimitrie Sturdza, Joachim Stanisław Brudziński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9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9a.</w:t>
            </w:r>
            <w:r>
              <w:tab/>
            </w:r>
            <w:r>
              <w:rPr>
                <w:b/>
                <w:i/>
              </w:rPr>
              <w:t>vyzývá správu Výboru, aby aktivně identifikovala a prováděla opatření k úspoře nákladů, mimo jiné prostřednictvím většího využívání hybridních technologií pro schůze, optimalizace využívání budov, konsolidace parlamentních činností a snížení zbytečných logistických výdajů;</w:t>
            </w:r>
            <w:r>
              <w:t xml:space="preserve"> </w:t>
            </w:r>
            <w:r>
              <w:rPr>
                <w:b/>
                <w:i/>
              </w:rPr>
              <w:t>požaduje pravidelné zprávy o pokroku, pokud jde o provedená opatření a dosažené úspory;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8</w:t>
      </w:r>
      <w:r>
        <w:rPr>
          <w:rStyle w:val="HideTWBExt"/>
        </w:rPr>
        <w:t>&lt;/NumAm&gt;</w:t>
      </w:r>
    </w:p>
    <w:p>
      <w:pPr>
        <w:pStyle w:val="NormalBold"/>
      </w:pPr>
      <w:r>
        <w:rPr>
          <w:rStyle w:val="HideTWBExt"/>
          <w:b w:val="0"/>
        </w:rPr>
        <w:t>&lt;RepeatBlock-By&gt;</w:t>
      </w:r>
      <w:r>
        <w:rPr>
          <w:rStyle w:val="HideTWBExt"/>
          <w:b w:val="0"/>
        </w:rPr>
        <w:t>&lt;Members&gt;</w:t>
      </w:r>
      <w:r>
        <w:t>Michal Wiezik, Olivier Chastel, Vlad Vasile-Voiculescu, Gilles Boyer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11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11a.</w:t>
            </w:r>
            <w:r>
              <w:tab/>
            </w:r>
            <w:r>
              <w:rPr>
                <w:b/>
                <w:i/>
              </w:rPr>
              <w:t>vyzývá Výbor, aby přijal strukturovaný plán pro postupné dosažení referenční hodnoty 10 % výdajů na kybernetickou bezpečnost, včetně ročních milníků, stanovení priorit na základě rizik a pravidelného podávání zpráv orgánu příslušnému k udělení absolutoria;</w:t>
            </w:r>
            <w:r>
              <w:t xml:space="preserve"> </w:t>
            </w:r>
            <w:r>
              <w:rPr>
                <w:b/>
                <w:i/>
              </w:rPr>
              <w:t>zdůrazňuje, že je třeba posílit spolupráci s centrem CERT-EU a dalšími orgány Unie s cílem zajistit soudržný a odolný postoj v oblasti kybernetické bezpečnosti.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9</w:t>
      </w:r>
      <w:r>
        <w:rPr>
          <w:rStyle w:val="HideTWBExt"/>
        </w:rPr>
        <w:t>&lt;/NumAm&gt;</w:t>
      </w:r>
    </w:p>
    <w:p>
      <w:pPr>
        <w:pStyle w:val="NormalBold"/>
      </w:pPr>
      <w:r>
        <w:rPr>
          <w:rStyle w:val="HideTWBExt"/>
          <w:b w:val="0"/>
        </w:rPr>
        <w:t>&lt;RepeatBlock-By&gt;</w:t>
      </w:r>
      <w:r>
        <w:rPr>
          <w:rStyle w:val="HideTWBExt"/>
          <w:b w:val="0"/>
        </w:rPr>
        <w:t>&lt;Members&gt;</w:t>
      </w:r>
      <w:r>
        <w:t>Şerban Dimitrie Sturdza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uznává, že Výbor plní zásadní úlohu, pokud jde o příspěvek k rozvoji politik a rozhodovacích procesů Unie tím, že zastupuje hlasy všech oblastí organizované občanské společnosti v Unii, čímž přibližuje Evropu jejím občanům a zvyšuje demokratickou legitimitu právních předpisů Unie; připomíná, že součástí ročního pracovního programu Výboru je systém sledování výkonnosti, který zahrnuje ukazatele v různých oblastech, jako jsou IT, lidské zdroje, překlady a komunikace, strukturované podle pěti základních hodnot a pěti klíčových strategických cílů v rámci strategie generálního sekretariátu na období 2021–2025; na základě opatření přijatých Výborem v návaznosti na připomínky uvedené v usnesení Parlamentu o udělení absolutoria za rok 2023 („monitorovací zpráva“) a na základě dotazníku s uspokojením konstatuje, že v návaznosti na audit zahájil Výbor strukturovaný proces za účelem zlepšení monitorování výkonnosti sladěním svého výkonnostního rámce se strategickými cíli prostřednictvím klíčových ukazatelů výkonnosti a ukazatelů dopadu, které mají být sladěny s budoucími strategickými cíli Výboru, přičemž při používání těchto ukazatelů bude hrát klíčovou úlohu vrcholné vedení; očekává, že bude informován o výsledcích provádění tohoto nového rámce prostřednictvím budoucích zpráv Výboru orgánu příslušnému k udělení absolutoria;</w:t>
            </w:r>
          </w:p>
        </w:tc>
        <w:tc>
          <w:tcPr>
            <w:tcW w:w="4876" w:type="dxa"/>
            <w:tcBorders>
              <w:top w:val="nil"/>
              <w:left w:val="nil"/>
              <w:bottom w:val="nil"/>
              <w:right w:val="nil"/>
            </w:tcBorders>
          </w:tcPr>
          <w:p>
            <w:pPr>
              <w:pStyle w:val="Normal6a"/>
            </w:pPr>
            <w:r>
              <w:t>12.</w:t>
            </w:r>
            <w:r>
              <w:tab/>
            </w:r>
            <w:r>
              <w:t>uznává, že Výbor plní zásadní úlohu, pokud jde o příspěvek k rozvoji politik a rozhodovacích procesů Unie tím, že zastupuje hlasy všech oblastí organizované občanské společnosti v Unii, čímž přibližuje Evropu jejím občanům a zvyšuje demokratickou legitimitu právních předpisů Unie; připomíná, že součástí ročního pracovního programu Výboru je systém sledování výkonnosti, který zahrnuje ukazatele v různých oblastech, jako jsou IT, lidské zdroje, překlady a komunikace, strukturované podle pěti základních hodnot a pěti klíčových strategických cílů v rámci strategie generálního sekretariátu na období 2021–2025</w:t>
            </w:r>
            <w:r>
              <w:rPr>
                <w:b/>
                <w:i/>
              </w:rPr>
              <w:t>;</w:t>
            </w:r>
            <w:r>
              <w:t xml:space="preserve"> </w:t>
            </w:r>
            <w:r>
              <w:rPr>
                <w:b/>
                <w:i/>
              </w:rPr>
              <w:t>domnívá se však, že přidaná hodnota jeho činností pro evropské občany zůstává z velké části podhodnocena;</w:t>
            </w:r>
            <w:r>
              <w:t xml:space="preserve"> </w:t>
            </w:r>
            <w:r>
              <w:rPr>
                <w:b/>
                <w:i/>
              </w:rPr>
              <w:t>vyzývá Výbor, aby ještě více posílil svůj rámec pro posuzování dopadů tím, že bude lépe prokazovat, jak se jeho stanoviska a iniciativy promítají do konkrétních politických výsledků a hmatatelných přínosů pro občany</w:t>
            </w:r>
            <w:r>
              <w:t>; na základě opatření přijatých Výborem v návaznosti na připomínky uvedené v usnesení Parlamentu o udělení absolutoria za rok 2023 („monitorovací zpráva“) a na základě dotazníku s uspokojením konstatuje, že v návaznosti na audit zahájil Výbor strukturovaný proces za účelem zlepšení monitorování výkonnosti sladěním svého výkonnostního rámce se strategickými cíli prostřednictvím klíčových ukazatelů výkonnosti a ukazatelů dopadu, které mají být sladěny s budoucími strategickými cíli Výboru, přičemž při používání těchto ukazatelů bude hrát klíčovou úlohu vrcholné vedení; očekává, že bude informován o výsledcích provádění tohoto nového rámce prostřednictvím budoucích zpráv Výboru orgánu příslušnému k udělení absolutoria;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10</w:t>
      </w:r>
      <w:r>
        <w:rPr>
          <w:rStyle w:val="HideTWBExt"/>
        </w:rPr>
        <w:t>&lt;/NumAm&gt;</w:t>
      </w:r>
    </w:p>
    <w:p>
      <w:pPr>
        <w:pStyle w:val="NormalBold"/>
      </w:pPr>
      <w:r>
        <w:rPr>
          <w:rStyle w:val="HideTWBExt"/>
          <w:b w:val="0"/>
        </w:rPr>
        <w:t>&lt;RepeatBlock-By&gt;</w:t>
      </w:r>
      <w:r>
        <w:rPr>
          <w:rStyle w:val="HideTWBExt"/>
          <w:b w:val="0"/>
        </w:rPr>
        <w:t>&lt;Members&gt;</w:t>
      </w:r>
      <w:r>
        <w:t>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uznává, že Výbor plní zásadní úlohu, pokud jde o příspěvek k rozvoji politik a rozhodovacích procesů Unie tím, že zastupuje hlasy všech oblastí organizované občanské společnosti v Unii, čímž přibližuje Evropu jejím občanům a zvyšuje demokratickou legitimitu právních předpisů Unie; připomíná, že součástí ročního pracovního programu Výboru je systém sledování výkonnosti, který zahrnuje ukazatele v různých oblastech, jako jsou IT, lidské zdroje, překlady a komunikace, strukturované podle pěti základních hodnot a pěti klíčových strategických cílů v rámci strategie generálního sekretariátu na období 2021–2025; na základě opatření přijatých Výborem v návaznosti na připomínky uvedené v usnesení Parlamentu o udělení absolutoria za rok 2023 („monitorovací zpráva“) a na základě dotazníku s uspokojením konstatuje, že v návaznosti na audit zahájil Výbor strukturovaný proces za účelem zlepšení monitorování výkonnosti sladěním svého výkonnostního rámce se strategickými cíli prostřednictvím klíčových ukazatelů výkonnosti a ukazatelů dopadu, které mají být sladěny s budoucími strategickými cíli Výboru, přičemž při používání těchto ukazatelů bude hrát klíčovou úlohu vrcholné vedení; očekává, že bude informován o výsledcích provádění tohoto nového rámce prostřednictvím budoucích zpráv Výboru orgánu příslušnému k udělení absolutoria;</w:t>
            </w:r>
          </w:p>
        </w:tc>
        <w:tc>
          <w:tcPr>
            <w:tcW w:w="4876" w:type="dxa"/>
            <w:tcBorders>
              <w:top w:val="nil"/>
              <w:left w:val="nil"/>
              <w:bottom w:val="nil"/>
              <w:right w:val="nil"/>
            </w:tcBorders>
          </w:tcPr>
          <w:p>
            <w:pPr>
              <w:pStyle w:val="Normal6a"/>
            </w:pPr>
            <w:r>
              <w:t>12.</w:t>
            </w:r>
            <w:r>
              <w:tab/>
            </w:r>
            <w:r>
              <w:t xml:space="preserve">uznává, že Výbor plní zásadní úlohu, pokud jde o příspěvek k rozvoji politik a rozhodovacích procesů Unie tím, že zastupuje hlasy všech oblastí organizované občanské společnosti v Unii, čímž přibližuje Evropu jejím občanům a zvyšuje demokratickou legitimitu právních předpisů Unie; připomíná, že součástí ročního pracovního programu Výboru je systém sledování výkonnosti, který zahrnuje ukazatele v různých oblastech, jako jsou IT, lidské zdroje, překlady a komunikace, strukturované podle pěti základních hodnot a pěti klíčových strategických cílů v rámci strategie generálního sekretariátu na období 2021–2025; na základě opatření přijatých Výborem v návaznosti na připomínky uvedené v usnesení Parlamentu o udělení absolutoria za rok 2023 („monitorovací zpráva“) a na základě dotazníku s uspokojením konstatuje, že v návaznosti na audit zahájil Výbor strukturovaný proces za účelem zlepšení monitorování výkonnosti sladěním svého výkonnostního rámce se strategickými cíli prostřednictvím klíčových ukazatelů výkonnosti a ukazatelů dopadu, které mají být sladěny s budoucími strategickými cíli Výboru, přičemž při používání těchto ukazatelů bude hrát klíčovou úlohu vrcholné vedení; očekává, že bude informován o výsledcích provádění tohoto nového rámce prostřednictvím budoucích zpráv Výboru orgánu příslušnému k udělení absolutoria; </w:t>
            </w:r>
            <w:r>
              <w:rPr>
                <w:b/>
                <w:i/>
              </w:rPr>
              <w:t>oceňuje úsilí Výboru o začlenění měření dopadu do svého rozhodování a vyzývá k jasným kvantifikovatelným klíčovým ukazatelům výkonnosti a k pravidelnému podávání zpráv s cílem zajistit měřitelné výsledky a odpovědnost;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11</w:t>
      </w:r>
      <w:r>
        <w:rPr>
          <w:rStyle w:val="HideTWBExt"/>
        </w:rPr>
        <w:t>&lt;/NumAm&gt;</w:t>
      </w:r>
    </w:p>
    <w:p>
      <w:pPr>
        <w:pStyle w:val="NormalBold"/>
      </w:pPr>
      <w:r>
        <w:rPr>
          <w:rStyle w:val="HideTWBExt"/>
          <w:b w:val="0"/>
        </w:rPr>
        <w:t>&lt;RepeatBlock-By&gt;</w:t>
      </w:r>
      <w:r>
        <w:rPr>
          <w:rStyle w:val="HideTWBExt"/>
          <w:b w:val="0"/>
        </w:rPr>
        <w:t>&lt;Members&gt;</w:t>
      </w:r>
      <w:r>
        <w:t>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konstatuje, že Výbor plní své poslání prostřednictvím stanovisek, která se týkají legislativních návrhů předložených Komisí (žádosti o vypracování stanoviska), stanovisek vypracovaných z vlastního podnětu, ve kterých vyzývá orgány Unie k přijetí opatření, a průzkumných stanovisek, která přispívají k práci Komise na jejích plánovaných iniciativách, a že postoje Výboru mohou být zdůrazněny v usneseních nebo zahrnuty do hodnotících či informačních zpráv; oceňuje výsledky Výboru, pokud jde o pomoc Parlamentu, Radě a Komisi v legislativním cyklu v roce 2024; v této souvislosti konstatuje, že v roce 2024 přijal Výbor 142 stanovisek a zpráv, což představuje pokles z 213 v roce 2023, a uspořádal 148 slyšení a 26 konferencí, oproti 146 slyšením a 24 konferencím v roce 2023; uznává, že vzhledem k zahajování nového volebního období v roce 2024 se snížil počet žádostí o vypracování stanoviska, a tím i počet stanovisek, která Výbor v tomto roce přijal; konstatuje, že se členové Výboru v roce 2024 zúčastnili 518 schůzí, summitů a konferencí na vysoké úrovni, oproti 429 v roce 2023;</w:t>
            </w:r>
          </w:p>
        </w:tc>
        <w:tc>
          <w:tcPr>
            <w:tcW w:w="4876" w:type="dxa"/>
            <w:tcBorders>
              <w:top w:val="nil"/>
              <w:left w:val="nil"/>
              <w:bottom w:val="nil"/>
              <w:right w:val="nil"/>
            </w:tcBorders>
          </w:tcPr>
          <w:p>
            <w:pPr>
              <w:pStyle w:val="Normal6a"/>
            </w:pPr>
            <w:r>
              <w:t>13.</w:t>
            </w:r>
            <w:r>
              <w:tab/>
            </w:r>
            <w:r>
              <w:t xml:space="preserve">konstatuje, že Výbor plní své poslání prostřednictvím stanovisek, která se týkají legislativních návrhů předložených Komisí (žádosti o vypracování stanoviska), stanovisek vypracovaných z vlastního podnětu, ve kterých vyzývá orgány Unie k přijetí opatření, a průzkumných stanovisek, která přispívají k práci Komise na jejích plánovaných iniciativách, a že postoje Výboru mohou být zdůrazněny v usneseních nebo zahrnuty do hodnotících či informačních zpráv; oceňuje výsledky Výboru, pokud jde o pomoc Parlamentu, Radě a Komisi v legislativním cyklu v roce 2024; v této souvislosti konstatuje, že v roce 2024 přijal Výbor 142 stanovisek a zpráv, což představuje pokles z 213 v roce 2023, a uspořádal 148 slyšení a 26 konferencí, oproti 146 slyšením a 24 konferencím v roce 2023; uznává, že vzhledem k zahajování nového volebního období v roce 2024 se snížil počet žádostí o vypracování stanoviska, a tím i počet stanovisek, která Výbor v tomto roce přijal; konstatuje, že se členové Výboru v roce 2024 zúčastnili 518 schůzí, summitů a konferencí na vysoké úrovni, oproti 429 v roce 2023; </w:t>
            </w:r>
            <w:r>
              <w:rPr>
                <w:b/>
                <w:i/>
              </w:rPr>
              <w:t>vybízí k prioritnímu zaměření na iniciativy, které podporují hospodářský růst, konkurenceschopnost a strategickou autonomii 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12</w:t>
      </w:r>
      <w:r>
        <w:rPr>
          <w:rStyle w:val="HideTWBExt"/>
        </w:rPr>
        <w:t>&lt;/NumAm&gt;</w:t>
      </w:r>
    </w:p>
    <w:p>
      <w:pPr>
        <w:pStyle w:val="NormalBold"/>
      </w:pPr>
      <w:r>
        <w:rPr>
          <w:rStyle w:val="HideTWBExt"/>
          <w:b w:val="0"/>
        </w:rPr>
        <w:t>&lt;RepeatBlock-By&gt;</w:t>
      </w:r>
      <w:r>
        <w:rPr>
          <w:rStyle w:val="HideTWBExt"/>
          <w:b w:val="0"/>
        </w:rPr>
        <w:t>&lt;Members&gt;</w:t>
      </w:r>
      <w:r>
        <w:t>Şerban Dimitrie Sturdza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13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13a.</w:t>
            </w:r>
            <w:r>
              <w:tab/>
            </w:r>
            <w:r>
              <w:rPr>
                <w:b/>
                <w:i/>
              </w:rPr>
              <w:t>vybízí Výbor, aby se i nadále snažil zaměřovat svou činnost na oblasti, v nichž může poskytnout jasné, měřitelné a politicky relevantní příspěvky, a aby dále rozvíjel ukazatele výkonnosti a dopadu, které lépe odrážejí výsledky a význam pro občany, nad rámec výstupů z činnosti;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13</w:t>
      </w:r>
      <w:r>
        <w:rPr>
          <w:rStyle w:val="HideTWBExt"/>
        </w:rPr>
        <w:t>&lt;/NumAm&gt;</w:t>
      </w:r>
    </w:p>
    <w:p>
      <w:pPr>
        <w:pStyle w:val="NormalBold"/>
      </w:pPr>
      <w:r>
        <w:rPr>
          <w:rStyle w:val="HideTWBExt"/>
          <w:b w:val="0"/>
        </w:rPr>
        <w:t>&lt;RepeatBlock-By&gt;</w:t>
      </w:r>
      <w:r>
        <w:rPr>
          <w:rStyle w:val="HideTWBExt"/>
          <w:b w:val="0"/>
        </w:rPr>
        <w:t>&lt;Members&gt;</w:t>
      </w:r>
      <w:r>
        <w:t>Michal Wiezik, Olivier Chastel, Vlad Vasile-Voiculescu, Gilles Boyer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na základě monitorovací zprávy vítá závazek Výboru vypracovat stanoviska k pracovním právům, sociálnímu začlenění a porušování lidských práv a rozšířit rozsah svých hodnocení, pokud jde o právní předpisy a programy Unie, za předpokladu, že budou k dispozici odpovídající zdroje;</w:t>
            </w:r>
          </w:p>
        </w:tc>
        <w:tc>
          <w:tcPr>
            <w:tcW w:w="4876" w:type="dxa"/>
            <w:tcBorders>
              <w:top w:val="nil"/>
              <w:left w:val="nil"/>
              <w:bottom w:val="nil"/>
              <w:right w:val="nil"/>
            </w:tcBorders>
          </w:tcPr>
          <w:p>
            <w:pPr>
              <w:pStyle w:val="Normal6a"/>
            </w:pPr>
            <w:r>
              <w:t>14.</w:t>
            </w:r>
            <w:r>
              <w:tab/>
            </w:r>
            <w:r>
              <w:t>na základě monitorovací zprávy vítá závazek Výboru vypracovat stanoviska k pracovním právům, sociálnímu začlenění a porušování lidských práv a rozšířit rozsah svých hodnocení, pokud jde o právní předpisy a programy Unie, za předpokladu, že budou k dispozici odpovídající zdroje</w:t>
            </w:r>
            <w:r>
              <w:rPr>
                <w:b/>
                <w:i/>
              </w:rPr>
              <w:t>, jak si vyžaduje široké spektrum občanské společnosti</w:t>
            </w:r>
            <w:r>
              <w:t xml:space="preserve">; </w:t>
            </w:r>
            <w:r>
              <w:rPr>
                <w:b/>
                <w:i/>
              </w:rPr>
              <w:t>vybízí Výbor, aby rozšířil oblast působnosti stanovisek na další právní předpisy Unie týkající se veřejných statků;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14</w:t>
      </w:r>
      <w:r>
        <w:rPr>
          <w:rStyle w:val="HideTWBExt"/>
        </w:rPr>
        <w:t>&lt;/NumAm&gt;</w:t>
      </w:r>
    </w:p>
    <w:p>
      <w:pPr>
        <w:pStyle w:val="NormalBold"/>
      </w:pPr>
      <w:r>
        <w:rPr>
          <w:rStyle w:val="HideTWBExt"/>
          <w:b w:val="0"/>
        </w:rPr>
        <w:t>&lt;RepeatBlock-By&gt;</w:t>
      </w:r>
      <w:r>
        <w:rPr>
          <w:rStyle w:val="HideTWBExt"/>
          <w:b w:val="0"/>
        </w:rPr>
        <w:t>&lt;Members&gt;</w:t>
      </w:r>
      <w:r>
        <w:t>Michal Wiezik, Olivier Chastel, Vlad Vasile-Voiculescu, Gilles Boyer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oceňuje opatření, která Výbor přijal v roce 2024 s cílem zlepšit posílení povědomí o přínosu své činnosti a její dopad v politickém a legislativním cyklu; vítá skutečnost, že v návaznosti na pilotní projekt byl oficiálně zaveden nový formát stanovisek vypracovávaných v reakci na povinné žádosti Parlamentu, Rady nebo Komise o vypracování stanoviska; konstatuje, že nový formát zlepšuje uživatelské vlastnosti a použitelnost pro normotvůrce a zároveň zlepšuje stanovení priorit v rámci činnosti Výboru; dále konstatuje, že díky posílené kontrole opatření přijatých v návaznosti na vybraná stanoviska prostřednictvím kontrolního seznamu a pokynů Výbor očekává, že si zachovají svou platnost i později, a že se stanou součástí víceúrovňových legislativních procesů; dále vítá začlenění stanovisek Výboru do unijního nástroje EU Law Tracker (EULT) od dubna 2024, která jsou nově uváděna jako odkazy v legislativních spisech; oceňuje, že Výbor rovněž přijal interní plán s cílem lépe předvídat priority Unie, zlepšit interinstitucionální koordinaci, posílit šíření informací a následná opatření a systematičtěji měřit dopad;</w:t>
            </w:r>
          </w:p>
        </w:tc>
        <w:tc>
          <w:tcPr>
            <w:tcW w:w="4876" w:type="dxa"/>
            <w:tcBorders>
              <w:top w:val="nil"/>
              <w:left w:val="nil"/>
              <w:bottom w:val="nil"/>
              <w:right w:val="nil"/>
            </w:tcBorders>
          </w:tcPr>
          <w:p>
            <w:pPr>
              <w:pStyle w:val="Normal6a"/>
            </w:pPr>
            <w:r>
              <w:t>15.</w:t>
            </w:r>
            <w:r>
              <w:tab/>
            </w:r>
            <w:r>
              <w:t>oceňuje opatření, která Výbor přijal v roce 2024 s cílem zlepšit posílení povědomí o přínosu své činnosti a její dopad v politickém a legislativním cyklu; vítá skutečnost, že v návaznosti na pilotní projekt byl oficiálně zaveden nový formát stanovisek vypracovávaných v reakci na povinné žádosti Parlamentu, Rady nebo Komise o vypracování stanoviska; konstatuje, že nový formát zlepšuje uživatelské vlastnosti a použitelnost pro normotvůrce a zároveň zlepšuje stanovení priorit v rámci činnosti Výboru; dále konstatuje, že díky posílené kontrole opatření přijatých v návaznosti na vybraná stanoviska prostřednictvím kontrolního seznamu a pokynů Výbor očekává, že si zachovají svou platnost i později, a že se stanou součástí víceúrovňových legislativních procesů; dále vítá začlenění stanovisek Výboru do unijního nástroje EU Law Tracker (EULT) od dubna 2024, která jsou nově uváděna jako odkazy v legislativních spisech; oceňuje, že Výbor rovněž přijal interní plán s cílem lépe předvídat priority Unie, zlepšit interinstitucionální koordinaci, posílit šíření informací a následná opatření a systematičtěji měřit dopad;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15</w:t>
      </w:r>
      <w:r>
        <w:rPr>
          <w:rStyle w:val="HideTWBExt"/>
        </w:rPr>
        <w:t>&lt;/NumAm&gt;</w:t>
      </w:r>
    </w:p>
    <w:p>
      <w:pPr>
        <w:pStyle w:val="NormalBold"/>
      </w:pPr>
      <w:r>
        <w:rPr>
          <w:rStyle w:val="HideTWBExt"/>
          <w:b w:val="0"/>
        </w:rPr>
        <w:t>&lt;RepeatBlock-By&gt;</w:t>
      </w:r>
      <w:r>
        <w:rPr>
          <w:rStyle w:val="HideTWBExt"/>
          <w:b w:val="0"/>
        </w:rPr>
        <w:t>&lt;Members&gt;</w:t>
      </w:r>
      <w:r>
        <w:t>Ondřej Knotek, Tamás Deutsch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15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15a.</w:t>
            </w:r>
            <w:r>
              <w:tab/>
            </w:r>
            <w:r>
              <w:rPr>
                <w:b/>
                <w:i/>
              </w:rPr>
              <w:t>oceňuje opatření, která Výbor přijal v roce 2024 s cílem zlepšit přístupnost, jasnost a použitelnost svých stanovisek pro orgány Unie;</w:t>
            </w:r>
            <w:r>
              <w:t xml:space="preserve"> </w:t>
            </w:r>
            <w:r>
              <w:rPr>
                <w:b/>
                <w:i/>
              </w:rPr>
              <w:t>zdůrazňuje, že tato opatření mají posílit schopnost zákonodárců přijímat informovaná rozhodnutí;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16</w:t>
      </w:r>
      <w:r>
        <w:rPr>
          <w:rStyle w:val="HideTWBExt"/>
        </w:rPr>
        <w:t>&lt;/NumAm&gt;</w:t>
      </w:r>
    </w:p>
    <w:p>
      <w:pPr>
        <w:pStyle w:val="NormalBold"/>
      </w:pPr>
      <w:r>
        <w:rPr>
          <w:rStyle w:val="HideTWBExt"/>
          <w:b w:val="0"/>
        </w:rPr>
        <w:t>&lt;RepeatBlock-By&gt;</w:t>
      </w:r>
      <w:r>
        <w:rPr>
          <w:rStyle w:val="HideTWBExt"/>
          <w:b w:val="0"/>
        </w:rPr>
        <w:t>&lt;Members&gt;</w:t>
      </w:r>
      <w:r>
        <w:t>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oceňuje pokrok, kterého Výbor dosáhl v několika stěžejních iniciativách, čímž posílil účast, začlenění a politický dopad v celé Unii; konstatuje, že Výbor od září 2024 převzal iniciativu při ověřování dopadu předpisů EU na mladé lidi ve svém procesu tvorby stanovisek, do něhož zapojil síť 73 mládežnických organizací a v rámci kterého bylo provedeno ověřování dopadu na mladé lidi zhruba u 40 stanovisek; dále konstatuje, že Výbor rozšířil své kontakty s kandidátskými zeměmi prostřednictvím iniciativy týkající se členů z kandidátských zemí, která umožňuje 146 zástupcům občanské společnosti přímo přispět k tvorbě stanovisek Výboru, a to prostřednictvím účasti ve studijních skupinách, na schůzích specializovaných sekcí i na plenárním zasedání (konaném v říjnu 2024); chválí Výbor za to, že pokročil ve své modré dohodě pro EU a pomohl zařadit vodohospodářskou odolnost na program Unie; poukazuje na to, že Výbor nadále zajišťoval vedení Evropské platformy zainteresovaných stran pro oběhové hospodářství a spolupořádal udílení cen EU za ekologickou produkci za rok 2024, přičemž posiloval vazby se subjekty občanské společnosti v ekologickém zemědělství;</w:t>
            </w:r>
          </w:p>
        </w:tc>
        <w:tc>
          <w:tcPr>
            <w:tcW w:w="4876" w:type="dxa"/>
            <w:tcBorders>
              <w:top w:val="nil"/>
              <w:left w:val="nil"/>
              <w:bottom w:val="nil"/>
              <w:right w:val="nil"/>
            </w:tcBorders>
          </w:tcPr>
          <w:p>
            <w:pPr>
              <w:pStyle w:val="Normal6a"/>
            </w:pPr>
            <w:r>
              <w:t>16.</w:t>
            </w:r>
            <w:r>
              <w:tab/>
            </w:r>
            <w:r>
              <w:t xml:space="preserve">oceňuje pokrok, kterého Výbor dosáhl v několika stěžejních iniciativách, čímž posílil účast, začlenění a politický dopad v celé Unii; konstatuje, že Výbor od září 2024 převzal iniciativu při ověřování dopadu předpisů EU na mladé lidi ve svém procesu tvorby stanovisek, do něhož zapojil síť 73 mládežnických organizací a v rámci kterého bylo provedeno ověřování dopadu na mladé lidi zhruba u 40 stanovisek; dále konstatuje, že Výbor rozšířil své kontakty s kandidátskými zeměmi prostřednictvím iniciativy týkající se členů z kandidátských zemí, která umožňuje 146 zástupcům občanské společnosti přímo přispět k tvorbě stanovisek Výboru, a to prostřednictvím účasti ve studijních skupinách, na schůzích specializovaných sekcí i na plenárním zasedání (konaném v říjnu 2024); </w:t>
            </w:r>
            <w:r>
              <w:rPr>
                <w:b/>
                <w:i/>
              </w:rPr>
              <w:t>vítá tuto iniciativu jako pozitivní příspěvek k inkluzivnímu dialogu a přípravě na budoucí rozšíření;</w:t>
            </w:r>
            <w:r>
              <w:t xml:space="preserve"> chválí Výbor za to, že pokročil ve své modré dohodě pro EU a pomohl zařadit vodohospodářskou odolnost na program Unie; poukazuje na to, že Výbor nadále zajišťoval vedení Evropské platformy zainteresovaných stran pro oběhové hospodářství a spolupořádal udílení cen EU za ekologickou produkci za rok 2024, přičemž posiloval vazby se subjekty občanské společnosti v ekologickém zemědělství; </w:t>
            </w:r>
            <w:r>
              <w:rPr>
                <w:b/>
                <w:i/>
              </w:rPr>
              <w:t>vybízí k soustavnému souladu se strategickými cíli EU na základě měřitelných výsledků;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17</w:t>
      </w:r>
      <w:r>
        <w:rPr>
          <w:rStyle w:val="HideTWBExt"/>
        </w:rPr>
        <w:t>&lt;/NumAm&gt;</w:t>
      </w:r>
    </w:p>
    <w:p>
      <w:pPr>
        <w:pStyle w:val="NormalBold"/>
      </w:pPr>
      <w:r>
        <w:rPr>
          <w:rStyle w:val="HideTWBExt"/>
          <w:b w:val="0"/>
        </w:rPr>
        <w:t>&lt;RepeatBlock-By&gt;</w:t>
      </w:r>
      <w:r>
        <w:rPr>
          <w:rStyle w:val="HideTWBExt"/>
          <w:b w:val="0"/>
        </w:rPr>
        <w:t>&lt;Members&gt;</w:t>
      </w:r>
      <w:r>
        <w:t>Csaba Molnár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oceňuje pokrok, kterého Výbor dosáhl v několika stěžejních iniciativách, čímž posílil účast, začlenění a politický dopad v celé Unii; konstatuje, že Výbor od září 2024 převzal iniciativu při ověřování dopadu předpisů EU na mladé lidi ve svém procesu tvorby stanovisek, do něhož zapojil síť 73 mládežnických organizací a v rámci kterého bylo provedeno ověřování dopadu na mladé lidi zhruba u 40 stanovisek; dále konstatuje, že Výbor rozšířil své kontakty s kandidátskými zeměmi prostřednictvím iniciativy týkající se členů z kandidátských zemí, která umožňuje 146 zástupcům občanské společnosti přímo přispět k tvorbě stanovisek Výboru, a to prostřednictvím účasti ve studijních skupinách, na schůzích specializovaných sekcí i na plenárním zasedání (konaném v říjnu 2024); chválí Výbor za to, že pokročil ve své modré dohodě pro EU a pomohl zařadit vodohospodářskou odolnost na program Unie; poukazuje na to, že Výbor nadále zajišťoval vedení Evropské platformy zainteresovaných stran pro oběhové hospodářství a spolupořádal udílení cen EU za ekologickou produkci za rok 2024, přičemž posiloval vazby se subjekty občanské společnosti v ekologickém zemědělství;</w:t>
            </w:r>
          </w:p>
        </w:tc>
        <w:tc>
          <w:tcPr>
            <w:tcW w:w="4876" w:type="dxa"/>
            <w:tcBorders>
              <w:top w:val="nil"/>
              <w:left w:val="nil"/>
              <w:bottom w:val="nil"/>
              <w:right w:val="nil"/>
            </w:tcBorders>
          </w:tcPr>
          <w:p>
            <w:pPr>
              <w:pStyle w:val="Normal6a"/>
            </w:pPr>
            <w:r>
              <w:t>16.</w:t>
            </w:r>
            <w:r>
              <w:tab/>
            </w:r>
            <w:r>
              <w:t>oceňuje pokrok, kterého Výbor dosáhl v několika stěžejních iniciativách, čímž posílil účast, začlenění a politický dopad v celé Unii; konstatuje, že Výbor od září 2024 převzal iniciativu při ověřování dopadu předpisů EU na mladé lidi ve svém procesu tvorby stanovisek, do něhož zapojil síť 73 mládežnických organizací a v rámci kterého bylo provedeno ověřování dopadu na mladé lidi zhruba u 40 stanovisek</w:t>
            </w:r>
            <w:r>
              <w:rPr>
                <w:b/>
                <w:i/>
              </w:rPr>
              <w:t>;</w:t>
            </w:r>
            <w:r>
              <w:t xml:space="preserve"> </w:t>
            </w:r>
            <w:r>
              <w:rPr>
                <w:b/>
                <w:i/>
              </w:rPr>
              <w:t>vítá a podporuje iniciativy Výboru zaměřené na posílení účasti mladých lidí na procesu tvorby politik</w:t>
            </w:r>
            <w:r>
              <w:t>; dále konstatuje, že Výbor rozšířil své kontakty s kandidátskými zeměmi prostřednictvím iniciativy týkající se členů z kandidátských zemí, která umožňuje 146 zástupcům občanské společnosti přímo přispět k tvorbě stanovisek Výboru, a to prostřednictvím účasti ve studijních skupinách, na schůzích specializovaných sekcí i na plenárním zasedání (konaném v říjnu 2024); chválí Výbor za to, že pokročil ve své modré dohodě pro EU a pomohl zařadit vodohospodářskou odolnost na program Unie; poukazuje na to, že Výbor nadále zajišťoval vedení Evropské platformy zainteresovaných stran pro oběhové hospodářství a spolupořádal udílení cen EU za ekologickou produkci za rok 2024, přičemž posiloval vazby se subjekty občanské společnosti v ekologickém zemědělství;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18</w:t>
      </w:r>
      <w:r>
        <w:rPr>
          <w:rStyle w:val="HideTWBExt"/>
        </w:rPr>
        <w:t>&lt;/NumAm&gt;</w:t>
      </w:r>
    </w:p>
    <w:p>
      <w:pPr>
        <w:pStyle w:val="NormalBold"/>
      </w:pPr>
      <w:r>
        <w:rPr>
          <w:rStyle w:val="HideTWBExt"/>
          <w:b w:val="0"/>
        </w:rPr>
        <w:t>&lt;RepeatBlock-By&gt;</w:t>
      </w:r>
      <w:r>
        <w:rPr>
          <w:rStyle w:val="HideTWBExt"/>
          <w:b w:val="0"/>
        </w:rPr>
        <w:t>&lt;Members&gt;</w:t>
      </w:r>
      <w:r>
        <w:t>Csaba Molnár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 xml:space="preserve">na základě dotazníku bere s uspokojením na vědomí opatření Výboru ke snížení administrativní zátěže a zefektivnění procesů v roce 2024; v tomto smyslu vítá mimo jiné spuštění nového, účinnějšího programu registrace návštěvníků, používání softwaru pro spolupráci některými zaměstnanci, pracovní skupinu napříč různými ředitelstvími, která řídí používání metodiky řízení obchodních procesů Výboru, zjednodušení ověřovacího procesu s ohledem na externě zadávané překlady, sloučení několika jazykových oddělení a zjednodušení pravidel komunikace Výboru; bere </w:t>
            </w:r>
            <w:r>
              <w:rPr>
                <w:b/>
                <w:i/>
              </w:rPr>
              <w:t>se zájmem</w:t>
            </w:r>
            <w:r>
              <w:t xml:space="preserve"> na vědomí, že Výbor v zájmu úspory zdrojů zahájil provádění pilotní fáze využití umělé inteligence (AI) k transformaci ředitelství pro překlady; vyzývá Výbor, aby orgán příslušný k udělení absolutoria průběžně informoval o pokroku v této záležitosti;</w:t>
            </w:r>
          </w:p>
        </w:tc>
        <w:tc>
          <w:tcPr>
            <w:tcW w:w="4876" w:type="dxa"/>
            <w:tcBorders>
              <w:top w:val="nil"/>
              <w:left w:val="nil"/>
              <w:bottom w:val="nil"/>
              <w:right w:val="nil"/>
            </w:tcBorders>
          </w:tcPr>
          <w:p>
            <w:pPr>
              <w:pStyle w:val="Normal6a"/>
            </w:pPr>
            <w:r>
              <w:t>17.</w:t>
            </w:r>
            <w:r>
              <w:tab/>
            </w:r>
            <w:r>
              <w:t xml:space="preserve">na základě dotazníku bere s uspokojením na vědomí opatření Výboru ke snížení administrativní zátěže a zefektivnění procesů v roce 2024; v tomto smyslu vítá mimo jiné spuštění nového, účinnějšího programu registrace návštěvníků, používání softwaru pro spolupráci některými zaměstnanci, pracovní skupinu napříč různými ředitelstvími, která řídí používání metodiky řízení obchodních procesů Výboru, zjednodušení ověřovacího procesu s ohledem na externě zadávané překlady, sloučení několika jazykových oddělení a zjednodušení pravidel komunikace Výboru; bere na vědomí, že Výbor v zájmu úspory zdrojů zahájil provádění pilotní fáze využití umělé inteligence (AI) k transformaci ředitelství pro překlady; </w:t>
            </w:r>
            <w:r>
              <w:rPr>
                <w:b/>
                <w:i/>
              </w:rPr>
              <w:t>zdůrazňuje, že využívání umělé inteligence musí probíhat pod lidským dohledem;</w:t>
            </w:r>
            <w:r>
              <w:t xml:space="preserve"> vyzývá Výbor, aby orgán příslušný k udělení absolutoria průběžně informoval o pokroku v této záležitosti;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19</w:t>
      </w:r>
      <w:r>
        <w:rPr>
          <w:rStyle w:val="HideTWBExt"/>
        </w:rPr>
        <w:t>&lt;/NumAm&gt;</w:t>
      </w:r>
    </w:p>
    <w:p>
      <w:pPr>
        <w:pStyle w:val="NormalBold"/>
      </w:pPr>
      <w:r>
        <w:rPr>
          <w:rStyle w:val="HideTWBExt"/>
          <w:b w:val="0"/>
        </w:rPr>
        <w:t>&lt;RepeatBlock-By&gt;</w:t>
      </w:r>
      <w:r>
        <w:rPr>
          <w:rStyle w:val="HideTWBExt"/>
          <w:b w:val="0"/>
        </w:rPr>
        <w:t>&lt;Members&gt;</w:t>
      </w:r>
      <w:r>
        <w:t>Michal Wiezik, Olivier Chastel, Vlad Vasile-Voiculescu, Gilles Boyer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17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17a.</w:t>
            </w:r>
            <w:r>
              <w:tab/>
            </w:r>
            <w:r>
              <w:rPr>
                <w:b/>
                <w:i/>
              </w:rPr>
              <w:t>vyzývá Výbor, aby více rozvíjel komplexní strategii digitální transformace, která bude zahrnovat umělou inteligenci, automatizaci, interoperabilitu a správu dat a bude doplněna etickým rámcem zajišťujícím bezpečné, odpovědné a transparentní využívání nových technologií;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20</w:t>
      </w:r>
      <w:r>
        <w:rPr>
          <w:rStyle w:val="HideTWBExt"/>
        </w:rPr>
        <w:t>&lt;/NumAm&gt;</w:t>
      </w:r>
    </w:p>
    <w:p>
      <w:pPr>
        <w:pStyle w:val="NormalBold"/>
      </w:pPr>
      <w:r>
        <w:rPr>
          <w:rStyle w:val="HideTWBExt"/>
          <w:b w:val="0"/>
        </w:rPr>
        <w:t>&lt;RepeatBlock-By&gt;</w:t>
      </w:r>
      <w:r>
        <w:rPr>
          <w:rStyle w:val="HideTWBExt"/>
          <w:b w:val="0"/>
        </w:rPr>
        <w:t>&lt;Members&gt;</w:t>
      </w:r>
      <w:r>
        <w:t>Csaba Molnár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na základě dotazníku bere se zájmem na vědomí snahu Výboru zaujmout strategičtější přístup k určování priorit v rámci své činnosti související s dopadem a začlenit řízení dopadu mezi ústřední faktory rozhodování; v této souvislosti bere na vědomí uspořádání tří strategických seminářů na vysoké úrovni s politickým vedením v letech 2024 a 2025, během nichž byla – kromě jiných cílů – v rámci výhledových studií vypracována kritéria pro stanovení či zrušení priorit u iniciativ a pro zajištění tematického sladění s dlouhodobými potřebami občanské společnosti; konstatuje, že toto stanovení priorit bude začleněno do hlavních činností Výboru, neboť bude prováděno každoročně a jednou za 2,5 roku bude doplněno přezkumem všech orgánů, činností a významných akcí Výboru;</w:t>
            </w:r>
          </w:p>
        </w:tc>
        <w:tc>
          <w:tcPr>
            <w:tcW w:w="4876" w:type="dxa"/>
            <w:tcBorders>
              <w:top w:val="nil"/>
              <w:left w:val="nil"/>
              <w:bottom w:val="nil"/>
              <w:right w:val="nil"/>
            </w:tcBorders>
          </w:tcPr>
          <w:p>
            <w:pPr>
              <w:pStyle w:val="Normal6a"/>
            </w:pPr>
            <w:r>
              <w:rPr>
                <w:i/>
              </w:rPr>
              <w:t>(Netýká se českého znění.)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21</w:t>
      </w:r>
      <w:r>
        <w:rPr>
          <w:rStyle w:val="HideTWBExt"/>
        </w:rPr>
        <w:t>&lt;/NumAm&gt;</w:t>
      </w:r>
    </w:p>
    <w:p>
      <w:pPr>
        <w:pStyle w:val="NormalBold"/>
      </w:pPr>
      <w:r>
        <w:rPr>
          <w:rStyle w:val="HideTWBExt"/>
          <w:b w:val="0"/>
        </w:rPr>
        <w:t>&lt;RepeatBlock-By&gt;</w:t>
      </w:r>
      <w:r>
        <w:rPr>
          <w:rStyle w:val="HideTWBExt"/>
          <w:b w:val="0"/>
        </w:rPr>
        <w:t>&lt;Members&gt;</w:t>
      </w:r>
      <w:r>
        <w:t>Michal Wiezik, Olivier Chastel, Vlad Vasile-Voiculescu, Gilles Boyer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 xml:space="preserve">pokud jde o plnění v roce 2024, konstatuje vysokou míru souladu s průměrnou mírou plnění 85 (87 % v roce 2023); vyjadřuje politování nad tím, že účinnost systému vnitřní kontroly klesla ze 78 % na 66 %; v této souvislosti poukazuje na rozdíl mezi formálním dodržováním předpisů a praktickou účinností každodenních operací; </w:t>
            </w:r>
            <w:r>
              <w:rPr>
                <w:b/>
                <w:i/>
              </w:rPr>
              <w:t>konstatuje, že je třeba vyvinout úsilí</w:t>
            </w:r>
            <w:r>
              <w:t xml:space="preserve"> mimo jiné </w:t>
            </w:r>
            <w:r>
              <w:rPr>
                <w:b/>
                <w:i/>
              </w:rPr>
              <w:t>v oblasti interní komunikace, zvyšování</w:t>
            </w:r>
            <w:r>
              <w:t xml:space="preserve"> povědomí o rizicích </w:t>
            </w:r>
            <w:r>
              <w:rPr>
                <w:b/>
                <w:i/>
              </w:rPr>
              <w:t>a</w:t>
            </w:r>
            <w:r>
              <w:t xml:space="preserve"> modernizace systémů správy dokumentů a informací; dále konstatuje, že v roce 2024 přijal Výbor revidované rozhodnutí o zjednodušení 23 typů ověřování, které vstoupilo v platnost v lednu 2025; vítá skutečnost, že – jak vyplývá z dotazníku – již provedené následné kontroly s ohledem na tato ověření potvrdily, že zjednodušení nepřineslo další rizika;</w:t>
            </w:r>
          </w:p>
        </w:tc>
        <w:tc>
          <w:tcPr>
            <w:tcW w:w="4876" w:type="dxa"/>
            <w:tcBorders>
              <w:top w:val="nil"/>
              <w:left w:val="nil"/>
              <w:bottom w:val="nil"/>
              <w:right w:val="nil"/>
            </w:tcBorders>
          </w:tcPr>
          <w:p>
            <w:pPr>
              <w:pStyle w:val="Normal6a"/>
            </w:pPr>
            <w:r>
              <w:t>19.</w:t>
            </w:r>
            <w:r>
              <w:tab/>
            </w:r>
            <w:r>
              <w:t xml:space="preserve">pokud jde o plnění v roce 2024, konstatuje vysokou míru souladu s průměrnou mírou plnění 85 (87 % v roce 2023); vyjadřuje politování nad tím, že účinnost systému vnitřní kontroly klesla ze 78 % na 66 %; v této souvislosti poukazuje na rozdíl mezi formálním dodržováním předpisů a praktickou účinností každodenních operací; </w:t>
            </w:r>
            <w:r>
              <w:rPr>
                <w:b/>
                <w:i/>
              </w:rPr>
              <w:t>vyzývá Výbor, aby se zabýval strukturálními příčinami poklesu účinnosti vnitřní kontroly,</w:t>
            </w:r>
            <w:r>
              <w:t xml:space="preserve"> mimo jiné </w:t>
            </w:r>
            <w:r>
              <w:rPr>
                <w:b/>
                <w:i/>
              </w:rPr>
              <w:t>zejména posílením kultury</w:t>
            </w:r>
            <w:r>
              <w:t xml:space="preserve"> povědomí o rizicích</w:t>
            </w:r>
            <w:r>
              <w:rPr>
                <w:b/>
                <w:i/>
              </w:rPr>
              <w:t>, zlepšením kanálů interní komunikace a urychlením</w:t>
            </w:r>
            <w:r>
              <w:t xml:space="preserve"> modernizace systémů správy dokumentů a informací; dále konstatuje, že v roce 2024 přijal Výbor revidované rozhodnutí o zjednodušení 23 typů ověřování, které vstoupilo v platnost v lednu 2025; vítá skutečnost, že – jak vyplývá z dotazníku – již provedené následné kontroly s ohledem na tato ověření potvrdily, že zjednodušení nepřineslo další rizika;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22</w:t>
      </w:r>
      <w:r>
        <w:rPr>
          <w:rStyle w:val="HideTWBExt"/>
        </w:rPr>
        <w:t>&lt;/NumAm&gt;</w:t>
      </w:r>
    </w:p>
    <w:p>
      <w:pPr>
        <w:pStyle w:val="NormalBold"/>
      </w:pPr>
      <w:r>
        <w:rPr>
          <w:rStyle w:val="HideTWBExt"/>
          <w:b w:val="0"/>
        </w:rPr>
        <w:t>&lt;RepeatBlock-By&gt;</w:t>
      </w:r>
      <w:r>
        <w:rPr>
          <w:rStyle w:val="HideTWBExt"/>
          <w:b w:val="0"/>
        </w:rPr>
        <w:t>&lt;Members&gt;</w:t>
      </w:r>
      <w:r>
        <w:t>Csaba Molnár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pokud jde o plnění v roce 2024, konstatuje vysokou míru souladu s průměrnou mírou plnění 85 (87 % v roce 2023); vyjadřuje politování nad tím, že účinnost systému vnitřní kontroly klesla ze 78 % na 66 %; v této souvislosti poukazuje na rozdíl mezi formálním dodržováním předpisů a praktickou účinností každodenních operací; konstatuje, že je třeba vyvinout úsilí mimo jiné v oblasti interní komunikace, zvyšování povědomí o rizicích a modernizace systémů správy dokumentů a informací; dále konstatuje, že v roce 2024 přijal Výbor revidované rozhodnutí o zjednodušení 23 typů ověřování, které vstoupilo v platnost v lednu 2025; vítá skutečnost, že – jak vyplývá z dotazníku – již provedené následné kontroly s ohledem na tato ověření potvrdily, že zjednodušení nepřineslo další rizika;</w:t>
            </w:r>
          </w:p>
        </w:tc>
        <w:tc>
          <w:tcPr>
            <w:tcW w:w="4876" w:type="dxa"/>
            <w:tcBorders>
              <w:top w:val="nil"/>
              <w:left w:val="nil"/>
              <w:bottom w:val="nil"/>
              <w:right w:val="nil"/>
            </w:tcBorders>
          </w:tcPr>
          <w:p>
            <w:pPr>
              <w:pStyle w:val="Normal6a"/>
            </w:pPr>
            <w:r>
              <w:t>19.</w:t>
            </w:r>
            <w:r>
              <w:tab/>
            </w:r>
            <w:r>
              <w:t xml:space="preserve">pokud jde o plnění v roce 2024, konstatuje vysokou míru souladu s průměrnou mírou plnění 85 </w:t>
            </w:r>
            <w:r>
              <w:rPr>
                <w:b/>
                <w:i/>
              </w:rPr>
              <w:t>%</w:t>
            </w:r>
            <w:r>
              <w:t xml:space="preserve"> (87 % v roce 2023); vyjadřuje politování nad tím, že účinnost systému vnitřní kontroly klesla ze 78 % na 66 %; v této souvislosti poukazuje na rozdíl mezi formálním dodržováním předpisů a praktickou účinností každodenních operací; konstatuje, že je třeba vyvinout úsilí mimo jiné v oblasti interní komunikace, zvyšování povědomí o rizicích a modernizace systémů správy dokumentů a informací; dále konstatuje, že v roce 2024 přijal Výbor revidované rozhodnutí o zjednodušení 23 typů ověřování, které vstoupilo v platnost v lednu 2025; vítá skutečnost, že – jak vyplývá z dotazníku – již provedené následné kontroly s ohledem na tato ověření potvrdily, že zjednodušení nepřineslo další rizika;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23</w:t>
      </w:r>
      <w:r>
        <w:rPr>
          <w:rStyle w:val="HideTWBExt"/>
        </w:rPr>
        <w:t>&lt;/NumAm&gt;</w:t>
      </w:r>
    </w:p>
    <w:p>
      <w:pPr>
        <w:pStyle w:val="NormalBold"/>
      </w:pPr>
      <w:r>
        <w:rPr>
          <w:rStyle w:val="HideTWBExt"/>
          <w:b w:val="0"/>
        </w:rPr>
        <w:t>&lt;RepeatBlock-By&gt;</w:t>
      </w:r>
      <w:r>
        <w:rPr>
          <w:rStyle w:val="HideTWBExt"/>
          <w:b w:val="0"/>
        </w:rPr>
        <w:t>&lt;Members&gt;</w:t>
      </w:r>
      <w:r>
        <w:t>Şerban Dimitrie Sturdza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bere na vědomí výroční zprávu Výboru o činnosti za rok 2024 („zpráva Výboru“), že v roce 2024 bylo provedeno pět nových auditů týkajících se příspěvku na vzdálenost a délku cesty, řízení rizik, žádosti o vypracování stanoviska, klíčových ukazatelů činnosti a výkonnosti a cestovních výdajů, které vyústily v celkem 14 doporučení; bere na vědomí zejména zjištění interního auditora, pokud jde o příspěvky na vzdálenost a délku cesty, jako je absence jasné definice „obvyklého místa pobytu“ a chybějící požadavky na podpůrnou dokumentaci; dále konstatuje, že 13 doporučení zůstalo na konci ledna 2025 otevřených; dále konstatuje, že sedm doporučení z předchozích auditů zůstává stále otevřených, zejména doporučení v oblasti etiky a bezúhonnosti, doby do úhrady, schvalování účasti na zasedání, delegátů Poradní komise pro průmyslové změny (CCMI) či strategického cyklu; v této souvislosti vítá skutečnost, že Výbor přijal nová pravidla pro schvalování účasti na zasedání, příspěvků a náhrad; vyzývá Výbor, aby nadále informoval orgán příslušný k udělení absolutoria o pokroku dosaženém při provádění všech doporučení</w:t>
            </w:r>
            <w:r>
              <w:rPr>
                <w:b/>
                <w:i/>
              </w:rPr>
              <w:t>, která nebyla dosud realizována</w:t>
            </w:r>
            <w:r>
              <w:t>;</w:t>
            </w:r>
          </w:p>
        </w:tc>
        <w:tc>
          <w:tcPr>
            <w:tcW w:w="4876" w:type="dxa"/>
            <w:tcBorders>
              <w:top w:val="nil"/>
              <w:left w:val="nil"/>
              <w:bottom w:val="nil"/>
              <w:right w:val="nil"/>
            </w:tcBorders>
          </w:tcPr>
          <w:p>
            <w:pPr>
              <w:pStyle w:val="Normal6a"/>
            </w:pPr>
            <w:r>
              <w:t>20.</w:t>
            </w:r>
            <w:r>
              <w:tab/>
            </w:r>
            <w:r>
              <w:t xml:space="preserve">bere na vědomí výroční zprávu Výboru o činnosti za rok 2024 („zpráva Výboru“), že v roce 2024 bylo provedeno pět nových auditů týkajících se příspěvku na vzdálenost a délku cesty, řízení rizik, žádosti o vypracování stanoviska, klíčových ukazatelů činnosti a výkonnosti a cestovních výdajů, které vyústily v celkem 14 doporučení; bere na vědomí zejména zjištění interního auditora, pokud jde o příspěvky na vzdálenost a délku cesty, jako je absence jasné definice „obvyklého místa pobytu“ a chybějící požadavky na podpůrnou dokumentaci; dále konstatuje, že 13 doporučení zůstalo na konci ledna 2025 otevřených; dále konstatuje, že sedm doporučení z předchozích auditů zůstává stále otevřených, zejména doporučení v oblasti etiky a bezúhonnosti, doby do úhrady, schvalování účasti na zasedání, delegátů Poradní komise pro průmyslové změny (CCMI) či strategického cyklu; v této souvislosti vítá skutečnost, že Výbor přijal nová pravidla pro schvalování účasti na zasedání, příspěvků a náhrad; vyzývá výbor, aby </w:t>
            </w:r>
            <w:r>
              <w:rPr>
                <w:b/>
                <w:i/>
              </w:rPr>
              <w:t>zajistil rychlé provedení všech zbývajících doporučení auditu, zejména těch, která se týkají příspěvků, etiky a integrity, a aby i</w:t>
            </w:r>
            <w:r>
              <w:t xml:space="preserve"> nadále informoval orgán příslušný k udělení absolutoria o pokroku dosaženém při provádění všech </w:t>
            </w:r>
            <w:r>
              <w:rPr>
                <w:b/>
                <w:i/>
              </w:rPr>
              <w:t>probíhajících</w:t>
            </w:r>
            <w:r>
              <w:t xml:space="preserve"> doporučení;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24</w:t>
      </w:r>
      <w:r>
        <w:rPr>
          <w:rStyle w:val="HideTWBExt"/>
        </w:rPr>
        <w:t>&lt;/NumAm&gt;</w:t>
      </w:r>
    </w:p>
    <w:p>
      <w:pPr>
        <w:pStyle w:val="NormalBold"/>
      </w:pPr>
      <w:r>
        <w:rPr>
          <w:rStyle w:val="HideTWBExt"/>
          <w:b w:val="0"/>
        </w:rPr>
        <w:t>&lt;RepeatBlock-By&gt;</w:t>
      </w:r>
      <w:r>
        <w:rPr>
          <w:rStyle w:val="HideTWBExt"/>
          <w:b w:val="0"/>
        </w:rPr>
        <w:t>&lt;Members&gt;</w:t>
      </w:r>
      <w:r>
        <w:t>Csaba Molnár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20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20a.</w:t>
            </w:r>
            <w:r>
              <w:tab/>
            </w:r>
            <w:r>
              <w:rPr>
                <w:b/>
                <w:i/>
              </w:rPr>
              <w:t>poukazuje na význam zadávání veřejných zakázek jako nástroje k prosazování cílů politik, včetně sociálních a environmentálních cílů;</w:t>
            </w:r>
            <w:r>
              <w:t xml:space="preserve"> </w:t>
            </w:r>
            <w:r>
              <w:rPr>
                <w:b/>
                <w:i/>
              </w:rPr>
              <w:t>vyzývá Výbor, aby více začleňoval strategická kritéria sociální odpovědnosti a environmentální udržitelnosti do svých zadávacích řízení;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25</w:t>
      </w:r>
      <w:r>
        <w:rPr>
          <w:rStyle w:val="HideTWBExt"/>
        </w:rPr>
        <w:t>&lt;/NumAm&gt;</w:t>
      </w:r>
    </w:p>
    <w:p>
      <w:pPr>
        <w:pStyle w:val="NormalBold"/>
      </w:pPr>
      <w:r>
        <w:rPr>
          <w:rStyle w:val="HideTWBExt"/>
          <w:b w:val="0"/>
        </w:rPr>
        <w:t>&lt;RepeatBlock-By&gt;</w:t>
      </w:r>
      <w:r>
        <w:rPr>
          <w:rStyle w:val="HideTWBExt"/>
          <w:b w:val="0"/>
        </w:rPr>
        <w:t>&lt;Members&gt;</w:t>
      </w:r>
      <w:r>
        <w:t>Csaba Molnár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 xml:space="preserve">konstatuje, že na konci roku 2024 zaměstnával Výbor 713 zaměstnanců, oproti 707 v roce 2023; dále konstatuje, že v roce 2024 bylo zaměstnáno 48 smluvních zaměstnanců a 144 dočasných zaměstnanců (42 z nich bylo přijato v roce 2024), ve srovnání s 49 smluvními zaměstnanci a 130 dočasnými zaměstnanci v roce 2023; zdůrazňuje, že </w:t>
            </w:r>
            <w:r>
              <w:rPr>
                <w:b/>
                <w:i/>
              </w:rPr>
              <w:t>pro udržení kvalifikovaných pracovníků, kontinuity a produktivního pracovního prostředí</w:t>
            </w:r>
            <w:r>
              <w:t xml:space="preserve"> je důležité uzavírat smlouvy na dobu neurčitou; dále konstatuje, že Výbor zaměstnával 10 poskytovatelů služeb a 14 externích pracovníků, kteří vykonávali svou práci v sídle Výboru, nemluvě o pracovnících v oboru stravování, údržby, bezpečnosti a ochrany; konstatuje, že obsazenost pracovních míst činila 96 % (95,5 % v roce 2023) a že míra fluktuace zaměstnanců v roce 2024 činila 5,6 % (pokles ze 7 % v roce 2023);</w:t>
            </w:r>
          </w:p>
        </w:tc>
        <w:tc>
          <w:tcPr>
            <w:tcW w:w="4876" w:type="dxa"/>
            <w:tcBorders>
              <w:top w:val="nil"/>
              <w:left w:val="nil"/>
              <w:bottom w:val="nil"/>
              <w:right w:val="nil"/>
            </w:tcBorders>
          </w:tcPr>
          <w:p>
            <w:pPr>
              <w:pStyle w:val="Normal6a"/>
            </w:pPr>
            <w:r>
              <w:t>21.</w:t>
            </w:r>
            <w:r>
              <w:tab/>
            </w:r>
            <w:r>
              <w:t>konstatuje, že na konci roku 2024 zaměstnával Výbor 713 zaměstnanců, oproti 707 v roce 2023; dále konstatuje, že v roce 2024 bylo zaměstnáno 48 smluvních zaměstnanců a 144 dočasných zaměstnanců (42 z nich bylo přijato v roce 2024), ve srovnání s 49 smluvními zaměstnanci a 130 dočasnými zaměstnanci v roce 2023; zdůrazňuje, že je důležité uzavírat smlouvy na dobu neurčitou</w:t>
            </w:r>
            <w:r>
              <w:rPr>
                <w:b/>
                <w:i/>
              </w:rPr>
              <w:t>, aby byly zachovány dovednosti, kontinuita a produktivní a stabilní pracovní prostředí, a varuje před nadměrnou závislostí na externích poskytovatelích služeb</w:t>
            </w:r>
            <w:r>
              <w:t>; dále konstatuje, že Výbor zaměstnával 10 poskytovatelů služeb a 14 externích pracovníků, kteří vykonávali svou práci v sídle Výboru, nemluvě o pracovnících v oboru stravování, údržby, bezpečnosti a ochrany; konstatuje, že obsazenost pracovních míst činila 96 % (95,5 % v roce 2023) a že míra fluktuace zaměstnanců v roce 2024 činila 5,6 % (pokles ze 7 % v roce 2023);</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26</w:t>
      </w:r>
      <w:r>
        <w:rPr>
          <w:rStyle w:val="HideTWBExt"/>
        </w:rPr>
        <w:t>&lt;/NumAm&gt;</w:t>
      </w:r>
    </w:p>
    <w:p>
      <w:pPr>
        <w:pStyle w:val="NormalBold"/>
      </w:pPr>
      <w:r>
        <w:rPr>
          <w:rStyle w:val="HideTWBExt"/>
          <w:b w:val="0"/>
        </w:rPr>
        <w:t>&lt;RepeatBlock-By&gt;</w:t>
      </w:r>
      <w:r>
        <w:rPr>
          <w:rStyle w:val="HideTWBExt"/>
          <w:b w:val="0"/>
        </w:rPr>
        <w:t>&lt;Members&gt;</w:t>
      </w:r>
      <w:r>
        <w:t>Dick Erixon, Joachim Stanisław Brudziński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 xml:space="preserve">bere na vědomí, že v roce 2024 Výbor zaměstnával pracovníky, kteří zastupovali všechny státní příslušnosti EU, přičemž některé z nich byly zastoupeny nadměrně; bere na vědomí, že 62,7 % zaměstnanců tvořily ženy a 37,3 % muži; na základě monitorovací zprávy bere na vědomí, že 52 % vedoucích pozic zaujímají ženy, čímž se Výbor v tomto ohledu řadí na přední místo; vyjadřuje však politování nad tím, že podíl žen ve vrcholném vedení zůstal v roce 2024 nízký vzhledem k tomu, že ženy v současné době zastávají pouze dvě ze sedmi pozic ve vrcholném vedení, stejně jako v roce 2023; </w:t>
            </w:r>
            <w:r>
              <w:rPr>
                <w:b/>
                <w:i/>
              </w:rPr>
              <w:t>uznává, že jedním z důvodů nízkého podílu žen na těchto pozicích je nízká míra fluktuace spojená s velikostí Výboru;</w:t>
            </w:r>
            <w:r>
              <w:t xml:space="preserve"> </w:t>
            </w:r>
            <w:r>
              <w:rPr>
                <w:b/>
                <w:i/>
              </w:rPr>
              <w:t>vítá závazek Výboru zvyšovat povědomí o této otázce mezi orgány oprávněnými ke jmenování, podporovat genderově vyvážené jmenování a zapojit se do cílených opatření prostřednictvím fóra žen a fóra vedoucích pracovníků, která podporují rozvoj manažerských schopností a kariérního růstu žen na středních úrovních vedení;</w:t>
            </w:r>
          </w:p>
        </w:tc>
        <w:tc>
          <w:tcPr>
            <w:tcW w:w="4876" w:type="dxa"/>
            <w:tcBorders>
              <w:top w:val="nil"/>
              <w:left w:val="nil"/>
              <w:bottom w:val="nil"/>
              <w:right w:val="nil"/>
            </w:tcBorders>
          </w:tcPr>
          <w:p>
            <w:pPr>
              <w:pStyle w:val="Normal6a"/>
            </w:pPr>
            <w:r>
              <w:t>24.</w:t>
            </w:r>
            <w:r>
              <w:tab/>
            </w:r>
            <w:r>
              <w:t>bere na vědomí, že v roce 2024 Výbor zaměstnával pracovníky, kteří zastupovali všechny státní příslušnosti EU, přičemž některé z nich byly zastoupeny nadměrně; bere na vědomí, že 62,7 % zaměstnanců tvořily ženy a 37,3 % muži; na základě monitorovací zprávy bere na vědomí, že 52 % vedoucích pozic zaujímají ženy, čímž se Výbor v tomto ohledu řadí na přední místo; vyjadřuje však politování nad tím, že podíl žen ve vrcholném vedení zůstal v roce 2024 nízký vzhledem k tomu, že ženy v současné době zastávají pouze dvě ze sedmi pozic ve vrcholném vedení, stejně jako v roce 2023;</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27</w:t>
      </w:r>
      <w:r>
        <w:rPr>
          <w:rStyle w:val="HideTWBExt"/>
        </w:rPr>
        <w:t>&lt;/NumAm&gt;</w:t>
      </w:r>
    </w:p>
    <w:p>
      <w:pPr>
        <w:pStyle w:val="NormalBold"/>
      </w:pPr>
      <w:r>
        <w:rPr>
          <w:rStyle w:val="HideTWBExt"/>
          <w:b w:val="0"/>
        </w:rPr>
        <w:t>&lt;RepeatBlock-By&gt;</w:t>
      </w:r>
      <w:r>
        <w:rPr>
          <w:rStyle w:val="HideTWBExt"/>
          <w:b w:val="0"/>
        </w:rPr>
        <w:t>&lt;Members&gt;</w:t>
      </w:r>
      <w:r>
        <w:t>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bere na vědomí, že v roce 2024 Výbor zaměstnával pracovníky, kteří zastupovali všechny státní příslušnosti EU, přičemž některé z nich byly zastoupeny nadměrně; bere na vědomí, že 62,7 % zaměstnanců tvořily ženy a 37,3 % muži; na základě monitorovací zprávy bere na vědomí, že 52 % vedoucích pozic zaujímají ženy, čímž se Výbor v tomto ohledu řadí na přední místo; vyjadřuje však politování nad tím, že podíl žen ve vrcholném vedení zůstal v roce 2024 nízký vzhledem k tomu, že ženy v současné době zastávají pouze dvě ze sedmi pozic ve vrcholném vedení, stejně jako v roce 2023; uznává, že jedním z důvodů nízkého podílu žen na těchto pozicích je nízká míra fluktuace spojená s velikostí Výboru; vítá závazek Výboru zvyšovat povědomí o této otázce mezi orgány oprávněnými ke jmenování, podporovat genderově vyvážené jmenování a zapojit se do cílených opatření prostřednictvím fóra žen a fóra vedoucích pracovníků, která podporují rozvoj manažerských schopností a kariérního růstu žen na středních úrovních vedení;</w:t>
            </w:r>
          </w:p>
        </w:tc>
        <w:tc>
          <w:tcPr>
            <w:tcW w:w="4876" w:type="dxa"/>
            <w:tcBorders>
              <w:top w:val="nil"/>
              <w:left w:val="nil"/>
              <w:bottom w:val="nil"/>
              <w:right w:val="nil"/>
            </w:tcBorders>
          </w:tcPr>
          <w:p>
            <w:pPr>
              <w:pStyle w:val="Normal6a"/>
            </w:pPr>
            <w:r>
              <w:t>24.</w:t>
            </w:r>
            <w:r>
              <w:tab/>
            </w:r>
            <w:r>
              <w:t xml:space="preserve">bere na vědomí, že v roce 2024 Výbor zaměstnával pracovníky, kteří zastupovali všechny státní příslušnosti EU, přičemž některé z nich byly zastoupeny nadměrně; bere na vědomí, že 62,7 % zaměstnanců tvořily ženy a 37,3 % muži; na základě monitorovací zprávy bere na vědomí, že 52 % vedoucích pozic zaujímají ženy, čímž se Výbor v tomto ohledu řadí na přední místo; vyjadřuje však politování nad tím, že podíl žen ve vrcholném vedení zůstal v roce 2024 nízký vzhledem k tomu, že ženy v současné době zastávají pouze dvě ze sedmi pozic ve vrcholném vedení, stejně jako v roce 2023; </w:t>
            </w:r>
            <w:r>
              <w:rPr>
                <w:b/>
                <w:i/>
              </w:rPr>
              <w:t>zaznamenává nedávné úspěchy v začleňování genderové rovnosti a rozmanitosti jako strategických priorit na podporu inkluzivní a ohleduplné kultury na pracovišti;</w:t>
            </w:r>
            <w:r>
              <w:t xml:space="preserve"> </w:t>
            </w:r>
            <w:r>
              <w:rPr>
                <w:b/>
                <w:i/>
              </w:rPr>
              <w:t>oceňuje provádění strategie a akčního plánu pro rozmanitost a inkluzi spolu s cílenými programy mentoringu a rozvoje vůdčích schopností pro ženy a nedostatečně zastoupené skupiny;</w:t>
            </w:r>
            <w:r>
              <w:t xml:space="preserve"> uznává, že jedním z důvodů nízkého podílu žen na těchto pozicích je nízká míra fluktuace spojená s velikostí Výboru; vítá závazek Výboru zvyšovat povědomí o této otázce mezi orgány oprávněnými ke jmenování, podporovat genderově vyvážené jmenování a zapojit se do cílených opatření prostřednictvím fóra žen a fóra vedoucích pracovníků, která podporují rozvoj manažerských schopností a kariérního růstu žen na středních úrovních vedení;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28</w:t>
      </w:r>
      <w:r>
        <w:rPr>
          <w:rStyle w:val="HideTWBExt"/>
        </w:rPr>
        <w:t>&lt;/NumAm&gt;</w:t>
      </w:r>
    </w:p>
    <w:p>
      <w:pPr>
        <w:pStyle w:val="NormalBold"/>
      </w:pPr>
      <w:r>
        <w:rPr>
          <w:rStyle w:val="HideTWBExt"/>
          <w:b w:val="0"/>
        </w:rPr>
        <w:t>&lt;RepeatBlock-By&gt;</w:t>
      </w:r>
      <w:r>
        <w:rPr>
          <w:rStyle w:val="HideTWBExt"/>
          <w:b w:val="0"/>
        </w:rPr>
        <w:t>&lt;Members&gt;</w:t>
      </w:r>
      <w:r>
        <w:t>Csaba Molnár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 xml:space="preserve">bere na vědomí, že v roce 2024 Výbor zaměstnával pracovníky, kteří zastupovali všechny státní příslušnosti EU, přičemž některé z nich byly zastoupeny nadměrně; bere na vědomí, že 62,7 % zaměstnanců tvořily ženy a 37,3 % muži; na základě monitorovací zprávy </w:t>
            </w:r>
            <w:r>
              <w:rPr>
                <w:b/>
                <w:i/>
              </w:rPr>
              <w:t>bere na vědomí</w:t>
            </w:r>
            <w:r>
              <w:t>, že 52 % vedoucích pozic zaujímají ženy, čímž se Výbor v tomto ohledu řadí na přední místo; vyjadřuje však politování nad tím, že podíl žen ve vrcholném vedení zůstal v roce 2024 nízký vzhledem k tomu, že ženy v současné době zastávají pouze dvě ze sedmi pozic ve vrcholném vedení, stejně jako v roce 2023; uznává, že jedním z důvodů nízkého podílu žen na těchto pozicích je nízká míra fluktuace spojená s velikostí Výboru; vítá závazek Výboru zvyšovat povědomí o této otázce mezi orgány oprávněnými ke jmenování, podporovat genderově vyvážené jmenování a zapojit se do cílených opatření prostřednictvím fóra žen a fóra vedoucích pracovníků, která podporují rozvoj manažerských schopností a kariérního růstu žen na středních úrovních vedení;</w:t>
            </w:r>
          </w:p>
        </w:tc>
        <w:tc>
          <w:tcPr>
            <w:tcW w:w="4876" w:type="dxa"/>
            <w:tcBorders>
              <w:top w:val="nil"/>
              <w:left w:val="nil"/>
              <w:bottom w:val="nil"/>
              <w:right w:val="nil"/>
            </w:tcBorders>
          </w:tcPr>
          <w:p>
            <w:pPr>
              <w:pStyle w:val="Normal6a"/>
            </w:pPr>
            <w:r>
              <w:t>24.</w:t>
            </w:r>
            <w:r>
              <w:tab/>
            </w:r>
            <w:r>
              <w:t xml:space="preserve">bere na vědomí, že v roce 2024 Výbor zaměstnával pracovníky, kteří zastupovali všechny státní příslušnosti EU, přičemž některé z nich byly zastoupeny nadměrně; bere na vědomí, že 62,7 % zaměstnanců tvořily ženy a 37,3 % muži; na základě monitorovací zprávy </w:t>
            </w:r>
            <w:r>
              <w:rPr>
                <w:b/>
                <w:i/>
              </w:rPr>
              <w:t>s uspokojením konstatuje</w:t>
            </w:r>
            <w:r>
              <w:t>, že 52 % vedoucích pozic zaujímají ženy, čímž se Výbor v tomto ohledu řadí na přední místo</w:t>
            </w:r>
            <w:r>
              <w:rPr>
                <w:b/>
                <w:i/>
              </w:rPr>
              <w:t>;</w:t>
            </w:r>
            <w:r>
              <w:t xml:space="preserve"> </w:t>
            </w:r>
            <w:r>
              <w:rPr>
                <w:b/>
                <w:i/>
              </w:rPr>
              <w:t>opakuje, že s potěšením bere na vědomí jmenování generální tajemnice v lednu 2024 jako pozitivní krok k dosažení vyváženého zastoupení žen a mužů</w:t>
            </w:r>
            <w:r>
              <w:t>; vyjadřuje však politování nad tím, že podíl žen ve vrcholném vedení zůstal v roce 2024 nízký vzhledem k tomu, že ženy v současné době zastávají pouze dvě ze sedmi pozic ve vrcholném vedení, stejně jako v roce 2023; uznává, že jedním z důvodů nízkého podílu žen na těchto pozicích je nízká míra fluktuace spojená s velikostí Výboru; vítá závazek Výboru zvyšovat povědomí o této otázce mezi orgány oprávněnými ke jmenování, podporovat genderově vyvážené jmenování a zapojit se do cílených opatření prostřednictvím fóra žen a fóra vedoucích pracovníků, která podporují rozvoj manažerských schopností a kariérního růstu žen na středních úrovních vedení;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29</w:t>
      </w:r>
      <w:r>
        <w:rPr>
          <w:rStyle w:val="HideTWBExt"/>
        </w:rPr>
        <w:t>&lt;/NumAm&gt;</w:t>
      </w:r>
    </w:p>
    <w:p>
      <w:pPr>
        <w:pStyle w:val="NormalBold"/>
      </w:pPr>
      <w:r>
        <w:rPr>
          <w:rStyle w:val="HideTWBExt"/>
          <w:b w:val="0"/>
        </w:rPr>
        <w:t>&lt;RepeatBlock-By&gt;</w:t>
      </w:r>
      <w:r>
        <w:rPr>
          <w:rStyle w:val="HideTWBExt"/>
          <w:b w:val="0"/>
        </w:rPr>
        <w:t>&lt;Members&gt;</w:t>
      </w:r>
      <w:r>
        <w:t>Csaba Molnár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25.</w:t>
            </w:r>
            <w:r>
              <w:tab/>
            </w:r>
            <w:r>
              <w:t>připomíná iniciativu Výboru zavést nový přístup ke strategickému plánování pracovních sil a přidělování zaměstnanců, která posílí shromažďování údajů o dovednostech zaměstnanců, aktivní naslouchání v celé organizaci a uvažování politických orgánů Výboru o strategických prioritách; na základě monitorovací zprávy bere na vědomí, že tento nový typ plánování bude zahájen pilotním projektem v omezeném počtu služeb vybraných na základě strategických priorit; vyzývá agenturu, aby orgán příslušný k udělení absolutoria průběžně informovala o pokroku v této záležitosti a následném vývoji;</w:t>
            </w:r>
          </w:p>
        </w:tc>
        <w:tc>
          <w:tcPr>
            <w:tcW w:w="4876" w:type="dxa"/>
            <w:tcBorders>
              <w:top w:val="nil"/>
              <w:left w:val="nil"/>
              <w:bottom w:val="nil"/>
              <w:right w:val="nil"/>
            </w:tcBorders>
          </w:tcPr>
          <w:p>
            <w:pPr>
              <w:pStyle w:val="Normal6a"/>
            </w:pPr>
            <w:r>
              <w:t>25.</w:t>
            </w:r>
            <w:r>
              <w:tab/>
            </w:r>
            <w:r>
              <w:t xml:space="preserve">připomíná iniciativu Výboru zavést nový přístup ke strategickému plánování pracovních sil a přidělování zaměstnanců, která posílí shromažďování údajů o dovednostech zaměstnanců, aktivní naslouchání v celé organizaci a uvažování politických orgánů Výboru o strategických prioritách; na základě monitorovací zprávy bere na vědomí, že tento nový typ plánování bude zahájen pilotním projektem v omezeném počtu služeb vybraných na základě strategických priorit; vyzývá agenturu, aby orgán příslušný k udělení absolutoria průběžně informovala o pokroku v této záležitosti a následném vývoji; </w:t>
            </w:r>
            <w:r>
              <w:rPr>
                <w:b/>
                <w:i/>
              </w:rPr>
              <w:t>zdůrazňuje význam strategického personálního plánování pro optimalizaci přidělování zdrojů a zajištění souladu s nejvyššími prioritami;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30</w:t>
      </w:r>
      <w:r>
        <w:rPr>
          <w:rStyle w:val="HideTWBExt"/>
        </w:rPr>
        <w:t>&lt;/NumAm&gt;</w:t>
      </w:r>
    </w:p>
    <w:p>
      <w:pPr>
        <w:pStyle w:val="NormalBold"/>
      </w:pPr>
      <w:r>
        <w:rPr>
          <w:rStyle w:val="HideTWBExt"/>
          <w:b w:val="0"/>
        </w:rPr>
        <w:t>&lt;RepeatBlock-By&gt;</w:t>
      </w:r>
      <w:r>
        <w:rPr>
          <w:rStyle w:val="HideTWBExt"/>
          <w:b w:val="0"/>
        </w:rPr>
        <w:t>&lt;Members&gt;</w:t>
      </w:r>
      <w:r>
        <w:t>Csaba Molnár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26.</w:t>
            </w:r>
            <w:r>
              <w:tab/>
            </w:r>
            <w:r>
              <w:t xml:space="preserve">vítá úsilí Výboru o vytvoření zdravého pracovního prostředí pro své zaměstnance; oceňuje zejména, že Výbor věnuje pozornost duševnímu a fyzickému zdraví zaměstnanců a že vynakládá úsilí na zvyšování povědomí o otázkách souvisejících se zdravím; bere na vědomí opatření Výboru týkající se řízení nemocenské dovolené, jako jsou částečné úvazky ze zdravotních důvodů či prodloužení práce na dálku, s cílem zajistit, aby se zaměstnanci, kteří jsou dlouhodobě nepřítomni z důvodu nemoci, včas vrátili do práce; bere na vědomí snížení celkového počtu evidovaných dnů pracovní neschopnosti o 7,5 % z </w:t>
            </w:r>
            <w:r>
              <w:rPr>
                <w:b/>
                <w:i/>
              </w:rPr>
              <w:t>10 552</w:t>
            </w:r>
            <w:r>
              <w:t xml:space="preserve"> dnů v roce 2023 na </w:t>
            </w:r>
            <w:r>
              <w:rPr>
                <w:b/>
                <w:i/>
              </w:rPr>
              <w:t>9 763</w:t>
            </w:r>
            <w:r>
              <w:t xml:space="preserve"> dnů v roce 2024, jakož i snížení míry absence ze 4,08 % v roce 2023 na 3,75 % v roce 2023 (nejnižší od roku 2021); vyjadřuje politování nad tím, že Výbor nebyl opět schopen poskytnout údaje o případech vyhoření; mezi argumenty Výboru uvádí, že zaměstnanci nemají povinnost předem poskytovat zdravotní údaje, že syndrom vyhoření není uznávanou lékařskou diagnózou a že příčiny syndromu vyhoření nemusí souviset s prací, a také poukazují na lékařské tajemství; bere na vědomí, že Výbor shromažďuje anonymizované statistické údaje o případech týkajících se duševního zdraví, avšak dostupné údaje neumožňují rozlišit mezi syndromem vyhoření souvisejícím s prací a jinými problémy, které s prací nesouvisejí; zdůrazňuje však, že vyhoření lze měřit i bez lékařských údajů, přičemž existují nástroje pro hodnocení pracovního vyhoření, které lze použít, a Evropská agentura pro bezpečnost a ochranu zdraví při práci (EU-OSHA) podporuje anonymní dotazníky pro měření faktorů stresu a vyhoření souvisejících s prací odděleně od duševních problémů nesouvisejících s prací; naléhavě žádá Výbor, aby shromažďování údajů o vyhoření pomocí lékařských nebo nelékařských nástrojů konzultoval rovněž s evropským inspektorem ochrany údajů (EDPS) a aby orgán příslušný k udělení absolutoria průběžně informoval o následných opatřeních</w:t>
            </w:r>
            <w:r>
              <w:rPr>
                <w:b/>
                <w:i/>
              </w:rPr>
              <w:t>;</w:t>
            </w:r>
          </w:p>
        </w:tc>
        <w:tc>
          <w:tcPr>
            <w:tcW w:w="4876" w:type="dxa"/>
            <w:tcBorders>
              <w:top w:val="nil"/>
              <w:left w:val="nil"/>
              <w:bottom w:val="nil"/>
              <w:right w:val="nil"/>
            </w:tcBorders>
          </w:tcPr>
          <w:p>
            <w:pPr>
              <w:pStyle w:val="Normal6a"/>
            </w:pPr>
            <w:r>
              <w:t>26.</w:t>
            </w:r>
            <w:r>
              <w:tab/>
            </w:r>
            <w:r>
              <w:t xml:space="preserve">vítá úsilí Výboru o vytvoření zdravého pracovního prostředí pro své zaměstnance; oceňuje zejména, že Výbor věnuje pozornost duševnímu a fyzickému zdraví zaměstnanců a že vynakládá úsilí na zvyšování povědomí o otázkách souvisejících se zdravím; bere na vědomí opatření Výboru týkající se řízení nemocenské dovolené, jako jsou částečné úvazky ze zdravotních důvodů či prodloužení práce na dálku, s cílem zajistit, aby se zaměstnanci, kteří jsou dlouhodobě nepřítomni z důvodu nemoci, včas vrátili do práce; bere na vědomí snížení celkového počtu evidovaných dnů pracovní neschopnosti o 7,5 % z </w:t>
            </w:r>
            <w:r>
              <w:rPr>
                <w:b/>
                <w:i/>
              </w:rPr>
              <w:t>10 552</w:t>
            </w:r>
            <w:r>
              <w:t xml:space="preserve"> dnů v roce 2023 na </w:t>
            </w:r>
            <w:r>
              <w:rPr>
                <w:b/>
                <w:i/>
              </w:rPr>
              <w:t>9 763</w:t>
            </w:r>
            <w:r>
              <w:t xml:space="preserve"> dnů v roce 2024, jakož i snížení míry absence ze 4,08 % v roce 2023 na 3,75 % v roce 2023 (nejnižší od roku 2021); vyjadřuje politování nad tím, že Výbor nebyl opět schopen poskytnout údaje o případech vyhoření; mezi argumenty Výboru uvádí, že zaměstnanci nemají povinnost předem poskytovat zdravotní údaje, že syndrom vyhoření není uznávanou lékařskou diagnózou a že příčiny syndromu vyhoření nemusí souviset s prací, a také poukazují na lékařské tajemství; bere na vědomí, že Výbor shromažďuje anonymizované statistické údaje o případech týkajících se duševního zdraví, avšak dostupné údaje neumožňují rozlišit mezi syndromem vyhoření souvisejícím s prací a jinými problémy, které s prací nesouvisejí; zdůrazňuje však, že vyhoření lze měřit i bez lékařských údajů, přičemž existují nástroje pro hodnocení pracovního vyhoření, které lze použít, a Evropská agentura pro bezpečnost a ochranu zdraví při práci (EU-OSHA) podporuje anonymní dotazníky pro měření faktorů stresu a vyhoření souvisejících s prací odděleně od duševních problémů nesouvisejících s prací; naléhavě žádá Výbor, aby shromažďování údajů o vyhoření pomocí lékařských nebo nelékařských nástrojů konzultoval rovněž s evropským inspektorem ochrany údajů (EDPS)</w:t>
            </w:r>
            <w:r>
              <w:rPr>
                <w:b/>
                <w:i/>
              </w:rPr>
              <w:t>, aby přijal konkrétní a rozhodné kroky k zajištění systematického zveřejňování údajů o případech vyhoření</w:t>
            </w:r>
            <w:r>
              <w:t> a aby orgán příslušný k udělení absolutoria průběžně informoval o následných opatřeních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31</w:t>
      </w:r>
      <w:r>
        <w:rPr>
          <w:rStyle w:val="HideTWBExt"/>
        </w:rPr>
        <w:t>&lt;/NumAm&gt;</w:t>
      </w:r>
    </w:p>
    <w:p>
      <w:pPr>
        <w:pStyle w:val="NormalBold"/>
      </w:pPr>
      <w:r>
        <w:rPr>
          <w:rStyle w:val="HideTWBExt"/>
          <w:b w:val="0"/>
        </w:rPr>
        <w:t>&lt;RepeatBlock-By&gt;</w:t>
      </w:r>
      <w:r>
        <w:rPr>
          <w:rStyle w:val="HideTWBExt"/>
          <w:b w:val="0"/>
        </w:rPr>
        <w:t>&lt;Members&gt;</w:t>
      </w:r>
      <w:r>
        <w:t>Csaba Molnár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28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28a.</w:t>
            </w:r>
            <w:r>
              <w:tab/>
            </w:r>
            <w:r>
              <w:rPr>
                <w:b/>
                <w:i/>
              </w:rPr>
              <w:t>oceňuje intenzivní strukturovaný sociální dialog v procesech organizačních změn v průběhu roku 2024;</w:t>
            </w:r>
            <w:r>
              <w:t xml:space="preserve"> </w:t>
            </w:r>
            <w:r>
              <w:rPr>
                <w:b/>
                <w:i/>
              </w:rPr>
              <w:t>vybízí Výbor, aby zachoval a dále posiloval systematické zapojení zástupců zaměstnanců do reforem souvisejících mimo jiné s digitalizací, vnitřní reorganizací a novými pracovními metodami;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32</w:t>
      </w:r>
      <w:r>
        <w:rPr>
          <w:rStyle w:val="HideTWBExt"/>
        </w:rPr>
        <w:t>&lt;/NumAm&gt;</w:t>
      </w:r>
    </w:p>
    <w:p>
      <w:pPr>
        <w:pStyle w:val="NormalBold"/>
      </w:pPr>
      <w:r>
        <w:rPr>
          <w:rStyle w:val="HideTWBExt"/>
          <w:b w:val="0"/>
        </w:rPr>
        <w:t>&lt;RepeatBlock-By&gt;</w:t>
      </w:r>
      <w:r>
        <w:rPr>
          <w:rStyle w:val="HideTWBExt"/>
          <w:b w:val="0"/>
        </w:rPr>
        <w:t>&lt;Members&gt;</w:t>
      </w:r>
      <w:r>
        <w:t>Csaba Molnár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31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31.</w:t>
            </w:r>
            <w:r>
              <w:tab/>
            </w:r>
            <w:r>
              <w:t>na základě dotazníku konstatuje, že v roce 2024 byly nahlášeny dva případy údajného obtěžování, které byly prošetřeny a uzavřeny v roce 2025, přičemž v jednom případě nebylo obtěžování zjištěno a ve druhém byla přijata formální omluva za nevhodné chování dotyčné osoby; dále bere na vědomí, že bylo přijato rozhodnutí v jiném případu, který byl předložen před rokem 2024 a týkal se obtěžování souvisejícího s kárným řízením; dále bere na vědomí, že v roce 2024 nebylo nahlášeno žádné sexuální obtěžování;</w:t>
            </w:r>
          </w:p>
        </w:tc>
        <w:tc>
          <w:tcPr>
            <w:tcW w:w="4876" w:type="dxa"/>
            <w:tcBorders>
              <w:top w:val="nil"/>
              <w:left w:val="nil"/>
              <w:bottom w:val="nil"/>
              <w:right w:val="nil"/>
            </w:tcBorders>
          </w:tcPr>
          <w:p>
            <w:pPr>
              <w:pStyle w:val="Normal6a"/>
            </w:pPr>
            <w:r>
              <w:t>31.</w:t>
            </w:r>
            <w:r>
              <w:tab/>
            </w:r>
            <w:r>
              <w:t xml:space="preserve">na základě dotazníku konstatuje, že v roce 2024 byly nahlášeny dva případy údajného obtěžování, které byly prošetřeny a uzavřeny v roce 2025, přičemž v jednom případě nebylo obtěžování zjištěno a ve druhém byla přijata formální omluva za nevhodné chování dotyčné osoby; dále bere na vědomí, že bylo přijato rozhodnutí v jiném případu, který byl předložen před rokem 2024 a týkal se obtěžování souvisejícího s kárným řízením; dále bere na vědomí, že v roce 2024 nebylo nahlášeno žádné sexuální obtěžování; </w:t>
            </w:r>
            <w:r>
              <w:rPr>
                <w:b/>
                <w:i/>
              </w:rPr>
              <w:t>opakuje, že je třeba uplatňovat politiku nulové tolerance vůči obtěžování, aby byla zajištěna ochrana dobrých pracovních podmínek zaměstnanců, a připomíná, že tuto povinnost má každý zaměstnavatel;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33</w:t>
      </w:r>
      <w:r>
        <w:rPr>
          <w:rStyle w:val="HideTWBExt"/>
        </w:rPr>
        <w:t>&lt;/NumAm&gt;</w:t>
      </w:r>
    </w:p>
    <w:p>
      <w:pPr>
        <w:pStyle w:val="NormalBold"/>
      </w:pPr>
      <w:r>
        <w:rPr>
          <w:rStyle w:val="HideTWBExt"/>
          <w:b w:val="0"/>
        </w:rPr>
        <w:t>&lt;RepeatBlock-By&gt;</w:t>
      </w:r>
      <w:r>
        <w:rPr>
          <w:rStyle w:val="HideTWBExt"/>
          <w:b w:val="0"/>
        </w:rPr>
        <w:t>&lt;Members&gt;</w:t>
      </w:r>
      <w:r>
        <w:t>Csaba Molnár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33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33.</w:t>
            </w:r>
            <w:r>
              <w:tab/>
            </w:r>
            <w:r>
              <w:t>konstatuje, že Výbor se v oblasti transparentnosti řadí na přední místo, neboť byl prvním subjektem, který se kromě původních signatářů připojil k rejstříku transparentnosti Unie; vítá opatření v oblasti transparentnosti přijatá Výborem, včetně doporučení, aby se členové Výboru setkávali pouze s registrovanými zúčastněnými stranami, povinnosti členů zveřejňovat svá zasedání na internetu a možnosti zpravodajů Výboru, a to i prostřednictvím pilotního projektu zahájeného v roce 2025, opatřit svá stanoviska „legislativní stopou“; konstatuje, že v současné době jsou stanoviska Výboru dostupná jako milníky v legislativních spisech v nástroji EU Law Tracker; dále s uspokojením bere na vědomí opatření Výboru v oblasti transparentnosti, pokud jde o jeho hlavní administrativní činnosti v oblastech, jako jsou finance, zadávání veřejných zakázek, lidské zdroje a přístup k dokumentům;</w:t>
            </w:r>
          </w:p>
        </w:tc>
        <w:tc>
          <w:tcPr>
            <w:tcW w:w="4876" w:type="dxa"/>
            <w:tcBorders>
              <w:top w:val="nil"/>
              <w:left w:val="nil"/>
              <w:bottom w:val="nil"/>
              <w:right w:val="nil"/>
            </w:tcBorders>
          </w:tcPr>
          <w:p>
            <w:pPr>
              <w:pStyle w:val="Normal6a"/>
            </w:pPr>
            <w:r>
              <w:t>33.</w:t>
            </w:r>
            <w:r>
              <w:tab/>
            </w:r>
            <w:r>
              <w:rPr>
                <w:b/>
                <w:i/>
              </w:rPr>
              <w:t>s uspokojením</w:t>
            </w:r>
            <w:r>
              <w:t xml:space="preserve"> konstatuje, že Výbor se v oblasti transparentnosti řadí na přední místo, neboť byl prvním subjektem, který se kromě původních signatářů připojil k rejstříku transparentnosti Unie; vítá opatření v oblasti transparentnosti přijatá Výborem, včetně doporučení, aby se členové Výboru setkávali pouze s registrovanými zúčastněnými stranami, povinnosti členů zveřejňovat svá zasedání na internetu a možnosti zpravodajů Výboru, a to i prostřednictvím pilotního projektu zahájeného v roce 2025, opatřit svá stanoviska „legislativní stopou“; konstatuje, že v současné době jsou stanoviska Výboru dostupná jako milníky v legislativních spisech v nástroji EU Law Tracker; dále s uspokojením bere na vědomí opatření Výboru v oblasti transparentnosti, pokud jde o jeho hlavní administrativní činnosti v oblastech, jako jsou finance, zadávání veřejných zakázek, lidské zdroje a přístup k dokumentům;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34</w:t>
      </w:r>
      <w:r>
        <w:rPr>
          <w:rStyle w:val="HideTWBExt"/>
        </w:rPr>
        <w:t>&lt;/NumAm&gt;</w:t>
      </w:r>
    </w:p>
    <w:p>
      <w:pPr>
        <w:pStyle w:val="NormalBold"/>
      </w:pPr>
      <w:r>
        <w:rPr>
          <w:rStyle w:val="HideTWBExt"/>
          <w:b w:val="0"/>
        </w:rPr>
        <w:t>&lt;RepeatBlock-By&gt;</w:t>
      </w:r>
      <w:r>
        <w:rPr>
          <w:rStyle w:val="HideTWBExt"/>
          <w:b w:val="0"/>
        </w:rPr>
        <w:t>&lt;Members&gt;</w:t>
      </w:r>
      <w:r>
        <w:t>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36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36.</w:t>
            </w:r>
            <w:r>
              <w:tab/>
            </w:r>
            <w:r>
              <w:t>na základě dotazníku konstatuje, že Výbor vypracoval návrh strategie pro boj proti podvodům, který byl předložen k meziútvarové konzultaci a k přijetí; vyzývá Výbor, aby informoval orgán příslušný k udělení absolutoria o následných opatřeních přijatých v tomto ohledu; vítá skutečnost, že Výbor uspořádal dvě školení týkající se informovanosti o podvodech a jejich prevenci při zadávání veřejných zakázek, která vedli zaměstnanci úřadu OLAF a kterých se zúčastnilo 21 účastníků, a jedno informační setkání uspořádané společně s úřadem EPPO, jehož cílem bylo seznámit zaměstnance Výboru s mandátem úřadu EPPO a poskytnout jim pokyny, jak hlásit případné případy úřadu EPPO;</w:t>
            </w:r>
          </w:p>
        </w:tc>
        <w:tc>
          <w:tcPr>
            <w:tcW w:w="4876" w:type="dxa"/>
            <w:tcBorders>
              <w:top w:val="nil"/>
              <w:left w:val="nil"/>
              <w:bottom w:val="nil"/>
              <w:right w:val="nil"/>
            </w:tcBorders>
          </w:tcPr>
          <w:p>
            <w:pPr>
              <w:pStyle w:val="Normal6a"/>
            </w:pPr>
            <w:r>
              <w:t>36.</w:t>
            </w:r>
            <w:r>
              <w:tab/>
            </w:r>
            <w:r>
              <w:t>na základě dotazníku konstatuje, že Výbor vypracoval návrh strategie pro boj proti podvodům, který byl předložen k meziútvarové konzultaci a k přijetí</w:t>
            </w:r>
            <w:r>
              <w:rPr>
                <w:b/>
                <w:i/>
              </w:rPr>
              <w:t>;</w:t>
            </w:r>
            <w:r>
              <w:t xml:space="preserve"> </w:t>
            </w:r>
            <w:r>
              <w:rPr>
                <w:b/>
                <w:i/>
              </w:rPr>
              <w:t>vítá doprovodný akční plán, v němž je uvedeno dvanáct konkrétních opatření, která mají být provedena od 4. čtvrtletí 2025 do 4. čtvrtletí 2027, včetně osvětových kampaní, politik odborné přípravy, modernizace metodik řízení rizik a vnitřní kontroly, integrace automatizovaných nástrojů pro odhalování podvodů, revidovaných dohod o spolupráci s úřadem OLAF a Úřadem evropského veřejného žalobce a aktualizovaných pravidel pro vnitřní vyšetřování</w:t>
            </w:r>
            <w:r>
              <w:t>; vyzývá Výbor, aby informoval orgán příslušný k udělení absolutoria o následných opatřeních přijatých v tomto ohledu; vítá skutečnost, že Výbor uspořádal dvě školení týkající se informovanosti o podvodech a jejich prevenci při zadávání veřejných zakázek, která vedli zaměstnanci úřadu OLAF a kterých se zúčastnilo 21 účastníků, a jedno informační setkání uspořádané společně s úřadem EPPO, jehož cílem bylo seznámit zaměstnance Výboru s mandátem úřadu EPPO a poskytnout jim pokyny, jak hlásit případné případy úřadu EPPO;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35</w:t>
      </w:r>
      <w:r>
        <w:rPr>
          <w:rStyle w:val="HideTWBExt"/>
        </w:rPr>
        <w:t>&lt;/NumAm&gt;</w:t>
      </w:r>
    </w:p>
    <w:p>
      <w:pPr>
        <w:pStyle w:val="NormalBold"/>
      </w:pPr>
      <w:r>
        <w:rPr>
          <w:rStyle w:val="HideTWBExt"/>
          <w:b w:val="0"/>
        </w:rPr>
        <w:t>&lt;RepeatBlock-By&gt;</w:t>
      </w:r>
      <w:r>
        <w:rPr>
          <w:rStyle w:val="HideTWBExt"/>
          <w:b w:val="0"/>
        </w:rPr>
        <w:t>&lt;Members&gt;</w:t>
      </w:r>
      <w:r>
        <w:t>Csaba Molnár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36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36.</w:t>
            </w:r>
            <w:r>
              <w:tab/>
            </w:r>
            <w:r>
              <w:t>na základě dotazníku konstatuje, že Výbor vypracoval návrh strategie pro boj proti podvodům, který byl předložen k meziútvarové konzultaci a k přijetí; vyzývá Výbor, aby informoval orgán příslušný k udělení absolutoria o následných opatřeních přijatých v tomto ohledu; vítá skutečnost, že Výbor uspořádal dvě školení týkající se informovanosti o podvodech a jejich prevenci při zadávání veřejných zakázek, která vedli zaměstnanci úřadu OLAF a kterých se zúčastnilo 21 účastníků, a jedno informační setkání uspořádané společně s úřadem EPPO, jehož cílem bylo seznámit zaměstnance Výboru s mandátem úřadu EPPO a poskytnout jim pokyny, jak hlásit případné případy úřadu EPPO;</w:t>
            </w:r>
          </w:p>
        </w:tc>
        <w:tc>
          <w:tcPr>
            <w:tcW w:w="4876" w:type="dxa"/>
            <w:tcBorders>
              <w:top w:val="nil"/>
              <w:left w:val="nil"/>
              <w:bottom w:val="nil"/>
              <w:right w:val="nil"/>
            </w:tcBorders>
          </w:tcPr>
          <w:p>
            <w:pPr>
              <w:pStyle w:val="Normal6a"/>
            </w:pPr>
            <w:r>
              <w:t>36.</w:t>
            </w:r>
            <w:r>
              <w:tab/>
            </w:r>
            <w:r>
              <w:t xml:space="preserve">na základě dotazníku </w:t>
            </w:r>
            <w:r>
              <w:rPr>
                <w:b/>
                <w:i/>
              </w:rPr>
              <w:t>s upokojením</w:t>
            </w:r>
            <w:r>
              <w:t xml:space="preserve"> konstatuje, že Výbor vypracoval </w:t>
            </w:r>
            <w:r>
              <w:rPr>
                <w:b/>
                <w:i/>
              </w:rPr>
              <w:t>na výzvu Parlamentu</w:t>
            </w:r>
            <w:r>
              <w:t xml:space="preserve"> návrh strategie pro boj proti podvodům, který byl předložen k meziútvarové konzultaci a k přijetí</w:t>
            </w:r>
            <w:r>
              <w:rPr>
                <w:b/>
                <w:i/>
              </w:rPr>
              <w:t>;</w:t>
            </w:r>
            <w:r>
              <w:t xml:space="preserve"> </w:t>
            </w:r>
            <w:r>
              <w:rPr>
                <w:b/>
                <w:i/>
              </w:rPr>
              <w:t>naléhavě vyzývá Výbor, aby kladl důraz na přijetí a provádění této strategie, včetně posouzení rizik, prevence, odhalování nesrovnalostí a následných opatření</w:t>
            </w:r>
            <w:r>
              <w:t>; vyzývá Výbor, aby informoval orgán příslušný k udělení absolutoria o následných opatřeních přijatých v tomto ohledu; vítá skutečnost, že Výbor uspořádal dvě školení týkající se informovanosti o podvodech a jejich prevenci při zadávání veřejných zakázek, která vedli zaměstnanci úřadu OLAF a kterých se zúčastnilo 21 účastníků, a jedno informační setkání uspořádané společně s úřadem EPPO, jehož cílem bylo seznámit zaměstnance Výboru s mandátem úřadu EPPO a poskytnout jim pokyny, jak hlásit případné případy úřadu EPPO;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36</w:t>
      </w:r>
      <w:r>
        <w:rPr>
          <w:rStyle w:val="HideTWBExt"/>
        </w:rPr>
        <w:t>&lt;/NumAm&gt;</w:t>
      </w:r>
    </w:p>
    <w:p>
      <w:pPr>
        <w:pStyle w:val="NormalBold"/>
      </w:pPr>
      <w:r>
        <w:rPr>
          <w:rStyle w:val="HideTWBExt"/>
          <w:b w:val="0"/>
        </w:rPr>
        <w:t>&lt;RepeatBlock-By&gt;</w:t>
      </w:r>
      <w:r>
        <w:rPr>
          <w:rStyle w:val="HideTWBExt"/>
          <w:b w:val="0"/>
        </w:rPr>
        <w:t>&lt;Members&gt;</w:t>
      </w:r>
      <w:r>
        <w:t>Michal Wiezik, Olivier Chastel, Vlad Vasile-Voiculescu, Gilles Boyer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36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36.</w:t>
            </w:r>
            <w:r>
              <w:tab/>
            </w:r>
            <w:r>
              <w:t>na základě dotazníku konstatuje, že Výbor vypracoval návrh strategie pro boj proti podvodům, který byl předložen k meziútvarové konzultaci a k přijetí; vyzývá Výbor, aby informoval orgán příslušný k udělení absolutoria o následných opatřeních přijatých v tomto ohledu; vítá skutečnost, že Výbor uspořádal dvě školení týkající se informovanosti o podvodech a jejich prevenci při zadávání veřejných zakázek, která vedli zaměstnanci úřadu OLAF a kterých se zúčastnilo 21 účastníků, a jedno informační setkání uspořádané společně s úřadem EPPO, jehož cílem bylo seznámit zaměstnance Výboru s mandátem úřadu EPPO a poskytnout jim pokyny, jak hlásit případné případy úřadu EPPO;</w:t>
            </w:r>
          </w:p>
        </w:tc>
        <w:tc>
          <w:tcPr>
            <w:tcW w:w="4876" w:type="dxa"/>
            <w:tcBorders>
              <w:top w:val="nil"/>
              <w:left w:val="nil"/>
              <w:bottom w:val="nil"/>
              <w:right w:val="nil"/>
            </w:tcBorders>
          </w:tcPr>
          <w:p>
            <w:pPr>
              <w:pStyle w:val="Normal6a"/>
            </w:pPr>
            <w:r>
              <w:t>36.</w:t>
            </w:r>
            <w:r>
              <w:tab/>
            </w:r>
            <w:r>
              <w:t xml:space="preserve">na základě dotazníku konstatuje, že Výbor vypracoval návrh strategie pro boj proti podvodům, který byl předložen k meziútvarové konzultaci a k přijetí; vyzývá Výbor, aby informoval orgán příslušný k udělení absolutoria o následných opatřeních přijatých v tomto ohledu; vítá skutečnost, že Výbor uspořádal dvě školení týkající se informovanosti o podvodech a jejich prevenci při zadávání veřejných zakázek, která vedli zaměstnanci úřadu OLAF a kterých se zúčastnilo 21 účastníků, a jedno informační setkání uspořádané společně s úřadem EPPO, jehož cílem bylo seznámit zaměstnance Výboru s mandátem úřadu EPPO a poskytnout jim pokyny, jak hlásit případné případy úřadu EPPO; </w:t>
            </w:r>
            <w:r>
              <w:rPr>
                <w:b/>
                <w:i/>
              </w:rPr>
              <w:t>doporučuje v této praxi pokračovat;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37</w:t>
      </w:r>
      <w:r>
        <w:rPr>
          <w:rStyle w:val="HideTWBExt"/>
        </w:rPr>
        <w:t>&lt;/NumAm&gt;</w:t>
      </w:r>
    </w:p>
    <w:p>
      <w:pPr>
        <w:pStyle w:val="NormalBold"/>
      </w:pPr>
      <w:r>
        <w:rPr>
          <w:rStyle w:val="HideTWBExt"/>
          <w:b w:val="0"/>
        </w:rPr>
        <w:t>&lt;RepeatBlock-By&gt;</w:t>
      </w:r>
      <w:r>
        <w:rPr>
          <w:rStyle w:val="HideTWBExt"/>
          <w:b w:val="0"/>
        </w:rPr>
        <w:t>&lt;Members&gt;</w:t>
      </w:r>
      <w:r>
        <w:t>Şerban Dimitrie Sturdza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37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37.</w:t>
            </w:r>
            <w:r>
              <w:tab/>
            </w:r>
            <w:r>
              <w:t xml:space="preserve">konstatuje, že kombinovaný rozpočet Výboru a VR na IT v roce 2022 činil </w:t>
            </w:r>
            <w:r>
              <w:rPr>
                <w:b/>
                <w:i/>
              </w:rPr>
              <w:t>13 700 000</w:t>
            </w:r>
            <w:r>
              <w:t xml:space="preserve"> EUR ve srovnání s </w:t>
            </w:r>
            <w:r>
              <w:rPr>
                <w:b/>
                <w:i/>
              </w:rPr>
              <w:t>12 700 000</w:t>
            </w:r>
            <w:r>
              <w:t xml:space="preserve"> EUR v roce 2023, což představuje nárůst o 7,87 %, přičemž </w:t>
            </w:r>
            <w:r>
              <w:rPr>
                <w:b/>
                <w:i/>
              </w:rPr>
              <w:t>760 000</w:t>
            </w:r>
            <w:r>
              <w:t xml:space="preserve"> EUR z tohoto rozpočtu (tedy 6 %) bylo v roce 2024 vynaloženo na kybernetickou bezpečnost; na základě dotazníku konstatuje, že financování projektů IT bylo ve srovnání s rokem 2023 navýšeno o </w:t>
            </w:r>
            <w:r>
              <w:rPr>
                <w:b/>
                <w:i/>
              </w:rPr>
              <w:t>109 000</w:t>
            </w:r>
            <w:r>
              <w:t xml:space="preserve"> EUR, což představuje 4% nárůst, a to především na podporu programu M365 Workplace a programu pro transformaci kybernetické bezpečnosti; dále konstatuje, že výdaje na vybavení vzrostly o </w:t>
            </w:r>
            <w:r>
              <w:rPr>
                <w:b/>
                <w:i/>
              </w:rPr>
              <w:t>117 000</w:t>
            </w:r>
            <w:r>
              <w:t xml:space="preserve"> EUR (tj. o 20 %), zejména v důsledku úprav cen a strategických investic do telefonní infrastruktury; bere na vědomí znepokojení Výboru nad tím, že je v oblasti digitalizace a kybernetické bezpečnosti strukturálně podfinancován; vyjadřuje v této souvislosti politování nad tím, že rozpočtový orgán nezahrnul do rozpočtu Unie na rok 2026 částku </w:t>
            </w:r>
            <w:r>
              <w:rPr>
                <w:b/>
                <w:i/>
              </w:rPr>
              <w:t>1 176 000</w:t>
            </w:r>
            <w:r>
              <w:t xml:space="preserve"> EUR, která je nezbytná k tomu, aby Výbor (a VR) provedl rozsáhlou modernizaci kybernetické bezpečnosti, čímž se stal cíl uvedený v nařízení (EU, Euratom) 2023/2841</w:t>
            </w:r>
            <w:r>
              <w:rPr>
                <w:vertAlign w:val="superscript"/>
              </w:rPr>
              <w:t>1</w:t>
            </w:r>
            <w:r>
              <w:t>věnovat přibližně 10 % svých celkových výdajů na IT na kybernetickou bezpečnost nedosažitelným;</w:t>
            </w:r>
          </w:p>
        </w:tc>
        <w:tc>
          <w:tcPr>
            <w:tcW w:w="4876" w:type="dxa"/>
            <w:tcBorders>
              <w:top w:val="nil"/>
              <w:left w:val="nil"/>
              <w:bottom w:val="nil"/>
              <w:right w:val="nil"/>
            </w:tcBorders>
          </w:tcPr>
          <w:p>
            <w:pPr>
              <w:pStyle w:val="Normal6a"/>
            </w:pPr>
            <w:r>
              <w:t>37.</w:t>
            </w:r>
            <w:r>
              <w:tab/>
            </w:r>
            <w:r>
              <w:t xml:space="preserve">konstatuje, že kombinovaný rozpočet Výboru a VR na IT v roce 2022 činil </w:t>
            </w:r>
            <w:r>
              <w:rPr>
                <w:b/>
                <w:i/>
              </w:rPr>
              <w:t>13 700 000</w:t>
            </w:r>
            <w:r>
              <w:t xml:space="preserve"> EUR ve srovnání s </w:t>
            </w:r>
            <w:r>
              <w:rPr>
                <w:b/>
                <w:i/>
              </w:rPr>
              <w:t>12 700 000</w:t>
            </w:r>
            <w:r>
              <w:t xml:space="preserve"> EUR v roce 2023, což představuje nárůst o 7,87 %, přičemž </w:t>
            </w:r>
            <w:r>
              <w:rPr>
                <w:b/>
                <w:i/>
              </w:rPr>
              <w:t>760 000</w:t>
            </w:r>
            <w:r>
              <w:t xml:space="preserve"> EUR z tohoto rozpočtu (tedy 6 %) bylo v roce 2024 vynaloženo na kybernetickou bezpečnost; na základě dotazníku konstatuje, že financování projektů IT bylo ve srovnání s rokem 2023 navýšeno o </w:t>
            </w:r>
            <w:r>
              <w:rPr>
                <w:b/>
                <w:i/>
              </w:rPr>
              <w:t>109 000</w:t>
            </w:r>
            <w:r>
              <w:t xml:space="preserve"> EUR, což představuje 4% nárůst, a to především na podporu programu M365 Workplace a programu pro transformaci kybernetické bezpečnosti; dále konstatuje, že výdaje na vybavení vzrostly o </w:t>
            </w:r>
            <w:r>
              <w:rPr>
                <w:b/>
                <w:i/>
              </w:rPr>
              <w:t>117 000</w:t>
            </w:r>
            <w:r>
              <w:t> EUR (tj. o 20 %), zejména v důsledku úprav cen a strategických investic do telefonní infrastruktury; bere na vědomí znepokojení Výboru nad tím, že je v oblasti digitalizace a kybernetické bezpečnosti strukturálně podfinancován</w:t>
            </w:r>
            <w:r>
              <w:rPr>
                <w:b/>
                <w:i/>
              </w:rPr>
              <w:t>, a varuje, že trvale nedostatečné investice do kybernetické bezpečnosti představují strukturální riziko pro integritu orgánů EU</w:t>
            </w:r>
            <w:r>
              <w:t xml:space="preserve">; vyjadřuje v této souvislosti politování nad tím, že rozpočtový orgán nezahrnul do rozpočtu Unie na rok 2026 částku </w:t>
            </w:r>
            <w:r>
              <w:rPr>
                <w:b/>
                <w:i/>
              </w:rPr>
              <w:t>1 176 000</w:t>
            </w:r>
            <w:r>
              <w:t> EUR, která je nezbytná k tomu, aby Výbor (a VR) provedl rozsáhlou modernizaci kybernetické bezpečnosti, čímž se stal cíl uvedený v nařízení (EU, Euratom) 2023/2841</w:t>
            </w:r>
            <w:r>
              <w:rPr>
                <w:vertAlign w:val="superscript"/>
              </w:rPr>
              <w:t>1</w:t>
            </w:r>
            <w:r>
              <w:t xml:space="preserve"> věnovat přibližně 10 % svých celkových výdajů na IT na kybernetickou bezpečnost nedosažitelným;</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w:t>
            </w:r>
            <w:r>
              <w:t xml:space="preserve"> </w:t>
            </w:r>
            <w:r>
              <w:t>Nařízení Evropského parlamentu a Rady (EU, Euratom) 2023/2841 ze dne 13. prosince 2023, kterým se stanoví opatření k zajištění vysoké společné úrovně kybernetické bezpečnosti v orgánech, institucích a jiných subjektech Unie (</w:t>
            </w:r>
            <w:r>
              <w:rPr>
                <w:b/>
                <w:i/>
              </w:rPr>
              <w:t>Úř. věst.</w:t>
            </w:r>
            <w:r>
              <w:t xml:space="preserve"> L, 2023/2841, 18.12.2023, ELI: http://data.europa.eu/eli/reg/2023/2841/oj).</w:t>
            </w:r>
          </w:p>
        </w:tc>
        <w:tc>
          <w:tcPr>
            <w:tcW w:w="4876" w:type="dxa"/>
            <w:tcBorders>
              <w:top w:val="nil"/>
              <w:left w:val="nil"/>
              <w:bottom w:val="nil"/>
              <w:right w:val="nil"/>
            </w:tcBorders>
          </w:tcPr>
          <w:p>
            <w:pPr>
              <w:pStyle w:val="Normal6a"/>
            </w:pPr>
            <w:r>
              <w:rPr>
                <w:vertAlign w:val="superscript"/>
              </w:rPr>
              <w:t>1</w:t>
            </w:r>
            <w:r>
              <w:t xml:space="preserve"> </w:t>
            </w:r>
            <w:r>
              <w:t>Nařízení Evropského parlamentu a Rady (EU, Euratom) 2023/2841 ze dne 13. prosince 2023, kterým se stanoví opatření k zajištění vysoké společné úrovně kybernetické bezpečnosti v orgánech, institucích a jiných subjektech Unie (</w:t>
            </w:r>
            <w:r>
              <w:rPr>
                <w:b/>
                <w:i/>
              </w:rPr>
              <w:t>OJ</w:t>
            </w:r>
            <w:r>
              <w:t xml:space="preserve"> L, 2023/2841, 18.12.2023, ELI: http://data.europa.eu/eli/reg/2023/2841/oj).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38</w:t>
      </w:r>
      <w:r>
        <w:rPr>
          <w:rStyle w:val="HideTWBExt"/>
        </w:rPr>
        <w:t>&lt;/NumAm&gt;</w:t>
      </w:r>
    </w:p>
    <w:p>
      <w:pPr>
        <w:pStyle w:val="NormalBold"/>
      </w:pPr>
      <w:r>
        <w:rPr>
          <w:rStyle w:val="HideTWBExt"/>
          <w:b w:val="0"/>
        </w:rPr>
        <w:t>&lt;RepeatBlock-By&gt;</w:t>
      </w:r>
      <w:r>
        <w:rPr>
          <w:rStyle w:val="HideTWBExt"/>
          <w:b w:val="0"/>
        </w:rPr>
        <w:t>&lt;Members&gt;</w:t>
      </w:r>
      <w:r>
        <w:t>Michal Wiezik, Olivier Chastel, Vlad Vasile-Voiculescu, Gilles Boyer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37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37.</w:t>
            </w:r>
            <w:r>
              <w:tab/>
            </w:r>
            <w:r>
              <w:t xml:space="preserve">konstatuje, že kombinovaný rozpočet Výboru a VR na IT v roce </w:t>
            </w:r>
            <w:r>
              <w:rPr>
                <w:b/>
                <w:i/>
              </w:rPr>
              <w:t>2022</w:t>
            </w:r>
            <w:r>
              <w:t xml:space="preserve"> činil </w:t>
            </w:r>
            <w:r>
              <w:rPr>
                <w:b/>
                <w:i/>
              </w:rPr>
              <w:t>13 700 000</w:t>
            </w:r>
            <w:r>
              <w:t xml:space="preserve"> EUR ve srovnání s </w:t>
            </w:r>
            <w:r>
              <w:rPr>
                <w:b/>
                <w:i/>
              </w:rPr>
              <w:t>12 700 000</w:t>
            </w:r>
            <w:r>
              <w:t xml:space="preserve"> EUR v roce 2023, což představuje nárůst o 7,87 %, přičemž </w:t>
            </w:r>
            <w:r>
              <w:rPr>
                <w:b/>
                <w:i/>
              </w:rPr>
              <w:t>760 000</w:t>
            </w:r>
            <w:r>
              <w:t xml:space="preserve"> EUR z tohoto rozpočtu (tedy 6 %) bylo v roce 2024 vynaloženo na kybernetickou bezpečnost; na základě dotazníku konstatuje, že financování projektů IT bylo ve srovnání s rokem 2023 navýšeno o </w:t>
            </w:r>
            <w:r>
              <w:rPr>
                <w:b/>
                <w:i/>
              </w:rPr>
              <w:t>109 000</w:t>
            </w:r>
            <w:r>
              <w:t xml:space="preserve"> EUR, což představuje 4% nárůst, a to především na podporu programu M365 Workplace a programu pro transformaci kybernetické bezpečnosti; dále konstatuje, že výdaje na vybavení vzrostly o </w:t>
            </w:r>
            <w:r>
              <w:rPr>
                <w:b/>
                <w:i/>
              </w:rPr>
              <w:t>117 000</w:t>
            </w:r>
            <w:r>
              <w:t xml:space="preserve"> EUR (tj. o 20 %), zejména v důsledku úprav cen a strategických investic do telefonní infrastruktury; bere na vědomí znepokojení Výboru nad tím, že je v oblasti digitalizace a kybernetické bezpečnosti strukturálně podfinancován; vyjadřuje v této souvislosti politování nad tím, že rozpočtový orgán nezahrnul do rozpočtu Unie na rok 2026 částku </w:t>
            </w:r>
            <w:r>
              <w:rPr>
                <w:b/>
                <w:i/>
              </w:rPr>
              <w:t>1 176 000</w:t>
            </w:r>
            <w:r>
              <w:t xml:space="preserve"> EUR, která je nezbytná k tomu, aby Výbor (a VR) provedl rozsáhlou modernizaci kybernetické bezpečnosti, čímž se stal cíl uvedený v nařízení (EU, Euratom) 2023/2841</w:t>
            </w:r>
            <w:r>
              <w:rPr>
                <w:vertAlign w:val="superscript"/>
              </w:rPr>
              <w:t>1</w:t>
            </w:r>
            <w:r>
              <w:t>věnovat přibližně 10 % svých celkových výdajů na IT na kybernetickou bezpečnost nedosažitelným;</w:t>
            </w:r>
          </w:p>
        </w:tc>
        <w:tc>
          <w:tcPr>
            <w:tcW w:w="4876" w:type="dxa"/>
            <w:tcBorders>
              <w:top w:val="nil"/>
              <w:left w:val="nil"/>
              <w:bottom w:val="nil"/>
              <w:right w:val="nil"/>
            </w:tcBorders>
          </w:tcPr>
          <w:p>
            <w:pPr>
              <w:pStyle w:val="Normal6a"/>
            </w:pPr>
            <w:r>
              <w:t>37.</w:t>
            </w:r>
            <w:r>
              <w:tab/>
            </w:r>
            <w:r>
              <w:t xml:space="preserve">konstatuje, že kombinovaný rozpočet Výboru a VR na IT v roce </w:t>
            </w:r>
            <w:r>
              <w:rPr>
                <w:b/>
                <w:i/>
              </w:rPr>
              <w:t>2024</w:t>
            </w:r>
            <w:r>
              <w:t xml:space="preserve"> činil </w:t>
            </w:r>
            <w:r>
              <w:rPr>
                <w:b/>
                <w:i/>
              </w:rPr>
              <w:t>13 700 000</w:t>
            </w:r>
            <w:r>
              <w:t xml:space="preserve"> EUR ve srovnání s </w:t>
            </w:r>
            <w:r>
              <w:rPr>
                <w:b/>
                <w:i/>
              </w:rPr>
              <w:t>12 700 000</w:t>
            </w:r>
            <w:r>
              <w:t xml:space="preserve"> EUR v roce 2023, což představuje nárůst o 7,87 %, přičemž </w:t>
            </w:r>
            <w:r>
              <w:rPr>
                <w:b/>
                <w:i/>
              </w:rPr>
              <w:t>760 000</w:t>
            </w:r>
            <w:r>
              <w:t xml:space="preserve"> EUR z tohoto rozpočtu (tedy 6 %) bylo v roce 2024 vynaloženo na kybernetickou bezpečnost; na základě dotazníku konstatuje, že financování projektů IT bylo ve srovnání s rokem 2023 navýšeno o </w:t>
            </w:r>
            <w:r>
              <w:rPr>
                <w:b/>
                <w:i/>
              </w:rPr>
              <w:t>109 000</w:t>
            </w:r>
            <w:r>
              <w:t xml:space="preserve"> EUR, což představuje 4% nárůst, a to především na podporu programu M365 Workplace a programu pro transformaci kybernetické bezpečnosti; dále konstatuje, že výdaje na vybavení vzrostly o </w:t>
            </w:r>
            <w:r>
              <w:rPr>
                <w:b/>
                <w:i/>
              </w:rPr>
              <w:t>117 000</w:t>
            </w:r>
            <w:r>
              <w:t xml:space="preserve"> EUR (tj. o 20 %), zejména v důsledku úprav cen a strategických investic do telefonní infrastruktury; bere na vědomí znepokojení Výboru nad tím, že je v oblasti digitalizace a kybernetické bezpečnosti strukturálně podfinancován; vyjadřuje v této souvislosti politování nad tím, že rozpočtový orgán nezahrnul do rozpočtu Unie na rok 2026 částku </w:t>
            </w:r>
            <w:r>
              <w:rPr>
                <w:b/>
                <w:i/>
              </w:rPr>
              <w:t>1 176 000</w:t>
            </w:r>
            <w:r>
              <w:t> EUR, která je nezbytná k tomu, aby Výbor (a VR) provedl rozsáhlou modernizaci kybernetické bezpečnosti, čímž se stal cíl uvedený v nařízení (EU, Euratom) 2023/2841</w:t>
            </w:r>
            <w:r>
              <w:rPr>
                <w:vertAlign w:val="superscript"/>
              </w:rPr>
              <w:t>1</w:t>
            </w:r>
            <w:r>
              <w:t xml:space="preserve"> věnovat přibližně 10 % svých celkových výdajů na IT na kybernetickou bezpečnost nedosažitelným; </w:t>
            </w:r>
            <w:r>
              <w:rPr>
                <w:b/>
                <w:i/>
              </w:rPr>
              <w:t>požaduje odpovídající finanční prostředky, které EHSV a Výboru regionů umožní provést v oblasti kybernetické bezpečnosti významnou modernizaci;</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w:t>
            </w:r>
            <w:r>
              <w:t xml:space="preserve"> </w:t>
            </w:r>
            <w:r>
              <w:t>Nařízení Evropského parlamentu a Rady (EU, Euratom) 2023/2841 ze dne 13. prosince 2023, kterým se stanoví opatření k zajištění vysoké společné úrovně kybernetické bezpečnosti v orgánech, institucích a jiných subjektech Unie (</w:t>
            </w:r>
            <w:r>
              <w:rPr>
                <w:b/>
                <w:i/>
              </w:rPr>
              <w:t>Úř. věst.</w:t>
            </w:r>
            <w:r>
              <w:t xml:space="preserve"> L, 2023/2841, 18.12.2023, ELI: http://data.europa.eu/eli/reg/2023/2841/oj).</w:t>
            </w:r>
          </w:p>
        </w:tc>
        <w:tc>
          <w:tcPr>
            <w:tcW w:w="4876" w:type="dxa"/>
            <w:tcBorders>
              <w:top w:val="nil"/>
              <w:left w:val="nil"/>
              <w:bottom w:val="nil"/>
              <w:right w:val="nil"/>
            </w:tcBorders>
          </w:tcPr>
          <w:p>
            <w:pPr>
              <w:pStyle w:val="Normal6a"/>
            </w:pPr>
            <w:r>
              <w:rPr>
                <w:vertAlign w:val="superscript"/>
              </w:rPr>
              <w:t>1</w:t>
            </w:r>
            <w:r>
              <w:t xml:space="preserve"> </w:t>
            </w:r>
            <w:r>
              <w:t>Nařízení Evropského parlamentu a Rady (EU, Euratom) 2023/2841 ze dne 13. prosince 2023, kterým se stanoví opatření k zajištění vysoké společné úrovně kybernetické bezpečnosti v orgánech, institucích a jiných subjektech Unie (</w:t>
            </w:r>
            <w:r>
              <w:rPr>
                <w:b/>
                <w:i/>
              </w:rPr>
              <w:t>OJ</w:t>
            </w:r>
            <w:r>
              <w:t xml:space="preserve"> L, 2023/2841, 18.12.2023, ELI: http://data.europa.eu/eli/reg/2023/2841/oj).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39</w:t>
      </w:r>
      <w:r>
        <w:rPr>
          <w:rStyle w:val="HideTWBExt"/>
        </w:rPr>
        <w:t>&lt;/NumAm&gt;</w:t>
      </w:r>
    </w:p>
    <w:p>
      <w:pPr>
        <w:pStyle w:val="NormalBold"/>
      </w:pPr>
      <w:r>
        <w:rPr>
          <w:rStyle w:val="HideTWBExt"/>
          <w:b w:val="0"/>
        </w:rPr>
        <w:t>&lt;RepeatBlock-By&gt;</w:t>
      </w:r>
      <w:r>
        <w:rPr>
          <w:rStyle w:val="HideTWBExt"/>
          <w:b w:val="0"/>
        </w:rPr>
        <w:t>&lt;Members&gt;</w:t>
      </w:r>
      <w:r>
        <w:t>Csaba Molnár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37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37.</w:t>
            </w:r>
            <w:r>
              <w:tab/>
            </w:r>
            <w:r>
              <w:t xml:space="preserve">konstatuje, že kombinovaný rozpočet Výboru a VR na IT v roce </w:t>
            </w:r>
            <w:r>
              <w:rPr>
                <w:b/>
                <w:i/>
              </w:rPr>
              <w:t>2022</w:t>
            </w:r>
            <w:r>
              <w:t xml:space="preserve"> činil </w:t>
            </w:r>
            <w:r>
              <w:rPr>
                <w:b/>
                <w:i/>
              </w:rPr>
              <w:t>13 700 000</w:t>
            </w:r>
            <w:r>
              <w:t xml:space="preserve"> EUR ve srovnání s </w:t>
            </w:r>
            <w:r>
              <w:rPr>
                <w:b/>
                <w:i/>
              </w:rPr>
              <w:t>12 700 000</w:t>
            </w:r>
            <w:r>
              <w:t xml:space="preserve"> EUR v roce 2023, což představuje nárůst o 7,87 %, přičemž </w:t>
            </w:r>
            <w:r>
              <w:rPr>
                <w:b/>
                <w:i/>
              </w:rPr>
              <w:t>760 000</w:t>
            </w:r>
            <w:r>
              <w:t xml:space="preserve"> EUR z tohoto rozpočtu (tedy 6 %) bylo v roce 2024 vynaloženo na kybernetickou bezpečnost; na základě dotazníku konstatuje, že financování projektů IT bylo ve srovnání s rokem 2023 navýšeno o </w:t>
            </w:r>
            <w:r>
              <w:rPr>
                <w:b/>
                <w:i/>
              </w:rPr>
              <w:t>109 000</w:t>
            </w:r>
            <w:r>
              <w:t xml:space="preserve"> EUR, což představuje 4% nárůst, a to především na podporu programu M365 Workplace a programu pro transformaci kybernetické bezpečnosti; dále konstatuje, že výdaje na vybavení vzrostly o </w:t>
            </w:r>
            <w:r>
              <w:rPr>
                <w:b/>
                <w:i/>
              </w:rPr>
              <w:t>117 000</w:t>
            </w:r>
            <w:r>
              <w:t xml:space="preserve"> EUR (tj. o 20 %), zejména v důsledku úprav cen a strategických investic do telefonní infrastruktury; bere na vědomí znepokojení Výboru nad tím, že je v oblasti digitalizace a kybernetické bezpečnosti strukturálně podfinancován; vyjadřuje v této souvislosti politování nad tím, že rozpočtový orgán nezahrnul do rozpočtu Unie na rok 2026 částku </w:t>
            </w:r>
            <w:r>
              <w:rPr>
                <w:b/>
                <w:i/>
              </w:rPr>
              <w:t>1 176 000</w:t>
            </w:r>
            <w:r>
              <w:t xml:space="preserve"> EUR, která je nezbytná k tomu, aby Výbor (a VR) provedl rozsáhlou modernizaci kybernetické bezpečnosti, čímž se stal cíl uvedený v nařízení (EU, Euratom) 2023/2841</w:t>
            </w:r>
            <w:r>
              <w:rPr>
                <w:vertAlign w:val="superscript"/>
              </w:rPr>
              <w:t>1</w:t>
            </w:r>
            <w:r>
              <w:t>věnovat přibližně 10 % svých celkových výdajů na IT na kybernetickou bezpečnost nedosažitelným;</w:t>
            </w:r>
          </w:p>
        </w:tc>
        <w:tc>
          <w:tcPr>
            <w:tcW w:w="4876" w:type="dxa"/>
            <w:tcBorders>
              <w:top w:val="nil"/>
              <w:left w:val="nil"/>
              <w:bottom w:val="nil"/>
              <w:right w:val="nil"/>
            </w:tcBorders>
          </w:tcPr>
          <w:p>
            <w:pPr>
              <w:pStyle w:val="Normal6a"/>
            </w:pPr>
            <w:r>
              <w:t>37.</w:t>
            </w:r>
            <w:r>
              <w:tab/>
            </w:r>
            <w:r>
              <w:t xml:space="preserve">konstatuje, že kombinovaný rozpočet Výboru a VR na IT v roce </w:t>
            </w:r>
            <w:r>
              <w:rPr>
                <w:b/>
                <w:i/>
              </w:rPr>
              <w:t>2024</w:t>
            </w:r>
            <w:r>
              <w:t xml:space="preserve"> činil </w:t>
            </w:r>
            <w:r>
              <w:rPr>
                <w:b/>
                <w:i/>
              </w:rPr>
              <w:t>13 700 000</w:t>
            </w:r>
            <w:r>
              <w:t xml:space="preserve"> EUR ve srovnání s </w:t>
            </w:r>
            <w:r>
              <w:rPr>
                <w:b/>
                <w:i/>
              </w:rPr>
              <w:t>12 700 000</w:t>
            </w:r>
            <w:r>
              <w:t xml:space="preserve"> EUR v roce 2023, což představuje nárůst o 7,87 %, přičemž </w:t>
            </w:r>
            <w:r>
              <w:rPr>
                <w:b/>
                <w:i/>
              </w:rPr>
              <w:t>760 000</w:t>
            </w:r>
            <w:r>
              <w:t xml:space="preserve"> EUR z tohoto rozpočtu (tedy 6 %) bylo v roce 2024 vynaloženo na kybernetickou bezpečnost; na základě dotazníku konstatuje, že financování projektů IT bylo ve srovnání s rokem 2023 navýšeno o </w:t>
            </w:r>
            <w:r>
              <w:rPr>
                <w:b/>
                <w:i/>
              </w:rPr>
              <w:t>109 000</w:t>
            </w:r>
            <w:r>
              <w:t xml:space="preserve"> EUR, což představuje 4% nárůst, a to především na podporu programu M365 Workplace a programu pro transformaci kybernetické bezpečnosti; dále konstatuje, že výdaje na vybavení vzrostly o </w:t>
            </w:r>
            <w:r>
              <w:rPr>
                <w:b/>
                <w:i/>
              </w:rPr>
              <w:t>117 000</w:t>
            </w:r>
            <w:r>
              <w:t xml:space="preserve"> EUR (tj. o 20 %), zejména v důsledku úprav cen a strategických investic do telefonní infrastruktury; bere na vědomí znepokojení Výboru nad tím, že je v oblasti digitalizace a kybernetické bezpečnosti strukturálně podfinancován; vyjadřuje v této souvislosti politování nad tím, že rozpočtový orgán nezahrnul do rozpočtu Unie na rok 2026 částku </w:t>
            </w:r>
            <w:r>
              <w:rPr>
                <w:b/>
                <w:i/>
              </w:rPr>
              <w:t>1 176 000</w:t>
            </w:r>
            <w:r>
              <w:t> EUR, která je nezbytná k tomu, aby Výbor (a VR) provedl rozsáhlou modernizaci kybernetické bezpečnosti, čímž se stal cíl uvedený v nařízení (EU, Euratom) 2023/2841</w:t>
            </w:r>
            <w:r>
              <w:rPr>
                <w:vertAlign w:val="superscript"/>
              </w:rPr>
              <w:t>1</w:t>
            </w:r>
            <w:r>
              <w:t xml:space="preserve"> věnovat přibližně 10 % svých celkových výdajů na IT na kybernetickou bezpečnost nedosažitelným;</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w:t>
            </w:r>
            <w:r>
              <w:t xml:space="preserve"> </w:t>
            </w:r>
            <w:r>
              <w:t>Nařízení Evropského parlamentu a Rady (EU, Euratom) 2023/2841 ze dne 13. prosince 2023, kterým se stanoví opatření k zajištění vysoké společné úrovně kybernetické bezpečnosti v orgánech, institucích a jiných subjektech Unie (</w:t>
            </w:r>
            <w:r>
              <w:rPr>
                <w:b/>
                <w:i/>
              </w:rPr>
              <w:t>Úř. věst.</w:t>
            </w:r>
            <w:r>
              <w:t xml:space="preserve"> L, 2023/2841, 18.12.2023, ELI: http://data.europa.eu/eli/reg/2023/2841/oj).</w:t>
            </w:r>
          </w:p>
        </w:tc>
        <w:tc>
          <w:tcPr>
            <w:tcW w:w="4876" w:type="dxa"/>
            <w:tcBorders>
              <w:top w:val="nil"/>
              <w:left w:val="nil"/>
              <w:bottom w:val="nil"/>
              <w:right w:val="nil"/>
            </w:tcBorders>
          </w:tcPr>
          <w:p>
            <w:pPr>
              <w:pStyle w:val="Normal6a"/>
            </w:pPr>
            <w:r>
              <w:rPr>
                <w:vertAlign w:val="superscript"/>
              </w:rPr>
              <w:t>1</w:t>
            </w:r>
            <w:r>
              <w:t xml:space="preserve"> </w:t>
            </w:r>
            <w:r>
              <w:t>Nařízení Evropského parlamentu a Rady (EU, Euratom) 2023/2841 ze dne 13. prosince 2023, kterým se stanoví opatření k zajištění vysoké společné úrovně kybernetické bezpečnosti v orgánech, institucích a jiných subjektech Unie (</w:t>
            </w:r>
            <w:r>
              <w:rPr>
                <w:b/>
                <w:i/>
              </w:rPr>
              <w:t>OJ</w:t>
            </w:r>
            <w:r>
              <w:t xml:space="preserve"> L, 2023/2841, 18.12.2023, ELI: http://data.europa.eu/eli/reg/2023/2841/oj).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40</w:t>
      </w:r>
      <w:r>
        <w:rPr>
          <w:rStyle w:val="HideTWBExt"/>
        </w:rPr>
        <w:t>&lt;/NumAm&gt;</w:t>
      </w:r>
    </w:p>
    <w:p>
      <w:pPr>
        <w:pStyle w:val="NormalBold"/>
      </w:pPr>
      <w:r>
        <w:rPr>
          <w:rStyle w:val="HideTWBExt"/>
          <w:b w:val="0"/>
        </w:rPr>
        <w:t>&lt;RepeatBlock-By&gt;</w:t>
      </w:r>
      <w:r>
        <w:rPr>
          <w:rStyle w:val="HideTWBExt"/>
          <w:b w:val="0"/>
        </w:rPr>
        <w:t>&lt;Members&gt;</w:t>
      </w:r>
      <w:r>
        <w:t>Michal Wiezik, Olivier Chastel, Vlad Vasile-Voiculescu, Gilles Boyer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43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43.</w:t>
            </w:r>
            <w:r>
              <w:tab/>
            </w:r>
            <w:r>
              <w:t>chválí úsilí Výboru v roce 2024 zajistit, aby si zaměstnanci osvojili digitální dovednosti potřebné pro stále více digitalizované pracovní prostředí, jakož i za provádění cílených informačních kampaní, nabídku komplexního vzdělávacího a výcvikového programu a udržování aktuální znalostní databáze IT s rozhraním využívajícím umělou inteligenci na podporu rozvoje zaměstnanců;</w:t>
            </w:r>
          </w:p>
        </w:tc>
        <w:tc>
          <w:tcPr>
            <w:tcW w:w="4876" w:type="dxa"/>
            <w:tcBorders>
              <w:top w:val="nil"/>
              <w:left w:val="nil"/>
              <w:bottom w:val="nil"/>
              <w:right w:val="nil"/>
            </w:tcBorders>
          </w:tcPr>
          <w:p>
            <w:pPr>
              <w:pStyle w:val="Normal6a"/>
            </w:pPr>
            <w:r>
              <w:t>43.</w:t>
            </w:r>
            <w:r>
              <w:tab/>
            </w:r>
            <w:r>
              <w:t xml:space="preserve">chválí úsilí Výboru v roce 2024 zajistit, aby si zaměstnanci osvojili digitální dovednosti potřebné pro stále více digitalizované pracovní prostředí, jakož i za provádění cílených informačních kampaní, nabídku komplexního vzdělávacího a výcvikového programu a udržování aktuální znalostní databáze IT s rozhraním využívajícím umělou inteligenci na podporu rozvoje zaměstnanců; </w:t>
            </w:r>
            <w:r>
              <w:rPr>
                <w:b/>
                <w:i/>
              </w:rPr>
              <w:t>vybízí k odborné přípravě pracovníků v oblasti kybernetické bezpečnosti a bezpečného, etického a účinného využívání umělé inteligence;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41</w:t>
      </w:r>
      <w:r>
        <w:rPr>
          <w:rStyle w:val="HideTWBExt"/>
        </w:rPr>
        <w:t>&lt;/NumAm&gt;</w:t>
      </w:r>
    </w:p>
    <w:p>
      <w:pPr>
        <w:pStyle w:val="NormalBold"/>
      </w:pPr>
      <w:r>
        <w:rPr>
          <w:rStyle w:val="HideTWBExt"/>
          <w:b w:val="0"/>
        </w:rPr>
        <w:t>&lt;RepeatBlock-By&gt;</w:t>
      </w:r>
      <w:r>
        <w:rPr>
          <w:rStyle w:val="HideTWBExt"/>
          <w:b w:val="0"/>
        </w:rPr>
        <w:t>&lt;Members&gt;</w:t>
      </w:r>
      <w:r>
        <w:t>Csaba Molnár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49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49.</w:t>
            </w:r>
            <w:r>
              <w:tab/>
            </w:r>
            <w:r>
              <w:t xml:space="preserve">na základě dotazníku bere na vědomí pokles spotřeby elektřiny (−19 %), plynu (−13 %) a vody (−12 %) a zvýšení spotřeby papíru (+1 </w:t>
            </w:r>
            <w:r>
              <w:rPr>
                <w:b/>
                <w:i/>
              </w:rPr>
              <w:t>%) a objemu odpadu (−12</w:t>
            </w:r>
            <w:r>
              <w:t xml:space="preserve"> %) v roce 2024 ve srovnání s rokem 2023; vítá další snížení emisí uhlíku v přepočtu na plné pracovní úvazky o 4,3 % (emise z cest členů Výboru nejsou zahrnuty) ve stejném období; na základě dotazníku bere na vědomí opatření Výboru na podporu udržitelnějších možností cestování mezi jeho zaměstnanci a členy a probíhající revizi průvodce pracovními cestami pro zaměstnance, jejíž klíčovou součástí bude environmentální stopa; vítá další zaměření Výboru na nakládání s odpady a recyklaci s cílem podpořit kulturu snižování množství odpadu a účinného využívání zdrojů;</w:t>
            </w:r>
          </w:p>
        </w:tc>
        <w:tc>
          <w:tcPr>
            <w:tcW w:w="4876" w:type="dxa"/>
            <w:tcBorders>
              <w:top w:val="nil"/>
              <w:left w:val="nil"/>
              <w:bottom w:val="nil"/>
              <w:right w:val="nil"/>
            </w:tcBorders>
          </w:tcPr>
          <w:p>
            <w:pPr>
              <w:pStyle w:val="Normal6a"/>
            </w:pPr>
            <w:r>
              <w:t>49.</w:t>
            </w:r>
            <w:r>
              <w:tab/>
            </w:r>
            <w:r>
              <w:t>na základě dotazníku bere na vědomí pokles spotřeby elektřiny (−19 %), plynu (−13 %) a vody (−12 %)</w:t>
            </w:r>
            <w:r>
              <w:rPr>
                <w:b/>
                <w:i/>
              </w:rPr>
              <w:t>, snížení objemu odpadu (−12 %)</w:t>
            </w:r>
            <w:r>
              <w:t xml:space="preserve"> a zvýšení spotřeby papíru (+1 %) v roce 2024 ve srovnání s rokem 2023; vítá další snížení emisí uhlíku v přepočtu na plné pracovní úvazky o 4,3 % (emise z cest členů Výboru nejsou zahrnuty) ve stejném období; na základě dotazníku bere na vědomí opatření Výboru na podporu udržitelnějších možností cestování mezi jeho zaměstnanci a členy a probíhající revizi průvodce pracovními cestami pro zaměstnance, jejíž klíčovou součástí bude environmentální stopa; vítá další zaměření Výboru na nakládání s odpady a recyklaci s cílem podpořit kulturu snižování množství odpadu a účinného využívání zdrojů;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42</w:t>
      </w:r>
      <w:r>
        <w:rPr>
          <w:rStyle w:val="HideTWBExt"/>
        </w:rPr>
        <w:t>&lt;/NumAm&gt;</w:t>
      </w:r>
    </w:p>
    <w:p>
      <w:pPr>
        <w:pStyle w:val="NormalBold"/>
      </w:pPr>
      <w:r>
        <w:rPr>
          <w:rStyle w:val="HideTWBExt"/>
          <w:b w:val="0"/>
        </w:rPr>
        <w:t>&lt;RepeatBlock-By&gt;</w:t>
      </w:r>
      <w:r>
        <w:rPr>
          <w:rStyle w:val="HideTWBExt"/>
          <w:b w:val="0"/>
        </w:rPr>
        <w:t>&lt;Members&gt;</w:t>
      </w:r>
      <w:r>
        <w:t>Dick Erixon, Şerban Dimitrie Sturdza, Joachim Stanisław Brudziński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50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50.</w:t>
            </w:r>
            <w:r>
              <w:tab/>
            </w:r>
            <w:r>
              <w:t xml:space="preserve">s uspokojením konstatuje, že všechny výzvy Výboru k podávání nabídek v hodnotě nad </w:t>
            </w:r>
            <w:r>
              <w:rPr>
                <w:b/>
                <w:i/>
              </w:rPr>
              <w:t>60 000</w:t>
            </w:r>
            <w:r>
              <w:t xml:space="preserve"> EUR a výzvy v hodnotě nad </w:t>
            </w:r>
            <w:r>
              <w:rPr>
                <w:b/>
                <w:i/>
              </w:rPr>
              <w:t>25 000</w:t>
            </w:r>
            <w:r>
              <w:t xml:space="preserve"> EUR, které jsou spravovány společně s VR, obsahují doložky o udržitelnosti v souladu s normami energetické unie, Zelenou dohodou pro Evropu a zásadami oběhového hospodářství; konstatuje, že nová rámcová smlouva Výboru týkající se stravovacích služeb, která vstoupila v platnost v srpnu 2024, obsahuje požadavky na ekologické a místní produkty, darování potravin či sezónní ovoce a zeleninu;</w:t>
            </w:r>
          </w:p>
        </w:tc>
        <w:tc>
          <w:tcPr>
            <w:tcW w:w="4876" w:type="dxa"/>
            <w:tcBorders>
              <w:top w:val="nil"/>
              <w:left w:val="nil"/>
              <w:bottom w:val="nil"/>
              <w:right w:val="nil"/>
            </w:tcBorders>
          </w:tcPr>
          <w:p>
            <w:pPr>
              <w:pStyle w:val="Normal6a"/>
            </w:pPr>
            <w:r>
              <w:t>50.</w:t>
            </w:r>
            <w:r>
              <w:tab/>
            </w:r>
            <w:r>
              <w:t xml:space="preserve">s uspokojením konstatuje, že všechny výzvy Výboru k podávání nabídek v hodnotě nad </w:t>
            </w:r>
            <w:r>
              <w:rPr>
                <w:b/>
                <w:i/>
              </w:rPr>
              <w:t>60 000</w:t>
            </w:r>
            <w:r>
              <w:t xml:space="preserve"> EUR a výzvy v hodnotě nad </w:t>
            </w:r>
            <w:r>
              <w:rPr>
                <w:b/>
                <w:i/>
              </w:rPr>
              <w:t>25 000</w:t>
            </w:r>
            <w:r>
              <w:t xml:space="preserve"> EUR, které jsou spravovány společně s VR, obsahují doložky o udržitelnosti v souladu s normami energetické unie, Zelenou dohodou pro Evropu a zásadami oběhového hospodářství; konstatuje, že nová rámcová smlouva Výboru týkající se stravovacích služeb, která vstoupila v platnost v srpnu 2024, obsahuje požadavky na ekologické a místní produkty, darování potravin či sezónní ovoce a zeleninu; </w:t>
            </w:r>
            <w:r>
              <w:rPr>
                <w:b/>
                <w:i/>
              </w:rPr>
              <w:t>poukazuje však na to, že vyšší standardy tzv. zelených opatření zvyšují provozní náklady Výboru, čímž nejen snižují jeho dostupný rozpočet, ale také zvyšují náklady na jeho fungování pro daňové poplatníky;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43</w:t>
      </w:r>
      <w:r>
        <w:rPr>
          <w:rStyle w:val="HideTWBExt"/>
        </w:rPr>
        <w:t>&lt;/NumAm&gt;</w:t>
      </w:r>
    </w:p>
    <w:p>
      <w:pPr>
        <w:pStyle w:val="NormalBold"/>
      </w:pPr>
      <w:r>
        <w:rPr>
          <w:rStyle w:val="HideTWBExt"/>
          <w:b w:val="0"/>
        </w:rPr>
        <w:t>&lt;RepeatBlock-By&gt;</w:t>
      </w:r>
      <w:r>
        <w:rPr>
          <w:rStyle w:val="HideTWBExt"/>
          <w:b w:val="0"/>
        </w:rPr>
        <w:t>&lt;Members&gt;</w:t>
      </w:r>
      <w:r>
        <w:t>Ondřej Knotek, Julien Sanchez, Virginie Joron, Tamás Deutsch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51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51a.</w:t>
            </w:r>
            <w:r>
              <w:tab/>
            </w:r>
            <w:r>
              <w:rPr>
                <w:b/>
                <w:i/>
              </w:rPr>
              <w:t>zdůrazňuje, že iniciativy v oblasti životního prostředí v orgánech Unie musí zůstat nákladově efektivní a technologicky neutrální;</w:t>
            </w:r>
            <w:r>
              <w:t xml:space="preserve"> </w:t>
            </w:r>
            <w:r>
              <w:rPr>
                <w:b/>
                <w:i/>
              </w:rPr>
              <w:t>vyzývá Výbor, aby poskytl transparentní analýzu nákladů a přínosů svých zelených investic a postupů zadávání veřejných zakázek a aby zajistil, že environmentální hlediska nebudou převažovat nad účinností nebo rozpočtovou kázní;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44</w:t>
      </w:r>
      <w:r>
        <w:rPr>
          <w:rStyle w:val="HideTWBExt"/>
        </w:rPr>
        <w:t>&lt;/NumAm&gt;</w:t>
      </w:r>
    </w:p>
    <w:p>
      <w:pPr>
        <w:pStyle w:val="NormalBold"/>
      </w:pPr>
      <w:r>
        <w:rPr>
          <w:rStyle w:val="HideTWBExt"/>
          <w:b w:val="0"/>
        </w:rPr>
        <w:t>&lt;RepeatBlock-By&gt;</w:t>
      </w:r>
      <w:r>
        <w:rPr>
          <w:rStyle w:val="HideTWBExt"/>
          <w:b w:val="0"/>
        </w:rPr>
        <w:t>&lt;Members&gt;</w:t>
      </w:r>
      <w:r>
        <w:t>Csaba Molnár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60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60.</w:t>
            </w:r>
            <w:r>
              <w:tab/>
            </w:r>
            <w:r>
              <w:t>konstatuje, že Výbor hraje klíčovou roli při posilování vazeb s národními hospodářskými a sociálními radami členských států a mezi nimi; v této souvislosti bere na vědomí zahájení činnosti nové tematické pracovní skupiny složené ze 13 národních hospodářských a sociálních rad, zveřejnění 32 zpravodajských článků a 26 shrnutí zpráv přijatých národními hospodářskými a sociálními radami, uspořádání výročního zasedání předsedů a generálních tajemníků národních hospodářských a sociálních rad v Bruselu a společně organizovaného semináře se 100 účastníky z řad evropských sociálních partnerů, organizací občanské společnosti, zástupců orgánů Unie a akademických pracovníků v roce 2024;</w:t>
            </w:r>
          </w:p>
        </w:tc>
        <w:tc>
          <w:tcPr>
            <w:tcW w:w="4876" w:type="dxa"/>
            <w:tcBorders>
              <w:top w:val="nil"/>
              <w:left w:val="nil"/>
              <w:bottom w:val="nil"/>
              <w:right w:val="nil"/>
            </w:tcBorders>
          </w:tcPr>
          <w:p>
            <w:pPr>
              <w:pStyle w:val="Normal6a"/>
            </w:pPr>
            <w:r>
              <w:t>60.</w:t>
            </w:r>
            <w:r>
              <w:tab/>
            </w:r>
            <w:r>
              <w:t xml:space="preserve">konstatuje, že Výbor hraje klíčovou roli při posilování vazeb s národními hospodářskými a sociálními radami členských států a mezi nimi; v této souvislosti bere na vědomí zahájení činnosti nové tematické pracovní skupiny složené ze 13 národních hospodářských a sociálních rad, zveřejnění 32 zpravodajských článků a 26 shrnutí zpráv přijatých národními hospodářskými a sociálními radami, uspořádání výročního zasedání předsedů a generálních tajemníků národních hospodářských a sociálních rad v Bruselu a společně organizovaného semináře se 100 účastníky z řad evropských sociálních partnerů, organizací občanské společnosti, zástupců orgánů Unie a akademických pracovníků v roce 2024; </w:t>
            </w:r>
            <w:r>
              <w:rPr>
                <w:b/>
                <w:i/>
              </w:rPr>
              <w:t>vyzývá k pokračující spolupráci na tématech společného zájmu a k výměně osvědčených postupů, přičemž zdůrazňuje zásadní úlohu občanské společnosti při řešení současných výzev Unie;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45</w:t>
      </w:r>
      <w:r>
        <w:rPr>
          <w:rStyle w:val="HideTWBExt"/>
        </w:rPr>
        <w:t>&lt;/NumAm&gt;</w:t>
      </w:r>
    </w:p>
    <w:p>
      <w:pPr>
        <w:pStyle w:val="NormalBold"/>
      </w:pPr>
      <w:r>
        <w:rPr>
          <w:rStyle w:val="HideTWBExt"/>
          <w:b w:val="0"/>
        </w:rPr>
        <w:t>&lt;RepeatBlock-By&gt;</w:t>
      </w:r>
      <w:r>
        <w:rPr>
          <w:rStyle w:val="HideTWBExt"/>
          <w:b w:val="0"/>
        </w:rPr>
        <w:t>&lt;Members&gt;</w:t>
      </w:r>
      <w:r>
        <w:t>Şerban Dimitrie Sturdza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63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63.</w:t>
            </w:r>
            <w:r>
              <w:tab/>
            </w:r>
            <w:r>
              <w:t xml:space="preserve">oceňuje zahájení činnosti platformy NaviGate v květnu 2024; konstatuje, že tato platforma, která poskytuje webové odkazy pro nástroj EU Law Tracker Úřadu pro publikace Evropské unie, výrazně zviditelňuje činnost Výboru a zlepšuje uživatelské pohodlí členů, zaměstnanců, návštěvníků z jiných orgánů a veřejnosti, přičemž v roce 2024 dosáhla </w:t>
            </w:r>
            <w:r>
              <w:rPr>
                <w:b/>
                <w:i/>
              </w:rPr>
              <w:t>4 600</w:t>
            </w:r>
            <w:r>
              <w:t xml:space="preserve"> unikátních návštěvníků;</w:t>
            </w:r>
          </w:p>
        </w:tc>
        <w:tc>
          <w:tcPr>
            <w:tcW w:w="4876" w:type="dxa"/>
            <w:tcBorders>
              <w:top w:val="nil"/>
              <w:left w:val="nil"/>
              <w:bottom w:val="nil"/>
              <w:right w:val="nil"/>
            </w:tcBorders>
          </w:tcPr>
          <w:p>
            <w:pPr>
              <w:pStyle w:val="Normal6a"/>
            </w:pPr>
            <w:r>
              <w:t>63.</w:t>
            </w:r>
            <w:r>
              <w:tab/>
            </w:r>
            <w:r>
              <w:rPr>
                <w:b/>
                <w:i/>
              </w:rPr>
              <w:t>oceňuje úsilí Výboru o zviditelnění své činnosti;</w:t>
            </w:r>
            <w:r>
              <w:t xml:space="preserve"> </w:t>
            </w:r>
            <w:r>
              <w:rPr>
                <w:b/>
                <w:i/>
              </w:rPr>
              <w:t>domnívá se však, že je třeba vyvinout další úsilí k tomu, aby komunikační činnosti jasně vysvětlovaly úlohu Výboru a konkrétní přínos EU v konkrétních situacích, a to způsobem, který bude pro občany přístupný a přiměřený;</w:t>
            </w:r>
            <w:r>
              <w:t xml:space="preserve"> oceňuje zahájení činnosti platformy NaviGate v květnu 2024; konstatuje, že tato platforma, která poskytuje webové odkazy pro nástroj EU Law Tracker Úřadu pro publikace Evropské unie, výrazně zviditelňuje činnost Výboru a zlepšuje uživatelské pohodlí členů, zaměstnanců, návštěvníků z jiných orgánů a veřejnosti, přičemž v roce 2024 dosáhla </w:t>
            </w:r>
            <w:r>
              <w:rPr>
                <w:b/>
                <w:i/>
              </w:rPr>
              <w:t>4 600</w:t>
            </w:r>
            <w:r>
              <w:t xml:space="preserve"> unikátních návštěvníků;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r>
        <w:rPr>
          <w:rStyle w:val="HideTWBExt"/>
        </w:rPr>
        <w:t>&lt;/RepeatBlock-Amend&gt;</w:t>
      </w:r>
    </w:p>
    <w:sectPr>
      <w:footerReference w:type="even" r:id="rId5"/>
      <w:footerReference w:type="default" r:id="rId6"/>
      <w:footerReference w:type="first" r:id="rId7"/>
      <w:pgSz w:w="11909" w:h="16834"/>
      <w:pgMar w:top="1134" w:right="1417" w:bottom="1417" w:left="1417" w:header="1134" w:footer="567"/>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784.136</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34</w:t>
    </w:r>
    <w:r>
      <w:fldChar w:fldCharType="end"/>
    </w:r>
    <w:r>
      <w:t>/</w:t>
    </w:r>
    <w:r>
      <w:fldChar w:fldCharType="begin"/>
    </w:r>
    <w:r>
      <w:instrText xml:space="preserve"> NUMPAGES </w:instrText>
    </w:r>
    <w:r>
      <w:fldChar w:fldCharType="separate"/>
    </w:r>
    <w:r>
      <w:t>35</w:t>
    </w:r>
    <w:r>
      <w:fldChar w:fldCharType="end"/>
    </w:r>
    <w:r>
      <w:tab/>
    </w:r>
    <w:r>
      <w:rPr>
        <w:rStyle w:val="HideTWBExt"/>
      </w:rPr>
      <w:t>&lt;PathFdR&gt;</w:t>
    </w:r>
    <w:r>
      <w:t>AM\1336221CS.docx</w:t>
    </w:r>
    <w:r>
      <w:rPr>
        <w:rStyle w:val="HideTWBExt"/>
      </w:rPr>
      <w:t>&lt;/PathFdR&gt;</w:t>
    </w:r>
  </w:p>
  <w:p>
    <w:pPr>
      <w:pStyle w:val="EPFooter2"/>
    </w:pPr>
    <w:r>
      <w:t>CS</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AM\1336221CS.docx</w:t>
    </w:r>
    <w:r>
      <w:rPr>
        <w:rStyle w:val="HideTWBExt"/>
      </w:rPr>
      <w:t>&lt;/PathFdR&gt;</w:t>
    </w:r>
    <w:r>
      <w:tab/>
    </w:r>
    <w:r>
      <w:fldChar w:fldCharType="begin"/>
    </w:r>
    <w:r>
      <w:instrText xml:space="preserve"> PAGE </w:instrText>
    </w:r>
    <w:r>
      <w:fldChar w:fldCharType="separate"/>
    </w:r>
    <w:r>
      <w:t>35</w:t>
    </w:r>
    <w:r>
      <w:fldChar w:fldCharType="end"/>
    </w:r>
    <w:r>
      <w:t>/</w:t>
    </w:r>
    <w:r>
      <w:fldChar w:fldCharType="begin"/>
    </w:r>
    <w:r>
      <w:instrText xml:space="preserve"> NUMPAGES </w:instrText>
    </w:r>
    <w:r>
      <w:fldChar w:fldCharType="separate"/>
    </w:r>
    <w:r>
      <w:t>35</w:t>
    </w:r>
    <w:r>
      <w:fldChar w:fldCharType="end"/>
    </w:r>
    <w:r>
      <w:tab/>
    </w:r>
    <w:r>
      <w:t>PE</w:t>
    </w:r>
    <w:r>
      <w:rPr>
        <w:rStyle w:val="HideTWBExt"/>
      </w:rPr>
      <w:t>&lt;NoPE&gt;</w:t>
    </w:r>
    <w:r>
      <w:t>784.136</w:t>
    </w:r>
    <w:r>
      <w:rPr>
        <w:rStyle w:val="HideTWBExt"/>
      </w:rPr>
      <w:t>&lt;/NoPE&gt;</w:t>
    </w:r>
    <w:r>
      <w:rPr>
        <w:rStyle w:val="HideTWBExt"/>
      </w:rPr>
      <w:t>&lt;Version&gt;</w:t>
    </w:r>
    <w:r>
      <w:t>v01-00</w:t>
    </w:r>
    <w:r>
      <w:rPr>
        <w:rStyle w:val="HideTWBExt"/>
      </w:rPr>
      <w:t>&lt;/Version&gt;</w:t>
    </w:r>
  </w:p>
  <w:p>
    <w:pPr>
      <w:pStyle w:val="EPFooter2"/>
    </w:pPr>
    <w:r>
      <w:tab/>
    </w:r>
    <w:r>
      <w:tab/>
    </w:r>
    <w:r>
      <w:t>CS</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AM\1336221CS.docx</w:t>
    </w:r>
    <w:r>
      <w:rPr>
        <w:rStyle w:val="HideTWBExt"/>
      </w:rPr>
      <w:t>&lt;/PathFdR&gt;</w:t>
    </w:r>
    <w:r>
      <w:tab/>
    </w:r>
    <w:r>
      <w:tab/>
    </w:r>
    <w:r>
      <w:t>PE</w:t>
    </w:r>
    <w:r>
      <w:rPr>
        <w:rStyle w:val="HideTWBExt"/>
      </w:rPr>
      <w:t>&lt;NoPE&gt;</w:t>
    </w:r>
    <w:r>
      <w:t>784.136</w:t>
    </w:r>
    <w:r>
      <w:rPr>
        <w:rStyle w:val="HideTWBExt"/>
      </w:rPr>
      <w:t>&lt;/NoPE&gt;</w:t>
    </w:r>
    <w:r>
      <w:rPr>
        <w:rStyle w:val="HideTWBExt"/>
      </w:rPr>
      <w:t>&lt;Version&gt;</w:t>
    </w:r>
    <w:r>
      <w:t>v01-00</w:t>
    </w:r>
    <w:r>
      <w:rPr>
        <w:rStyle w:val="HideTWBExt"/>
      </w:rPr>
      <w:t>&lt;/Version&gt;</w:t>
    </w:r>
  </w:p>
  <w:p>
    <w:pPr>
      <w:pStyle w:val="EPFooter2"/>
    </w:pPr>
    <w:r>
      <w:t>CS</w:t>
    </w:r>
    <w:r>
      <w:tab/>
    </w:r>
    <w:r>
      <w:rPr>
        <w:rStyle w:val="EPFooter2Motto"/>
      </w:rPr>
      <w:t>Jednotná v rozmanitosti</w:t>
    </w:r>
    <w:r>
      <w:tab/>
    </w:r>
    <w:r>
      <w:t>CS</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140430 HideTWBExt;}{\s16\qr \li0\ri0\sb240\sa240\nowidctlpar\wrapdefault\aspalpha\aspnum\faauto\adjustright\rin0\lin0\itap0 \rtlch\fcs1 \af0\afs20\alang1025 \ltrch\fcs0 &#13;_x000a_\fs24\lang2057\langfe2057\cgrid\langnp2057\langfenp2057 \sbasedon0 \snext16 \spriority0 \styrsid1140430 AmOrLang;}{\s17\ql \li0\ri0\sa120\nowidctlpar\wrapdefault\aspalpha\aspnum\faauto\adjustright\rin0\lin0\itap0 \rtlch\fcs1 \af0\afs20\alang1025 &#13;_x000a_\ltrch\fcs0 \fs24\lang2057\langfe2057\cgrid\langnp2057\langfenp2057 \sbasedon0 \snext17 \spriority0 \styrsid1140430 Normal6a;}{\s18\ql \li0\ri0\nowidctlpar\wrapdefault\aspalpha\aspnum\faauto\adjustright\rin0\lin0\itap0 \rtlch\fcs1 \af0\afs20\alang1025 &#13;_x000a_\ltrch\fcs0 \b\fs24\lang2057\langfe2057\cgrid\langnp2057\langfenp2057 \sbasedon0 \snext18 \spriority0 \styrsid1140430 NormalBold;}{\s19\qc \li0\ri0\sa240\nowidctlpar\wrapdefault\aspalpha\aspnum\faauto\adjustright\rin0\lin0\itap0 \rtlch\fcs1 &#13;_x000a_\af0\afs20\alang1025 \ltrch\fcs0 \i\fs24\lang2057\langfe2057\cgrid\langnp2057\langfenp2057 \sbasedon0 \snext19 \spriority0 \styrsid1140430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1140430 AmNumberTabs;}}{\*\rsidtbl \rsid24658\rsid358857\rsid735077\rsid787282\rsid1140430\rsid2892074\rsid3622648\rsid4666813\rsid5708216&#13;_x000a_\rsid6641733\rsid7553164\rsid8465581\rsid8681905\rsid8724649\rsid9636012\rsid9862312\rsid11215221\rsid11370291\rsid11434737\rsid11607138\rsid11824949\rsid12154954\rsid12213393\rsid14424199\rsid15204470\rsid15285974\rsid15535219\rsid15950462\rsid16324206&#13;_x000a_\rsid16662270}{\mmathPr\mmathFont34\mbrkBin0\mbrkBinSub0\msmallFrac0\mdispDef1\mlMargin0\mrMargin0\mdefJc1\mwrapIndent1440\mintLim0\mnaryLim1}{\info{\author FELIX Karina}{\operator FELIX Karina}{\creatim\yr2019\mo7\dy3\hr17\min21}&#13;_x000a_{\revtim\yr2019\mo7\dy3\hr17\min21}{\version1}{\edmins0}{\nofpages1}{\nofwords25}{\nofchars291}{\*\company European Parliament}{\nofcharsws29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14043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2213393 &#13;_x000a_\chftnsep &#13;_x000a_\par }}{\*\ftnsepc \ltrpar \pard\plain \ltrpar\ql \li0\ri0\widctlpar\wrapdefault\aspalpha\aspnum\faauto\adjustright\rin0\lin0\itap0 \rtlch\fcs1 \af0\afs20\alang1025 \ltrch\fcs0 \fs24\lang2057\langfe2057\cgrid\langnp2057\langfenp2057 {\rtlch\fcs1 \af0 &#13;_x000a_\ltrch\fcs0 \insrsid12213393 \chftnsepc &#13;_x000a_\par }}{\*\aftnsep \ltrpar \pard\plain \ltrpar\ql \li0\ri0\widctlpar\wrapdefault\aspalpha\aspnum\faauto\adjustright\rin0\lin0\itap0 \rtlch\fcs1 \af0\afs20\alang1025 \ltrch\fcs0 \fs24\lang2057\langfe2057\cgrid\langnp2057\langfenp2057 {\rtlch\fcs1 \af0 &#13;_x000a_\ltrch\fcs0 \insrsid12213393 \chftnsep &#13;_x000a_\par }}{\*\aftnsepc \ltrpar \pard\plain \ltrpar\ql \li0\ri0\widctlpar\wrapdefault\aspalpha\aspnum\faauto\adjustright\rin0\lin0\itap0 \rtlch\fcs1 \af0\afs20\alang1025 \ltrch\fcs0 \fs24\lang2057\langfe2057\cgrid\langnp2057\langfenp2057 {\rtlch\fcs1 \af0 &#13;_x000a_\ltrch\fcs0 \insrsid1221339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1140430 \rtlch\fcs1 \af0\afs20\alang1025 \ltrch\fcs0 \b\fs24\lang2057\langfe2057\cgrid\langnp2057\langfenp2057 {\rtlch\fcs1 \af0 \ltrch\fcs0 \cs15\b0\v\f1\fs20\cf9\lang1024\langfe1024\noproof\insrsid1140430\charrsid4417459 &#13;_x000a_{\*\bkmkstart restart}&lt;Amend&gt;}{\rtlch\fcs1 \af0 \ltrch\fcs0 \insrsid1140430\charrsid1799708 [ZAMENDMENT]}{\rtlch\fcs1 \af0 \ltrch\fcs0 \insrsid1140430 \tab \tab }{\rtlch\fcs1 \af0 \ltrch\fcs0 &#13;_x000a_\cs15\b0\v\f1\fs20\cf9\lang1024\langfe1024\noproof\insrsid1140430\charrsid4417459 &lt;NumAm&gt;}{\rtlch\fcs1 \af0 \ltrch\fcs0 \insrsid1140430\charrsid1799708 [ZNRAM]}{\rtlch\fcs1 \af0 \ltrch\fcs0 &#13;_x000a_\cs15\b0\v\f1\fs20\cf9\lang1024\langfe1024\noproof\insrsid1140430\charrsid4417459 &lt;/NumAm&gt;}{\rtlch\fcs1 \af0 \ltrch\fcs0 \insrsid1140430\charrsid4080556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14699840 &lt;RepeatBlock-By&gt;}{\rtlch\fcs1 \af0 \ltrch\fcs0 \lang1024\langfe1024\noproof\insrsid1140430\charrsid14699840 [RepeatMembers]}{\rtlch\fcs1 \af0 \ltrch\fcs0 &#13;_x000a_\cs15\b0\v\f1\fs20\cf9\lang1024\langfe1024\noproof\insrsid1140430\charrsid14699840 &lt;Members&gt;}{\rtlch\fcs1 \af0 \ltrch\fcs0 \insrsid1140430\charrsid14699840 [ZMEMBERS]}{\rtlch\fcs1 \af0 \ltrch\fcs0 &#13;_x000a_\cs15\b0\v\f1\fs20\cf9\lang1024\langfe1024\noproof\insrsid1140430\charrsid14699840 &lt;/Members&gt;}{\rtlch\fcs1 \af0 \ltrch\fcs0 \insrsid1140430\charrsid14699840 &#13;_x000a_\par }\pard\plain \ltrpar\ql \li0\ri0\widctlpar\wrapdefault\aspalpha\aspnum\faauto\adjustright\rin0\lin0\itap0\pararsid1140430 \rtlch\fcs1 \af0\afs20\alang1025 \ltrch\fcs0 \fs24\lang2057\langfe2057\cgrid\langnp2057\langfenp2057 {\rtlch\fcs1 \af0 \ltrch\fcs0 &#13;_x000a_\cs15\v\f1\fs20\cf9\lang1024\langfe1024\noproof\langnp1043\insrsid1140430\charrsid14424489 &lt;AuNomDe&gt;&lt;OptDel&gt;}{\rtlch\fcs1 \af0 \ltrch\fcs0 \lang1043\langfe2057\langnp1043\insrsid1140430\charrsid14424489 [ZONBEHALF]}{\rtlch\fcs1 \af0 \ltrch\fcs0 &#13;_x000a_\cs15\v\f1\fs20\cf9\lang1024\langfe1024\noproof\langnp1043\insrsid1140430\charrsid14424489 &lt;/OptDel&gt;&lt;/AuNomDe&gt;}{\rtlch\fcs1 \af0 \ltrch\fcs0 \lang1043\langfe2057\langnp1043\insrsid1140430\charrsid14424489 &#13;_x000a_\par }{\rtlch\fcs1 \af0 \ltrch\fcs0 \insrsid1140430\charrsid14699840 &lt;&lt;&lt;}{\rtlch\fcs1 \af0 \ltrch\fcs0 \cs15\v\f1\fs20\cf9\lang1024\langfe1024\noproof\insrsid1140430\charrsid14699840 &lt;/RepeatBlock-By&gt;}{\rtlch\fcs1 \af0 \ltrch\fcs0 &#13;_x000a_\insrsid1140430\charrsid14699840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4737239 &lt;DocAmend&gt;}{\rtlch\fcs1 \af0 \ltrch\fcs0 \insrsid1140430\charrsid1799708 [Z}{\rtlch\fcs1 \af0 \ltrch\fcs0 \insrsid1140430 AMDOC}{\rtlch\fcs1 \af0 \ltrch\fcs0 &#13;_x000a_\insrsid1140430\charrsid1799708 ]}{\rtlch\fcs1 \af0 \ltrch\fcs0 \cs15\b0\v\f1\fs20\cf9\lang1024\langfe1024\noproof\insrsid1140430\charrsid4737239 &lt;/DocAmend&gt;}{\rtlch\fcs1 \af0 \ltrch\fcs0 \insrsid1140430\charrsid1799708 &#13;_x000a_\par }{\rtlch\fcs1 \af0 \ltrch\fcs0 \cs15\b0\v\f1\fs20\cf9\lang1024\langfe1024\noproof\insrsid1140430\charrsid1799708 &lt;Article&gt;}{\rtlch\fcs1 \af0 \ltrch\fcs0 \insrsid1140430\charrsid1799708 [ZAMPART]}{\rtlch\fcs1 \af0 \ltrch\fcs0 &#13;_x000a_\cs15\b0\v\f1\fs20\cf9\lang1024\langfe1024\noproof\insrsid1140430\charrsid1799708 &lt;/Article&gt;}{\rtlch\fcs1 \af0 \ltrch\fcs0 \insrsid1140430\charrsid1799708 &#13;_x000a_\par \ltrrow}\trowd \irow0\irowband0\ltrrow\ts11\trqc\trgaph340\trleft-340\trftsWidth3\trwWidth9752\trftsWidthB3\trpaddl340\trpaddr340\trpaddfl3\trpaddft3\trpaddfb3\trpaddfr3\tblrsid7949889\tblind0\tblindtype3 \clvertalt\clbrdrt\brdrtbl \clbrdrl\brdrtbl &#13;_x000a_\clbrdrb\brdrtbl \clbrdrr\brdrtbl \cltxlrtb\clftsWidth3\clwWidth9752\clshdrawnil \cellx9412\pard\plain \ltrpar\ql \li0\ri0\keepn\widctlpar\intbl\wrapdefault\aspalpha\aspnum\faauto\adjustright\rin0\lin0\pararsid13053803 \rtlch\fcs1 \af0\afs20\alang1025 &#13;_x000a_\ltrch\fcs0 \fs24\lang2057\langfe2057\cgrid\langnp2057\langfenp2057 {\rtlch\fcs1 \af0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0\irowband0\ltrrow&#13;_x000a_\ts11\trqc\trgaph340\trleft-340\trftsWidth3\trwWidth9752\trftsWidthB3\trpaddl340\trpaddr340\trpaddfl3\trpaddft3\trpaddfb3\trpaddfr3\tblrsid7949889\tblind0\tblindtype3 \clvertalt\clbrdrt\brdrtbl \clbrdrl\brdrtbl \clbrdrb\brdrtbl \clbrdrr\brdrtbl &#13;_x000a_\cltxlrtb\clftsWidth3\clwWidth9752\clshdrawnil \cellx9412\row \ltrrow}\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19\qc \li0\ri0\sa240\keepn\nowidctlpar\intbl\wrapdefault\aspalpha\aspnum\faauto\adjustright\rin0\lin0\pararsid13053803 \rtlch\fcs1 \af0\afs20\alang1025 \ltrch\fcs0 \i\fs24\lang2057\langfe2057\cgrid\langnp2057\langfenp2057 {\rtlch\fcs1 \af0 \ltrch\fcs0 &#13;_x000a_\insrsid1140430\charrsid1799708 [ZLEFT]\cell [ZRIGHT]\cell }\pard\plain \ltrpar\ql \li0\ri0\widctlpar\intbl\wrapdefault\aspalpha\aspnum\faauto\adjustright\rin0\lin0 \rtlch\fcs1 \af0\afs20\alang1025 \ltrch\fcs0 &#13;_x000a_\fs24\lang2057\langfe2057\cgrid\langnp2057\langfenp2057 {\rtlch\fcs1 \af0 \ltrch\fcs0 \insrsid1140430\charrsid1799708 \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7\ql \li0\ri0\sa120\nowidctlpar\intbl\wrapdefault\aspalpha\aspnum\faauto\adjustright\rin0\lin0\pararsid7949889 \rtlch\fcs1 \af0\afs20\alang1025 \ltrch\fcs0 \fs24\lang2057\langfe2057\cgrid\langnp2057\langfenp2057 {\rtlch\fcs1 \af0 \ltrch\fcs0 &#13;_x000a_\insrsid1140430\charrsid1799708 [ZTEXTL]\cell [ZTEXTR]}{\rtlch\fcs1 \af0\afs24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2\irowband2\lastrow \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6\qr \li0\ri0\sb240\sa240\nowidctlpar\wrapdefault\aspalpha\aspnum\faauto\adjustright\rin0\lin0\itap0\pararsid1140430 \rtlch\fcs1 \af0\afs20\alang1025 \ltrch\fcs0 \fs24\lang2057\langfe2057\cgrid\langnp2057\langfenp2057 {\rtlch\fcs1 \af0 \ltrch\fcs0 &#13;_x000a_\insrsid1140430\charrsid1799708 Or. }{\rtlch\fcs1 \af0 \ltrch\fcs0 \cs15\v\f1\fs20\cf9\lang1024\langfe1024\noproof\insrsid1140430\charrsid1799708 &lt;Original&gt;}{\rtlch\fcs1 \af0 \ltrch\fcs0 \insrsid1140430\charrsid1799708 [ZORLANG]}{\rtlch\fcs1 \af0 &#13;_x000a_\ltrch\fcs0 \cs15\v\f1\fs20\cf9\lang1024\langfe1024\noproof\insrsid1140430\charrsid1799708 &lt;/Original&gt;}{\rtlch\fcs1 \af0 \ltrch\fcs0 \insrsid1140430\charrsid1799708 &#13;_x000a_\par }\pard\plain \ltrpar\ql \li0\ri0\widctlpar\wrapdefault\aspalpha\aspnum\faauto\adjustright\rin0\lin0\itap0\pararsid1140430 \rtlch\fcs1 \af0\afs20\alang1025 \ltrch\fcs0 \fs24\lang2057\langfe2057\cgrid\langnp2057\langfenp2057 {\rtlch\fcs1 \af0 \ltrch\fcs0 &#13;_x000a_\cs15\v\f1\fs20\cf9\lang1024\langfe1024\noproof\insrsid1140430\charrsid1799708 &lt;/Amend&gt;}{\rtlch\fcs1 \af0 \ltrch\fcs0 \insrsid24658\charrsid16324206 {\*\bkmkend restart}&#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6054&#13;_x000a_9504b3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cs-CZ"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4"/>
        <w:tab w:val="right" w:pos="9070"/>
      </w:tabs>
      <w:spacing w:before="240" w:after="240"/>
    </w:pPr>
    <w:rPr>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widowControl/>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35</Pages>
  <Words>11092</Words>
  <Characters>64376</Characters>
  <Application>Microsoft Office Word</Application>
  <DocSecurity>0</DocSecurity>
  <Lines>1</Lines>
  <Paragraphs>418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75088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e-Parliament@europarl.europa.eu</dc:creator>
  <cp:lastModifiedBy>e-Parliament@europarl.europa.eu</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CS</vt:lpwstr>
  </property>
  <property fmtid="{D5CDD505-2E9C-101B-9397-08002B2CF9AE}" pid="3" name="&lt;FdR&gt;">
    <vt:lpwstr>1336221</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374857</vt:lpwstr>
  </property>
  <property fmtid="{D5CDD505-2E9C-101B-9397-08002B2CF9AE}" pid="7" name="dmxml.render.traceId">
    <vt:lpwstr>698c6044df9c51122be47b80d73fcd0f</vt:lpwstr>
  </property>
  <property fmtid="{D5CDD505-2E9C-101B-9397-08002B2CF9AE}" pid="8" name="FooterPath">
    <vt:lpwstr>AM\1336221CS.docx</vt:lpwstr>
  </property>
  <property fmtid="{D5CDD505-2E9C-101B-9397-08002B2CF9AE}" pid="9" name="PE Number">
    <vt:lpwstr>784.136</vt:lpwstr>
  </property>
  <property fmtid="{D5CDD505-2E9C-101B-9397-08002B2CF9AE}" pid="10" name="UID">
    <vt:lpwstr>eu.europa.europarl-DIN1-2026-0000016192_01.00-cs-01.00_text-xml</vt:lpwstr>
  </property>
</Properties>
</file>