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Talousarvion valvontavaliokunta</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Vastuuvapaus 2024: EU:n yleinen talousarvio – Euroopan talous- ja sosiaalikomitea</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ottaa huomioon, että Euroopan unionin toiminnasta tehdyn sopimuksen 300 ja 304 artiklan mukaisesti Euroopan talous- ja sosiaalikomitea on neuvoa-antava elin, jonka ensisijaisena tehtävänä on antaa lausuntoja;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panee merkille komitean siirtymisen menosuuntautuneesta lähestymistavasta resurssien hallintaan ja priorisointiin, mikä näkyy ETSK:n työvaliokunnan kannattamassa strategisessa rahoituspaketissa ja priorisointitoimien käyttöönotossa;</w:t>
            </w:r>
            <w:r>
              <w:t xml:space="preserve"> </w:t>
            </w:r>
            <w:r>
              <w:rPr>
                <w:b/>
                <w:i/>
              </w:rPr>
              <w:t>toteaa, että näillä toimenpiteillä pyritään parantamaan varainhoitoa ja mukauttamaan talousarviopäätökset strategisiin tavoitteisiin;</w:t>
            </w:r>
            <w:r>
              <w:t xml:space="preserve"> </w:t>
            </w:r>
            <w:r>
              <w:rPr>
                <w:b/>
                <w:i/>
              </w:rPr>
              <w:t>panee merkille pyrkimykset vähentää hallinnollista taakkaa ja virtaviivaistaa prosesseja kustannustehokkuuden saavuttamiseksi;</w:t>
            </w:r>
            <w:r>
              <w:t xml:space="preserve"> </w:t>
            </w:r>
            <w:r>
              <w:rPr>
                <w:b/>
                <w:i/>
              </w:rPr>
              <w:t>kehottaa komiteaa vahvistamaan edelleen tätä lähestymistapaa sisällyttämällä vuotuiseen rahoitussykliinsä tulosindikaattoreita ja ennakointisuunnittelua;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antaa komitealle tunnustusta </w:t>
            </w:r>
            <w:r>
              <w:rPr>
                <w:b/>
                <w:i/>
              </w:rPr>
              <w:t>siitä, että</w:t>
            </w:r>
            <w:r>
              <w:t xml:space="preserve"> sen talousarvion kyseisen vuoden maksusitoumusmäärärahojen käyttöaste kasvoi edellisen vuoden 98,70 prosentista 99,21 prosenttiin vuonna 2024; toteaa, että tähän suuntaukseen vaikuttivat talousarvion toteuttamisen onnistunut seuranta mutta myös henkilöstön palkkoihin ja kiinteistökustannuksiin vaikuttava korkea inflaatioaste; panee tässä yhteydessä merkille, että komitea on kohdentanut määrärahoja uudelleen siirtämällä määrärahoja yhteensä 2 487 139 euroa (eli 1,51 prosenttia sen vuoden 2024 talousarviosta) eri budjettikohdista ja että merkittävimmät lisäykset liittyivät ohjelmistojärjestelmien käyttöön ja ylläpitoon (519 682 euroa) ja kiinteistöihin (421 880 euroa); panee lisäksi tyytyväisenä merkille, että kyseisen vuoden maksumäärärahojen käyttöaste nousi 92,85 prosenttiin vuonna 2024, kun se oli 88,12 prosenttia vuonna 2022 ja 90,67 prosenttia vuonna 2023, ja keskimääräinen maksuaika, joka oli 20,14 päivää vuonna 2023, lyheni 16,06 päivään vuonna 2024, mikä on komitean paras tulos sitten vuoden 2021;</w:t>
            </w:r>
          </w:p>
        </w:tc>
        <w:tc>
          <w:tcPr>
            <w:tcW w:w="4876" w:type="dxa"/>
            <w:tcBorders>
              <w:top w:val="nil"/>
              <w:left w:val="nil"/>
              <w:bottom w:val="nil"/>
              <w:right w:val="nil"/>
            </w:tcBorders>
          </w:tcPr>
          <w:p>
            <w:pPr>
              <w:pStyle w:val="Normal6a"/>
            </w:pPr>
            <w:r>
              <w:t>5.</w:t>
            </w:r>
            <w:r>
              <w:tab/>
            </w:r>
            <w:r>
              <w:t xml:space="preserve">antaa komitealle tunnustusta sen talousarvion </w:t>
            </w:r>
            <w:r>
              <w:rPr>
                <w:b/>
                <w:i/>
              </w:rPr>
              <w:t>toteuttamisen korkeasta tasosta, sillä sen</w:t>
            </w:r>
            <w:r>
              <w:t xml:space="preserve"> kyseisen vuoden maksusitoumusmäärärahojen käyttöaste kasvoi edellisen vuoden 98,70 prosentista 99,21 prosenttiin vuonna 2024; toteaa, että tähän suuntaukseen vaikuttivat talousarvion toteuttamisen onnistunut seuranta mutta myös henkilöstön palkkoihin ja kiinteistökustannuksiin vaikuttava korkea inflaatioaste; panee tässä yhteydessä merkille, että komitea on kohdentanut määrärahoja uudelleen siirtämällä määrärahoja yhteensä 2 487 139 euroa (eli 1,51 prosenttia sen vuoden 2024 talousarviosta) eri budjettikohdista ja että merkittävimmät lisäykset liittyivät ohjelmistojärjestelmien käyttöön ja ylläpitoon (519 682 euroa) ja kiinteistöihin (421 880 euroa); panee lisäksi tyytyväisenä merkille, että kyseisen vuoden maksumäärärahojen käyttöaste nousi 92,85 prosenttiin vuonna 2024, kun se oli 88,12 prosenttia vuonna 2022 ja 90,67 prosenttia vuonna 2023, ja keskimääräinen maksuaika, joka oli 20,14 päivää vuonna 2023, lyheni 16,06 päivään vuonna 2024, mikä on komitean paras tulos sitten vuoden 2021; </w:t>
            </w:r>
            <w:r>
              <w:rPr>
                <w:b/>
                <w:i/>
              </w:rPr>
              <w:t>kannustaa jatkamaan varainkäytön tehokasta seurantaa, kustannusten hillitsemistä ja varojen strategista uudelleenkohdentamista, jotta varmistetaan vastineen saaminen rahalle sekä avoimuus;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panee merkille, että neuvosto hyväksyi 21. syyskuuta 2024 uuden päätöksen päivärahojen myöntämisestä ja matkakulujen korvaamisesta komitean jäsenille ja heidän varajäsenilleen ja että päätöksen mukaan kokouksiin paikan päällä osallistuvien korvauksiin oikeutettujen jäsenten päiväraha on 367 euroa (aiemmin 290 euroa) ja kokouksiin etäyhteyden välityksellä osallistuvien korvauksiin oikeutettujen jäsenten päiväraha on 149 euroa (aiemmin 145 euroa); panee kyselyn perusteella merkille, että vuonna 2024 komitea maksoi korvauksia etäosallistumisesta 259 669 euroa (294 930 euroa vuonna 2023), mikä vastasi 1 744:ää kokouspäivää (2 006 kokouspäivää vuonna 2023), kun taas kokouksiin paikan päällä osallistumisesta maksettujen kiinteämääräisten korvausten kokonaismäärä oli 6 579 196 euroa vuonna 2024 (5 902 963 euroa vuonna 2023); panee lisäksi merkille, että komitealla on käytössä järjestelmä, jolla etäosallistuminen kokouksiin vahvistetaan sähköisesti; katsoo, että </w:t>
            </w:r>
            <w:r>
              <w:rPr>
                <w:b/>
                <w:i/>
              </w:rPr>
              <w:t>vaikka</w:t>
            </w:r>
            <w:r>
              <w:t xml:space="preserve"> etäosallistuminen on nykyaikaisille toimielimille tärkeä väline, joka vähentää kokouskustannuksia ja mahdollistaa laajemman osallistumisen</w:t>
            </w:r>
            <w:r>
              <w:rPr>
                <w:b/>
                <w:i/>
              </w:rPr>
              <w:t>, yleisön on vaikea ymmärtää</w:t>
            </w:r>
            <w:r>
              <w:t xml:space="preserve"> etäosallistumisesta </w:t>
            </w:r>
            <w:r>
              <w:rPr>
                <w:b/>
                <w:i/>
              </w:rPr>
              <w:t>maksettavan korvauksen myöntämistä, vaikka sen määrää vähennettäisiin ja sen maksaminen rajoitettaisiin vain tietyntyyppisiin tapahtumiin</w:t>
            </w:r>
            <w:r>
              <w:t>;</w:t>
            </w:r>
          </w:p>
        </w:tc>
        <w:tc>
          <w:tcPr>
            <w:tcW w:w="4876" w:type="dxa"/>
            <w:tcBorders>
              <w:top w:val="nil"/>
              <w:left w:val="nil"/>
              <w:bottom w:val="nil"/>
              <w:right w:val="nil"/>
            </w:tcBorders>
          </w:tcPr>
          <w:p>
            <w:pPr>
              <w:pStyle w:val="Normal6a"/>
            </w:pPr>
            <w:r>
              <w:t>7.</w:t>
            </w:r>
            <w:r>
              <w:tab/>
            </w:r>
            <w:r>
              <w:t xml:space="preserve">panee merkille, että neuvosto hyväksyi 21. syyskuuta 2024 uuden päätöksen päivärahojen myöntämisestä ja matkakulujen korvaamisesta komitean jäsenille ja heidän varajäsenilleen ja että päätöksen mukaan kokouksiin paikan päällä osallistuvien korvauksiin oikeutettujen jäsenten päiväraha on 367 euroa (aiemmin 290 euroa) ja kokouksiin etäyhteyden välityksellä osallistuvien korvauksiin oikeutettujen jäsenten päiväraha on 149 euroa (aiemmin 145 euroa); panee kyselyn perusteella merkille, että vuonna 2024 komitea maksoi korvauksia etäosallistumisesta 259 669 euroa (294 930 euroa vuonna 2023), mikä vastasi 1 744:ää kokouspäivää (2 006 kokouspäivää vuonna 2023), kun taas kokouksiin paikan päällä osallistumisesta maksettujen kiinteämääräisten korvausten kokonaismäärä oli 6 579 196 euroa vuonna 2024 (5 902 963 euroa vuonna 2023); panee lisäksi merkille, että komitealla on käytössä järjestelmä, jolla etäosallistuminen kokouksiin vahvistetaan sähköisesti; katsoo, että etäosallistuminen on nykyaikaisille toimielimille tärkeä </w:t>
            </w:r>
            <w:r>
              <w:rPr>
                <w:b/>
                <w:i/>
              </w:rPr>
              <w:t>ja arvokas</w:t>
            </w:r>
            <w:r>
              <w:t xml:space="preserve"> väline, joka vähentää kokouskustannuksia ja mahdollistaa laajemman osallistumisen</w:t>
            </w:r>
            <w:r>
              <w:rPr>
                <w:b/>
                <w:i/>
              </w:rPr>
              <w:t>;</w:t>
            </w:r>
            <w:r>
              <w:t xml:space="preserve"> </w:t>
            </w:r>
            <w:r>
              <w:rPr>
                <w:b/>
                <w:i/>
              </w:rPr>
              <w:t>suhtautuu myönteisesti komitean lähestymistapaan, jonka mukaan korvauksia</w:t>
            </w:r>
            <w:r>
              <w:t xml:space="preserve"> etäosallistumisesta </w:t>
            </w:r>
            <w:r>
              <w:rPr>
                <w:b/>
                <w:i/>
              </w:rPr>
              <w:t>myönnetään rajatulle ja suppealle joukolle tapahtumia oikeudenmukaisella ja oikeasuhteisella tavalla, jossa otetaan huomioon jäsenten vastuualueet ja valmisteluvaatimukset ja varmistetaan samalla avoimuus ja kustannustehokkuus sekä seurataan niitä</w:t>
            </w:r>
            <w:r>
              <w:t xml:space="preserve">; </w:t>
            </w:r>
            <w:r>
              <w:rPr>
                <w:b/>
                <w:i/>
              </w:rPr>
              <w:t>muistuttaa, että Euroopan talous- ja sosiaalikomitean jäsenet eivät saa edustajantoimestaan palkkaa;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kehottaa komiteaa arvioimaan uudelleen etäosallistumiskorvausten järjestelmää täyden avoimuuden, oikeasuhteisuuden ja kansalaisten luottamuksen varmistamiseksi;</w:t>
            </w:r>
            <w:r>
              <w:t xml:space="preserve"> </w:t>
            </w:r>
            <w:r>
              <w:rPr>
                <w:b/>
                <w:i/>
              </w:rPr>
              <w:t>korostaa, että etäosallistumisesta maksettavien taloudellisten korvausten on oltavan tiukan perusteltuja, laajuudeltaan rajattuja sekä kustannustehokkuuden ja vastuuvelvollisuuden periaatteiden mukaisia;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ilmaisee syvän huolensa EU:n kasvavasta velkataakasta ja lainakustannuksista;</w:t>
            </w:r>
            <w:r>
              <w:t xml:space="preserve"> </w:t>
            </w:r>
            <w:r>
              <w:rPr>
                <w:b/>
                <w:i/>
              </w:rPr>
              <w:t>toteaa, että Euroopan tilintarkastustuomioistuimen vuosikertomuksen mukaan EU:n ottamat lainat voivat ylittää 900 miljardia euroa vuoteen 2027 mennessä, mikä on lähes kymmenkertainen taso vuoteen 2020 verrattuna ennen Euroopan unionin elpymisvälineen käyttöönottoa;</w:t>
            </w:r>
            <w:r>
              <w:t xml:space="preserve"> </w:t>
            </w:r>
            <w:r>
              <w:rPr>
                <w:b/>
                <w:i/>
              </w:rPr>
              <w:t>varoittaa, että lainakustannusten nousu aiheuttaa riskin tuleville talousarvioille ja vähentää uusien painopisteiden finanssipoliittista liikkumavaraa;</w:t>
            </w:r>
            <w:r>
              <w:t xml:space="preserve"> </w:t>
            </w:r>
            <w:r>
              <w:rPr>
                <w:b/>
                <w:i/>
              </w:rPr>
              <w:t>pysyy siksi vaatimuksessaan, että tämä ennennäkemätön finanssipoliittinen paine edellyttää säästökohteiden tiukkaa etsimistä komitean omasta hallintobudjetista;</w:t>
            </w:r>
            <w:r>
              <w:t xml:space="preserve"> </w:t>
            </w:r>
            <w:r>
              <w:rPr>
                <w:b/>
                <w:i/>
              </w:rPr>
              <w:t>kehottaa pääsihteeriä esittämään suunnitelman rakenteellisten kustannusten vähentämiseksi, jotta voidaan osoittaa institutionaalinen vastuunkanto aikana, jona julkinen velka on suuri;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kehottaa komitean hallintoa aktiivisesti määrittämään ja toteuttamaan toimenpiteitä kustannusten säästämiseksi muun muassa lisäämällä hybridikokousteknologian käyttöä, optimoimalla rakennusten käyttöä, keskittämällä parlamentaarista toimintaa ja vähentämällä tarpeettomia logistisia kustannuksia;</w:t>
            </w:r>
            <w:r>
              <w:t xml:space="preserve"> </w:t>
            </w:r>
            <w:r>
              <w:rPr>
                <w:b/>
                <w:i/>
              </w:rPr>
              <w:t>pyytää raportoimaan säännöllisesti kehityksestä, jota on saavutettu toimenpiteiden täytäntöönpanossa ja säästöjen tekemisessä;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kehottaa komiteaa ottamaan käyttöön jäsennellyn etenemissuunnitelman, johon sisältyy muun muassa vuotuisia välitavoitteita, riskiperusteista priorisointia ja säännöllistä raportointia vastuuvapauden myöntävälle viranomaiselle, jotta kyberturvallisuusmenojen 10 prosentin tavoitearvo voidaan saavuttaa asteittain;</w:t>
            </w:r>
            <w:r>
              <w:t xml:space="preserve"> </w:t>
            </w:r>
            <w:r>
              <w:rPr>
                <w:b/>
                <w:i/>
              </w:rPr>
              <w:t>korostaa tarvetta vahvistaa yhteistyötä CERT-EU:n ja muiden unionin toimielinten kanssa johdonmukaisen ja häiriönsietokykyisen kyberturvallisuuden tason varmistamiseksi;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toteaa, että komitealla on keskeinen tehtävä unionin politiikan kehittämisen ja päätöksentekoprosessien edistämisessä, sillä se edustaa kaikkien järjestäytyneen kansalaisyhteiskunnan alojen ääniä unionissa, mikä lähentää unionia näin kansalaisiin ja lisää unionin lainsäädännön demokraattista legitiimiyttä; muistuttaa, että osana vuotuista työohjelmaansa komitea käyttää tuloksellisuuden seurantajärjestelmää, johon sisältyy erilaisia indikaattoreita, esimerkiksi tietotekniikan, henkilöstöhallinnon, kääntämisen ja viestinnän aloilla, ja joka rakentuu viiden keskeisen arvon ja viiden keskeisen strategisen tavoitteen ympärille pääsihteeristön vuosien 2021–2025 strategian puitteissa; panee tyytyväisenä merkille, että vuoden 2023 vastuuvapautta koskevassa parlamentin päätöslauselmassa esitettyihin huomautuksiin vastaukseksi annetun komitean jatkoselvityksen, jäljempänä ’seurantakertomus’, ja kyselyn perusteella komitea käynnisti tilintarkastuksen jälkeen jäsennellyn prosessin parantaakseen tuloksellisuuden seurantaansa mukauttamalla tuloskehyksensä strategisiin tavoitteisiin keskeisten tulosindikaattoreiden ja vaikutusindikaattoreiden avulla, jotka on sovitettava yhteen komitean tulevien strategisten tavoitteiden kanssa, ja toteaa, että ylimmällä johdolla on keskeinen rooli näiden indikaattoreiden käytössä; odottaa saavansa tietoa tämän uuden kehyksen täytäntöönpanon tuloksista valiokunnan tulevissa kertomuksissa vastuuvapauden myöntävälle viranomaiselle;</w:t>
            </w:r>
          </w:p>
        </w:tc>
        <w:tc>
          <w:tcPr>
            <w:tcW w:w="4876" w:type="dxa"/>
            <w:tcBorders>
              <w:top w:val="nil"/>
              <w:left w:val="nil"/>
              <w:bottom w:val="nil"/>
              <w:right w:val="nil"/>
            </w:tcBorders>
          </w:tcPr>
          <w:p>
            <w:pPr>
              <w:pStyle w:val="Normal6a"/>
            </w:pPr>
            <w:r>
              <w:t>12.</w:t>
            </w:r>
            <w:r>
              <w:tab/>
            </w:r>
            <w:r>
              <w:t>toteaa, että komitealla on keskeinen tehtävä unionin politiikan kehittämisen ja päätöksentekoprosessien edistämisessä, sillä se edustaa kaikkien järjestäytyneen kansalaisyhteiskunnan alojen ääniä unionissa, mikä lähentää unionia näin kansalaisiin ja lisää unionin lainsäädännön demokraattista legitiimiyttä; muistuttaa, että osana vuotuista työohjelmaansa komitea käyttää tuloksellisuuden seurantajärjestelmää, johon sisältyy erilaisia indikaattoreita, esimerkiksi tietotekniikan, henkilöstöhallinnon, kääntämisen ja viestinnän aloilla, ja joka rakentuu viiden keskeisen arvon ja viiden keskeisen strategisen tavoitteen ympärille pääsihteeristön vuosien 2021–2025 strategian puitteissa</w:t>
            </w:r>
            <w:r>
              <w:rPr>
                <w:b/>
                <w:i/>
              </w:rPr>
              <w:t>;</w:t>
            </w:r>
            <w:r>
              <w:t xml:space="preserve"> </w:t>
            </w:r>
            <w:r>
              <w:rPr>
                <w:b/>
                <w:i/>
              </w:rPr>
              <w:t>katsoo kuitenkin, että sen toiminnan unionin kansalaisille tuottamasta lisäarvosta ei raportoida riittävästi;</w:t>
            </w:r>
            <w:r>
              <w:t xml:space="preserve"> </w:t>
            </w:r>
            <w:r>
              <w:rPr>
                <w:b/>
                <w:i/>
              </w:rPr>
              <w:t>kehottaa komiteaa vahvistamaan edelleen vaikutustenarviointikehystään osoittamalla paremmin, miten sen lausunnot ja aloitteet johtavat konkreettisiin poliittisiin tuloksiin ja näkyviin hyötyihin kansalaisille</w:t>
            </w:r>
            <w:r>
              <w:t>; panee tyytyväisenä merkille, että vuoden 2023 vastuuvapautta koskevassa parlamentin päätöslauselmassa esitettyihin huomautuksiin vastaukseksi annetun komitean jatkoselvityksen, jäljempänä ’seurantakertomus’, ja kyselyn perusteella komitea käynnisti tilintarkastuksen jälkeen jäsennellyn prosessin parantaakseen tuloksellisuuden seurantaansa mukauttamalla tuloskehyksensä strategisiin tavoitteisiin keskeisten tulosindikaattoreiden ja vaikutusindikaattoreiden avulla, jotka on sovitettava yhteen komitean tulevien strategisten tavoitteiden kanssa, ja toteaa, että ylimmällä johdolla on keskeinen rooli näiden indikaattoreiden käytössä; odottaa saavansa tietoa tämän uuden kehyksen täytäntöönpanon tuloksista valiokunnan tulevissa kertomuksissa vastuuvapauden myöntävälle viranomaiselle;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toteaa, että komitealla on keskeinen tehtävä unionin politiikan kehittämisen ja päätöksentekoprosessien edistämisessä, sillä se edustaa kaikkien järjestäytyneen kansalaisyhteiskunnan alojen ääniä unionissa, mikä lähentää unionia näin kansalaisiin ja lisää unionin lainsäädännön demokraattista legitiimiyttä; muistuttaa, että osana vuotuista työohjelmaansa komitea käyttää tuloksellisuuden seurantajärjestelmää, johon sisältyy erilaisia indikaattoreita, esimerkiksi tietotekniikan, henkilöstöhallinnon, kääntämisen ja viestinnän aloilla, ja joka rakentuu viiden keskeisen arvon ja viiden keskeisen strategisen tavoitteen ympärille pääsihteeristön vuosien 2021–2025 strategian puitteissa; panee tyytyväisenä merkille, että vuoden 2023 vastuuvapautta koskevassa parlamentin päätöslauselmassa esitettyihin huomautuksiin vastaukseksi annetun komitean jatkoselvityksen, jäljempänä ’seurantakertomus’, ja kyselyn perusteella komitea käynnisti tilintarkastuksen jälkeen jäsennellyn prosessin parantaakseen tuloksellisuuden seurantaansa mukauttamalla tuloskehyksensä strategisiin tavoitteisiin keskeisten tulosindikaattoreiden ja vaikutusindikaattoreiden avulla, jotka on sovitettava yhteen komitean tulevien strategisten tavoitteiden kanssa, ja toteaa, että ylimmällä johdolla on keskeinen rooli näiden indikaattoreiden käytössä; odottaa saavansa tietoa tämän uuden kehyksen täytäntöönpanon tuloksista valiokunnan tulevissa kertomuksissa vastuuvapauden myöntävälle viranomaiselle;</w:t>
            </w:r>
          </w:p>
        </w:tc>
        <w:tc>
          <w:tcPr>
            <w:tcW w:w="4876" w:type="dxa"/>
            <w:tcBorders>
              <w:top w:val="nil"/>
              <w:left w:val="nil"/>
              <w:bottom w:val="nil"/>
              <w:right w:val="nil"/>
            </w:tcBorders>
          </w:tcPr>
          <w:p>
            <w:pPr>
              <w:pStyle w:val="Normal6a"/>
            </w:pPr>
            <w:r>
              <w:t>12.</w:t>
            </w:r>
            <w:r>
              <w:tab/>
            </w:r>
            <w:r>
              <w:t xml:space="preserve">toteaa, että komitealla on keskeinen tehtävä unionin politiikan kehittämisen ja päätöksentekoprosessien edistämisessä, sillä se edustaa kaikkien järjestäytyneen kansalaisyhteiskunnan alojen ääniä unionissa, mikä lähentää unionia näin kansalaisiin ja lisää unionin lainsäädännön demokraattista legitiimiyttä; muistuttaa, että osana vuotuista työohjelmaansa komitea käyttää tuloksellisuuden seurantajärjestelmää, johon sisältyy erilaisia indikaattoreita, esimerkiksi tietotekniikan, henkilöstöhallinnon, kääntämisen ja viestinnän aloilla, ja joka rakentuu viiden keskeisen arvon ja viiden keskeisen strategisen tavoitteen ympärille pääsihteeristön vuosien 2021–2025 strategian puitteissa; panee tyytyväisenä merkille, että vuoden 2023 vastuuvapautta koskevassa parlamentin päätöslauselmassa esitettyihin huomautuksiin vastaukseksi annetun komitean jatkoselvityksen, jäljempänä ’seurantakertomus’, ja kyselyn perusteella komitea käynnisti tilintarkastuksen jälkeen jäsennellyn prosessin parantaakseen tuloksellisuuden seurantaansa mukauttamalla tuloskehyksensä strategisiin tavoitteisiin keskeisten tulosindikaattoreiden ja vaikutusindikaattoreiden avulla, jotka on sovitettava yhteen komitean tulevien strategisten tavoitteiden kanssa, ja toteaa, että ylimmällä johdolla on keskeinen rooli näiden indikaattoreiden käytössä; odottaa saavansa tietoa tämän uuden kehyksen täytäntöönpanon tuloksista valiokunnan tulevissa kertomuksissa vastuuvapauden myöntävälle viranomaiselle; </w:t>
            </w:r>
            <w:r>
              <w:rPr>
                <w:b/>
                <w:i/>
              </w:rPr>
              <w:t>suhtautuu myönteisesti komitean pyrkimyksiin sisällyttää vaikutusten mittaaminen päätöksentekoonsa ja kehottaa laatimaan keskeiset tulosindikaattorit, jotka ovat selkeät ja määrällisesti ilmaistavissa, ja raportoimaan vaikutuksista säännöllisesti, jotta voidaan varmistaa mitattavissa olevat tulokset ja vastuuvelvollisuuden toteutuminen;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panee merkille, että komitea hoitaa tehtäväänsä antamalla lausuntoja, jotka koskevat komission tekemiä lainsäädäntöehdotuksia (lausuntopyynnöt), ja oma-aloitteisia lausuntoja, joissa kehotetaan unionin toimielimiä toimimaan, sekä valmistelevia lausuntoja, joita komissio hyödyntää työstäessään suunniteltuja aloitteita, ja että komitean kantoja voidaan tuoda esiin päätöslauselmissa tai sisällyttää arviointikertomuksiin ja tiedonantoihin; antaa komitealle tunnustusta sen tekemästä työstä parlamentin, neuvoston ja komission avustamiseksi lainsäädäntötoiminnassa vuonna 2024; panee tässä yhteydessä merkille, että vuonna 2024 komitea antoi 142 lausuntoa ja selvitystä, eli vähemmän kuin vuonna 2023 annetut 213, ja järjesti 148 kuulemistilaisuutta (146 vuonna 2023) ja 26 konferenssia (24 vuonna 2023); toteaa, että vaalikauden vaihtuminen vuonna 2024 vähensi lausuntopyyntöjen määrää ja siten myös komitean kyseisenä vuonna hyväksymien lausuntojen määrää; panee merkille, että vuonna 2024 komitean jäsenet osallistuivat 518:aan korkean tason kokoukseen, huippukokoukseen ja konferenssiin, kun vuonna 2023 määrä oli 429;</w:t>
            </w:r>
          </w:p>
        </w:tc>
        <w:tc>
          <w:tcPr>
            <w:tcW w:w="4876" w:type="dxa"/>
            <w:tcBorders>
              <w:top w:val="nil"/>
              <w:left w:val="nil"/>
              <w:bottom w:val="nil"/>
              <w:right w:val="nil"/>
            </w:tcBorders>
          </w:tcPr>
          <w:p>
            <w:pPr>
              <w:pStyle w:val="Normal6a"/>
            </w:pPr>
            <w:r>
              <w:t>13.</w:t>
            </w:r>
            <w:r>
              <w:tab/>
            </w:r>
            <w:r>
              <w:t xml:space="preserve">panee merkille, että komitea hoitaa tehtäväänsä antamalla lausuntoja, jotka koskevat komission tekemiä lainsäädäntöehdotuksia (lausuntopyynnöt), ja oma-aloitteisia lausuntoja, joissa kehotetaan unionin toimielimiä toimimaan, sekä valmistelevia lausuntoja, joita komissio hyödyntää työstäessään suunniteltuja aloitteita, ja että komitean kantoja voidaan tuoda esiin päätöslauselmissa tai sisällyttää arviointikertomuksiin ja tiedonantoihin; antaa komitealle tunnustusta sen tekemästä työstä parlamentin, neuvoston ja komission avustamiseksi lainsäädäntötoiminnassa vuonna 2024; panee tässä yhteydessä merkille, että vuonna 2024 komitea antoi 142 lausuntoa ja selvitystä, eli vähemmän kuin vuonna 2023 annetut 213, ja järjesti 148 kuulemistilaisuutta (146 vuonna 2023) ja 26 konferenssia (24 vuonna 2023); toteaa, että vaalikauden vaihtuminen vuonna 2024 vähensi lausuntopyyntöjen määrää ja siten myös komitean kyseisenä vuonna hyväksymien lausuntojen määrää; panee merkille, että vuonna 2024 komitean jäsenet osallistuivat 518:aan korkean tason kokoukseen, huippukokoukseen ja konferenssiin, kun vuonna 2023 määrä oli 429; </w:t>
            </w:r>
            <w:r>
              <w:rPr>
                <w:b/>
                <w:i/>
              </w:rPr>
              <w:t>kannustaa asettamaan etusijalle aloitteet, joilla tuetaan talouskasvua, kilpailukykyä ja EU:n strategista riippumattomuutta;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kannustaa komiteaa jatkamaan pyrkimyksiään keskittää työnsä aloille, joilla se voi antaa selkeitä, mitattavissa olevia ja politiikan kannalta merkityksellisiä panoksia, ja kehittämään edelleen tulos- ja vaikutusperusteisia indikaattoreita, jotka kuvastavat muutakin kuin toimintoihin perustuvia tuotoksia ja kuvaavat paremmin aikaansaatuja tuloksia ja niiden merkitystä kansalaisille;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pitää seurantakertomuksen perusteella myönteisenä, että komitea on sitoutunut laatimaan lausuntoja työntekijöiden oikeuksista, sosiaalisesta osallisuudesta ja ihmisoikeusloukkauksista ja laajentamaan unionin lainsäädäntöä ja ohjelmia koskevien arviointiensa soveltamisalaa edellyttäen, että käytettävissä on riittävät resurssit;</w:t>
            </w:r>
          </w:p>
        </w:tc>
        <w:tc>
          <w:tcPr>
            <w:tcW w:w="4876" w:type="dxa"/>
            <w:tcBorders>
              <w:top w:val="nil"/>
              <w:left w:val="nil"/>
              <w:bottom w:val="nil"/>
              <w:right w:val="nil"/>
            </w:tcBorders>
          </w:tcPr>
          <w:p>
            <w:pPr>
              <w:pStyle w:val="Normal6a"/>
            </w:pPr>
            <w:r>
              <w:t>14.</w:t>
            </w:r>
            <w:r>
              <w:tab/>
            </w:r>
            <w:r>
              <w:t>pitää seurantakertomuksen perusteella myönteisenä, että komitea on sitoutunut laatimaan lausuntoja työntekijöiden oikeuksista, sosiaalisesta osallisuudesta ja ihmisoikeusloukkauksista ja laajentamaan unionin lainsäädäntöä ja ohjelmia koskevien arviointiensa soveltamisalaa edellyttäen, että käytettävissä on riittävät resurssit</w:t>
            </w:r>
            <w:r>
              <w:rPr>
                <w:b/>
                <w:i/>
              </w:rPr>
              <w:t>, jotta varmistetaan kansalaisyhteiskunnan laaja edustus</w:t>
            </w:r>
            <w:r>
              <w:t xml:space="preserve">; </w:t>
            </w:r>
            <w:r>
              <w:rPr>
                <w:b/>
                <w:i/>
              </w:rPr>
              <w:t>kannustaa komiteaa laajentamaan lausuntojen soveltamisalaa siten, että ne kattavat myös muun julkishyödykkeisiin liittyvän unionin lainsäädännön;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arvostaa komitean vuonna 2024 toteuttamia toimia työnsä näkyvyyden ja vaikuttavuuden parantamiseksi poliittisessa ja lainsäädäntösyklissä; pitää myönteisenä, että pilottihankkeen jälkeen on virallisesti otettu käyttöön uusi lausuntomuoto, jota käytetään vastattaessa parlamentin, neuvoston tai komission pakollisiin lausuntopyyntöihin; toteaa, että uusi muoto on lainsäätäjän kannalta käyttäjäystävällisempi ja käytettävämpi ja että samalla parannetaan myös komitean työn priorisointia; panee lisäksi merkille komitean odotukset siitä, että tarkistuslistan ja ohjeiden avulla toteutettavan valittujen lausuntojen tehostetun seurannan ansiosta lausunnot pysyvät merkityksellisinä myös niiden hyväksymisen jälkeen ja että niitä hyödynnetään monikerroksisissa lainsäädäntöprosesseissa; suhtautuu lisäksi myönteisesti siihen, että komitean lausunnot on huhtikuusta 2024 alkaen sisällytetty EU Law Tracker (EULT) -järjestelmään, jossa ne näytetään nyt lainsäädäntöasiakirjojen viiteasiakirjoina; panee tyytyväisenä merkille, että komitea hyväksyi myös sisäisen suunnitelman, jonka avulla on tarkoitus ennakoida paremmin unionin painopisteitä, parantaa toimielinten välistä koordinointia, vahvistaa tulosten levittämistä ja seurantaa sekä mitata vaikutuksia järjestelmällisemmin;</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antaa arvoa komitean vuonna 2024 toteuttamille toimille, joilla parannettiin sen lausuntojen saatavuutta, selkeyttä ja käytettävyyttä unionin toimielinten kannalta;</w:t>
            </w:r>
            <w:r>
              <w:t xml:space="preserve"> </w:t>
            </w:r>
            <w:r>
              <w:rPr>
                <w:b/>
                <w:i/>
              </w:rPr>
              <w:t>korostaa, että näiden toimien tarkoituksena on parantaa lainsäätäjien valmiuksia tehdä tietoon perustuvia päätöksiä;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panee tyytyväisenä merkille, että komitea edisti useita lippulaivahankkeita, joilla vahvistettiin osallistumista, osallisuutta ja toimintapolitiikan vaikuttavuutta kaikkialla unionissa; panee merkille, että komitea on syyskuusta 2024 alkaen johtanut EU:n nuorisotestin soveltamista lausuntoprosessissaan, mihin osallistui 73 nuorisojärjestön verkosto ja minkä yhteydessä noin 40 lausuntoa testattiin; panee lisäksi merkille, että komitea laajensi yhteistyötään ehdokasmaiden kanssa jäsenehdokasmaita edustavia jäseniä koskevalla aloitteella, jonka ansiosta 146 kansalaisyhteiskunnan edustajaa pystyi antamaan suoraan panoksensa komitean lausuntojen valmisteluun osallistumalla valmisteluryhmiin, jaostojen kokouksiin ja lokakuussa 2024 pidettyyn täysistuntoon; antaa komitealle tunnustusta siitä, että se on edistänyt EU:n sinisen kehityksen ohjelmaa ja auttanut saattamaan vesiresilienssin unionin asialistalle; nostaa esille, että komitea jatkoi Euroopan kiertotalouden sidosryhmäfoorumin johtamista ja oli mukana EU:n luomupalkintojen järjestelyissä vuonna 2024 sekä vahvisti yhteyksiä kansalaisyhteiskunnan toimijoihin luonnonmukaisen maatalouden alalla;</w:t>
            </w:r>
          </w:p>
        </w:tc>
        <w:tc>
          <w:tcPr>
            <w:tcW w:w="4876" w:type="dxa"/>
            <w:tcBorders>
              <w:top w:val="nil"/>
              <w:left w:val="nil"/>
              <w:bottom w:val="nil"/>
              <w:right w:val="nil"/>
            </w:tcBorders>
          </w:tcPr>
          <w:p>
            <w:pPr>
              <w:pStyle w:val="Normal6a"/>
            </w:pPr>
            <w:r>
              <w:t>16.</w:t>
            </w:r>
            <w:r>
              <w:tab/>
            </w:r>
            <w:r>
              <w:t xml:space="preserve">panee tyytyväisenä merkille, että komitea edisti useita lippulaivahankkeita, joilla vahvistettiin osallistumista, osallisuutta ja toimintapolitiikan vaikuttavuutta kaikkialla unionissa; panee merkille, että komitea on syyskuusta 2024 alkaen johtanut EU:n nuorisotestin soveltamista lausuntoprosessissaan, mihin osallistui 73 nuorisojärjestön verkosto ja minkä yhteydessä noin 40 lausuntoa testattiin; panee lisäksi merkille, että komitea laajensi yhteistyötään ehdokasmaiden kanssa jäsenehdokasmaita edustavia jäseniä koskevalla aloitteella, jonka ansiosta 146 kansalaisyhteiskunnan edustajaa pystyi antamaan suoraan panoksensa komitean lausuntojen valmisteluun osallistumalla valmisteluryhmiin, jaostojen kokouksiin ja lokakuussa 2024 pidettyyn täysistuntoon; </w:t>
            </w:r>
            <w:r>
              <w:rPr>
                <w:b/>
                <w:i/>
              </w:rPr>
              <w:t>pitää tätä aloitetta myönteisenä panoksena osallistavaan vuoropuheluun ja tulevaan laajentumiseen valmistautumiseen;</w:t>
            </w:r>
            <w:r>
              <w:t xml:space="preserve"> antaa komitealle tunnustusta siitä, että se on edistänyt EU:n sinisen kehityksen ohjelmaa ja auttanut saattamaan vesiresilienssin unionin asialistalle; nostaa esille, että komitea jatkoi Euroopan kiertotalouden sidosryhmäfoorumin johtamista ja oli mukana EU:n luomupalkintojen järjestelyissä vuonna 2024 sekä vahvisti yhteyksiä kansalaisyhteiskunnan toimijoihin luonnonmukaisen maatalouden alalla; </w:t>
            </w:r>
            <w:r>
              <w:rPr>
                <w:b/>
                <w:i/>
              </w:rPr>
              <w:t>kannustaa jatkamaan yhtenäistä linjanvetoa EU:n strategisten politiikkatavoitteiden kanssa ja panostamista mitattavissa oleviin tuloksiin;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panee tyytyväisenä merkille, että komitea edisti useita lippulaivahankkeita, joilla vahvistettiin osallistumista, osallisuutta ja toimintapolitiikan vaikuttavuutta kaikkialla unionissa; panee merkille, että komitea on syyskuusta 2024 alkaen johtanut EU:n nuorisotestin soveltamista lausuntoprosessissaan, mihin osallistui 73 nuorisojärjestön verkosto ja minkä yhteydessä noin 40 lausuntoa testattiin; panee lisäksi merkille, että komitea laajensi yhteistyötään ehdokasmaiden kanssa jäsenehdokasmaita edustavia jäseniä koskevalla aloitteella, jonka ansiosta 146 kansalaisyhteiskunnan edustajaa pystyi antamaan suoraan panoksensa komitean lausuntojen valmisteluun osallistumalla valmisteluryhmiin, jaostojen kokouksiin ja lokakuussa 2024 pidettyyn täysistuntoon; antaa komitealle tunnustusta siitä, että se on edistänyt EU:n sinisen kehityksen ohjelmaa ja auttanut saattamaan vesiresilienssin unionin asialistalle; nostaa esille, että komitea jatkoi Euroopan kiertotalouden sidosryhmäfoorumin johtamista ja oli mukana EU:n luomupalkintojen järjestelyissä vuonna 2024 sekä vahvisti yhteyksiä kansalaisyhteiskunnan toimijoihin luonnonmukaisen maatalouden alalla;</w:t>
            </w:r>
          </w:p>
        </w:tc>
        <w:tc>
          <w:tcPr>
            <w:tcW w:w="4876" w:type="dxa"/>
            <w:tcBorders>
              <w:top w:val="nil"/>
              <w:left w:val="nil"/>
              <w:bottom w:val="nil"/>
              <w:right w:val="nil"/>
            </w:tcBorders>
          </w:tcPr>
          <w:p>
            <w:pPr>
              <w:pStyle w:val="Normal6a"/>
            </w:pPr>
            <w:r>
              <w:t>16.</w:t>
            </w:r>
            <w:r>
              <w:tab/>
            </w:r>
            <w:r>
              <w:t>panee tyytyväisenä merkille, että komitea edisti useita lippulaivahankkeita, joilla vahvistettiin osallistumista, osallisuutta ja toimintapolitiikan vaikuttavuutta kaikkialla unionissa; panee merkille, että komitea on syyskuusta 2024 alkaen johtanut EU:n nuorisotestin soveltamista lausuntoprosessissaan, mihin osallistui 73 nuorisojärjestön verkosto ja minkä yhteydessä noin 40 lausuntoa testattiin</w:t>
            </w:r>
            <w:r>
              <w:rPr>
                <w:b/>
                <w:i/>
              </w:rPr>
              <w:t>;</w:t>
            </w:r>
            <w:r>
              <w:t xml:space="preserve"> </w:t>
            </w:r>
            <w:r>
              <w:rPr>
                <w:b/>
                <w:i/>
              </w:rPr>
              <w:t>pitää myönteisinä ja tukee komitean aloitteita, joilla pyritään vahvistamaan nuorten osallistumista päätöksentekoprosessiin</w:t>
            </w:r>
            <w:r>
              <w:t>; panee lisäksi merkille, että komitea laajensi yhteistyötään ehdokasmaiden kanssa jäsenehdokasmaita edustavia jäseniä koskevalla aloitteella, jonka ansiosta 146 kansalaisyhteiskunnan edustajaa pystyi antamaan suoraan panoksensa komitean lausuntojen valmisteluun osallistumalla valmisteluryhmiin, jaostojen kokouksiin ja lokakuussa 2024 pidettyyn täysistuntoon; antaa komitealle tunnustusta siitä, että se on edistänyt EU:n sinisen kehityksen ohjelmaa ja auttanut saattamaan vesiresilienssin unionin asialistalle; nostaa esille, että komitea jatkoi Euroopan kiertotalouden sidosryhmäfoorumin johtamista ja oli mukana EU:n luomupalkintojen järjestelyissä vuonna 2024 sekä vahvisti yhteyksiä kansalaisyhteiskunnan toimijoihin luonnonmukaisen maatalouden alalla;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panee kyselyn perusteella tyytyväisenä merkille komitean toimet hallinnollisen taakan vähentämiseksi ja prosessien virtaviivaistamiseksi vuonna 2024; pitää tässä yhteydessä myönteisenä muun muassa uuden, tehokkaamman vierailijoiden rekisteröintiohjelman käyttöönottoa, yhteistyöohjelmistojen käyttöä joissakin komitean yksiköissä, komitean toimintaprosessien hallintamenetelmien käyttöä käsittelevää osastojen välistä työryhmää, ulkoistettujen käännösten tarkastusprosessin yksinkertaistamista, useiden kieliyksiköiden yhdistämistä ja komitean viestintäsääntöjen yksinkertaistamista; panee </w:t>
            </w:r>
            <w:r>
              <w:rPr>
                <w:b/>
                <w:i/>
              </w:rPr>
              <w:t>kiinnostuneena</w:t>
            </w:r>
            <w:r>
              <w:t xml:space="preserve"> merkille, että resurssien säästämiseksi komitea on toteuttamassa pilottivaihetta, jossa käytetään tekoälyä käännösosaston työtapojen muuttamiseksi; kehottaa virastoa tiedottamaan vastuuvapauden myöntävälle viranomaiselle tässä asiassa tapahtuvasta edistyksestä;</w:t>
            </w:r>
          </w:p>
        </w:tc>
        <w:tc>
          <w:tcPr>
            <w:tcW w:w="4876" w:type="dxa"/>
            <w:tcBorders>
              <w:top w:val="nil"/>
              <w:left w:val="nil"/>
              <w:bottom w:val="nil"/>
              <w:right w:val="nil"/>
            </w:tcBorders>
          </w:tcPr>
          <w:p>
            <w:pPr>
              <w:pStyle w:val="Normal6a"/>
            </w:pPr>
            <w:r>
              <w:t>17.</w:t>
            </w:r>
            <w:r>
              <w:tab/>
            </w:r>
            <w:r>
              <w:t xml:space="preserve">panee kyselyn perusteella tyytyväisenä merkille komitean toimet hallinnollisen taakan vähentämiseksi ja prosessien virtaviivaistamiseksi vuonna 2024; pitää tässä yhteydessä myönteisenä muun muassa uuden, tehokkaamman vierailijoiden rekisteröintiohjelman käyttöönottoa, yhteistyöohjelmistojen käyttöä joissakin komitean yksiköissä, komitean toimintaprosessien hallintamenetelmien käyttöä käsittelevää osastojen välistä työryhmää, ulkoistettujen käännösten tarkastusprosessin yksinkertaistamista, useiden kieliyksiköiden yhdistämistä ja komitean viestintäsääntöjen yksinkertaistamista; panee merkille, että resurssien säästämiseksi komitea on toteuttamassa pilottivaihetta, jossa käytetään tekoälyä käännösosaston työtapojen muuttamiseksi; </w:t>
            </w:r>
            <w:r>
              <w:rPr>
                <w:b/>
                <w:i/>
              </w:rPr>
              <w:t>korostaa, että tekoälyä on käytettävä ihmisen valvonnassa;</w:t>
            </w:r>
            <w:r>
              <w:t xml:space="preserve"> kehottaa virastoa tiedottamaan vastuuvapauden myöntävälle viranomaiselle tässä asiassa tapahtuvasta edistyksestä;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kehottaa komiteaa tehostamaan sellaisen kattavan digitalisaatiostrategian kehittämistä, joka kattaa tekoälyn, automaation, yhteentoimivuuden ja datahallinnon ja johon liitetään eettinen kehys, jolla varmistetaan kehitteillä olevien teknologioiden turvallinen, vastuullinen ja avoin käyttö;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panee kyselyn perusteella kiinnostuneena merkille komitean pyrkimykset omaksua strategisempi lähestymistapa vaikutuksiin liittyvän työnsä priorisointiin ja ottaa vaikutusten hallinta päätöksenteon keskiöön; panee tässä yhteydessä merkille, että vuosina 2024 ja 2025 järjestettiin kolme korkean tason strategista seminaaria, joihin osallistui poliittisia johtajia ja joissa ennakointitoimet asetettiin keskeiselle sijalle kehitettäessä kriteerejä aloitteiden prioriteetin määrittämiseksi ja sen varmistamiseksi, että aloitteet mukautetaan temaattisesti kansalaisyhteiskunnan pitkän aikavälin tarpeisiin muiden tavoitteiden ohella; panee merkille, että tämä priorisointitoimi sisällytetään komitean ydintoimintoihin, koska se toteutetaan vuosittain ja sitä täydennetään kahden ja puolen vuoden välein kaikkien komitean elinten, toimintojen ja merkittävien tapahtumien tarkastelun perusteella;</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panee vuoden 2024 vaatimustenmukaisuusmenettelyn osalta merkille, että keskimääräinen noudattamisaste oli 85 prosenttia (87 prosenttia vuonna 2023); pitää valitettavana, että sisäisen valvonnan järjestelmän vaikuttavuus laski 78 prosentista 66 prosenttiin; panee tässä yhteydessä merkille, että virallisen vaatimustenmukaisuuden ja käytännön vaikuttavuuden välillä päivittäisessä toiminnassa on kuilu; </w:t>
            </w:r>
            <w:r>
              <w:rPr>
                <w:b/>
                <w:i/>
              </w:rPr>
              <w:t>toteaa, että on toteutettava toimia, jotka koskevat muun muassa sisäistä viestintää, riskitietoisuutta ja</w:t>
            </w:r>
            <w:r>
              <w:t xml:space="preserve"> asiakirja- ja tiedonhallintajärjestelmien nykyaikaistamista; panee lisäksi merkille, että komitea hyväksyi vuonna 2024 tarkistetun päätöksen, jolla yksinkertaistetaan 23:a tarkastustyyppiä ja jota sovelletaan tammikuusta 2025 alkaen; panee kyselyn perusteella tyytyväisenä merkille, että näiden tarkastusten osalta jo suoritetut jälkitarkastukset vahvistivat, että yksinkertaistaminen ei saanut aikaan uusia riskejä;</w:t>
            </w:r>
          </w:p>
        </w:tc>
        <w:tc>
          <w:tcPr>
            <w:tcW w:w="4876" w:type="dxa"/>
            <w:tcBorders>
              <w:top w:val="nil"/>
              <w:left w:val="nil"/>
              <w:bottom w:val="nil"/>
              <w:right w:val="nil"/>
            </w:tcBorders>
          </w:tcPr>
          <w:p>
            <w:pPr>
              <w:pStyle w:val="Normal6a"/>
            </w:pPr>
            <w:r>
              <w:t>19.</w:t>
            </w:r>
            <w:r>
              <w:tab/>
            </w:r>
            <w:r>
              <w:t xml:space="preserve">panee vuoden 2024 vaatimustenmukaisuusmenettelyn osalta merkille, että keskimääräinen noudattamisaste oli 85 prosenttia (87 prosenttia vuonna 2023); pitää valitettavana, että sisäisen valvonnan järjestelmän vaikuttavuus laski 78 prosentista 66 prosenttiin; panee tässä yhteydessä merkille, että virallisen vaatimustenmukaisuuden ja käytännön vaikuttavuuden välillä päivittäisessä toiminnassa on kuilu; </w:t>
            </w:r>
            <w:r>
              <w:rPr>
                <w:b/>
                <w:i/>
              </w:rPr>
              <w:t>kehottaa komiteaa puuttumaan sisäisen valvonnan tehokkuuden heikkenemisen rakenteellisiin syihin etenkin vahvistamalla riskitietoisuuskulttuuria, parantamalla sisäisiä viestintäkanavia ja nopeuttamalla</w:t>
            </w:r>
            <w:r>
              <w:t xml:space="preserve"> asiakirja- ja tiedonhallintajärjestelmien nykyaikaistamista; panee lisäksi merkille, että komitea hyväksyi vuonna 2024 tarkistetun päätöksen, jolla yksinkertaistetaan 23:a tarkastustyyppiä ja jota sovelletaan tammikuusta 2025 alkaen; panee kyselyn perusteella tyytyväisenä merkille, että näiden tarkastusten osalta jo suoritetut jälkitarkastukset vahvistivat, että yksinkertaistaminen ei saanut aikaan uusia riskejä;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panee vuoden 2024 vaatimustenmukaisuusmenettelyn osalta merkille, että keskimääräinen noudattamisaste oli 85 prosenttia (87 prosenttia vuonna 2023); pitää valitettavana, että sisäisen valvonnan järjestelmän vaikuttavuus laski 78 prosentista 66 prosenttiin; panee tässä yhteydessä merkille, että virallisen vaatimustenmukaisuuden ja käytännön vaikuttavuuden välillä päivittäisessä toiminnassa on kuilu; toteaa, että on toteutettava toimia, jotka koskevat muun muassa sisäistä viestintää, riskitietoisuutta ja asiakirja- ja tiedonhallintajärjestelmien nykyaikaistamista; panee lisäksi merkille, että komitea hyväksyi vuonna 2024 tarkistetun päätöksen, jolla yksinkertaistetaan 23:a tarkastustyyppiä ja jota sovelletaan tammikuusta 2025 alkaen; panee kyselyn perusteella tyytyväisenä merkille, että näiden tarkastusten osalta jo suoritetut jälkitarkastukset vahvistivat, että yksinkertaistaminen ei saanut aikaan uusia riskejä;</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panee merkille komitean vuoden 2024 toimintakertomuksen perusteella, että vuonna 2024 tehtiin viisi uutta tarkastusta, jotka koskivat matkan kestosta johtuvaa korvausta ja välimatkakorvausta, riskinhallintaa, lausuntopyyntöjä, keskeisiä toiminta- ja tulosindikaattoreita sekä matkakuluja ja joiden perusteella annettiin yhteensä 14 suositusta; panee erityisesti merkille sisäisen tarkastajan havainnot matkan kestosta johtuvista korvauksista ja välimatkakorvauksista, kuten ”tavanomaisen asuinpaikan” selkeän määritelmän puuttumisen ja täydentäviä asiakirjoja koskevien vaatimusten puuttumisen; panee lisäksi merkille, että 13 suosituksen käsittely oli kesken tammikuun 2025 lopussa; panee lisäksi merkille, että aiempien tarkastusten perusteella on edelleen avoinna seitsemän suositusta, jotka koskevat erityisesti etiikkaa ja lahjomattomuutta, maksuaikoja, kokousvaltuutuksia, neuvoa-antavan valiokunnan ”teollisuuden muutokset” (CCMI) jäseniä ja strategista sykliä; pitää tässä yhteydessä myönteisenä, että komitea on hyväksynyt uusia sääntöjä kokousvaltuutuksista, päivärahoista ja korvauksista; kehottaa komiteaa jatkamaan vastuuvapauden myöntävälle viranomaiselle tiedottamista avoinna olevien suositusten täytäntöönpanossa tapahtuvasta edistyksestä;</w:t>
            </w:r>
          </w:p>
        </w:tc>
        <w:tc>
          <w:tcPr>
            <w:tcW w:w="4876" w:type="dxa"/>
            <w:tcBorders>
              <w:top w:val="nil"/>
              <w:left w:val="nil"/>
              <w:bottom w:val="nil"/>
              <w:right w:val="nil"/>
            </w:tcBorders>
          </w:tcPr>
          <w:p>
            <w:pPr>
              <w:pStyle w:val="Normal6a"/>
            </w:pPr>
            <w:r>
              <w:t>20.</w:t>
            </w:r>
            <w:r>
              <w:tab/>
            </w:r>
            <w:r>
              <w:t xml:space="preserve">panee merkille komitean vuoden 2024 toimintakertomuksen perusteella, että vuonna 2024 tehtiin viisi uutta tarkastusta, jotka koskivat matkan kestosta johtuvaa korvausta ja välimatkakorvausta, riskinhallintaa, lausuntopyyntöjä, keskeisiä toiminta- ja tulosindikaattoreita sekä matkakuluja ja joiden perusteella annettiin yhteensä 14 suositusta; panee erityisesti merkille sisäisen tarkastajan havainnot matkan kestosta johtuvista korvauksista ja välimatkakorvauksista, kuten ”tavanomaisen asuinpaikan” selkeän määritelmän puuttumisen ja täydentäviä asiakirjoja koskevien vaatimusten puuttumisen; panee lisäksi merkille, että 13 suosituksen käsittely oli kesken tammikuun 2025 lopussa; panee lisäksi merkille, että aiempien tarkastusten perusteella on edelleen avoinna seitsemän suositusta, jotka koskevat erityisesti etiikkaa ja lahjomattomuutta, maksuaikoja, kokousvaltuutuksia, neuvoa-antavan valiokunnan ”teollisuuden muutokset” (CCMI) jäseniä ja strategista sykliä; pitää tässä yhteydessä myönteisenä, että komitea on hyväksynyt uusia sääntöjä kokousvaltuutuksista, päivärahoista ja korvauksista; kehottaa komiteaa </w:t>
            </w:r>
            <w:r>
              <w:rPr>
                <w:b/>
                <w:i/>
              </w:rPr>
              <w:t>varmistamaan, että kaikkien jäljellä olevien tarkastussuositusten, erityisesti korvauksia, etiikkaa ja lahjomattomuutta koskevien suositusten, käsittely saatetaan nopeasti päätökseen, ja</w:t>
            </w:r>
            <w:r>
              <w:t xml:space="preserve"> jatkamaan vastuuvapauden myöntävälle viranomaiselle tiedottamista avoinna olevien suositusten täytäntöönpanossa tapahtuvasta edistyksestä;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korostaa hankintojen merkitystä välineenä, jolla edistetään politiikkatavoitteita, myös sosiaalisia tavoitteita ja ympäristötavoitteita;</w:t>
            </w:r>
            <w:r>
              <w:t xml:space="preserve"> </w:t>
            </w:r>
            <w:r>
              <w:rPr>
                <w:b/>
                <w:i/>
              </w:rPr>
              <w:t>kehottaa komiteaa vahvistamaan yhteiskuntavastuuta ja ympäristökestävyyttä koskevien strategisten kriteerien sisällyttämistä hankintamenettelyihinsä;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panee merkille, että vuoden 2024 lopussa komitean palveluksessa oli yhteensä 713 työntekijää, kun vuonna 2023 heitä oli 707; panee lisäksi merkille, että vuonna 2024 palveluksessa oli 48 sopimussuhteista toimihenkilöä ja 144 väliaikaista toimihenkilöä (joista 42 otettiin palvelukseen vuonna 2024), kun vuonna 2023 sopimussuhteisia toimihenkilöitä oli 49 ja väliaikaisia toimihenkilöitä 130; painottaa vakinaisten työsopimusten merkitystä osaamisen, jatkuvuuden </w:t>
            </w:r>
            <w:r>
              <w:rPr>
                <w:b/>
                <w:i/>
              </w:rPr>
              <w:t>ja</w:t>
            </w:r>
            <w:r>
              <w:t xml:space="preserve"> tuottavan työympäristön ylläpitämisessä; panee lisäksi merkille, että ateriapalvelujen, kunnossapidon ja turvallisuuden aloilla työskentelevän henkilöstön lisäksi komitea työllisti talon sisällä kymmenen palveluntarjoajaa ja 14 ulkopuolista työntekijää; panee merkille, että vuonna 2024 toimien täyttöaste oli 96 prosenttia (95,50 prosenttia vuonna 2023) ja henkilöstön vaihtuvuus 5,60 prosenttia (7 prosenttia vuonna 2023);</w:t>
            </w:r>
          </w:p>
        </w:tc>
        <w:tc>
          <w:tcPr>
            <w:tcW w:w="4876" w:type="dxa"/>
            <w:tcBorders>
              <w:top w:val="nil"/>
              <w:left w:val="nil"/>
              <w:bottom w:val="nil"/>
              <w:right w:val="nil"/>
            </w:tcBorders>
          </w:tcPr>
          <w:p>
            <w:pPr>
              <w:pStyle w:val="Normal6a"/>
            </w:pPr>
            <w:r>
              <w:t>21.</w:t>
            </w:r>
            <w:r>
              <w:tab/>
            </w:r>
            <w:r>
              <w:t xml:space="preserve">panee merkille, että vuoden 2024 lopussa komitean palveluksessa oli yhteensä 713 työntekijää, kun vuonna 2023 heitä oli 707; panee lisäksi merkille, että vuonna 2024 palveluksessa oli 48 sopimussuhteista toimihenkilöä ja 144 väliaikaista toimihenkilöä (joista 42 otettiin palvelukseen vuonna 2024), kun vuonna 2023 sopimussuhteisia toimihenkilöitä oli 49 ja väliaikaisia toimihenkilöitä 130; painottaa vakinaisten työsopimusten merkitystä osaamisen, jatkuvuuden </w:t>
            </w:r>
            <w:r>
              <w:rPr>
                <w:b/>
                <w:i/>
              </w:rPr>
              <w:t>sekä</w:t>
            </w:r>
            <w:r>
              <w:t xml:space="preserve"> tuottavan </w:t>
            </w:r>
            <w:r>
              <w:rPr>
                <w:b/>
                <w:i/>
              </w:rPr>
              <w:t>ja vakaan</w:t>
            </w:r>
            <w:r>
              <w:t xml:space="preserve"> työympäristön ylläpitämisessä </w:t>
            </w:r>
            <w:r>
              <w:rPr>
                <w:b/>
                <w:i/>
              </w:rPr>
              <w:t>ja varoittaa liiallisesta turvautumisesta ulkoisiin palveluntarjoajiin</w:t>
            </w:r>
            <w:r>
              <w:t>; panee lisäksi merkille, että ateriapalvelujen, kunnossapidon ja turvallisuuden aloilla työskentelevän henkilöstön lisäksi komitea työllisti talon sisällä kymmenen palveluntarjoajaa ja 14 ulkopuolista työntekijää; panee merkille, että vuonna 2024 toimien täyttöaste oli 96 prosenttia (95,50 prosenttia vuonna 2023) ja henkilöstön vaihtuvuus 5,60 prosenttia (7 prosenttia vuonna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panee merkille, että vuonna 2024 komitean henkilöstön jäseniin lukeutui kaikkia EU:n kansalaisuuksia ja että osa kansalaisuuksista oli yliedustettuna; panee merkille, että 62,70 prosenttia henkilöstöstä oli naisia ja 37,30 prosenttia miehiä; panee seurantakertomuksesta merkille, että naisten osuus johtotehtävissä on 52 prosenttia, mikä tekee komiteasta tässä suhteessa edelläkävijän; pitää kuitenkin valitettavana, että naisten osuus ylemmässä johdossa oli edelleen alhainen vuonna 2024 ja että vain kaksi seitsemästä ylemmän johdon edustajasta oli naisia, mikä oli tilanne myös vuonna 2023; </w:t>
            </w:r>
            <w:r>
              <w:rPr>
                <w:b/>
                <w:i/>
              </w:rPr>
              <w:t>toteaa, että komitean koosta johtuva alhainen vaihtuvuus on yksi syy naisten vähäiseen osuuteen näissä tehtävissä;</w:t>
            </w:r>
            <w:r>
              <w:t xml:space="preserve"> </w:t>
            </w:r>
            <w:r>
              <w:rPr>
                <w:b/>
                <w:i/>
              </w:rPr>
              <w:t>suhtautuu myönteisesti komitean sitoumukseen lisätä nimittävän viranomaisen tietoisuutta tästä asiasta, edistää sukupuolten tasapuolista edustusta nimityksissä ja osallistua naisten foorumin ja hallintofoorumin kautta kohdennettuihin toimiin, joilla tuetaan naisten johtajuuden kehittämistä ja urakehitystä keskijohdossa;</w:t>
            </w:r>
          </w:p>
        </w:tc>
        <w:tc>
          <w:tcPr>
            <w:tcW w:w="4876" w:type="dxa"/>
            <w:tcBorders>
              <w:top w:val="nil"/>
              <w:left w:val="nil"/>
              <w:bottom w:val="nil"/>
              <w:right w:val="nil"/>
            </w:tcBorders>
          </w:tcPr>
          <w:p>
            <w:pPr>
              <w:pStyle w:val="Normal6a"/>
            </w:pPr>
            <w:r>
              <w:t>24.</w:t>
            </w:r>
            <w:r>
              <w:tab/>
            </w:r>
            <w:r>
              <w:t>panee merkille, että vuonna 2024 komitean henkilöstön jäseniin lukeutui kaikkia EU:n kansalaisuuksia ja että osa kansalaisuuksista oli yliedustettuna; panee merkille, että 62,70 prosenttia henkilöstöstä oli naisia ja 37,30 prosenttia miehiä; panee seurantakertomuksesta merkille, että naisten osuus johtotehtävissä on 52 prosenttia, mikä tekee komiteasta tässä suhteessa edelläkävijän; pitää kuitenkin valitettavana, että naisten osuus ylemmässä johdossa oli edelleen alhainen vuonna 2024 ja että vain kaksi seitsemästä ylemmän johdon edustajasta oli naisia, mikä oli tilanne myös vuonna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panee merkille, että vuonna 2024 komitean henkilöstön jäseniin lukeutui kaikkia EU:n kansalaisuuksia ja että osa kansalaisuuksista oli yliedustettuna; panee merkille, että 62,70 prosenttia henkilöstöstä oli naisia ja 37,30 prosenttia miehiä; panee seurantakertomuksesta merkille, että naisten osuus johtotehtävissä on 52 prosenttia, mikä tekee komiteasta tässä suhteessa edelläkävijän; pitää kuitenkin valitettavana, että naisten osuus ylemmässä johdossa oli edelleen alhainen vuonna 2024 ja että vain kaksi seitsemästä ylemmän johdon edustajasta oli naisia, mikä oli tilanne myös vuonna 2023; toteaa, että komitean koosta johtuva alhainen vaihtuvuus on yksi syy naisten vähäiseen osuuteen näissä tehtävissä; suhtautuu myönteisesti komitean sitoumukseen lisätä nimittävän viranomaisen tietoisuutta tästä asiasta, edistää sukupuolten tasapuolista edustusta nimityksissä ja osallistua naisten foorumin ja hallintofoorumin kautta kohdennettuihin toimiin, joilla tuetaan naisten johtajuuden kehittämistä ja urakehitystä keskijohdossa;</w:t>
            </w:r>
          </w:p>
        </w:tc>
        <w:tc>
          <w:tcPr>
            <w:tcW w:w="4876" w:type="dxa"/>
            <w:tcBorders>
              <w:top w:val="nil"/>
              <w:left w:val="nil"/>
              <w:bottom w:val="nil"/>
              <w:right w:val="nil"/>
            </w:tcBorders>
          </w:tcPr>
          <w:p>
            <w:pPr>
              <w:pStyle w:val="Normal6a"/>
            </w:pPr>
            <w:r>
              <w:t>24.</w:t>
            </w:r>
            <w:r>
              <w:tab/>
            </w:r>
            <w:r>
              <w:t xml:space="preserve">panee merkille, että vuonna 2024 komitean henkilöstön jäseniin lukeutui kaikkia EU:n kansalaisuuksia ja että osa kansalaisuuksista oli yliedustettuna; panee merkille, että 62,70 prosenttia henkilöstöstä oli naisia ja 37,30 prosenttia miehiä; panee seurantakertomuksesta merkille, että naisten osuus johtotehtävissä on 52 prosenttia, mikä tekee komiteasta tässä suhteessa edelläkävijän; pitää kuitenkin valitettavana, että naisten osuus ylemmässä johdossa oli edelleen alhainen vuonna 2024 ja että vain kaksi seitsemästä ylemmän johdon edustajasta oli naisia, mikä oli tilanne myös vuonna 2023; </w:t>
            </w:r>
            <w:r>
              <w:rPr>
                <w:b/>
                <w:i/>
              </w:rPr>
              <w:t>panee merkille viimeaikaisen edistymisen sukupuolten tasa-arvon ja monimuotoisuuden sisällyttämisessä strategisiksi painopisteiksi, joilla edistetään osallistavaa ja kunnioittavaa työpaikkakulttuuria;</w:t>
            </w:r>
            <w:r>
              <w:t xml:space="preserve"> </w:t>
            </w:r>
            <w:r>
              <w:rPr>
                <w:b/>
                <w:i/>
              </w:rPr>
              <w:t>suhtautuu myönteisesti monimuotoisuutta ja osallisuutta koskevan strategian ja toimintasuunnitelman täytäntöönpanoon sekä naisille ja aliedustetuille ryhmille kohdennettuihin mentorointi- ja johtajuuden kehittämisohjelmiin;</w:t>
            </w:r>
            <w:r>
              <w:t xml:space="preserve"> toteaa, että komitean koosta johtuva alhainen vaihtuvuus on yksi syy naisten vähäiseen osuuteen näissä tehtävissä; suhtautuu myönteisesti komitean sitoumukseen lisätä nimittävän viranomaisen tietoisuutta tästä asiasta, edistää sukupuolten tasapuolista edustusta nimityksissä ja osallistua naisten foorumin ja hallintofoorumin kautta kohdennettuihin toimiin, joilla tuetaan naisten johtajuuden kehittämistä ja urakehitystä keskijohdossa;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panee merkille, että vuonna 2024 komitean henkilöstön jäseniin lukeutui kaikkia EU:n kansalaisuuksia ja että osa kansalaisuuksista oli yliedustettuna; panee merkille, että 62,70 prosenttia henkilöstöstä oli naisia ja 37,30 prosenttia miehiä; panee seurantakertomuksesta merkille, että naisten osuus johtotehtävissä on 52 prosenttia, mikä tekee komiteasta tässä suhteessa edelläkävijän; pitää kuitenkin valitettavana, että naisten osuus ylemmässä johdossa oli edelleen alhainen vuonna 2024 ja että vain kaksi seitsemästä ylemmän johdon edustajasta oli naisia, mikä oli tilanne myös vuonna 2023; toteaa, että komitean koosta johtuva alhainen vaihtuvuus on yksi syy naisten vähäiseen osuuteen näissä tehtävissä; suhtautuu myönteisesti komitean sitoumukseen lisätä nimittävän viranomaisen tietoisuutta tästä asiasta, edistää sukupuolten tasapuolista edustusta nimityksissä ja osallistua naisten foorumin ja hallintofoorumin kautta kohdennettuihin toimiin, joilla tuetaan naisten johtajuuden kehittämistä ja urakehitystä keskijohdossa;</w:t>
            </w:r>
          </w:p>
        </w:tc>
        <w:tc>
          <w:tcPr>
            <w:tcW w:w="4876" w:type="dxa"/>
            <w:tcBorders>
              <w:top w:val="nil"/>
              <w:left w:val="nil"/>
              <w:bottom w:val="nil"/>
              <w:right w:val="nil"/>
            </w:tcBorders>
          </w:tcPr>
          <w:p>
            <w:pPr>
              <w:pStyle w:val="Normal6a"/>
            </w:pPr>
            <w:r>
              <w:t>24.</w:t>
            </w:r>
            <w:r>
              <w:tab/>
            </w:r>
            <w:r>
              <w:t xml:space="preserve">panee merkille, että vuonna 2024 komitean henkilöstön jäseniin lukeutui kaikkia EU:n kansalaisuuksia ja että osa kansalaisuuksista oli yliedustettuna; panee merkille, että 62,70 prosenttia henkilöstöstä oli naisia ja 37,30 prosenttia miehiä; panee seurantakertomuksesta </w:t>
            </w:r>
            <w:r>
              <w:rPr>
                <w:b/>
                <w:i/>
              </w:rPr>
              <w:t>tyytyväisenä</w:t>
            </w:r>
            <w:r>
              <w:t xml:space="preserve"> merkille, että naisten osuus johtotehtävissä on 52 prosenttia, mikä tekee komiteasta tässä suhteessa edelläkävijän</w:t>
            </w:r>
            <w:r>
              <w:rPr>
                <w:b/>
                <w:i/>
              </w:rPr>
              <w:t>;</w:t>
            </w:r>
            <w:r>
              <w:t xml:space="preserve"> </w:t>
            </w:r>
            <w:r>
              <w:rPr>
                <w:b/>
                <w:i/>
              </w:rPr>
              <w:t>toistaa tyytyväisyytensä naispuolisen pääsihteerin nimittämiseen tammikuussa 2024, sillä se on myönteinen askel kohti sukupuolten tasapuolisen edustuksen saavuttamista</w:t>
            </w:r>
            <w:r>
              <w:t>; pitää kuitenkin valitettavana, että naisten osuus ylemmässä johdossa oli edelleen alhainen vuonna 2024 ja että vain kaksi seitsemästä ylemmän johdon edustajasta oli naisia, mikä oli tilanne myös vuonna 2023; toteaa, että komitean koosta johtuva alhainen vaihtuvuus on yksi syy naisten vähäiseen osuuteen näissä tehtävissä; suhtautuu myönteisesti komitean sitoumukseen lisätä nimittävän viranomaisen tietoisuutta tästä asiasta, edistää sukupuolten tasapuolista edustusta nimityksissä ja osallistua naisten foorumin ja hallintofoorumin kautta kohdennettuihin toimiin, joilla tuetaan naisten johtajuuden kehittämistä ja urakehitystä keskijohdossa;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palauttaa mieliin komitean aloitteen uudesta lähestymistavasta strategiseen työvoimasuunnitteluun ja henkilöstön sijoittamiseen, mihin kuuluu henkilöstön osaamisalueista kerätyn tiedon hyödyntäminen, koko organisaation aktiivinen kuunteleminen ja strategisten painopisteiden pohtiminen komitean poliittisissa elimissä; panee seurantakertomuksesta merkille, että tämä uudentyyppinen suunnittelu käynnistetään pilottihankkeella rajallisessa määrässä palveluja, jotka on valittu strategisten painopisteiden perusteella; kehottaa virastoa tiedottamaan vastuuvapauden myöntävälle viranomaiselle tässä asiassa tapahtuvasta edistyksestä ja uusista kehityssuuntauksista;</w:t>
            </w:r>
          </w:p>
        </w:tc>
        <w:tc>
          <w:tcPr>
            <w:tcW w:w="4876" w:type="dxa"/>
            <w:tcBorders>
              <w:top w:val="nil"/>
              <w:left w:val="nil"/>
              <w:bottom w:val="nil"/>
              <w:right w:val="nil"/>
            </w:tcBorders>
          </w:tcPr>
          <w:p>
            <w:pPr>
              <w:pStyle w:val="Normal6a"/>
            </w:pPr>
            <w:r>
              <w:t>25.</w:t>
            </w:r>
            <w:r>
              <w:tab/>
            </w:r>
            <w:r>
              <w:t xml:space="preserve">palauttaa mieliin komitean aloitteen uudesta lähestymistavasta strategiseen työvoimasuunnitteluun ja henkilöstön sijoittamiseen, mihin kuuluu henkilöstön osaamisalueista kerätyn tiedon hyödyntäminen, koko organisaation aktiivinen kuunteleminen ja strategisten painopisteiden pohtiminen komitean poliittisissa elimissä; panee seurantakertomuksesta merkille, että tämä uudentyyppinen suunnittelu käynnistetään pilottihankkeella rajallisessa määrässä palveluja, jotka on valittu strategisten painopisteiden perusteella; kehottaa virastoa tiedottamaan vastuuvapauden myöntävälle viranomaiselle tässä asiassa tapahtuvasta edistyksestä ja uusista kehityssuuntauksista; </w:t>
            </w:r>
            <w:r>
              <w:rPr>
                <w:b/>
                <w:i/>
              </w:rPr>
              <w:t>korostaa strategisen työvoimasuunnittelun merkitystä, jotta voidaan optimoida resurssien kohdentaminen ja varmistaa yhdenmukaisuus korkean tason painopisteiden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suhtautuu myönteisesti komitean pyrkimyksiin luoda työntekijöilleen terveellinen työympäristö; on erityisen tyytyväinen siihen, että komitea painottaa henkilöstön mielenterveyden ja fyysisen terveyden tukemista ja että se on pyrkinyt lisäämään tietoisuutta terveyteen liittyvistä kysymyksistä; panee merkille komitean sairauslomien hallintaa koskevat toimenpiteet, kuten lääketieteellisin perustein tehtävän osa-aikatyön ja laajennetun etätyömahdollisuuden, joilla varmistetaan, että työntekijät palaavat mahdollisimman pian töihin sairaudesta johtuvien pitkäaikaisten poissaolojen jälkeen; panee merkille, että rekisteröityjen sairauslomapäivien kokonaismäärä väheni 7,50 prosenttia ja oli 9 763 päivää vuonna 2024 (10 552 päivää vuonna 2023) ja että poissaolojen osuus laski 3,75 prosenttiin vuonna 2024 (alhaisin taso sitten vuoden 2021), kun se oli 4,08 prosenttia vuonna 2023; pitää valitettavana, että komitea ei taaskaan kyennyt antamaan tietoja työuupumustapauksista; panee merkille komitean perusteluista muun muassa sen, että henkilöstöllä ei ole velvollisuutta jakaa terveystietojaan ennakolta, että työuupumus ei ole tunnustettu lääketieteellinen diagnoosi ja että uupumuksen syyt eivät välttämättä liity työhön ja että asiaan vaikuttaa myös terveystietojen salassapitovelvollisuus; panee merkille, että komitea kerää anonymisoituja tilastotietoja mielenterveyteen liittyvistä sairaustapauksista, mutta saatavilla olevien tietojen perusteella ei voida tehdä eroa työuupumuksen ja työhön liittymättömien tilanteiden välillä; korostaa kuitenkin, että työuupumusta voidaan kartoittaa myös ilman lääketieteellisiä tietoja, sillä käytettävissä on työuupumukseen liittyviä arviointivälineitä, ja että Euroopan työterveys- ja työturvallisuusvirasto (EU‑OSHA) tarjoaa kyselylomakkeita työperäisen stressin ja työuupumustekijöiden kartoittamiseksi anonyymisti erillään muista kuin työperäisistä mielenterveysongelmista; kehottaa komiteaa myös kuulemaan Euroopan tietosuojavaltuutettua työuupumustietojen keräämisestä lääketieteellisten tai muiden välineiden avulla ja pitämään vastuuvapauden myöntävän viranomaisen ajan tasalla jatkotoimista;</w:t>
            </w:r>
          </w:p>
        </w:tc>
        <w:tc>
          <w:tcPr>
            <w:tcW w:w="4876" w:type="dxa"/>
            <w:tcBorders>
              <w:top w:val="nil"/>
              <w:left w:val="nil"/>
              <w:bottom w:val="nil"/>
              <w:right w:val="nil"/>
            </w:tcBorders>
          </w:tcPr>
          <w:p>
            <w:pPr>
              <w:pStyle w:val="Normal6a"/>
            </w:pPr>
            <w:r>
              <w:t>26.</w:t>
            </w:r>
            <w:r>
              <w:tab/>
            </w:r>
            <w:r>
              <w:t>suhtautuu myönteisesti komitean pyrkimyksiin luoda työntekijöilleen terveellinen työympäristö; on erityisen tyytyväinen siihen, että komitea painottaa henkilöstön mielenterveyden ja fyysisen terveyden tukemista ja että se on pyrkinyt lisäämään tietoisuutta terveyteen liittyvistä kysymyksistä; panee merkille komitean sairauslomien hallintaa koskevat toimenpiteet, kuten lääketieteellisin perustein tehtävän osa-aikatyön ja laajennetun etätyömahdollisuuden, joilla varmistetaan, että työntekijät palaavat mahdollisimman pian töihin sairaudesta johtuvien pitkäaikaisten poissaolojen jälkeen; panee merkille, että rekisteröityjen sairauslomapäivien kokonaismäärä väheni 7,50 prosenttia ja oli 9 763 päivää vuonna 2024 (10 552 päivää vuonna 2023) ja että poissaolojen osuus laski 3,75 prosenttiin vuonna 2024 (alhaisin taso sitten vuoden 2021), kun se oli 4,08 prosenttia vuonna 2023; pitää valitettavana, että komitea ei taaskaan kyennyt antamaan tietoja työuupumustapauksista; panee merkille komitean perusteluista muun muassa sen, että henkilöstöllä ei ole velvollisuutta jakaa terveystietojaan ennakolta, että työuupumus ei ole tunnustettu lääketieteellinen diagnoosi ja että uupumuksen syyt eivät välttämättä liity työhön ja että asiaan vaikuttaa myös terveystietojen salassapitovelvollisuus; panee merkille, että komitea kerää anonymisoituja tilastotietoja mielenterveyteen liittyvistä sairaustapauksista, mutta saatavilla olevien tietojen perusteella ei voida tehdä eroa työuupumuksen ja työhön liittymättömien tilanteiden välillä; korostaa kuitenkin, että työuupumusta voidaan kartoittaa myös ilman lääketieteellisiä tietoja, sillä käytettävissä on työuupumukseen liittyviä arviointivälineitä, ja että Euroopan työterveys- ja työturvallisuusvirasto (EU‑OSHA) tarjoaa kyselylomakkeita työperäisen stressin ja työuupumustekijöiden kartoittamiseksi anonyymisti erillään muista kuin työperäisistä mielenterveysongelmista; kehottaa komiteaa myös kuulemaan Euroopan tietosuojavaltuutettua työuupumustietojen keräämisestä lääketieteellisten tai muiden välineiden avulla</w:t>
            </w:r>
            <w:r>
              <w:rPr>
                <w:b/>
                <w:i/>
              </w:rPr>
              <w:t>, ryhtymään konkreettisiin ja päättäväisiin toimiin työuupumustapauksia koskevien tietojen järjestelmällisen julkaisemisen varmistamiseksi</w:t>
            </w:r>
            <w:r>
              <w:t xml:space="preserve"> ja pitämään vastuuvapauden myöntävän viranomaisen ajan tasalla jatkotoimista;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a.</w:t>
            </w:r>
            <w:r>
              <w:tab/>
            </w:r>
            <w:r>
              <w:rPr>
                <w:b/>
                <w:i/>
              </w:rPr>
              <w:t>suhtautuu myönteisesti vahvaan ja jäsenneltyyn työmarkkinaosapuolten vuoropuheluun organisaatiomuutosprosesseissa vuoden 2024 aikana;</w:t>
            </w:r>
            <w:r>
              <w:t xml:space="preserve"> </w:t>
            </w:r>
            <w:r>
              <w:rPr>
                <w:b/>
                <w:i/>
              </w:rPr>
              <w:t>kannustaa komiteaa pitämään yllä ja vahvistamaan edelleen henkilöstön edustajien järjestelmällistä osallistumista uudistuksiin, jotka liittyvät muun muassa digitalisaatioon, sisäiseen uudelleenorganisointiin ja uusiin työtapoihin;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panee kyselyn perusteella merkille, että vuonna 2024 ilmoitettiin kahdesta väitetystä häirintätapauksesta, jotka tutkittiin ja joiden käsittely päätettiin vuonna 2025, ja että yhdessä tapauksessa häirintää ei todettu tapahtuneen ja toisessa tapauksessa hyväksyttiin virallinen anteeksipyyntö asianomaisen henkilön epäasianmukaisesta käytöksestä; panee lisäksi merkille, että päätös tehtiin myös toisesta ennen vuotta 2024 ilmoitetusta häirintätapauksesta, johon liittyi kurinpitomenettely; panee lisäksi merkille, että vuonna 2024 ei raportoitu seksuaalisesta häirinnästä;</w:t>
            </w:r>
          </w:p>
        </w:tc>
        <w:tc>
          <w:tcPr>
            <w:tcW w:w="4876" w:type="dxa"/>
            <w:tcBorders>
              <w:top w:val="nil"/>
              <w:left w:val="nil"/>
              <w:bottom w:val="nil"/>
              <w:right w:val="nil"/>
            </w:tcBorders>
          </w:tcPr>
          <w:p>
            <w:pPr>
              <w:pStyle w:val="Normal6a"/>
            </w:pPr>
            <w:r>
              <w:t>31.</w:t>
            </w:r>
            <w:r>
              <w:tab/>
            </w:r>
            <w:r>
              <w:t xml:space="preserve">panee kyselyn perusteella merkille, että vuonna 2024 ilmoitettiin kahdesta väitetystä häirintätapauksesta, jotka tutkittiin ja joiden käsittely päätettiin vuonna 2025, ja että yhdessä tapauksessa häirintää ei todettu tapahtuneen ja toisessa tapauksessa hyväksyttiin virallinen anteeksipyyntö asianomaisen henkilön epäasianmukaisesta käytöksestä; panee lisäksi merkille, että päätös tehtiin myös toisesta ennen vuotta 2024 ilmoitetusta häirintätapauksesta, johon liittyi kurinpitomenettely; panee lisäksi merkille, että vuonna 2024 ei raportoitu seksuaalisesta häirinnästä; </w:t>
            </w:r>
            <w:r>
              <w:rPr>
                <w:b/>
                <w:i/>
              </w:rPr>
              <w:t>muistuttaa, että häirintään on sovellettava nollatoleranssipolitiikkaa, jotta voidaan varmistaa henkilöstön hyvinvoinnin suojelu, ja että tämä on kaikkien työnantajien velvollisuus;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panee merkille, että komitea on edelläkävijä avoimuuden alalla, sillä se on ensimmäinen elin, joka on liittynyt unionin avoimuusrekisteriin alkuperäisten allekirjoittaneiden elinten jälkeen; suhtautuu myönteisesti komitean hyväksymiin avoimuustoimenpiteisiin, kuten suositukseen, että komitean jäsenet tapaavat ainoastaan rekisteröityneitä sidosryhmiä, sen jäsenten velvollisuuteen julkaista tiedot kokouksistaan verkossa ja komitean esittelijöiden mahdollisuuteen liittää lausuntoihinsa ns. lainsäädännöllinen jalanjälki, myös vuonna 2025 käynnistetyn pilottihankkeen avulla; panee merkille, että nykyään komitean lausunnot näkyvät EULT-järjestelmässä lainsäädäntöasioiden välitavoitteina; panee lisäksi kyselyn perusteella tyytyväisenä merkille komitean avoimuustoimet, jotka koskevat sen keskeisiä hallinnollisia toimintoja esimerkiksi rahoituksen, hankintojen, henkilöstöhallinnon ja asiakirjojen saatavuuden aloilla;</w:t>
            </w:r>
          </w:p>
        </w:tc>
        <w:tc>
          <w:tcPr>
            <w:tcW w:w="4876" w:type="dxa"/>
            <w:tcBorders>
              <w:top w:val="nil"/>
              <w:left w:val="nil"/>
              <w:bottom w:val="nil"/>
              <w:right w:val="nil"/>
            </w:tcBorders>
          </w:tcPr>
          <w:p>
            <w:pPr>
              <w:pStyle w:val="Normal6a"/>
            </w:pPr>
            <w:r>
              <w:t>33.</w:t>
            </w:r>
            <w:r>
              <w:tab/>
            </w:r>
            <w:r>
              <w:t xml:space="preserve">panee </w:t>
            </w:r>
            <w:r>
              <w:rPr>
                <w:b/>
                <w:i/>
              </w:rPr>
              <w:t>tyytyväisenä</w:t>
            </w:r>
            <w:r>
              <w:t xml:space="preserve"> merkille, että komitea on edelläkävijä avoimuuden alalla, sillä se on ensimmäinen elin, joka on liittynyt unionin avoimuusrekisteriin alkuperäisten allekirjoittaneiden elinten jälkeen; suhtautuu myönteisesti komitean hyväksymiin avoimuustoimenpiteisiin, kuten suositukseen, että komitean jäsenet tapaavat ainoastaan rekisteröityneitä sidosryhmiä, sen jäsenten velvollisuuteen julkaista tiedot kokouksistaan verkossa ja komitean esittelijöiden mahdollisuuteen liittää lausuntoihinsa ns. lainsäädännöllinen jalanjälki, myös vuonna 2025 käynnistetyn pilottihankkeen avulla; panee merkille, että nykyään komitean lausunnot näkyvät EULT-järjestelmässä lainsäädäntöasioiden välitavoitteina; panee lisäksi kyselyn perusteella tyytyväisenä merkille komitean avoimuustoimet, jotka koskevat sen keskeisiä hallinnollisia toimintoja esimerkiksi rahoituksen, hankintojen, henkilöstöhallinnon ja asiakirjojen saatavuuden aloilla;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panee kyselyn perusteella merkille, että komitea on laatinut petostentorjuntastrategian, josta järjestettiin sisäinen lausuntokierros ja hyväksymisprosessi; kehottaa komiteaa tiedottamaan vastuuvapauden myöntävälle viranomaiselle tämän asian etenemisestä; panee tyytyväisenä merkille, että komitea järjesti kaksi OLAFin henkilöstön johtamaa koulutustilaisuutta, joissa käsiteltiin tietoisuutta petoksista ja niiden ennaltaehkäisyä julkisissa hankinnoissa ja joihin osallistui 21 henkilöä, ja yhden yhdessä EPPOn kanssa järjestetyn tiedotustilaisuuden, jossa kerrottiin komitean henkilöstölle EPPOn toimeksiannosta ja annettiin ohjeita siitä, miten mahdollisista väärinkäytöksistä ilmoitetaan EPPOlle;</w:t>
            </w:r>
          </w:p>
        </w:tc>
        <w:tc>
          <w:tcPr>
            <w:tcW w:w="4876" w:type="dxa"/>
            <w:tcBorders>
              <w:top w:val="nil"/>
              <w:left w:val="nil"/>
              <w:bottom w:val="nil"/>
              <w:right w:val="nil"/>
            </w:tcBorders>
          </w:tcPr>
          <w:p>
            <w:pPr>
              <w:pStyle w:val="Normal6a"/>
            </w:pPr>
            <w:r>
              <w:t>36.</w:t>
            </w:r>
            <w:r>
              <w:tab/>
            </w:r>
            <w:r>
              <w:t>panee kyselyn perusteella merkille, että komitea on laatinut petostentorjuntastrategian, josta järjestettiin sisäinen lausuntokierros ja hyväksymisprosessi</w:t>
            </w:r>
            <w:r>
              <w:rPr>
                <w:b/>
                <w:i/>
              </w:rPr>
              <w:t>;</w:t>
            </w:r>
            <w:r>
              <w:t xml:space="preserve"> </w:t>
            </w:r>
            <w:r>
              <w:rPr>
                <w:b/>
                <w:i/>
              </w:rPr>
              <w:t>suhtautuu myönteisesti siihen liittyvään toimintasuunnitelmaan, jossa luetellaan 12 konkreettista toimenpidettä, jotka on määrä toteuttaa vuoden 2025 viimeisen neljänneksen ja vuoden 2027 viimeisen neljänneksen välillä, mukaan lukien tiedotuskampanjat, koulutuspolitiikat, riskimenetelmien ja sisäisen valvonnan menetelmien päivittäminen, automaattisten petosten havaitsemisvälineiden integrointi, tarkistetut yhteistyösopimukset OLAFin ja EPPOn kanssa sekä sisäisiä tutkimuksia koskevat päivitetyt säännöt</w:t>
            </w:r>
            <w:r>
              <w:t>; kehottaa komiteaa tiedottamaan vastuuvapauden myöntävälle viranomaiselle tämän asian etenemisestä; panee tyytyväisenä merkille, että komitea järjesti kaksi OLAFin henkilöstön johtamaa koulutustilaisuutta, joissa käsiteltiin tietoisuutta petoksista ja niiden ennaltaehkäisyä julkisissa hankinnoissa ja joihin osallistui 21 henkilöä, ja yhden yhdessä EPPOn kanssa järjestetyn tiedotustilaisuuden, jossa kerrottiin komitean henkilöstölle EPPOn toimeksiannosta ja annettiin ohjeita siitä, miten mahdollisista väärinkäytöksistä ilmoitetaan EPPOlle;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panee kyselyn perusteella merkille, että komitea on laatinut petostentorjuntastrategian, josta järjestettiin sisäinen lausuntokierros ja hyväksymisprosessi; kehottaa komiteaa tiedottamaan vastuuvapauden myöntävälle viranomaiselle tämän asian etenemisestä; panee tyytyväisenä merkille, että komitea järjesti kaksi OLAFin henkilöstön johtamaa koulutustilaisuutta, joissa käsiteltiin tietoisuutta petoksista ja niiden ennaltaehkäisyä julkisissa hankinnoissa ja joihin osallistui 21 henkilöä, ja yhden yhdessä EPPOn kanssa järjestetyn tiedotustilaisuuden, jossa kerrottiin komitean henkilöstölle EPPOn toimeksiannosta ja annettiin ohjeita siitä, miten mahdollisista väärinkäytöksistä ilmoitetaan EPPOlle;</w:t>
            </w:r>
          </w:p>
        </w:tc>
        <w:tc>
          <w:tcPr>
            <w:tcW w:w="4876" w:type="dxa"/>
            <w:tcBorders>
              <w:top w:val="nil"/>
              <w:left w:val="nil"/>
              <w:bottom w:val="nil"/>
              <w:right w:val="nil"/>
            </w:tcBorders>
          </w:tcPr>
          <w:p>
            <w:pPr>
              <w:pStyle w:val="Normal6a"/>
            </w:pPr>
            <w:r>
              <w:t>36.</w:t>
            </w:r>
            <w:r>
              <w:tab/>
            </w:r>
            <w:r>
              <w:t xml:space="preserve">panee kyselyn perusteella </w:t>
            </w:r>
            <w:r>
              <w:rPr>
                <w:b/>
                <w:i/>
              </w:rPr>
              <w:t>tyytyväisenä</w:t>
            </w:r>
            <w:r>
              <w:t xml:space="preserve"> merkille, että komitea on laatinut </w:t>
            </w:r>
            <w:r>
              <w:rPr>
                <w:b/>
                <w:i/>
              </w:rPr>
              <w:t>parlamentin aiempien kehotusten mukaisesti</w:t>
            </w:r>
            <w:r>
              <w:t xml:space="preserve"> petostentorjuntastrategian, josta järjestettiin sisäinen lausuntokierros ja hyväksymisprosessi</w:t>
            </w:r>
            <w:r>
              <w:rPr>
                <w:b/>
                <w:i/>
              </w:rPr>
              <w:t>;</w:t>
            </w:r>
            <w:r>
              <w:t xml:space="preserve"> </w:t>
            </w:r>
            <w:r>
              <w:rPr>
                <w:b/>
                <w:i/>
              </w:rPr>
              <w:t>kehottaa komiteaa priorisoimaan tämän strategian hyväksymisen ja täytäntöönpanon, mukaan lukien riskinarviointi-, ennaltaehkäisy-, havaitsemis- ja seurantatoimenpiteet</w:t>
            </w:r>
            <w:r>
              <w:t>; kehottaa komiteaa tiedottamaan vastuuvapauden myöntävälle viranomaiselle tämän asian etenemisestä; panee tyytyväisenä merkille, että komitea järjesti kaksi OLAFin henkilöstön johtamaa koulutustilaisuutta, joissa käsiteltiin tietoisuutta petoksista ja niiden ennaltaehkäisyä julkisissa hankinnoissa ja joihin osallistui 21 henkilöä, ja yhden yhdessä EPPOn kanssa järjestetyn tiedotustilaisuuden, jossa kerrottiin komitean henkilöstölle EPPOn toimeksiannosta ja annettiin ohjeita siitä, miten mahdollisista väärinkäytöksistä ilmoitetaan EPPOlle;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panee kyselyn perusteella merkille, että komitea on laatinut petostentorjuntastrategian, josta järjestettiin sisäinen lausuntokierros ja hyväksymisprosessi; kehottaa komiteaa tiedottamaan vastuuvapauden myöntävälle viranomaiselle tämän asian etenemisestä; panee tyytyväisenä merkille, että komitea järjesti kaksi OLAFin henkilöstön johtamaa koulutustilaisuutta, joissa käsiteltiin tietoisuutta petoksista ja niiden ennaltaehkäisyä julkisissa hankinnoissa ja joihin osallistui 21 henkilöä, ja yhden yhdessä EPPOn kanssa järjestetyn tiedotustilaisuuden, jossa kerrottiin komitean henkilöstölle EPPOn toimeksiannosta ja annettiin ohjeita siitä, miten mahdollisista väärinkäytöksistä ilmoitetaan EPPOlle;</w:t>
            </w:r>
          </w:p>
        </w:tc>
        <w:tc>
          <w:tcPr>
            <w:tcW w:w="4876" w:type="dxa"/>
            <w:tcBorders>
              <w:top w:val="nil"/>
              <w:left w:val="nil"/>
              <w:bottom w:val="nil"/>
              <w:right w:val="nil"/>
            </w:tcBorders>
          </w:tcPr>
          <w:p>
            <w:pPr>
              <w:pStyle w:val="Normal6a"/>
            </w:pPr>
            <w:r>
              <w:t>36.</w:t>
            </w:r>
            <w:r>
              <w:tab/>
            </w:r>
            <w:r>
              <w:t xml:space="preserve">panee kyselyn perusteella merkille, että komitea on laatinut petostentorjuntastrategian, josta järjestettiin sisäinen lausuntokierros ja hyväksymisprosessi; kehottaa komiteaa tiedottamaan vastuuvapauden myöntävälle viranomaiselle tämän asian etenemisestä; panee tyytyväisenä merkille, että komitea järjesti kaksi OLAFin henkilöstön johtamaa koulutustilaisuutta, joissa käsiteltiin tietoisuutta petoksista ja niiden ennaltaehkäisyä julkisissa hankinnoissa ja joihin osallistui 21 henkilöä, ja yhden yhdessä EPPOn kanssa järjestetyn tiedotustilaisuuden, jossa kerrottiin komitean henkilöstölle EPPOn toimeksiannosta ja annettiin ohjeita siitä, miten mahdollisista väärinkäytöksistä ilmoitetaan EPPOlle; </w:t>
            </w:r>
            <w:r>
              <w:rPr>
                <w:b/>
                <w:i/>
              </w:rPr>
              <w:t>suosittelee jatkamaan tätä käytäntöä;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panee merkille, että komitean ja AK:n yhteinen tietotekniikkabudjetti oli yhteensä 13 700 000 euroa vuonna 2024, kun se vuonna 2023 oli 12 700 000 euroa, mikä merkitsee 7,87 prosentin lisäystä, ja että tästä talousarviosta 760 000 euroa (noin 6 prosenttia) osoitettiin kyberturvallisuuteen vuonna 2024; panee kyselyn perusteella merkille, että tietotekniikkahankkeiden rahoitus kasvoi 109 000 euroa vuoteen 2023 verrattuna, mikä merkitsee 4 prosentin lisäystä, ja että se kohdennettiin pääasiassa M365 Workplace -ohjelmistoihin ja kyberturvallisuuden muutosohjelmaan; panee lisäksi merkille, että laitteistomenot kasvoivat 117 000 euroa (eli 20 prosenttia), mikä johtui pääasiassa hintojen mukautuksista ja puhelininfrastruktuuriin tehdyistä strategisista investoinneista; panee merkille komitean huolen siitä, että sen rahoitus on rakenteellisesti riittämätöntä digitalisaation ja kyberturvallisuuden aloilla; pitää tässä yhteydessä valitettavana, että budjettivallan käyttäjä ei sisällyttänyt unionin vuoden 2026 talousarvioon 1 176 000 euron määrää, joka on tarpeen, jotta komitea (yhdessä AK:n kanssa) voi toteuttaa merkittävän kyberturvallisuusjärjestelmien päivityksen, minkä vuoksi komitean ei ole mahdollista saavuttaa asetuksessa (EU, Euratom) 2023/2841</w:t>
            </w:r>
            <w:r>
              <w:rPr>
                <w:vertAlign w:val="superscript"/>
              </w:rPr>
              <w:t>1</w:t>
            </w:r>
            <w:r>
              <w:t>tarkoitettua tavoitetta, jonka mukaan noin 10 prosenttia sen kaikista tietotekniikkamenoista olisi osoitettava kyberturvallisuuteen;</w:t>
            </w:r>
          </w:p>
        </w:tc>
        <w:tc>
          <w:tcPr>
            <w:tcW w:w="4876" w:type="dxa"/>
            <w:tcBorders>
              <w:top w:val="nil"/>
              <w:left w:val="nil"/>
              <w:bottom w:val="nil"/>
              <w:right w:val="nil"/>
            </w:tcBorders>
          </w:tcPr>
          <w:p>
            <w:pPr>
              <w:pStyle w:val="Normal6a"/>
            </w:pPr>
            <w:r>
              <w:t>37.</w:t>
            </w:r>
            <w:r>
              <w:tab/>
            </w:r>
            <w:r>
              <w:t>panee merkille, että komitean ja AK:n yhteinen tietotekniikkabudjetti oli yhteensä 13 700 000 euroa vuonna 2024, kun se vuonna 2023 oli 12 700 000 euroa, mikä merkitsee 7,87 prosentin lisäystä, ja että tästä talousarviosta 760 000 euroa (noin 6 prosenttia) osoitettiin kyberturvallisuuteen vuonna 2024; panee kyselyn perusteella merkille, että tietotekniikkahankkeiden rahoitus kasvoi 109 000 euroa vuoteen 2023 verrattuna, mikä merkitsee 4 prosentin lisäystä, ja että se kohdennettiin pääasiassa M365 Workplace -ohjelmistoihin ja kyberturvallisuuden muutosohjelmaan; panee lisäksi merkille, että laitteistomenot kasvoivat 117 000 euroa (eli 20 prosenttia), mikä johtui pääasiassa hintojen mukautuksista ja puhelininfrastruktuuriin tehdyistä strategisista investoinneista; panee merkille komitean huolen siitä, että sen rahoitus on rakenteellisesti riittämätöntä digitalisaation ja kyberturvallisuuden aloilla</w:t>
            </w:r>
            <w:r>
              <w:rPr>
                <w:b/>
                <w:i/>
              </w:rPr>
              <w:t>, ja varoittaa, että jatkuva ali-investoiminen kyberturvallisuuteen aiheuttaa rakenteellisen riskin EU:n toimielinten eheydelle</w:t>
            </w:r>
            <w:r>
              <w:t>; pitää tässä yhteydessä valitettavana, että budjettivallan käyttäjä ei sisällyttänyt unionin vuoden 2026 talousarvioon 1 176 000 euron määrää, joka on tarpeen, jotta komitea (yhdessä AK:n kanssa) voi toteuttaa merkittävän kyberturvallisuusjärjestelmien päivityksen, minkä vuoksi komitean ei ole mahdollista saavuttaa asetuksessa (EU, Euratom) 2023/2841</w:t>
            </w:r>
            <w:r>
              <w:rPr>
                <w:vertAlign w:val="superscript"/>
              </w:rPr>
              <w:t>1</w:t>
            </w:r>
            <w:r>
              <w:t xml:space="preserve"> tarkoitettua tavoitetta, jonka mukaan noin 10 prosenttia sen kaikista tietotekniikkamenoista olisi osoitettava kyberturvallisuuteen;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Euroopan parlamentin ja neuvoston asetus (EU, Euratom) 2023/2841, annettu 13. joulukuuta 2023, toimenpiteistä kyberturvallisuuden yhteisen korkean tason varmistamiseksi unionin toimielimissä, elimissä, toimistoissa ja virastoissa (OJ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Euroopan parlamentin ja neuvoston asetus (EU, Euratom) 2023/2841, annettu 13. joulukuuta 2023, toimenpiteistä kyberturvallisuuden yhteisen korkean tason varmistamiseksi unionin toimielimissä, elimissä, toimistoissa ja virastoissa (OJ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panee merkille, että komitean ja AK:n yhteinen tietotekniikkabudjetti oli yhteensä 13 700 000 euroa vuonna 2024, kun se vuonna 2023 oli 12 700 000 euroa, mikä merkitsee 7,87 prosentin lisäystä, ja että tästä talousarviosta 760 000 euroa (noin 6 prosenttia) osoitettiin kyberturvallisuuteen vuonna 2024; panee kyselyn perusteella merkille, että tietotekniikkahankkeiden rahoitus kasvoi 109 000 euroa vuoteen 2023 verrattuna, mikä merkitsee 4 prosentin lisäystä, ja että se kohdennettiin pääasiassa M365 Workplace -ohjelmistoihin ja kyberturvallisuuden muutosohjelmaan; panee lisäksi merkille, että laitteistomenot kasvoivat 117 000 euroa (eli 20 prosenttia), mikä johtui pääasiassa hintojen mukautuksista ja puhelininfrastruktuuriin tehdyistä strategisista investoinneista; panee merkille komitean huolen siitä, että sen rahoitus on rakenteellisesti riittämätöntä digitalisaation ja kyberturvallisuuden aloilla; pitää tässä yhteydessä valitettavana, että budjettivallan käyttäjä ei sisällyttänyt unionin vuoden 2026 talousarvioon 1 176 000 euron määrää, joka on tarpeen, jotta komitea (yhdessä AK:n kanssa) voi toteuttaa merkittävän kyberturvallisuusjärjestelmien päivityksen, minkä vuoksi komitean ei ole mahdollista saavuttaa asetuksessa (EU, Euratom) 2023/2841</w:t>
            </w:r>
            <w:r>
              <w:rPr>
                <w:vertAlign w:val="superscript"/>
              </w:rPr>
              <w:t>1</w:t>
            </w:r>
            <w:r>
              <w:t>tarkoitettua tavoitetta, jonka mukaan noin 10 prosenttia sen kaikista tietotekniikkamenoista olisi osoitettava kyberturvallisuuteen;</w:t>
            </w:r>
          </w:p>
        </w:tc>
        <w:tc>
          <w:tcPr>
            <w:tcW w:w="4876" w:type="dxa"/>
            <w:tcBorders>
              <w:top w:val="nil"/>
              <w:left w:val="nil"/>
              <w:bottom w:val="nil"/>
              <w:right w:val="nil"/>
            </w:tcBorders>
          </w:tcPr>
          <w:p>
            <w:pPr>
              <w:pStyle w:val="Normal6a"/>
            </w:pPr>
            <w:r>
              <w:t>37.</w:t>
            </w:r>
            <w:r>
              <w:tab/>
            </w:r>
            <w:r>
              <w:t>panee merkille, että komitean ja AK:n yhteinen tietotekniikkabudjetti oli yhteensä 13 700 000 euroa vuonna 2024, kun se vuonna 2023 oli 12 700 000 euroa, mikä merkitsee 7,87 prosentin lisäystä, ja että tästä talousarviosta 760 000 euroa (noin 6 prosenttia) osoitettiin kyberturvallisuuteen vuonna 2024; panee kyselyn perusteella merkille, että tietotekniikkahankkeiden rahoitus kasvoi 109 000 euroa vuoteen 2023 verrattuna, mikä merkitsee 4 prosentin lisäystä, ja että se kohdennettiin pääasiassa M365 Workplace -ohjelmistoihin ja kyberturvallisuuden muutosohjelmaan; panee lisäksi merkille, että laitteistomenot kasvoivat 117 000 euroa (eli 20 prosenttia), mikä johtui pääasiassa hintojen mukautuksista ja puhelininfrastruktuuriin tehdyistä strategisista investoinneista; panee merkille komitean huolen siitä, että sen rahoitus on rakenteellisesti riittämätöntä digitalisaation ja kyberturvallisuuden aloilla; pitää tässä yhteydessä valitettavana, että budjettivallan käyttäjä ei sisällyttänyt unionin vuoden 2026 talousarvioon 1 176 000 euron määrää, joka on tarpeen, jotta komitea (yhdessä AK:n kanssa) voi toteuttaa merkittävän kyberturvallisuusjärjestelmien päivityksen, minkä vuoksi komitean ei ole mahdollista saavuttaa asetuksessa (EU, Euratom) 2023/2841</w:t>
            </w:r>
            <w:r>
              <w:rPr>
                <w:vertAlign w:val="superscript"/>
              </w:rPr>
              <w:t>1</w:t>
            </w:r>
            <w:r>
              <w:t xml:space="preserve"> tarkoitettua tavoitetta, jonka mukaan noin 10 prosenttia sen kaikista tietotekniikkamenoista olisi osoitettava kyberturvallisuuteen; </w:t>
            </w:r>
            <w:r>
              <w:rPr>
                <w:b/>
                <w:i/>
              </w:rPr>
              <w:t>kehottaa osoittamaan riittävästi varoja sitä varten, että komitea ja AK voivat toteuttaa merkittävän kyberturvallisuusjärjestelmien päivityksen;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Euroopan parlamentin ja neuvoston asetus (EU, Euratom) 2023/2841, annettu 13. joulukuuta 2023, toimenpiteistä kyberturvallisuuden yhteisen korkean tason varmistamiseksi unionin toimielimissä, elimissä, toimistoissa ja virastoissa (OJ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Euroopan parlamentin ja neuvoston asetus (EU, Euratom) 2023/2841, annettu 13. joulukuuta 2023, toimenpiteistä kyberturvallisuuden yhteisen korkean tason varmistamiseksi unionin toimielimissä, elimissä, toimistoissa ja virastoissa (OJ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panee merkille, että komitean ja AK:n yhteinen tietotekniikkabudjetti oli yhteensä 13 700 000 euroa vuonna 2024, kun se vuonna 2023 oli 12 700 000 euroa, mikä merkitsee 7,87 prosentin lisäystä, ja että tästä talousarviosta 760 000 euroa (noin 6 prosenttia) osoitettiin kyberturvallisuuteen vuonna 2024; panee kyselyn perusteella merkille, että tietotekniikkahankkeiden rahoitus kasvoi 109 000 euroa vuoteen 2023 verrattuna, mikä merkitsee 4 prosentin lisäystä, ja että se kohdennettiin pääasiassa M365 Workplace -ohjelmistoihin ja kyberturvallisuuden muutosohjelmaan; panee lisäksi merkille, että laitteistomenot kasvoivat 117 000 euroa (eli 20 prosenttia), mikä johtui pääasiassa hintojen mukautuksista ja puhelininfrastruktuuriin tehdyistä strategisista investoinneista; panee merkille komitean huolen siitä, että sen rahoitus on rakenteellisesti riittämätöntä digitalisaation ja kyberturvallisuuden aloilla; pitää tässä yhteydessä valitettavana, että budjettivallan käyttäjä ei sisällyttänyt unionin vuoden 2026 talousarvioon 1 176 000 euron määrää, joka on tarpeen, jotta komitea (yhdessä AK:n kanssa) voi toteuttaa merkittävän kyberturvallisuusjärjestelmien päivityksen, minkä vuoksi komitean ei ole mahdollista saavuttaa asetuksessa (EU, Euratom) 2023/2841</w:t>
            </w:r>
            <w:r>
              <w:rPr>
                <w:vertAlign w:val="superscript"/>
              </w:rPr>
              <w:t>1</w:t>
            </w:r>
            <w:r>
              <w:t>tarkoitettua tavoitetta, jonka mukaan noin 10 prosenttia sen kaikista tietotekniikkamenoista olisi osoitettava kyberturvallisuuteen;</w:t>
            </w:r>
          </w:p>
        </w:tc>
        <w:tc>
          <w:tcPr>
            <w:tcW w:w="4876" w:type="dxa"/>
            <w:tcBorders>
              <w:top w:val="nil"/>
              <w:left w:val="nil"/>
              <w:bottom w:val="nil"/>
              <w:right w:val="nil"/>
            </w:tcBorders>
          </w:tcPr>
          <w:p>
            <w:pPr>
              <w:pStyle w:val="Normal6a"/>
            </w:pPr>
            <w:r>
              <w:rPr>
                <w:i/>
              </w:rPr>
              <w:t>(Tarkistus ei vaikuta suomenkieliseen versioon.)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Euroopan parlamentin ja neuvoston asetus (EU, Euratom) 2023/2841, annettu 13. joulukuuta 2023, toimenpiteistä kyberturvallisuuden yhteisen korkean tason varmistamiseksi unionin toimielimissä, elimissä, toimistoissa ja virastoissa (OJ L, 2023/2841, 18.12.2023, ELI: http://data.europa.eu/eli/reg/2023/2841/oj).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antaa tunnustusta komitean vuonna 2024 toteuttamille toimille sen varmistamiseksi, että henkilöstö kehittää yhä digitalisoituneemmassa työympäristössä tarvittavia digitaitojaan, ja on tyytyväinen henkilöstön kehittämisen tukemiseksi järjestettyjen kohdennettujen tiedotuskampanjoiden toteuttamiseen, kattavan koulutus- ja valmennusohjelman tarjoamiseen ja ajantasaisen tietoteknisen tietämyskannan ylläpitämiseen tekoälyyn perustuvalla käyttöliittymällä;</w:t>
            </w:r>
          </w:p>
        </w:tc>
        <w:tc>
          <w:tcPr>
            <w:tcW w:w="4876" w:type="dxa"/>
            <w:tcBorders>
              <w:top w:val="nil"/>
              <w:left w:val="nil"/>
              <w:bottom w:val="nil"/>
              <w:right w:val="nil"/>
            </w:tcBorders>
          </w:tcPr>
          <w:p>
            <w:pPr>
              <w:pStyle w:val="Normal6a"/>
            </w:pPr>
            <w:r>
              <w:t>43.</w:t>
            </w:r>
            <w:r>
              <w:tab/>
            </w:r>
            <w:r>
              <w:t xml:space="preserve">antaa tunnustusta komitean vuonna 2024 toteuttamille toimille sen varmistamiseksi, että henkilöstö kehittää yhä digitalisoituneemmassa työympäristössä tarvittavia digitaitojaan, ja on tyytyväinen henkilöstön kehittämisen tukemiseksi järjestettyjen kohdennettujen tiedotuskampanjoiden toteuttamiseen, kattavan koulutus- ja valmennusohjelman tarjoamiseen ja ajantasaisen tietoteknisen tietämyskannan ylläpitämiseen tekoälyyn perustuvalla käyttöliittymällä; </w:t>
            </w:r>
            <w:r>
              <w:rPr>
                <w:b/>
                <w:i/>
              </w:rPr>
              <w:t>kannustaa järjestämään koulutuksia, jotka koskevat kyberturvallisuutta ja tekoälyn turvallista, eettistä ja tehokasta käyttöä;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panee kyselyn perusteella merkille, että sähkön (-19 prosenttia), kaasun (-13 prosenttia) ja veden (-12 prosenttia) kulutus </w:t>
            </w:r>
            <w:r>
              <w:rPr>
                <w:b/>
                <w:i/>
              </w:rPr>
              <w:t>väheni</w:t>
            </w:r>
            <w:r>
              <w:t xml:space="preserve"> ja että paperin kulutus (+ 1 prosentti) </w:t>
            </w:r>
            <w:r>
              <w:rPr>
                <w:b/>
                <w:i/>
              </w:rPr>
              <w:t>ja jätemäärät (-12 prosenttia) kasvoivat</w:t>
            </w:r>
            <w:r>
              <w:t xml:space="preserve"> vuonna 2024 vuoteen 2023 verrattuna; pitää myönteisenä, että samalla ajanjaksolla kokoaikavastaavaa työntekijää kohti lasketut hiilipäästöt vähentyivät 4,30 prosenttia (pois lukien komitean jäsenten matkoista aiheutuvat päästöt); panee kyselyn perusteella merkille komitean toimet kestävämpien matkustusvaihtoehtojen käytön edistämiseksi henkilöstönsä ja jäsentensä keskuudessa sekä henkilöstön virkamatkaoppaan meneillään olevan tarkistamisen, jossa ympäristöjalanjälki on keskeisenä osassa; pitää lisäksi myönteisenä, että komitea keskittyy jätehuoltoon ja kierrätykseen edistääkseen jätteiden vähentämisen ja resurssitehokkuuden kulttuuria;</w:t>
            </w:r>
          </w:p>
        </w:tc>
        <w:tc>
          <w:tcPr>
            <w:tcW w:w="4876" w:type="dxa"/>
            <w:tcBorders>
              <w:top w:val="nil"/>
              <w:left w:val="nil"/>
              <w:bottom w:val="nil"/>
              <w:right w:val="nil"/>
            </w:tcBorders>
          </w:tcPr>
          <w:p>
            <w:pPr>
              <w:pStyle w:val="Normal6a"/>
            </w:pPr>
            <w:r>
              <w:t>49.</w:t>
            </w:r>
            <w:r>
              <w:tab/>
            </w:r>
            <w:r>
              <w:t xml:space="preserve">panee kyselyn perusteella merkille, että sähkön (-19 prosenttia), kaasun (-13 prosenttia) ja veden (-12 prosenttia) kulutus </w:t>
            </w:r>
            <w:r>
              <w:rPr>
                <w:b/>
                <w:i/>
              </w:rPr>
              <w:t>sekä jätemäärät (-12 prosenttia) vähenivät</w:t>
            </w:r>
            <w:r>
              <w:t xml:space="preserve"> ja että paperin kulutus (+ 1 prosentti) </w:t>
            </w:r>
            <w:r>
              <w:rPr>
                <w:b/>
                <w:i/>
              </w:rPr>
              <w:t>kasvoi</w:t>
            </w:r>
            <w:r>
              <w:t xml:space="preserve"> vuonna 2024 vuoteen 2023 verrattuna; pitää myönteisenä, että samalla ajanjaksolla kokoaikavastaavaa työntekijää kohti lasketut hiilipäästöt vähentyivät 4,30 prosenttia (pois lukien komitean jäsenten matkoista aiheutuvat päästöt); panee kyselyn perusteella merkille komitean toimet kestävämpien matkustusvaihtoehtojen käytön edistämiseksi henkilöstönsä ja jäsentensä keskuudessa sekä henkilöstön virkamatkaoppaan meneillään olevan tarkistamisen, jossa ympäristöjalanjälki on keskeisenä osassa; pitää lisäksi myönteisenä, että komitea keskittyy jätehuoltoon ja kierrätykseen edistääkseen jätteiden vähentämisen ja resurssitehokkuuden kulttuuria;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panee tyytyväisenä merkille, että kaikkiin komitean tarjouspyyntöihin, joiden arvo on yli 60 000 euroa, ja tarjouspyyntöihin, joiden arvo on yli 25 000 euroa ja joita hallinnoidaan yhdessä AK:n kanssa, sisältyy kestävyyslausekkeita, jotka ovat energiaunionin, Euroopan vihreän kehityksen ohjelman ja kiertotalouden periaatteiden mukaisia; panee merkille, että komitean uusi ateriapalveluja koskeva puitesopimus tuli voimaan elokuussa 2024 ja että siihen sisältyy vaatimuksia ekologisista ja paikallisesti tuotetuista tuotteista, elintarvikelahjoituksista sekä kauden hedelmien ja vihannesten käytöstä;</w:t>
            </w:r>
          </w:p>
        </w:tc>
        <w:tc>
          <w:tcPr>
            <w:tcW w:w="4876" w:type="dxa"/>
            <w:tcBorders>
              <w:top w:val="nil"/>
              <w:left w:val="nil"/>
              <w:bottom w:val="nil"/>
              <w:right w:val="nil"/>
            </w:tcBorders>
          </w:tcPr>
          <w:p>
            <w:pPr>
              <w:pStyle w:val="Normal6a"/>
            </w:pPr>
            <w:r>
              <w:t>50.</w:t>
            </w:r>
            <w:r>
              <w:tab/>
            </w:r>
            <w:r>
              <w:t xml:space="preserve">panee tyytyväisenä merkille, että kaikkiin komitean tarjouspyyntöihin, joiden arvo on yli 60 000 euroa, ja tarjouspyyntöihin, joiden arvo on yli 25 000 euroa ja joita hallinnoidaan yhdessä AK:n kanssa, sisältyy kestävyyslausekkeita, jotka ovat energiaunionin, Euroopan vihreän kehityksen ohjelman ja kiertotalouden periaatteiden mukaisia; panee merkille, että komitean uusi ateriapalveluja koskeva puitesopimus tuli voimaan elokuussa 2024 ja että siihen sisältyy vaatimuksia ekologisista ja paikallisesti tuotetuista tuotteista, elintarvikelahjoituksista sekä kauden hedelmien ja vihannesten käytöstä; </w:t>
            </w:r>
            <w:r>
              <w:rPr>
                <w:b/>
                <w:i/>
              </w:rPr>
              <w:t>huomauttaa kuitenkin, että niin kutsuttujen vihreiden toimenpiteiden korkeampi vaatimustaso lisää komitean toimintakustannuksia, mikä paitsi vähentää sen käytettävissä olevia määrärahoja myös lisää sen toiminnasta veronmaksajille aiheutuvia kustannuksia;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a.</w:t>
            </w:r>
            <w:r>
              <w:tab/>
            </w:r>
            <w:r>
              <w:rPr>
                <w:b/>
                <w:i/>
              </w:rPr>
              <w:t>korostaa, että unionin toimielinten ympäristöaloitteiden on edelleen oltava kustannustehokkaita ja teknologianeutraaleja;</w:t>
            </w:r>
            <w:r>
              <w:t xml:space="preserve"> </w:t>
            </w:r>
            <w:r>
              <w:rPr>
                <w:b/>
                <w:i/>
              </w:rPr>
              <w:t>kehottaa komiteaa esittämään avoimen kustannus-hyötyanalyysin vihreistä investoinneistaan ja ympäristöä säästävistä hankintakäytännöistään ja varmistamaan, ettei ympäristönäkökohtia pidetä tärkeämpinä kuin tehokkuutta tai talousarviota koskevaa kurinalaisuutta;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panee merkille, että komitealla on keskeinen tehtävä jäsenvaltioiden kansallisten talous- ja sosiaalineuvostojen yhteyksien vahvistamisessa; panee tässä yhteydessä merkille, että vuonna 2024 perustettiin 13 kansallisesta talous- ja sosiaalineuvostosta koostuva uusi temaattinen työryhmä, julkaistiin 32 uutisartikkelia ja 26 tiivistelmää kansallisten talous- ja sosiaalineuvostojen hyväksymistä raporteista, järjestettiin kansallisten talous- ja sosiaalineuvostojen puheenjohtajien ja pääsihteerien vuotuinen kokous Brysselissä sekä pidettiin yhdessä järjestetty seminaari, jossa oli mukana 100 osallistujaa, jotka edustivat eurooppalaisia työmarkkinaosapuolia, kansalaisyhteiskunnan järjestöjä, unionin toimielimiä ja tutkimusalaa;</w:t>
            </w:r>
          </w:p>
        </w:tc>
        <w:tc>
          <w:tcPr>
            <w:tcW w:w="4876" w:type="dxa"/>
            <w:tcBorders>
              <w:top w:val="nil"/>
              <w:left w:val="nil"/>
              <w:bottom w:val="nil"/>
              <w:right w:val="nil"/>
            </w:tcBorders>
          </w:tcPr>
          <w:p>
            <w:pPr>
              <w:pStyle w:val="Normal6a"/>
            </w:pPr>
            <w:r>
              <w:t>60.</w:t>
            </w:r>
            <w:r>
              <w:tab/>
            </w:r>
            <w:r>
              <w:t xml:space="preserve">panee merkille, että komitealla on keskeinen tehtävä jäsenvaltioiden kansallisten talous- ja sosiaalineuvostojen yhteyksien vahvistamisessa; panee tässä yhteydessä merkille, että vuonna 2024 perustettiin 13 kansallisesta talous- ja sosiaalineuvostosta koostuva uusi temaattinen työryhmä, julkaistiin 32 uutisartikkelia ja 26 tiivistelmää kansallisten talous- ja sosiaalineuvostojen hyväksymistä raporteista, järjestettiin kansallisten talous- ja sosiaalineuvostojen puheenjohtajien ja pääsihteerien vuotuinen kokous Brysselissä sekä pidettiin yhdessä järjestetty seminaari, jossa oli mukana 100 osallistujaa, jotka edustivat eurooppalaisia työmarkkinaosapuolia, kansalaisyhteiskunnan järjestöjä, unionin toimielimiä ja tutkimusalaa; </w:t>
            </w:r>
            <w:r>
              <w:rPr>
                <w:b/>
                <w:i/>
              </w:rPr>
              <w:t>kehottaa jatkamaan yhteistyötä yhteistä etua koskevissa kysymyksissä ja vaihtamaan hyviä käytäntöjä korostaen kansalaisyhteiskunnan keskeistä roolia unionin nykyisiin haasteisiin vastaamisessa;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arvostaa NaviGate-alustan käyttöönottoa toukokuussa 2024; panee merkille, että kyseinen alusta syöttää linkkejä unionin julkaisutoimiston EULT-järjestelmään, ja se on lisännyt merkittävästi komitean työn näkyvyyttä ja parantanut jäsenten, henkilöstön, muiden toimielinten käyttäjien ja yleisön käyttäjäkokemusta ja tavoittanut 4 600 yksittäistä kävijää vuonna 2024;</w:t>
            </w:r>
          </w:p>
        </w:tc>
        <w:tc>
          <w:tcPr>
            <w:tcW w:w="4876" w:type="dxa"/>
            <w:tcBorders>
              <w:top w:val="nil"/>
              <w:left w:val="nil"/>
              <w:bottom w:val="nil"/>
              <w:right w:val="nil"/>
            </w:tcBorders>
          </w:tcPr>
          <w:p>
            <w:pPr>
              <w:pStyle w:val="Normal6a"/>
            </w:pPr>
            <w:r>
              <w:t>63.</w:t>
            </w:r>
            <w:r>
              <w:tab/>
            </w:r>
            <w:r>
              <w:rPr>
                <w:b/>
                <w:i/>
              </w:rPr>
              <w:t>suhtautuu myönteisesti komitean pyrkimyksiin lisätä työnsä näkyvyyttä;</w:t>
            </w:r>
            <w:r>
              <w:t xml:space="preserve"> </w:t>
            </w:r>
            <w:r>
              <w:rPr>
                <w:b/>
                <w:i/>
              </w:rPr>
              <w:t>katsoo kuitenkin, että on tehtävä vielä lisää sen varmistamiseksi, että komitean rooli ja konkreettinen panos EU:n käytännön työhön käyvät selkeästi esiin sen viestinnässä tavalla, joka on kansalaisten saavutettavissa ja ymmärrettävissä;</w:t>
            </w:r>
            <w:r>
              <w:t xml:space="preserve"> arvostaa NaviGate-alustan käyttöönottoa toukokuussa 2024; panee merkille, että kyseinen alusta syöttää linkkejä unionin julkaisutoimiston EULT-järjestelmään, ja se on lisännyt merkittävästi komitean työn näkyvyyttä ja parantanut jäsenten, henkilöstön, muiden toimielinten käyttäjien ja yleisön käyttäjäkokemusta ja tavoittanut 4 600 yksittäistä kävijää vuonna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AM\1336221FI.docx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AM\1336221FI.docx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AM\1336221FI.docx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8438</Words>
  <Characters>70155</Characters>
  <Application>Microsoft Office Word</Application>
  <DocSecurity>0</DocSecurity>
  <Lines>1</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367744</vt:lpwstr>
  </property>
  <property fmtid="{D5CDD505-2E9C-101B-9397-08002B2CF9AE}" pid="7" name="dmxml.render.traceId">
    <vt:lpwstr>698a0176ac0b7302ff64c4a2e106005e</vt:lpwstr>
  </property>
  <property fmtid="{D5CDD505-2E9C-101B-9397-08002B2CF9AE}" pid="8" name="FooterPath">
    <vt:lpwstr>AM\1336221FI.docx</vt:lpwstr>
  </property>
  <property fmtid="{D5CDD505-2E9C-101B-9397-08002B2CF9AE}" pid="9" name="PE Number">
    <vt:lpwstr>784.136</vt:lpwstr>
  </property>
  <property fmtid="{D5CDD505-2E9C-101B-9397-08002B2CF9AE}" pid="10" name="UID">
    <vt:lpwstr>eu.europa.europarl-DIN1-2026-0000016192_01.00-fi-01.00_text-xml</vt:lpwstr>
  </property>
</Properties>
</file>