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Europski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Odbor za proračunski nadzor</w:t>
      </w:r>
      <w:r>
        <w:rPr>
          <w:rStyle w:val="HideTWBExt"/>
        </w:rPr>
        <w:t>&lt;/Commission&gt;</w:t>
      </w:r>
    </w:p>
    <w:p>
      <w:pPr>
        <w:pStyle w:val="LineBottom"/>
      </w:pPr>
      <w:r>
        <w:t xml:space="preserve"> </w:t>
      </w:r>
    </w:p>
    <w:p>
      <w:pPr>
        <w:pStyle w:val="CoverReference"/>
      </w:pPr>
      <w:r>
        <w:rPr>
          <w:rStyle w:val="HideTWBExt"/>
        </w:rPr>
        <w:t>&lt;RefProc&gt;</w:t>
      </w:r>
      <w:r>
        <w:t>2025/2151</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{28/01/2026}</w:t>
      </w:r>
      <w:r>
        <w:t>28.1.2026</w:t>
      </w:r>
      <w:r>
        <w:rPr>
          <w:rStyle w:val="HideTWBExt"/>
        </w:rPr>
        <w:t>&lt;/Date&gt;</w:t>
      </w:r>
    </w:p>
    <w:p>
      <w:pPr>
        <w:pStyle w:val="CoverDocType"/>
      </w:pPr>
      <w:r>
        <w:rPr>
          <w:rStyle w:val="HideTWBExt"/>
        </w:rPr>
        <w:t>&lt;TypeAM&gt;</w:t>
      </w:r>
      <w:r>
        <w:t>AMANDMANI</w:t>
      </w:r>
      <w:r>
        <w:rPr>
          <w:rStyle w:val="HideTWBExt"/>
        </w:rPr>
        <w:t>&lt;/TypeAM&gt;</w:t>
      </w:r>
    </w:p>
    <w:p>
      <w:pPr>
        <w:pStyle w:val="CoverDocType24a"/>
      </w:pPr>
      <w:r>
        <w:rPr>
          <w:rStyle w:val="HideTWBExt"/>
        </w:rPr>
        <w:t>&lt;RangeAM&gt;</w:t>
      </w:r>
      <w:r>
        <w:t>1</w:t>
      </w:r>
      <w:r>
        <w:t xml:space="preserve"> - </w:t>
      </w:r>
      <w:r>
        <w:t>45</w:t>
      </w:r>
      <w:r>
        <w:rPr>
          <w:rStyle w:val="HideTWBExt"/>
        </w:rPr>
        <w:t>&lt;/RangeAM&gt;</w:t>
      </w:r>
    </w:p>
    <w:p>
      <w:pPr>
        <w:pStyle w:val="CoverBold"/>
      </w:pPr>
      <w:r>
        <w:rPr>
          <w:rStyle w:val="HideTWBExt"/>
        </w:rPr>
        <w:t>&lt;TitreType&gt;</w:t>
      </w:r>
      <w:r>
        <w:t>Nacrt izvješća</w:t>
      </w:r>
      <w:r>
        <w:rPr>
          <w:rStyle w:val="HideTWBExt"/>
        </w:rPr>
        <w:t>&lt;/TitreType&gt;</w:t>
      </w:r>
    </w:p>
    <w:p>
      <w:pPr>
        <w:pStyle w:val="CoverBold"/>
      </w:pPr>
      <w:r>
        <w:rPr>
          <w:rStyle w:val="HideTWBExt"/>
        </w:rPr>
        <w:t>&lt;Rapporteur&gt;</w:t>
      </w:r>
      <w:r>
        <w:t>Pasquale Tridico</w:t>
      </w:r>
      <w:r>
        <w:rPr>
          <w:rStyle w:val="HideTWBExt"/>
        </w:rPr>
        <w:t>&lt;/Rapporteur&gt;</w:t>
      </w:r>
    </w:p>
    <w:p>
      <w:pPr>
        <w:pStyle w:val="CoverNormal24a"/>
      </w:pPr>
      <w:r>
        <w:rPr>
          <w:rStyle w:val="HideTWBExt"/>
        </w:rPr>
        <w:t>&lt;DocRefPE&gt;</w:t>
      </w:r>
      <w:r>
        <w:t>(PE778.063v01-00)</w:t>
      </w:r>
      <w:r>
        <w:rPr>
          <w:rStyle w:val="HideTWBExt"/>
        </w:rPr>
        <w:t>&lt;/DocRefPE&gt;</w:t>
      </w:r>
    </w:p>
    <w:p>
      <w:pPr>
        <w:pStyle w:val="CoverNormal"/>
      </w:pPr>
      <w:r>
        <w:rPr>
          <w:rStyle w:val="HideTWBExt"/>
        </w:rPr>
        <w:t>&lt;Titre&gt;</w:t>
      </w:r>
      <w:r>
        <w:t>Razrješnica za 2024.: Opći proračun EU-a – Europski gospodarski i socijalni odbor</w:t>
      </w:r>
      <w:r>
        <w:rPr>
          <w:rStyle w:val="HideTWBExt"/>
        </w:rPr>
        <w:t>&lt;/Titre&gt;</w:t>
      </w:r>
    </w:p>
    <w:p>
      <w:pPr>
        <w:pStyle w:val="CoverNormal24a"/>
      </w:pPr>
      <w:r>
        <w:rPr>
          <w:rStyle w:val="HideTWBExt"/>
        </w:rPr>
        <w:t>&lt;DocRef&gt;</w:t>
      </w:r>
      <w:r>
        <w:t>(2025/2151(DEC))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Amandman</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Ondřej Knotek, 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Ha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budući da je, u skladu s člancima 300. i 304. Ugovora o funkcioniranju Europske unije, Europski gospodarski i socijalni odbor savjetodavno tijelo čija je primarna zadaća davanje mišljenja;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prima na znanje da je Odbor s pristupa usmjerenog na potrošnju prešao na upravljanje resursima i određivanje prioriteta, što je vidljivo iz strateškog financijskog paketa koji je podržalo Predsjedništvo EGSO-a i uvođenja postupaka određivanja prioriteta;</w:t>
            </w:r>
            <w:r>
              <w:t xml:space="preserve"> </w:t>
            </w:r>
            <w:r>
              <w:rPr>
                <w:b/>
                <w:i/>
              </w:rPr>
              <w:t>primjećuje da je cilj tih mjera poboljšati financijsko upravljanje i uskladiti proračunske odluke sa strateškim ciljevima;</w:t>
            </w:r>
            <w:r>
              <w:t xml:space="preserve"> </w:t>
            </w:r>
            <w:r>
              <w:rPr>
                <w:b/>
                <w:i/>
              </w:rPr>
              <w:t>prima na znanje korake za smanjenje administrativnog opterećenja i pojednostavnjenje postupaka radi postizanja troškovne učinkovitosti;</w:t>
            </w:r>
            <w:r>
              <w:t xml:space="preserve"> </w:t>
            </w:r>
            <w:r>
              <w:rPr>
                <w:b/>
                <w:i/>
              </w:rPr>
              <w:t>poziva Odbor da dodatno konsolidira taj pristup uključivanjem pokazatelja uspješnosti i planiranja predviđanja u svoj godišnji financijski ciklus;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pohvaljuje Odbor </w:t>
            </w:r>
            <w:r>
              <w:rPr>
                <w:b/>
                <w:i/>
              </w:rPr>
              <w:t>za činjenicu da se njegovo izvršenje</w:t>
            </w:r>
            <w:r>
              <w:t xml:space="preserve"> proračuna za odobrena sredstva za preuzimanje obveza za tekuću godinu dodatno </w:t>
            </w:r>
            <w:r>
              <w:rPr>
                <w:b/>
                <w:i/>
              </w:rPr>
              <w:t>povećalo</w:t>
            </w:r>
            <w:r>
              <w:t xml:space="preserve"> s 98,70 % 2023. na 99,21 % 2024. zahvaljujući uspješnom praćenju izvršenja proračuna, ali i zbog visoke stope inflacije koja utječe na plaće osoblja i troškove za zgrade; u tom kontekstu prima na znanje nastojanja Odbora u pogledu preraspodjele u obliku proračunskih prijenosa u ukupnom iznosu od 2 487 139 EUR (što čini 1,51 % njegova proračuna za 2024.) u različitim proračunskim linijama, pri čemu se najveća povećanja odnose na rad i održavanje softverskih sustava (+ 519 682 EUR) i zgrada (+ 421 880 EUR); nadalje, sa zadovoljstvom konstatira da se stopa izvršenja odobrenih sredstava za plaćanje za tekuću godinu povećala s 88,12 % 2022. i 90,67 % 2023. na 92,85 % 2024., a prosječno vrijeme plaćanja smanjilo se s 20,14 dana 2023. na 16,06 dana 2024., što predstavlja najbolju uspješnost Odbora od 2021.;</w:t>
            </w:r>
          </w:p>
        </w:tc>
        <w:tc>
          <w:tcPr>
            <w:tcW w:w="4876" w:type="dxa"/>
            <w:tcBorders>
              <w:top w:val="nil"/>
              <w:left w:val="nil"/>
              <w:bottom w:val="nil"/>
              <w:right w:val="nil"/>
            </w:tcBorders>
          </w:tcPr>
          <w:p>
            <w:pPr>
              <w:pStyle w:val="Normal6a"/>
            </w:pPr>
            <w:r>
              <w:t>5.</w:t>
            </w:r>
            <w:r>
              <w:tab/>
            </w:r>
            <w:r>
              <w:t xml:space="preserve">pohvaljuje Odbor </w:t>
            </w:r>
            <w:r>
              <w:rPr>
                <w:b/>
                <w:i/>
              </w:rPr>
              <w:t>zbog visoke stope izvršenja</w:t>
            </w:r>
            <w:r>
              <w:t xml:space="preserve"> proračuna za odobrena sredstva za preuzimanje obveza za tekuću godinu</w:t>
            </w:r>
            <w:r>
              <w:rPr>
                <w:b/>
                <w:i/>
              </w:rPr>
              <w:t>, koja se</w:t>
            </w:r>
            <w:r>
              <w:t xml:space="preserve"> dodatno </w:t>
            </w:r>
            <w:r>
              <w:rPr>
                <w:b/>
                <w:i/>
              </w:rPr>
              <w:t>povećala</w:t>
            </w:r>
            <w:r>
              <w:t xml:space="preserve"> s 98,70 % 2023. na 99,21 % 2024. zahvaljujući uspješnom praćenju izvršenja proračuna, ali i zbog visoke stope inflacije koja utječe na plaće osoblja i troškove za zgrade; u tom kontekstu prima na znanje nastojanja Odbora u pogledu preraspodjele u obliku proračunskih prijenosa u ukupnom iznosu od 2 487 139 EUR (što čini 1,51 % njegova proračuna za 2024.) u različitim proračunskim linijama, pri čemu se najveća povećanja odnose na rad i održavanje softverskih sustava (+ 519 682 EUR) i zgrada (+ 421 880 EUR); nadalje, sa zadovoljstvom konstatira da se stopa izvršenja odobrenih sredstava za plaćanje za tekuću godinu povećala s 88,12 % 2022. i 90,67 % 2023. na 92,85 % 2024., a prosječno vrijeme plaćanja smanjilo se s 20,14 dana 2023. na 16,06 dana 2024., što predstavlja najbolju uspješnost Odbora od 2021.; </w:t>
            </w:r>
            <w:r>
              <w:rPr>
                <w:b/>
                <w:i/>
              </w:rPr>
              <w:t>potiče nastavak učinkovitog praćenja, ograničavanja troškova i strateške preraspodjele kako bi se osiguralo ostvarivanje vrijednosti za uloženi novac i transparentnost;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napominje da je Vijeće 21. rujna 2024. donijelo novu odluku o odobravanju dnevnica i naknadi putnih troškova članovima Odbora i njihovim zamjenicima, prema kojoj dnevnica za korisnike koji sudjeluju na sastancima uživo iznosi 367 EUR (povećanje u odnosu na 290 EUR), a dnevnica za korisnike koji sudjeluju na sastancima na daljinu elektroničkim putem 149 EUR (povećanje u odnosu na 145 EUR); prima na znanje iz Upitnika da je Odbor 2024. nadoknadio troškove sudjelovanja na daljinu u iznosu od 259 669 EUR (294 930 EUR 2023.), što odgovara 1 744 dana sastanaka (2 006 dana sastanaka 2023.), dok je ukupni iznos paušalnih naknada isplaćenih za sudjelovanje na sastancima uživo 2024. iznosio 6 579 196 EUR (povećanje u odnosu na 5 902 963 EUR 2023.); nadalje, napominje da je Odbor uspostavio sustav za potvrđivanje stvarnog sudjelovanja na sastancima na daljinu elektroničkim putem; smatra da je</w:t>
            </w:r>
            <w:r>
              <w:rPr>
                <w:b/>
                <w:i/>
              </w:rPr>
              <w:t>, iako je</w:t>
            </w:r>
            <w:r>
              <w:t xml:space="preserve"> sudjelovanje na daljinu važan instrument za moderne institucije, kojim se smanjuju troškovi sastanaka i omogućuje šire sudjelovanje</w:t>
            </w:r>
            <w:r>
              <w:rPr>
                <w:b/>
                <w:i/>
              </w:rPr>
              <w:t>, javnosti teško razumjeti dodjelu naknade</w:t>
            </w:r>
            <w:r>
              <w:t xml:space="preserve"> za sudjelovanje na </w:t>
            </w:r>
            <w:r>
              <w:rPr>
                <w:b/>
                <w:i/>
              </w:rPr>
              <w:t>sastancima na</w:t>
            </w:r>
            <w:r>
              <w:t xml:space="preserve"> daljinu</w:t>
            </w:r>
            <w:r>
              <w:rPr>
                <w:b/>
                <w:i/>
              </w:rPr>
              <w:t>, čak i ako je smanjenog iznosa i ograničena na određene vrste</w:t>
            </w:r>
            <w:r>
              <w:t xml:space="preserve"> događanja;</w:t>
            </w:r>
          </w:p>
        </w:tc>
        <w:tc>
          <w:tcPr>
            <w:tcW w:w="4876" w:type="dxa"/>
            <w:tcBorders>
              <w:top w:val="nil"/>
              <w:left w:val="nil"/>
              <w:bottom w:val="nil"/>
              <w:right w:val="nil"/>
            </w:tcBorders>
          </w:tcPr>
          <w:p>
            <w:pPr>
              <w:pStyle w:val="Normal6a"/>
            </w:pPr>
            <w:r>
              <w:t>7.</w:t>
            </w:r>
            <w:r>
              <w:tab/>
            </w:r>
            <w:r>
              <w:t xml:space="preserve">napominje da je Vijeće 21. rujna 2024. donijelo novu odluku o odobravanju dnevnica i naknadi putnih troškova članovima Odbora i njihovim zamjenicima, prema kojoj dnevnica za korisnike koji sudjeluju na sastancima uživo iznosi 367 EUR (povećanje u odnosu na 290 EUR), a dnevnica za korisnike koji sudjeluju na sastancima na daljinu elektroničkim putem 149 EUR (povećanje u odnosu na 145 EUR); prima na znanje iz Upitnika da je Odbor 2024. nadoknadio troškove sudjelovanja na daljinu u iznosu od 259 669 EUR (294 930 EUR 2023.), što odgovara 1 744 dana sastanaka (2 006 dana sastanaka 2023.), dok je ukupni iznos paušalnih naknada isplaćenih za sudjelovanje na sastancima uživo 2024. iznosio 6 579 196 EUR (povećanje u odnosu na 5 902 963 EUR 2023.); nadalje, napominje da je Odbor uspostavio sustav za potvrđivanje stvarnog sudjelovanja na sastancima na daljinu elektroničkim putem; smatra da je sudjelovanje na daljinu važan instrument </w:t>
            </w:r>
            <w:r>
              <w:rPr>
                <w:b/>
                <w:i/>
              </w:rPr>
              <w:t>i vrijedan alat</w:t>
            </w:r>
            <w:r>
              <w:t xml:space="preserve"> za moderne institucije, kojim se smanjuju troškovi sastanaka i omogućuje šire sudjelovanje</w:t>
            </w:r>
            <w:r>
              <w:rPr>
                <w:b/>
                <w:i/>
              </w:rPr>
              <w:t>;</w:t>
            </w:r>
            <w:r>
              <w:t xml:space="preserve"> </w:t>
            </w:r>
            <w:r>
              <w:rPr>
                <w:b/>
                <w:i/>
              </w:rPr>
              <w:t>pozdravlja pristup Odbora da se naknada</w:t>
            </w:r>
            <w:r>
              <w:t xml:space="preserve"> za sudjelovanje na daljinu </w:t>
            </w:r>
            <w:r>
              <w:rPr>
                <w:b/>
                <w:i/>
              </w:rPr>
              <w:t>dodjeljuje za manji broj i ograničenu vrstu</w:t>
            </w:r>
            <w:r>
              <w:t xml:space="preserve"> događanja </w:t>
            </w:r>
            <w:r>
              <w:rPr>
                <w:b/>
                <w:i/>
              </w:rPr>
              <w:t>te na pravedan i proporcionalan način, u skladu s odgovornostima članova i zahtjevima u pogledu priprema, uz istodobno osiguravanje i praćenje transparentnosti i troškovne učinkovitosti</w:t>
            </w:r>
            <w:r>
              <w:t xml:space="preserve">; </w:t>
            </w:r>
            <w:r>
              <w:rPr>
                <w:b/>
                <w:i/>
              </w:rPr>
              <w:t>podsjeća da članovi Europskog gospodarskog i socijalnog odbora ne primaju plaću za svoj mandat;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poziva Odbor da preispita sustav naknada za sudjelovanje na daljinu kako bi se osigurala potpuna transparentnost, proporcionalnost i povjerenje javnosti;</w:t>
            </w:r>
            <w:r>
              <w:t xml:space="preserve"> </w:t>
            </w:r>
            <w:r>
              <w:rPr>
                <w:b/>
                <w:i/>
              </w:rPr>
              <w:t>naglašava da financijska naknada za sudjelovanje na daljinu mora biti strogo opravdana, ograničena opsega i usklađena s načelima troškovne učinkovitosti i odgovornosti;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Dick Erixon,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izražava duboku zabrinutost u vezi sa sve većim teretom duga i troškovima zaduživanja EU-a;</w:t>
            </w:r>
            <w:r>
              <w:t xml:space="preserve"> </w:t>
            </w:r>
            <w:r>
              <w:rPr>
                <w:b/>
                <w:i/>
              </w:rPr>
              <w:t>napominje da bi, prema godišnjem izvješću Europskog revizorskog suda, nepodmireni zajmovi koje je EU uzeo do 2027. mogli premašiti vrijednost od 900 milijardi EUR, što je gotovo deset puta više nego 2020. prije uvođenja paketa za oporavak NGEU;</w:t>
            </w:r>
            <w:r>
              <w:t xml:space="preserve"> </w:t>
            </w:r>
            <w:r>
              <w:rPr>
                <w:b/>
                <w:i/>
              </w:rPr>
              <w:t>upozorava na to da su sve veći troškovi zaduživanja rizik za buduće proračune i da smanjuju fiskalni prostor za nove prioritete;</w:t>
            </w:r>
            <w:r>
              <w:t xml:space="preserve"> </w:t>
            </w:r>
            <w:r>
              <w:rPr>
                <w:b/>
                <w:i/>
              </w:rPr>
              <w:t>stoga ustraje u tome da taj dosad nezabilježen fiskalni pritisak nalaže strogo nastojanje da se ostvare uštede u okviru vlastitog administrativnog proračuna Odbora;</w:t>
            </w:r>
            <w:r>
              <w:t xml:space="preserve"> </w:t>
            </w:r>
            <w:r>
              <w:rPr>
                <w:b/>
                <w:i/>
              </w:rPr>
              <w:t>poziva glavnog tajnika da predstavi plan za smanjenje strukturnih troškova kako bi se pokazala institucionalna odgovornost u vrijeme visokog javnog duga;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poziva upravu Odbora da aktivno utvrđuje i provodi mjere za smanjenje troškova, među ostalim povećanom upotrebom tehnologija hibridnih sastanaka, optimizacijom upotrebe zgrada, konsolidacijom parlamentarnih aktivnosti i smanjenjem nepotrebnih logističkih troškova;</w:t>
            </w:r>
            <w:r>
              <w:t xml:space="preserve"> </w:t>
            </w:r>
            <w:r>
              <w:rPr>
                <w:b/>
                <w:i/>
              </w:rPr>
              <w:t>traži redovita izvješća o napretku u pogledu provedenih mjera i ostvarenih ušteda;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poziva Odbor da donese strukturirani plan kako bi se postupno dosegnula referentna vrijednost potrošnje za kibernetičku sigurnost od 10 %, uključujući godišnje ključne etape, određivanje prioriteta na temelju procjene rizika i redovito izvješćivanje tijela nadležnog za davanje razrješnice;</w:t>
            </w:r>
            <w:r>
              <w:t xml:space="preserve"> </w:t>
            </w:r>
            <w:r>
              <w:rPr>
                <w:b/>
                <w:i/>
              </w:rPr>
              <w:t>naglašava potrebu za pojačanom suradnjom s CERT-EU-om i drugim institucijama Unije kako bi se osigurala usklađenost i otpornost u pogledu kibernetičke sigurnosti;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potvrđuje da Odbor ima ključnu ulogu u doprinosu razvoju politika Unije i postupcima donošenja odluka tako što predstavlja glasove svih područja organiziranog civilnog društva u Uniji, čime se Europa približava svojim građanima i povećava demokratski legitimitet zakonodavstva Unije; podsjeća na to da Odbor u okviru svojeg godišnjeg programa rada ima sustav za praćenje uspješnosti s pokazateljima u različitim područjima, kao što su IT, ljudski resursi, prevođenje i komunikacija, koji počiva na pet temeljnih vrijednosti i pet ključnih strateških ciljeva, u okviru strategije Glavnog tajništva za razdoblje 2021. – 2025.; sa zadovoljstvom prima na znanje iz daljnjih mjera Odbora na temelju primjedaba iz rezolucije Parlamenta o razrješnici za 2023. („izvješće o daljnjim mjerama”) i Upitnika da je Odbor nakon revizije pokrenuo strukturirani postupak za poboljšanje praćenja uspješnosti usklađivanjem svojeg okvira uspješnosti sa strateškim ciljevima s pomoću ključnih pokazatelja uspješnosti i pokazatelja učinka koji će biti usklađeni s budućim strateškim ciljevima Odbora, dok će više rukovodstvo imati ključnu ulogu u upotrebi tih pokazatelja; očekuje da će biti obaviješten o ishodu izvršenja tog novog okvira putem budućeg izvješćivanja Odbora tijelu nadležnom za davanje razrješnice;</w:t>
            </w:r>
          </w:p>
        </w:tc>
        <w:tc>
          <w:tcPr>
            <w:tcW w:w="4876" w:type="dxa"/>
            <w:tcBorders>
              <w:top w:val="nil"/>
              <w:left w:val="nil"/>
              <w:bottom w:val="nil"/>
              <w:right w:val="nil"/>
            </w:tcBorders>
          </w:tcPr>
          <w:p>
            <w:pPr>
              <w:pStyle w:val="Normal6a"/>
            </w:pPr>
            <w:r>
              <w:t>12.</w:t>
            </w:r>
            <w:r>
              <w:tab/>
            </w:r>
            <w:r>
              <w:t>potvrđuje da Odbor ima ključnu ulogu u doprinosu razvoju politika Unije i postupcima donošenja odluka tako što predstavlja glasove svih područja organiziranog civilnog društva u Uniji, čime se Europa približava svojim građanima i povećava demokratski legitimitet zakonodavstva Unije; podsjeća na to da Odbor u okviru svojeg godišnjeg programa rada ima sustav za praćenje uspješnosti s pokazateljima u različitim područjima, kao što su IT, ljudski resursi, prevođenje i komunikacija, koji počiva na pet temeljnih vrijednosti i pet ključnih strateških ciljeva, u okviru strategije Glavnog tajništva za razdoblje 2021. – 2025.</w:t>
            </w:r>
            <w:r>
              <w:rPr>
                <w:b/>
                <w:i/>
              </w:rPr>
              <w:t>;</w:t>
            </w:r>
            <w:r>
              <w:t xml:space="preserve"> </w:t>
            </w:r>
            <w:r>
              <w:rPr>
                <w:b/>
                <w:i/>
              </w:rPr>
              <w:t>međutim, smatra da se i dalje u pravilu nedovoljno izvješćuje o dodanoj vrijednosti njegovih aktivnosti za europske građane;</w:t>
            </w:r>
            <w:r>
              <w:t xml:space="preserve"> </w:t>
            </w:r>
            <w:r>
              <w:rPr>
                <w:b/>
                <w:i/>
              </w:rPr>
              <w:t>poziva Odbor da dodatno ojača okvir za procjenu učinka i to tako da kvalitetnije pokaže kako se njegova mišljenja i inicijative pretvaraju u konkretne rezultate politika i opipljive koristi za građane</w:t>
            </w:r>
            <w:r>
              <w:t>; sa zadovoljstvom prima na znanje iz daljnjih mjera Odbora na temelju primjedaba iz rezolucije Parlamenta o razrješnici za 2023. („izvješće o daljnjim mjerama”) i Upitnika da je Odbor nakon revizije pokrenuo strukturirani postupak za poboljšanje praćenja uspješnosti usklađivanjem svojeg okvira uspješnosti sa strateškim ciljevima s pomoću ključnih pokazatelja uspješnosti i pokazatelja učinka koji će biti usklađeni s budućim strateškim ciljevima Odbora, dok će više rukovodstvo imati ključnu ulogu u upotrebi tih pokazatelja; očekuje da će biti obaviješten o ishodu izvršenja tog novog okvira putem budućeg izvješćivanja Odbora tijelu nadležnom za davanje razrješnice;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potvrđuje da Odbor ima ključnu ulogu u doprinosu razvoju politika Unije i postupcima donošenja odluka tako što predstavlja glasove svih područja organiziranog civilnog društva u Uniji, čime se Europa približava svojim građanima i povećava demokratski legitimitet zakonodavstva Unije; podsjeća na to da Odbor u okviru svojeg godišnjeg programa rada ima sustav za praćenje uspješnosti s pokazateljima u različitim područjima, kao što su IT, ljudski resursi, prevođenje i komunikacija, koji počiva na pet temeljnih vrijednosti i pet ključnih strateških ciljeva, u okviru strategije Glavnog tajništva za razdoblje 2021. – 2025.; sa zadovoljstvom prima na znanje iz daljnjih mjera Odbora na temelju primjedaba iz rezolucije Parlamenta o razrješnici za 2023. („izvješće o daljnjim mjerama”) i Upitnika da je Odbor nakon revizije pokrenuo strukturirani postupak za poboljšanje praćenja uspješnosti usklađivanjem svojeg okvira uspješnosti sa strateškim ciljevima s pomoću ključnih pokazatelja uspješnosti i pokazatelja učinka koji će biti usklađeni s budućim strateškim ciljevima Odbora, dok će više rukovodstvo imati ključnu ulogu u upotrebi tih pokazatelja; očekuje da će biti obaviješten o ishodu izvršenja tog novog okvira putem budućeg izvješćivanja Odbora tijelu nadležnom za davanje razrješnice;</w:t>
            </w:r>
          </w:p>
        </w:tc>
        <w:tc>
          <w:tcPr>
            <w:tcW w:w="4876" w:type="dxa"/>
            <w:tcBorders>
              <w:top w:val="nil"/>
              <w:left w:val="nil"/>
              <w:bottom w:val="nil"/>
              <w:right w:val="nil"/>
            </w:tcBorders>
          </w:tcPr>
          <w:p>
            <w:pPr>
              <w:pStyle w:val="Normal6a"/>
            </w:pPr>
            <w:r>
              <w:t>12.</w:t>
            </w:r>
            <w:r>
              <w:tab/>
            </w:r>
            <w:r>
              <w:t xml:space="preserve">potvrđuje da Odbor ima ključnu ulogu u doprinosu razvoju politika Unije i postupcima donošenja odluka tako što predstavlja glasove svih područja organiziranog civilnog društva u Uniji, čime se Europa približava svojim građanima i povećava demokratski legitimitet zakonodavstva Unije; podsjeća na to da Odbor u okviru svojeg godišnjeg programa rada ima sustav za praćenje uspješnosti s pokazateljima u različitim područjima, kao što su IT, ljudski resursi, prevođenje i komunikacija, koji počiva na pet temeljnih vrijednosti i pet ključnih strateških ciljeva, u okviru strategije Glavnog tajništva za razdoblje 2021. – 2025.; sa zadovoljstvom prima na znanje iz daljnjih mjera Odbora na temelju primjedaba iz rezolucije Parlamenta o razrješnici za 2023. („izvješće o daljnjim mjerama”) i Upitnika da je Odbor nakon revizije pokrenuo strukturirani postupak za poboljšanje praćenja uspješnosti usklađivanjem svojeg okvira uspješnosti sa strateškim ciljevima s pomoću ključnih pokazatelja uspješnosti i pokazatelja učinka koji će biti usklađeni s budućim strateškim ciljevima Odbora, dok će više rukovodstvo imati ključnu ulogu u upotrebi tih pokazatelja; očekuje da će biti obaviješten o ishodu izvršenja tog novog okvira putem budućeg izvješćivanja Odbora tijelu nadležnom za davanje razrješnice; </w:t>
            </w:r>
            <w:r>
              <w:rPr>
                <w:b/>
                <w:i/>
              </w:rPr>
              <w:t>pozdravlja nastojanja Odbora da uključi mjerenje učinka u svoje donošenje odluka i poziva na uvođenje jasnih mjerljivih ključnih pokazatelja uspješnosti i redovito izvješćivanje kako bi se osigurali mjerljivi rezultati i odgovornost;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napominje da Odbor svoju misiju ostvaruje mišljenjima koja se odnose na zakonodavne prijedloge Komisije (zahtjevi za mišljenje) i samoinicijativnim mišljenjima, u kojima se institucije Unije pozivaju na djelovanje, kao i razmatračkim mišljenjima, koja pridonose radu Komisije na planiranim inicijativama, te da se stajališta Odbora mogu istaknuti u rezolucijama ili uvrstiti u evaluacije ili informativna mišljenja; pohvaljuje Odbor za uspješnost u pomaganju Parlamentu, Vijeću i Komisiji u zakonodavnom ciklusu 2024.; u tom kontekstu napominje da je Odbor 2024. donio 142 mišljenja i izvješća, što predstavlja smanjenje u odnosu na 213 tijekom 2023., te je organizirao 148 saslušanja i 26 konferencija, u usporedbi sa 146 odnosno 24 tijekom 2023.; potvrđuje da je obnova saziva 2024. dovela do smanjenja broja zahtjeva za mišljenje, a time i broja mišljenja koja je Odbor usvojio te godine; konstatira da su članovi Odbora 2024. sudjelovali na 518 sastanaka na visokoj razini, sastanaka na vrhu i konferencija, u usporedbi s 429 takvih sastanaka 2023.;</w:t>
            </w:r>
          </w:p>
        </w:tc>
        <w:tc>
          <w:tcPr>
            <w:tcW w:w="4876" w:type="dxa"/>
            <w:tcBorders>
              <w:top w:val="nil"/>
              <w:left w:val="nil"/>
              <w:bottom w:val="nil"/>
              <w:right w:val="nil"/>
            </w:tcBorders>
          </w:tcPr>
          <w:p>
            <w:pPr>
              <w:pStyle w:val="Normal6a"/>
            </w:pPr>
            <w:r>
              <w:t>13.</w:t>
            </w:r>
            <w:r>
              <w:tab/>
            </w:r>
            <w:r>
              <w:t xml:space="preserve">napominje da Odbor svoju misiju ostvaruje mišljenjima koja se odnose na zakonodavne prijedloge Komisije (zahtjevi za mišljenje) i samoinicijativnim mišljenjima, u kojima se institucije Unije pozivaju na djelovanje, kao i razmatračkim mišljenjima, koja pridonose radu Komisije na planiranim inicijativama, te da se stajališta Odbora mogu istaknuti u rezolucijama ili uvrstiti u evaluacije ili informativna mišljenja; pohvaljuje Odbor za uspješnost u pomaganju Parlamentu, Vijeću i Komisiji u zakonodavnom ciklusu 2024.; u tom kontekstu napominje da je Odbor 2024. donio 142 mišljenja i izvješća, što predstavlja smanjenje u odnosu na 213 tijekom 2023., te je organizirao 148 saslušanja i 26 konferencija, u usporedbi sa 146 odnosno 24 tijekom 2023.; potvrđuje da je obnova saziva 2024. dovela do smanjenja broja zahtjeva za mišljenje, a time i broja mišljenja koja je Odbor usvojio te godine; konstatira da su članovi Odbora 2024. sudjelovali na 518 sastanaka na visokoj razini, sastanaka na vrhu i konferencija, u usporedbi s 429 takvih sastanaka 2023.; </w:t>
            </w:r>
            <w:r>
              <w:rPr>
                <w:b/>
                <w:i/>
              </w:rPr>
              <w:t>potiče davanje prednosti inicijativama kojima se podupiru gospodarski rast, konkurentnost i strateška autonomija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potiče Odbor da nastavi ulagati napore u to da svoj rad usmjeri na područja u kojima može pružiti jasne i mjerljive doprinose relevantne za politike te da dodatno razvije pokazatelje koji se temelje na uspješnosti i učinku te koji nadilaze ostvarenja temeljena na aktivnostima te bolje odražavaju ishode i relevantnost za građane;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pozdravlja, na temelju izvješća o daljnjim mjerama, predanost Odbora izradi mišljenja o radničkim pravima, socijalnoj uključenosti i kršenju ljudskih prava te proširenju područja primjene njegovih evaluacija u pogledu zakonodavstva i programa Unije, pod uvjetom da su dostupna odgovarajuća sredstva;</w:t>
            </w:r>
          </w:p>
        </w:tc>
        <w:tc>
          <w:tcPr>
            <w:tcW w:w="4876" w:type="dxa"/>
            <w:tcBorders>
              <w:top w:val="nil"/>
              <w:left w:val="nil"/>
              <w:bottom w:val="nil"/>
              <w:right w:val="nil"/>
            </w:tcBorders>
          </w:tcPr>
          <w:p>
            <w:pPr>
              <w:pStyle w:val="Normal6a"/>
            </w:pPr>
            <w:r>
              <w:t>14.</w:t>
            </w:r>
            <w:r>
              <w:tab/>
            </w:r>
            <w:r>
              <w:t>pozdravlja, na temelju izvješća o daljnjim mjerama, predanost Odbora izradi mišljenja o radničkim pravima, socijalnoj uključenosti i kršenju ljudskih prava te proširenju područja primjene njegovih evaluacija u pogledu zakonodavstva i programa Unije, pod uvjetom da su dostupna odgovarajuća sredstva</w:t>
            </w:r>
            <w:r>
              <w:rPr>
                <w:b/>
                <w:i/>
              </w:rPr>
              <w:t>, predstavljajući široko civilno društvo</w:t>
            </w:r>
            <w:r>
              <w:t xml:space="preserve">; </w:t>
            </w:r>
            <w:r>
              <w:rPr>
                <w:b/>
                <w:i/>
              </w:rPr>
              <w:t>potiče Odbor da proširi opseg mišljenjâ kako bi se obuhvatilo dodatno zakonodavstvo Unije o javnim dobrima;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cijeni mjere koje je Odbor poduzeo 2024. kako bi poboljšao vidljivost i učinak svojeg rada u političkom i zakonodavnom ciklusu; pozdravlja službeno pokretanje, nakon pilot-projekta, novog formata mišljenja sastavljenih kao odgovor na obvezne zahtjeve Parlamenta, Vijeća ili Komisije; napominje da se novim formatom poboljšava pristupačnost za korisnike i upotrebljivost za zakonodavca, uz istodobno poboljšanje određivanja prioriteta u radu Odbora; nadalje napominje da, zahvaljujući pojačanim daljnjim mjerama povezanima s odabranim mišljenjima s pomoću kontrolnog popisa i smjernica, Odbor očekuje da će ona ostati relevantna i nakon donošenja te da će se uključiti u višeslojne zakonodavne postupke; nadalje, pozdravlja uključivanje mišljenja Odbora u alat za praćenje zakonodavnih akata Unije EU Law Tracker (EULT) od travnja 2024., pri čemu se sada pojavljuju kao upućivanja u zakonodavnim predmetima; sa zadovoljstvom konstatira da je Odbor usvojio i interni plan za bolje predviđanje prioriteta Unije, poboljšanje međuinstitucijske koordinacije, jačanje širenja informacija i daljnjeg postupanja te sustavnije mjerenje učinka;</w:t>
            </w:r>
          </w:p>
        </w:tc>
        <w:tc>
          <w:tcPr>
            <w:tcW w:w="4876" w:type="dxa"/>
            <w:tcBorders>
              <w:top w:val="nil"/>
              <w:left w:val="nil"/>
              <w:bottom w:val="nil"/>
              <w:right w:val="nil"/>
            </w:tcBorders>
          </w:tcPr>
          <w:p>
            <w:pPr>
              <w:pStyle w:val="Normal6a"/>
            </w:pPr>
            <w:r>
              <w:rPr>
                <w:i/>
              </w:rPr>
              <w:t>(Ne odnosi se na hrvatsku verziju.)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cijeni mjere koje je Odbor poduzeo 2024. kako bi poboljšao dostupnost, jasnoću i upotrebljivost svojih mišljenja za institucije Unije;</w:t>
            </w:r>
            <w:r>
              <w:t xml:space="preserve"> </w:t>
            </w:r>
            <w:r>
              <w:rPr>
                <w:b/>
                <w:i/>
              </w:rPr>
              <w:t>ističe da su takve mjere namijenjene jačanju kapaciteta zakonodavaca za donošenje utemeljenih odluka;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sa zadovoljstvom konstatira da je Odbor pokrenuo nekoliko vodećih inicijativa kojima su se ojačali sudjelovanje, uključenost i učinak politika diljem Unije; napominje da je Odbor od rujna 2024. preuzeo vodeću ulogu u primjeni testa utjecaja politika EU-a na mlade u svojem postupku formiranja mišljenja, kojim je obuhvatio mrežu od 73 organizacije mladih i ispitao oko 40 mišljenja; nadalje napominje da je Odbor proširio svoju suradnju sa zemljama kandidatkinjama u okviru inicijative za članove i članice iz zemalja kandidatkinja za proširenje, čime se 146 predstavnika civilnog društva omogućilo da izravno pridonose mišljenjima Odbora sudjelovanjem u studijskim skupinama, sastancima stručnih skupina i plenarnim sjednicama (održanima u listopadu 2024.); pohvaljuje Odbor za napredak u provedbi plavog plana EU-a, čime pomaže u uvrštavanju otpornosti vodoopskrbe na dnevni red Unije; ističe da je Odbor 2024. nastavio voditi Europsku platformu dionika kružnog gospodarstva i suorganizirao nagrade EU-a za ekološku proizvodnju, jačajući veze s akterima civilnog društva u ekološkoj poljoprivredi;</w:t>
            </w:r>
          </w:p>
        </w:tc>
        <w:tc>
          <w:tcPr>
            <w:tcW w:w="4876" w:type="dxa"/>
            <w:tcBorders>
              <w:top w:val="nil"/>
              <w:left w:val="nil"/>
              <w:bottom w:val="nil"/>
              <w:right w:val="nil"/>
            </w:tcBorders>
          </w:tcPr>
          <w:p>
            <w:pPr>
              <w:pStyle w:val="Normal6a"/>
            </w:pPr>
            <w:r>
              <w:t>16.</w:t>
            </w:r>
            <w:r>
              <w:tab/>
            </w:r>
            <w:r>
              <w:t xml:space="preserve">sa zadovoljstvom konstatira da je Odbor pokrenuo nekoliko vodećih inicijativa kojima su se ojačali sudjelovanje, uključenost i učinak politika diljem Unije; napominje da je Odbor od rujna 2024. preuzeo vodeću ulogu u primjeni testa utjecaja politika EU-a na mlade u svojem postupku formiranja mišljenja, kojim je obuhvatio mrežu od 73 organizacije mladih i ispitao oko 40 mišljenja; nadalje napominje da je Odbor proširio svoju suradnju sa zemljama kandidatkinjama u okviru inicijative za članove i članice iz zemalja kandidatkinja za proširenje, čime se 146 predstavnika civilnog društva omogućilo da izravno pridonose mišljenjima Odbora sudjelovanjem u studijskim skupinama, sastancima stručnih skupina i plenarnim sjednicama (održanima u listopadu 2024.); </w:t>
            </w:r>
            <w:r>
              <w:rPr>
                <w:b/>
                <w:i/>
              </w:rPr>
              <w:t>pozdravlja tu inicijativu kao pozitivan doprinos uključivom dijalogu i pripremi za buduće proširenje;</w:t>
            </w:r>
            <w:r>
              <w:t xml:space="preserve"> pohvaljuje Odbor za napredak u provedbi plavog plana EU-a, čime pomaže u uvrštavanju otpornosti vodoopskrbe na dnevni red Unije; ističe da je Odbor 2024. nastavio voditi Europsku platformu dionika kružnog gospodarstva i suorganizirao nagrade EU-a za ekološku proizvodnju, jačajući veze s akterima civilnog društva u ekološkoj poljoprivredi; </w:t>
            </w:r>
            <w:r>
              <w:rPr>
                <w:b/>
                <w:i/>
              </w:rPr>
              <w:t>potiče kontinuirano usklađivanje sa strateškim ciljevima politika EU-a i mjerljivim ishodima;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sa zadovoljstvom konstatira da je Odbor pokrenuo nekoliko vodećih inicijativa kojima su se ojačali sudjelovanje, uključenost i učinak politika diljem Unije; napominje da je Odbor od rujna 2024. preuzeo vodeću ulogu u primjeni testa utjecaja politika EU-a na mlade u svojem postupku formiranja mišljenja, kojim je obuhvatio mrežu od 73 organizacije mladih i ispitao oko 40 mišljenja; nadalje napominje da je Odbor proširio svoju suradnju sa zemljama kandidatkinjama u okviru inicijative za članove i članice iz zemalja kandidatkinja za proširenje, čime se 146 predstavnika civilnog društva omogućilo da izravno pridonose mišljenjima Odbora sudjelovanjem u studijskim skupinama, sastancima stručnih skupina i plenarnim sjednicama (održanima u listopadu 2024.); pohvaljuje Odbor za napredak u provedbi plavog plana EU-a, čime pomaže u uvrštavanju otpornosti vodoopskrbe na dnevni red Unije; ističe da je Odbor 2024. nastavio voditi Europsku platformu dionika kružnog gospodarstva i suorganizirao nagrade EU-a za ekološku proizvodnju, jačajući veze s akterima civilnog društva u ekološkoj poljoprivredi;</w:t>
            </w:r>
          </w:p>
        </w:tc>
        <w:tc>
          <w:tcPr>
            <w:tcW w:w="4876" w:type="dxa"/>
            <w:tcBorders>
              <w:top w:val="nil"/>
              <w:left w:val="nil"/>
              <w:bottom w:val="nil"/>
              <w:right w:val="nil"/>
            </w:tcBorders>
          </w:tcPr>
          <w:p>
            <w:pPr>
              <w:pStyle w:val="Normal6a"/>
            </w:pPr>
            <w:r>
              <w:t>16.</w:t>
            </w:r>
            <w:r>
              <w:tab/>
            </w:r>
            <w:r>
              <w:t>sa zadovoljstvom konstatira da je Odbor pokrenuo nekoliko vodećih inicijativa kojima su se ojačali sudjelovanje, uključenost i učinak politika diljem Unije; napominje da je Odbor od rujna 2024. preuzeo vodeću ulogu u primjeni testa utjecaja politika EU-a na mlade u svojem postupku formiranja mišljenja, kojim je obuhvatio mrežu od 73 organizacije mladih i ispitao oko 40 mišljenja</w:t>
            </w:r>
            <w:r>
              <w:rPr>
                <w:b/>
                <w:i/>
              </w:rPr>
              <w:t>;</w:t>
            </w:r>
            <w:r>
              <w:t xml:space="preserve"> </w:t>
            </w:r>
            <w:r>
              <w:rPr>
                <w:b/>
                <w:i/>
              </w:rPr>
              <w:t>pozdravlja i podržava inicijative Odbora usmjerene na jačanje angažmana mladih u postupku oblikovanja politika</w:t>
            </w:r>
            <w:r>
              <w:t>; nadalje napominje da je Odbor proširio svoju suradnju sa zemljama kandidatkinjama u okviru inicijative za članove i članice iz zemalja kandidatkinja za proširenje, čime se 146 predstavnika civilnog društva omogućilo da izravno pridonose mišljenjima Odbora sudjelovanjem u studijskim skupinama, sastancima stručnih skupina i plenarnim sjednicama (održanima u listopadu 2024.); pohvaljuje Odbor za napredak u provedbi plavog plana EU-a, čime pomaže u uvrštavanju otpornosti vodoopskrbe na dnevni red Unije; ističe da je Odbor 2024. nastavio voditi Europsku platformu dionika kružnog gospodarstva i suorganizirao nagrade EU-a za ekološku proizvodnju, jačajući veze s akterima civilnog društva u ekološkoj poljoprivredi;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sa zadovoljstvom prima na znanje mjere Odbora iz Upitnika za smanjenje administrativnog opterećenja i pojednostavnjenje postupaka u 2024.; u tom smislu pozdravlja, među ostalim, pokretanje novog, učinkovitijeg programa za registraciju posjetitelja, činjenicu da dio njegova osoblja upotrebljava kolaborativni softver, međuupravnu radnu skupinu koja upravlja upotrebom metodologije Odbora za upravljanje poslovnim procesima, pojednostavnjenje postupka provjere u pogledu eksternaliziranih prijevoda, spajanje nekoliko jezičnih odjela i pojednostavnjenje komunikacijskih pravila Odbora; </w:t>
            </w:r>
            <w:r>
              <w:rPr>
                <w:b/>
                <w:i/>
              </w:rPr>
              <w:t>sa zanimanjem</w:t>
            </w:r>
            <w:r>
              <w:t xml:space="preserve"> primjećuje da Odbor radi uštede resursa provodi pilot-fazu upotrebe umjetne inteligencije radi preobrazbe Uprave za prevođenje; poziva Odbor da o napretku ostvarenom u tom području obavještava tijelo nadležno za davanje razrješnice;</w:t>
            </w:r>
          </w:p>
        </w:tc>
        <w:tc>
          <w:tcPr>
            <w:tcW w:w="4876" w:type="dxa"/>
            <w:tcBorders>
              <w:top w:val="nil"/>
              <w:left w:val="nil"/>
              <w:bottom w:val="nil"/>
              <w:right w:val="nil"/>
            </w:tcBorders>
          </w:tcPr>
          <w:p>
            <w:pPr>
              <w:pStyle w:val="Normal6a"/>
            </w:pPr>
            <w:r>
              <w:t>17.</w:t>
            </w:r>
            <w:r>
              <w:tab/>
            </w:r>
            <w:r>
              <w:t xml:space="preserve">sa zadovoljstvom prima na znanje mjere Odbora iz Upitnika za smanjenje administrativnog opterećenja i pojednostavnjenje postupaka u 2024.; u tom smislu pozdravlja, među ostalim, pokretanje novog, učinkovitijeg programa za registraciju posjetitelja, činjenicu da dio njegova osoblja upotrebljava kolaborativni softver, međuupravnu radnu skupinu koja upravlja upotrebom metodologije Odbora za upravljanje poslovnim procesima, pojednostavnjenje postupka provjere u pogledu eksternaliziranih prijevoda, spajanje nekoliko jezičnih odjela i pojednostavnjenje komunikacijskih pravila Odbora; primjećuje da Odbor radi uštede resursa provodi pilot-fazu upotrebe umjetne inteligencije radi preobrazbe Uprave za prevođenje; </w:t>
            </w:r>
            <w:r>
              <w:rPr>
                <w:b/>
                <w:i/>
              </w:rPr>
              <w:t>naglašava da se umjetna inteligencija mora upotrebljavati pod ljudskim nadzorom;</w:t>
            </w:r>
            <w:r>
              <w:t xml:space="preserve"> poziva Odbor da o napretku ostvarenom u tom području obavještava tijelo nadležno za davanje razrješnice;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poziva Odbor da poboljša razvoj sveobuhvatne strategije digitalne transformacije, koja bi obuhvaćala umjetnu inteligenciju, automatizaciju, interoperabilnost i upravljanje podacima i bila popraćena etičkim okvirom kojim se osigurava sigurna, odgovorna i transparentna upotreba novih tehnologija;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sa zanimanjem prima na znanje iz Upitnika trud koji Odbor ulaže u usvajanje pristupa s većim strateškim karakterom kako bi dao prednost svojem radu povezanom s učinkom i uveo upravljanje učinkom u središte donošenja odluka; u tom kontekstu prima na znanje organizaciju triju strateških seminara na visokoj razini s političkim vodstvom 2024. i 2025., tijekom kojih su, među ostalim ciljevima, postupci predviđanja bili temelj za razvoj kriterija za određivanje ili ukidanje prioriteta inicijativa i za jamstvo tematske usklađenosti s dugoročnim potrebama civilnog društva; napominje da će taj postupak određivanja prioriteta biti integriran u temeljne aktivnosti Odbora jer će se provoditi svake godine i dopunjavati svake dvije i pol godine preispitivanjem svih tijela, aktivnosti i važnih događanja Odbora;</w:t>
            </w:r>
          </w:p>
        </w:tc>
        <w:tc>
          <w:tcPr>
            <w:tcW w:w="4876" w:type="dxa"/>
            <w:tcBorders>
              <w:top w:val="nil"/>
              <w:left w:val="nil"/>
              <w:bottom w:val="nil"/>
              <w:right w:val="nil"/>
            </w:tcBorders>
          </w:tcPr>
          <w:p>
            <w:pPr>
              <w:pStyle w:val="Normal6a"/>
            </w:pPr>
            <w:r>
              <w:rPr>
                <w:i/>
              </w:rPr>
              <w:t>(Ne odnosi se na hrvatsku verziju.)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prima na znanje, kad je riječ o postupku ispitivanja usklađenosti za 2024., visoku razinu usklađenosti s prosječnom stopom od 85 % (87 % 2023.); žali zbog toga što je učinkovitost sustava unutarnje kontrole pala sa 78 % na 66 %; u tom kontekstu prima na znanje jaz između formalne usklađenosti i praktične djelotvornosti u svakodnevnom poslovanju; </w:t>
            </w:r>
            <w:r>
              <w:rPr>
                <w:b/>
                <w:i/>
              </w:rPr>
              <w:t>napominje da je potrebno uložiti napore u odnosu na</w:t>
            </w:r>
            <w:r>
              <w:t>, među ostalim</w:t>
            </w:r>
            <w:r>
              <w:rPr>
                <w:b/>
                <w:i/>
              </w:rPr>
              <w:t>, unutarnju komunikaciju, angažman u pogledu</w:t>
            </w:r>
            <w:r>
              <w:t xml:space="preserve"> osviještenosti o rizicima </w:t>
            </w:r>
            <w:r>
              <w:rPr>
                <w:b/>
                <w:i/>
              </w:rPr>
              <w:t>i modernizaciju</w:t>
            </w:r>
            <w:r>
              <w:t xml:space="preserve"> sustava za upravljanje dokumentima i informacijama; napominje, nadalje, da je Odbor 2024. donio revidiranu odluku o pojednostavnjenju 23 vrste provjera, koja se primjenjuje od siječnja 2025.; pozdravlja činjenicu da su u Upitniku ex post kontrole koje su već provedene u pogledu tih provjera potvrdile da pojednostavnjenje nije uzrokovalo dodatne rizike;</w:t>
            </w:r>
          </w:p>
        </w:tc>
        <w:tc>
          <w:tcPr>
            <w:tcW w:w="4876" w:type="dxa"/>
            <w:tcBorders>
              <w:top w:val="nil"/>
              <w:left w:val="nil"/>
              <w:bottom w:val="nil"/>
              <w:right w:val="nil"/>
            </w:tcBorders>
          </w:tcPr>
          <w:p>
            <w:pPr>
              <w:pStyle w:val="Normal6a"/>
            </w:pPr>
            <w:r>
              <w:t>19.</w:t>
            </w:r>
            <w:r>
              <w:tab/>
            </w:r>
            <w:r>
              <w:t xml:space="preserve">prima na znanje, kad je riječ o postupku ispitivanja usklađenosti za 2024., visoku razinu usklađenosti s prosječnom stopom od 85 % (87 % 2023.); žali zbog toga što je učinkovitost sustava unutarnje kontrole pala sa 78 % na 66 %; u tom kontekstu prima na znanje jaz između formalne usklađenosti i praktične djelotvornosti u svakodnevnom poslovanju; </w:t>
            </w:r>
            <w:r>
              <w:rPr>
                <w:b/>
                <w:i/>
              </w:rPr>
              <w:t>poziva Odbor da riješi strukturne uzroke smanjenja učinkovitosti unutarnjih kontrola</w:t>
            </w:r>
            <w:r>
              <w:t xml:space="preserve">, </w:t>
            </w:r>
            <w:r>
              <w:rPr>
                <w:b/>
                <w:i/>
              </w:rPr>
              <w:t>posebno - i</w:t>
            </w:r>
            <w:r>
              <w:t xml:space="preserve"> među ostalim</w:t>
            </w:r>
            <w:r>
              <w:rPr>
                <w:b/>
                <w:i/>
              </w:rPr>
              <w:t> - jačanjem kulture</w:t>
            </w:r>
            <w:r>
              <w:t xml:space="preserve"> osviještenosti o rizicima</w:t>
            </w:r>
            <w:r>
              <w:rPr>
                <w:b/>
                <w:i/>
              </w:rPr>
              <w:t>, poboljšanjem kanala za unutarnju komunikaciju i ubrzavanjem modernizacije</w:t>
            </w:r>
            <w:r>
              <w:t xml:space="preserve"> sustava za upravljanje dokumentima i informacijama; napominje, nadalje, da je Odbor 2024. donio revidiranu odluku o pojednostavnjenju 23 vrste provjera, koja se primjenjuje od siječnja 2025.; pozdravlja činjenicu da su u Upitniku ex post kontrole koje su već provedene u pogledu tih provjera potvrdile da pojednostavnjenje nije uzrokovalo dodatne rizike;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prima na znanje, kad je riječ o postupku ispitivanja usklađenosti za 2024., visoku razinu usklađenosti s prosječnom stopom od 85 % (87 % 2023.); žali zbog toga što je učinkovitost sustava unutarnje kontrole pala sa 78 % na 66 %; u tom kontekstu prima na znanje jaz između formalne usklađenosti i praktične djelotvornosti u svakodnevnom poslovanju; napominje da je potrebno uložiti napore u odnosu na, među ostalim, unutarnju komunikaciju, angažman u pogledu osviještenosti o rizicima i modernizaciju sustava za upravljanje dokumentima i informacijama; napominje, nadalje, da je Odbor 2024. donio revidiranu odluku o pojednostavnjenju 23 vrste provjera, koja se primjenjuje od siječnja 2025.; pozdravlja činjenicu da su u Upitniku ex post kontrole koje su već provedene u pogledu tih provjera potvrdile da pojednostavnjenje nije uzrokovalo dodatne rizike;</w:t>
            </w:r>
          </w:p>
        </w:tc>
        <w:tc>
          <w:tcPr>
            <w:tcW w:w="4876" w:type="dxa"/>
            <w:tcBorders>
              <w:top w:val="nil"/>
              <w:left w:val="nil"/>
              <w:bottom w:val="nil"/>
              <w:right w:val="nil"/>
            </w:tcBorders>
          </w:tcPr>
          <w:p>
            <w:pPr>
              <w:pStyle w:val="Normal6a"/>
            </w:pPr>
            <w:r>
              <w:rPr>
                <w:i/>
              </w:rPr>
              <w:t>(Ne odnosi se na hrvatsku verziju.)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prima na znanje godišnje izvješće o radu Odbora za 2024. („izvješće Odbora”), prema kojemu je 2024. provedeno pet novih revizija naknada za trajanje putovanja i udaljenost, upravljanja rizicima, zahtjeva za mišljenje, ključnih pokazatelja aktivnosti i uspješnosti te putnih troškova, što je dovelo do ukupno 14 preporuka; posebno prima na znanje zaključke unutarnjeg revizora u pogledu naknada za trajanje putovanja i udaljenost, kao što su nedostatak jasne definicije „uobičajenog boravišta” i nedostatak zahtjeva za popratnu dokumentaciju; nadalje, napominje da je krajem siječnja 2025. ostalo otvoreno 13 preporuka; nadalje, napominje da je sedam preporuka iz prethodnih revizija još uvijek otvoreno, posebno o etici i integritetu, rokovima plaćanja, odobrenjima za sastanke, delegatima Savjetodavnog povjerenstva za industrijske promjene (CCMI) i strateškom ciklusu; u tom kontekstu pozdravlja činjenicu da je Odbor donio nova pravila o odobravanju sastanaka, naknadama i povratu troškova; poziva Odbor da nastavi obavještavati tijelo nadležno za davanje razrješnice o napretku postignutom u provedbi svih aktualnih preporuka;</w:t>
            </w:r>
          </w:p>
        </w:tc>
        <w:tc>
          <w:tcPr>
            <w:tcW w:w="4876" w:type="dxa"/>
            <w:tcBorders>
              <w:top w:val="nil"/>
              <w:left w:val="nil"/>
              <w:bottom w:val="nil"/>
              <w:right w:val="nil"/>
            </w:tcBorders>
          </w:tcPr>
          <w:p>
            <w:pPr>
              <w:pStyle w:val="Normal6a"/>
            </w:pPr>
            <w:r>
              <w:t>20.</w:t>
            </w:r>
            <w:r>
              <w:tab/>
            </w:r>
            <w:r>
              <w:t xml:space="preserve">prima na znanje godišnje izvješće o radu Odbora za 2024. („izvješće Odbora”), prema kojemu je 2024. provedeno pet novih revizija naknada za trajanje putovanja i udaljenost, upravljanja rizicima, zahtjeva za mišljenje, ključnih pokazatelja aktivnosti i uspješnosti te putnih troškova, što je dovelo do ukupno 14 preporuka; posebno prima na znanje zaključke unutarnjeg revizora u pogledu naknada za trajanje putovanja i udaljenost, kao što su nedostatak jasne definicije „uobičajenog boravišta” i nedostatak zahtjeva za popratnu dokumentaciju; nadalje, napominje da je krajem siječnja 2025. ostalo otvoreno 13 preporuka; nadalje, napominje da je sedam preporuka iz prethodnih revizija još uvijek otvoreno, posebno o etici i integritetu, rokovima plaćanja, odobrenjima za sastanke, delegatima Savjetodavnog povjerenstva za industrijske promjene (CCMI) i strateškom ciklusu; u tom kontekstu pozdravlja činjenicu da je Odbor donio nova pravila o odobravanju sastanaka, naknadama i povratu troškova; poziva Odbor da </w:t>
            </w:r>
            <w:r>
              <w:rPr>
                <w:b/>
                <w:i/>
              </w:rPr>
              <w:t>osigura brzo zaključenje svih preostalih revizijskih preporuka, posebno onih koje se odnose na naknade, etiku i integritet, te da</w:t>
            </w:r>
            <w:r>
              <w:t xml:space="preserve"> nastavi obavještavati tijelo nadležno za davanje razrješnice o napretku postignutom u provedbi svih aktualnih preporuka;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20.a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ističe važnost javne nabave kao alata za promicanje ciljeva politike, uključujući socijalne i okolišne ciljeve;</w:t>
            </w:r>
            <w:r>
              <w:t xml:space="preserve"> </w:t>
            </w:r>
            <w:r>
              <w:rPr>
                <w:b/>
                <w:i/>
              </w:rPr>
              <w:t>poziva Odbor da poboljša integraciju strateških kriterija u pogledu društvene odgovornosti i okolišne održivosti u svoje postupke javne nabave;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konstatira da je na kraju 2024. Odbor zapošljavao 713 članova osoblja, u usporedbi sa 707 članova osoblja 2023.; nadalje napominje da je 2024. bilo zaposleno 48 ugovornih djelatnika i 144 privremenih djelatnika (od kojih je 42 zaposleno 2024.), u usporedbi s 49 ugovornih djelatnika i 130 privremenih djelatnika 2023.; naglašava važnost </w:t>
            </w:r>
            <w:r>
              <w:rPr>
                <w:b/>
                <w:i/>
              </w:rPr>
              <w:t>omogućivanja</w:t>
            </w:r>
            <w:r>
              <w:t xml:space="preserve"> ugovora na neodređeno vrijeme kako bi se </w:t>
            </w:r>
            <w:r>
              <w:rPr>
                <w:b/>
                <w:i/>
              </w:rPr>
              <w:t>održale</w:t>
            </w:r>
            <w:r>
              <w:t xml:space="preserve"> vještine, kontinuitet i produktivno radno okruženje; osim toga, napominje da je Odbor zapošljavao 10 pružatelja usluga i 14 vanjskih djelatnika koji su radili intra muros, ne uključujući one u području pripreme i dostave hrane, održavanja, sigurnosti i zaštite; prima na znanje da je stopa popunjenosti radnih mjesta iznosila 96 % (95,50 % 2023.) i da je stopa fluktuacije osoblja 2024. iznosila 5,60 % (smanjenje u odnosu na 7 % 2023.);</w:t>
            </w:r>
          </w:p>
        </w:tc>
        <w:tc>
          <w:tcPr>
            <w:tcW w:w="4876" w:type="dxa"/>
            <w:tcBorders>
              <w:top w:val="nil"/>
              <w:left w:val="nil"/>
              <w:bottom w:val="nil"/>
              <w:right w:val="nil"/>
            </w:tcBorders>
          </w:tcPr>
          <w:p>
            <w:pPr>
              <w:pStyle w:val="Normal6a"/>
            </w:pPr>
            <w:r>
              <w:t>21.</w:t>
            </w:r>
            <w:r>
              <w:tab/>
            </w:r>
            <w:r>
              <w:t xml:space="preserve">konstatira da je na kraju 2024. Odbor zapošljavao 713 članova osoblja, u usporedbi sa 707 članova osoblja 2023.; nadalje napominje da je 2024. bilo zaposleno 48 ugovornih djelatnika i 144 privremenih djelatnika (od kojih je 42 zaposleno 2024.), u usporedbi s 49 ugovornih djelatnika i 130 privremenih djelatnika 2023.; naglašava važnost </w:t>
            </w:r>
            <w:r>
              <w:rPr>
                <w:b/>
                <w:i/>
              </w:rPr>
              <w:t>osiguravanja</w:t>
            </w:r>
            <w:r>
              <w:t xml:space="preserve"> ugovora na neodređeno vrijeme kako bi se </w:t>
            </w:r>
            <w:r>
              <w:rPr>
                <w:b/>
                <w:i/>
              </w:rPr>
              <w:t>zadržali</w:t>
            </w:r>
            <w:r>
              <w:t xml:space="preserve"> vještine, kontinuitet i produktivno </w:t>
            </w:r>
            <w:r>
              <w:rPr>
                <w:b/>
                <w:i/>
              </w:rPr>
              <w:t>i stabilno</w:t>
            </w:r>
            <w:r>
              <w:t xml:space="preserve"> radno okruženje </w:t>
            </w:r>
            <w:r>
              <w:rPr>
                <w:b/>
                <w:i/>
              </w:rPr>
              <w:t>te upozorava na prekomjerno oslanjanje na vanjske pružatelje usluga</w:t>
            </w:r>
            <w:r>
              <w:t>; osim toga, napominje da je Odbor zapošljavao 10 pružatelja usluga i 14 vanjskih djelatnika koji su radili intra muros, ne uključujući one u području pripreme i dostave hrane, održavanja, sigurnosti i zaštite; prima na znanje da je stopa popunjenosti radnih mjesta iznosila 96 % (95,50 % 2023.) i da je stopa fluktuacije osoblja 2024. iznosila 5,60 % (smanjenje u odnosu na 7 %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napominje da su 2024. među osobljem koje je Odbor zapošljavao bile zastupljene sve nacionalnosti EU-a, pri čemu su neke od njih bile prekomjerno zastupljene; napominje da su 62,70 % osoblja činile žene, a 37,30 % muškarci; prima na znanje iz izvješća o daljnjim mjerama da žene drže 52 % rukovodećih položaja, što Odbor čini predvodnikom u tom pogledu; žali, međutim, zbog toga što je postotak žena u višem rukovodstvu 2024. ostao nizak, pri čemu su žene trenutačno na samo dva od sedam viših rukovodećih položaja, što je isto kao i 2023.; </w:t>
            </w:r>
            <w:r>
              <w:rPr>
                <w:b/>
                <w:i/>
              </w:rPr>
              <w:t>potvrđuje da je niska stopa fluktuacije svojstvena veličini Odbora jedan od razloga niskog udjela žena na tim položajima;</w:t>
            </w:r>
            <w:r>
              <w:t xml:space="preserve"> </w:t>
            </w:r>
            <w:r>
              <w:rPr>
                <w:b/>
                <w:i/>
              </w:rPr>
              <w:t>pozdravlja predanost Odbora podizanju razine informiranosti o tom pitanju među tijelima za imenovanje, promicanju rodno uravnoteženih imenovanja i sudjelovanju u ciljanim mjerama putem Foruma žena i Foruma za upravljanje kojima se podupire razvoj vodstva i napredak u karijeri žena koje su na srednjoj razini rukovodstva;</w:t>
            </w:r>
          </w:p>
        </w:tc>
        <w:tc>
          <w:tcPr>
            <w:tcW w:w="4876" w:type="dxa"/>
            <w:tcBorders>
              <w:top w:val="nil"/>
              <w:left w:val="nil"/>
              <w:bottom w:val="nil"/>
              <w:right w:val="nil"/>
            </w:tcBorders>
          </w:tcPr>
          <w:p>
            <w:pPr>
              <w:pStyle w:val="Normal6a"/>
            </w:pPr>
            <w:r>
              <w:t>24.</w:t>
            </w:r>
            <w:r>
              <w:tab/>
            </w:r>
            <w:r>
              <w:t>napominje da su 2024. među osobljem koje je Odbor zapošljavao bile zastupljene sve nacionalnosti EU-a, pri čemu su neke od njih bile prekomjerno zastupljene; napominje da su 62,70 % osoblja činile žene, a 37,30 % muškarci; prima na znanje iz izvješća o daljnjim mjerama da žene drže 52 % rukovodećih položaja, što Odbor čini predvodnikom u tom pogledu; žali, međutim, zbog toga što je postotak žena u višem rukovodstvu 2024. ostao nizak, pri čemu su žene trenutačno na samo dva od sedam viših rukovodećih položaja, što je isto kao i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napominje da su 2024. među osobljem koje je Odbor zapošljavao bile zastupljene sve nacionalnosti EU-a, pri čemu su neke od njih bile prekomjerno zastupljene; napominje da su 62,70 % osoblja činile žene, a 37,30 % muškarci; prima na znanje iz izvješća o daljnjim mjerama da žene drže 52 % rukovodećih položaja, što Odbor čini predvodnikom u tom pogledu; žali, međutim, zbog toga što je postotak žena u višem rukovodstvu 2024. ostao nizak, pri čemu su žene trenutačno na samo dva od sedam viših rukovodećih položaja, što je isto kao i 2023.; potvrđuje da je niska stopa fluktuacije svojstvena veličini Odbora jedan od razloga niskog udjela žena na tim položajima; pozdravlja predanost Odbora podizanju razine informiranosti o tom pitanju među tijelima za imenovanje, promicanju rodno uravnoteženih imenovanja i sudjelovanju u ciljanim mjerama putem Foruma žena i Foruma za upravljanje kojima se podupire razvoj vodstva i napredak u karijeri žena koje su na srednjoj razini rukovodstva;</w:t>
            </w:r>
          </w:p>
        </w:tc>
        <w:tc>
          <w:tcPr>
            <w:tcW w:w="4876" w:type="dxa"/>
            <w:tcBorders>
              <w:top w:val="nil"/>
              <w:left w:val="nil"/>
              <w:bottom w:val="nil"/>
              <w:right w:val="nil"/>
            </w:tcBorders>
          </w:tcPr>
          <w:p>
            <w:pPr>
              <w:pStyle w:val="Normal6a"/>
            </w:pPr>
            <w:r>
              <w:t>24.</w:t>
            </w:r>
            <w:r>
              <w:tab/>
            </w:r>
            <w:r>
              <w:t xml:space="preserve">napominje da su 2024. među osobljem koje je Odbor zapošljavao bile zastupljene sve nacionalnosti EU-a, pri čemu su neke od njih bile prekomjerno zastupljene; napominje da su 62,70 % osoblja činile žene, a 37,30 % muškarci; prima na znanje iz izvješća o daljnjim mjerama da žene drže 52 % rukovodećih položaja, što Odbor čini predvodnikom u tom pogledu; žali, međutim, zbog toga što je postotak žena u višem rukovodstvu 2024. ostao nizak, pri čemu su žene trenutačno na samo dva od sedam viših rukovodećih položaja, što je isto kao i 2023.; </w:t>
            </w:r>
            <w:r>
              <w:rPr>
                <w:b/>
                <w:i/>
              </w:rPr>
              <w:t>prima na znanje nedavno ostvaren napredak u uključivanju rodne ravnopravnosti i raznolikosti među strateške prioritete za poticanje uključive kulture na radnom mjestu koja se temelji na poštovanju;</w:t>
            </w:r>
            <w:r>
              <w:t xml:space="preserve"> </w:t>
            </w:r>
            <w:r>
              <w:rPr>
                <w:b/>
                <w:i/>
              </w:rPr>
              <w:t>pozdravlja provedbu strategije i akcijskog plana za raznolikost i inkluziju, zajedno s ciljanim programima mentorstva i razvoja vodstva za žene i nedovoljno zastupljene skupine;</w:t>
            </w:r>
            <w:r>
              <w:t xml:space="preserve"> potvrđuje da je niska stopa fluktuacije svojstvena veličini Odbora jedan od razloga niskog udjela žena na tim položajima; pozdravlja predanost Odbora podizanju razine informiranosti o tom pitanju među tijelima za imenovanje, promicanju rodno uravnoteženih imenovanja i sudjelovanju u ciljanim mjerama putem Foruma žena i Foruma za upravljanje kojima se podupire razvoj vodstva i napredak u karijeri žena koje su na srednjoj razini rukovodstva;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napominje da su 2024. među osobljem koje je Odbor zapošljavao bile zastupljene sve nacionalnosti EU-a, pri čemu su neke od njih bile prekomjerno zastupljene; napominje da su 62,70 % osoblja činile žene, a 37,30 % muškarci; prima na znanje iz izvješća o daljnjim mjerama da žene drže 52 % rukovodećih položaja, što Odbor čini predvodnikom u tom pogledu; žali, međutim, zbog toga što je postotak žena u višem rukovodstvu 2024. ostao nizak, pri čemu su žene trenutačno na samo dva od sedam viših rukovodećih položaja, što je isto kao i 2023.; potvrđuje da je niska stopa fluktuacije svojstvena veličini Odbora jedan od razloga niskog udjela žena na tim položajima; pozdravlja predanost Odbora podizanju razine informiranosti o tom pitanju među tijelima za imenovanje, promicanju rodno uravnoteženih imenovanja i sudjelovanju u ciljanim mjerama putem Foruma žena i Foruma za upravljanje kojima se podupire razvoj vodstva i napredak u karijeri žena koje su na srednjoj razini rukovodstva;</w:t>
            </w:r>
          </w:p>
        </w:tc>
        <w:tc>
          <w:tcPr>
            <w:tcW w:w="4876" w:type="dxa"/>
            <w:tcBorders>
              <w:top w:val="nil"/>
              <w:left w:val="nil"/>
              <w:bottom w:val="nil"/>
              <w:right w:val="nil"/>
            </w:tcBorders>
          </w:tcPr>
          <w:p>
            <w:pPr>
              <w:pStyle w:val="Normal6a"/>
            </w:pPr>
            <w:r>
              <w:t>24.</w:t>
            </w:r>
            <w:r>
              <w:tab/>
            </w:r>
            <w:r>
              <w:t xml:space="preserve">napominje da su 2024. među osobljem koje je Odbor zapošljavao bile zastupljene sve nacionalnosti EU-a, pri čemu su neke od njih bile prekomjerno zastupljene; napominje da su 62,70 % osoblja činile žene, a 37,30 % muškarci; </w:t>
            </w:r>
            <w:r>
              <w:rPr>
                <w:b/>
                <w:i/>
              </w:rPr>
              <w:t>sa zadovoljstvom</w:t>
            </w:r>
            <w:r>
              <w:t xml:space="preserve"> prima na znanje iz izvješća o daljnjim mjerama da žene drže 52 % rukovodećih položaja, što Odbor čini predvodnikom u tom pogledu</w:t>
            </w:r>
            <w:r>
              <w:rPr>
                <w:b/>
                <w:i/>
              </w:rPr>
              <w:t>;</w:t>
            </w:r>
            <w:r>
              <w:t xml:space="preserve"> </w:t>
            </w:r>
            <w:r>
              <w:rPr>
                <w:b/>
                <w:i/>
              </w:rPr>
              <w:t>iznova pozdravlja imenovanje glavne tajnice u siječnju 2024. kao pozitivan pomak prema postizanju rodne ravnoteže</w:t>
            </w:r>
            <w:r>
              <w:t>; žali, međutim, zbog toga što je postotak žena u višem rukovodstvu 2024. ostao nizak, pri čemu su žene trenutačno na samo dva od sedam viših rukovodećih položaja, što je isto kao i 2023.; potvrđuje da je niska stopa fluktuacije svojstvena veličini Odbora jedan od razloga niskog udjela žena na tim položajima; pozdravlja predanost Odbora podizanju razine informiranosti o tom pitanju među tijelima za imenovanje, promicanju rodno uravnoteženih imenovanja i sudjelovanju u ciljanim mjerama putem Foruma žena i Foruma za upravljanje kojima se podupire razvoj vodstva i napredak u karijeri žena koje su na srednjoj razini rukovodstva;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podsjeća na inicijativu Odbora da uvede novi pristup strateškom planiranju radne snage i raspodjeli osoblja, koristeći se prikupljanjem podataka o vještinama osoblja, aktivnim slušanjem u cijeloj organizaciji i promišljanjima političkih tijela Odbora o strateškim prioritetima; prima na znanje iz izvješća o daljnjim mjerama da će ta nova vrsta planiranja započeti pilot-projektom u ograničenom broju usluga odabranih na temelju strateških prioriteta; poziva Odbor da obavješćuje tijelo nadležno za davanje razrješnice o napretku i daljnjem razvoju događaja;</w:t>
            </w:r>
          </w:p>
        </w:tc>
        <w:tc>
          <w:tcPr>
            <w:tcW w:w="4876" w:type="dxa"/>
            <w:tcBorders>
              <w:top w:val="nil"/>
              <w:left w:val="nil"/>
              <w:bottom w:val="nil"/>
              <w:right w:val="nil"/>
            </w:tcBorders>
          </w:tcPr>
          <w:p>
            <w:pPr>
              <w:pStyle w:val="Normal6a"/>
            </w:pPr>
            <w:r>
              <w:t>25.</w:t>
            </w:r>
            <w:r>
              <w:tab/>
            </w:r>
            <w:r>
              <w:t xml:space="preserve">podsjeća na inicijativu Odbora da uvede novi pristup strateškom planiranju radne snage i raspodjeli osoblja, koristeći se prikupljanjem podataka o vještinama osoblja, aktivnim slušanjem u cijeloj organizaciji i promišljanjima političkih tijela Odbora o strateškim prioritetima; prima na znanje iz izvješća o daljnjim mjerama da će ta nova vrsta planiranja započeti pilot-projektom u ograničenom broju usluga odabranih na temelju strateških prioriteta; poziva Odbor da obavješćuje tijelo nadležno za davanje razrješnice o napretku i daljnjem razvoju događaja; </w:t>
            </w:r>
            <w:r>
              <w:rPr>
                <w:b/>
                <w:i/>
              </w:rPr>
              <w:t>naglašava važnost strateškog planiranja radne snage kako bi se optimizirala dodjela resursa i osigurala usklađenost s prioritetima na visokoj razini;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pozdravlja napore Odbora da stvori zdravo radno okruženje za svoje osoblje; posebno pohvaljuje pozornost koju Odbor posvećuje mentalnom i fizičkom zdravlju osoblja te njegova nastojanja povezana s podizanjem razine informiranosti o zdravstvenim pitanjima; prima na znanje mjere Odbora za upravljanje bolovanjem, kao što su rad na nepuno radno vrijeme i produljeni rad na daljinu iz zdravstvenih razloga, kako bi se omogućilo da se osoblje koje je zbog bolesti dugotrajno odsutno s posla pravodobno vrati na posao; prima na znanje smanjenje ukupnog broja prijavljenih dana bolovanja za 7,50 %, s </w:t>
            </w:r>
            <w:r>
              <w:rPr>
                <w:b/>
                <w:i/>
              </w:rPr>
              <w:t>10 552</w:t>
            </w:r>
            <w:r>
              <w:t xml:space="preserve"> dana 2023. na </w:t>
            </w:r>
            <w:r>
              <w:rPr>
                <w:b/>
                <w:i/>
              </w:rPr>
              <w:t>9 763</w:t>
            </w:r>
            <w:r>
              <w:t xml:space="preserve"> dana 2024., kao i smanjenje stope odsutnosti s 4,08 % 2023. na 3,75 % 2023. (najniža razina od 2021.); žali zbog toga što Odbor ponovno nije u mogućnosti pružiti podatke o slučajevima sindroma izgaranja; među argumentima Odbora primjećuje nedostatak obveze osoblja da unaprijed dijeli medicinske podatke, da sindrom izgaranja nije priznata medicinska dijagnoza i da razlozi za sindrom izgaranja možda nisu povezani s poslom, kao i liječničku tajnu; napominje da Odbor prikuplja anonimizirane statističke podatke o slučajevima povezanima s mentalnim zdravljem, ali dostupni podaci ne omogućuju razlikovanje izgaranja na poslu od drugih uzroka koji nisu povezani s poslom; međutim, ističe da se sindrom izgaranja može mjeriti i bez medicinskih podataka, budući da postoje alati za procjenu sindroma izgaranja na poslu koji se mogu upotrebljavati, a Europska agencija za sigurnost i zdravlje na radu (EU-OSHA) podržava anonimne upitnike za mjerenje stresa povezanog s radom i čimbenika izgaranja na poslu odvojeno od problema s mentalnim zdravljem koji nisu povezani s radom; potiče Odbor da se savjetuje i s Europskim nadzornikom za zaštitu podataka (EDPS) u pogledu prikupljanja podataka o sindromu izgaranja s pomoću medicinskih ili nemedicinskih alata te da obavješćuje tijelo nadležno za davanje razrješnice o daljnjim mjerama;</w:t>
            </w:r>
          </w:p>
        </w:tc>
        <w:tc>
          <w:tcPr>
            <w:tcW w:w="4876" w:type="dxa"/>
            <w:tcBorders>
              <w:top w:val="nil"/>
              <w:left w:val="nil"/>
              <w:bottom w:val="nil"/>
              <w:right w:val="nil"/>
            </w:tcBorders>
          </w:tcPr>
          <w:p>
            <w:pPr>
              <w:pStyle w:val="Normal6a"/>
            </w:pPr>
            <w:r>
              <w:t>26.</w:t>
            </w:r>
            <w:r>
              <w:tab/>
            </w:r>
            <w:r>
              <w:t xml:space="preserve">pozdravlja napore Odbora da stvori zdravo radno okruženje za svoje osoblje; posebno pohvaljuje pozornost koju Odbor posvećuje mentalnom i fizičkom zdravlju osoblja te njegova nastojanja povezana s podizanjem razine informiranosti o zdravstvenim pitanjima; prima na znanje mjere Odbora za upravljanje bolovanjem, kao što su rad na nepuno radno vrijeme i produljeni rad na daljinu iz zdravstvenih razloga, kako bi se omogućilo da se osoblje koje je zbog bolesti dugotrajno odsutno s posla pravodobno vrati na posao; prima na znanje smanjenje ukupnog broja prijavljenih dana bolovanja za 7,50 %, s </w:t>
            </w:r>
            <w:r>
              <w:rPr>
                <w:b/>
                <w:i/>
              </w:rPr>
              <w:t>10 552</w:t>
            </w:r>
            <w:r>
              <w:t xml:space="preserve"> dana 2023. na </w:t>
            </w:r>
            <w:r>
              <w:rPr>
                <w:b/>
                <w:i/>
              </w:rPr>
              <w:t>9 763</w:t>
            </w:r>
            <w:r>
              <w:t> dana 2024., kao i smanjenje stope odsutnosti s 4,08 % 2023. na 3,75 % 2023. (najniža razina od 2021.); žali zbog toga što Odbor ponovno nije u mogućnosti pružiti podatke o slučajevima sindroma izgaranja; među argumentima Odbora primjećuje nedostatak obveze osoblja da unaprijed dijeli medicinske podatke, da sindrom izgaranja nije priznata medicinska dijagnoza i da razlozi za sindrom izgaranja možda nisu povezani s poslom, kao i liječničku tajnu; napominje da Odbor prikuplja anonimizirane statističke podatke o slučajevima povezanima s mentalnim zdravljem, ali dostupni podaci ne omogućuju razlikovanje izgaranja na poslu od drugih uzroka koji nisu povezani s poslom; međutim, ističe da se sindrom izgaranja može mjeriti i bez medicinskih podataka, budući da postoje alati za procjenu sindroma izgaranja na poslu koji se mogu upotrebljavati, a Europska agencija za sigurnost i zdravlje na radu (EU-OSHA) podržava anonimne upitnike za mjerenje stresa povezanog s radom i čimbenika izgaranja na poslu odvojeno od problema s mentalnim zdravljem koji nisu povezani s radom; potiče Odbor da se savjetuje i s Europskim nadzornikom za zaštitu podataka (EDPS) u pogledu prikupljanja podataka o sindromu izgaranja s pomoću medicinskih ili nemedicinskih alata</w:t>
            </w:r>
            <w:r>
              <w:rPr>
                <w:b/>
                <w:i/>
              </w:rPr>
              <w:t>, da poduzme konkretne i odlučne korake kako bi se osiguralo sustavno objavljivanje podataka o slučajevima sindroma izgaranja na poslu</w:t>
            </w:r>
            <w:r>
              <w:t xml:space="preserve"> te da obavješćuje tijelo nadležno za davanje razrješnice o daljnjim mjerama;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28.a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pozdravlja snažan i strukturiran socijalni dijalog u procesima organizacijskih promjena tijekom 2024.;</w:t>
            </w:r>
            <w:r>
              <w:t xml:space="preserve"> </w:t>
            </w:r>
            <w:r>
              <w:rPr>
                <w:b/>
                <w:i/>
              </w:rPr>
              <w:t>potiče Odbor da zadrži i dodatno ojača sustavno sudjelovanje predstavnika osoblja u reformama koje se, među ostalim, odnose na digitalizaciju, unutarnju reorganizaciju i nove metode rada;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prima na znanje iz Upitnika da su 2024. prijavljena dva slučaja navodnog uznemiravanja, koji su istraženi i zaključeni 2025., dok u jednom slučaju nije bilo zaključka o uznemiravanju, a u drugom je prihvaćena službena isprika zbog neprimjerenog ponašanja dotične osobe; nadalje napominje da je donesena odluka o još jednom predmetu, podnesenom prije 2024., o uznemiravanju povezanom sa stegovnim postupkom; nadalje napominje da 2024. nije bilo prijavljenih slučajeva seksualnog uznemiravanja;</w:t>
            </w:r>
          </w:p>
        </w:tc>
        <w:tc>
          <w:tcPr>
            <w:tcW w:w="4876" w:type="dxa"/>
            <w:tcBorders>
              <w:top w:val="nil"/>
              <w:left w:val="nil"/>
              <w:bottom w:val="nil"/>
              <w:right w:val="nil"/>
            </w:tcBorders>
          </w:tcPr>
          <w:p>
            <w:pPr>
              <w:pStyle w:val="Normal6a"/>
            </w:pPr>
            <w:r>
              <w:t>31.</w:t>
            </w:r>
            <w:r>
              <w:tab/>
            </w:r>
            <w:r>
              <w:t xml:space="preserve">prima na znanje iz Upitnika da su 2024. prijavljena dva slučaja navodnog uznemiravanja, koji su istraženi i zaključeni 2025., dok u jednom slučaju nije bilo zaključka o uznemiravanju, a u drugom je prihvaćena službena isprika zbog neprimjerenog ponašanja dotične osobe; nadalje napominje da je donesena odluka o još jednom predmetu, podnesenom prije 2024., o uznemiravanju povezanom sa stegovnim postupkom; nadalje napominje da 2024. nije bilo prijavljenih slučajeva seksualnog uznemiravanja; </w:t>
            </w:r>
            <w:r>
              <w:rPr>
                <w:b/>
                <w:i/>
              </w:rPr>
              <w:t>ponavlja potrebu za politikom nulte tolerancije prema uznemiravanju kako bi se osigurala zaštita dobrobiti osoblja i podsjeća da je to obveza svakog poslodavca;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napominje da je Odbor predvodnik u pogledu transparentnosti, kao prvo tijelo koje se, osim prvotnih potpisnika, pridružilo registru transparentnosti Unije; pozdravlja mjere transparentnosti koje je donio Odbor, uključujući preporuku da se članovi Odbora sastaju samo s registriranim dionicima, obvezu njegovih članova da svoje sastanke objavljuju na internetu i mogućnost da izvjestitelji Odbora svojim mišljenjima prilože „zakonodavni otisak”, među ostalim putem pilot-projekta pokrenutog 2025.; napominje da su mišljenja Odbora do sada vidljiva kao ključne etape u zakonodavnim predmetima u EULT-u; nadalje, sa zadovoljstvom prima na znanje iz Upitnika mjere Odbora za transparentnost u pogledu njegovih temeljnih administrativnih aktivnosti u područjima kao što su financije, nabava, ljudski resursi i pristup dokumentima;</w:t>
            </w:r>
          </w:p>
        </w:tc>
        <w:tc>
          <w:tcPr>
            <w:tcW w:w="4876" w:type="dxa"/>
            <w:tcBorders>
              <w:top w:val="nil"/>
              <w:left w:val="nil"/>
              <w:bottom w:val="nil"/>
              <w:right w:val="nil"/>
            </w:tcBorders>
          </w:tcPr>
          <w:p>
            <w:pPr>
              <w:pStyle w:val="Normal6a"/>
            </w:pPr>
            <w:r>
              <w:t>33.</w:t>
            </w:r>
            <w:r>
              <w:tab/>
            </w:r>
            <w:r>
              <w:rPr>
                <w:b/>
                <w:i/>
              </w:rPr>
              <w:t>sa zadovoljstvom</w:t>
            </w:r>
            <w:r>
              <w:t xml:space="preserve"> napominje da je Odbor predvodnik u pogledu transparentnosti, kao prvo tijelo koje se, osim prvotnih potpisnika, pridružilo registru transparentnosti Unije; pozdravlja mjere transparentnosti koje je donio Odbor, uključujući preporuku da se članovi Odbora sastaju samo s registriranim dionicima, obvezu njegovih članova da svoje sastanke objavljuju na internetu i mogućnost da izvjestitelji Odbora svojim mišljenjima prilože „zakonodavni otisak”, među ostalim putem pilot-projekta pokrenutog 2025.; napominje da su mišljenja Odbora do sada vidljiva kao ključne etape u zakonodavnim predmetima u EULT-u; nadalje, sa zadovoljstvom prima na znanje iz Upitnika mjere Odbora za transparentnost u pogledu njegovih temeljnih administrativnih aktivnosti u područjima kao što su financije, nabava, ljudski resursi i pristup dokumentima;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prima na znanje iz Upitnika da je Odbor izradio strategiju za borbu protiv prijevara koja je podnesena na savjetovanje među službama i postupak donošenja; poziva Odbor da o daljnjem postupanju obavijesti tijelo nadležno za davanje razrješnice; pozdravlja činjenicu da je Odbor organizirao dva tečaja osposobljavanja, koje je održalo osoblje OLAF-a, o informiranosti o prijevarama i sprečavanju prijevara u nabavi, na kojima je sudjelovao 21 sudionik, te jedan sastanak za podizanje razine informiranosti organiziran u suradnji s EPPO-om kako bi se osoblje Odbora upoznalo s mandatom EPPO-a i pružile smjernice o tome kako prijaviti potencijalne slučajeve EPPO-u;</w:t>
            </w:r>
          </w:p>
        </w:tc>
        <w:tc>
          <w:tcPr>
            <w:tcW w:w="4876" w:type="dxa"/>
            <w:tcBorders>
              <w:top w:val="nil"/>
              <w:left w:val="nil"/>
              <w:bottom w:val="nil"/>
              <w:right w:val="nil"/>
            </w:tcBorders>
          </w:tcPr>
          <w:p>
            <w:pPr>
              <w:pStyle w:val="Normal6a"/>
            </w:pPr>
            <w:r>
              <w:t>36.</w:t>
            </w:r>
            <w:r>
              <w:tab/>
            </w:r>
            <w:r>
              <w:t>prima na znanje iz Upitnika da je Odbor izradio strategiju za borbu protiv prijevara koja je podnesena na savjetovanje među službama i postupak donošenja</w:t>
            </w:r>
            <w:r>
              <w:rPr>
                <w:b/>
                <w:i/>
              </w:rPr>
              <w:t>;</w:t>
            </w:r>
            <w:r>
              <w:t xml:space="preserve"> </w:t>
            </w:r>
            <w:r>
              <w:rPr>
                <w:b/>
                <w:i/>
              </w:rPr>
              <w:t>pozdravlja popratni akcijski plan u kojem se navodi dvanaest konkretnih mjera koje treba provesti od četvrtog tromjesečja 2025. do četvrtog tromjesečja 2027., uključujući kampanje za podizanje razine osviještenosti, politike osposobljavanja, nadogradnju metodologija procjene rizika i unutarnje kontrole, integraciju automatiziranih alata za otkrivanje prijevara, revidirane sporazume o suradnji s OLAF-om i EPPO-om te ažurirana pravila kojima se uređuju unutarnje istrage</w:t>
            </w:r>
            <w:r>
              <w:t>; poziva Odbor da o daljnjem postupanju obavijesti tijelo nadležno za davanje razrješnice; pozdravlja činjenicu da je Odbor organizirao dva tečaja osposobljavanja, koje je održalo osoblje OLAF-a, o informiranosti o prijevarama i sprečavanju prijevara u nabavi, na kojima je sudjelovao 21 sudionik, te jedan sastanak za podizanje razine informiranosti organiziran u suradnji s EPPO-om kako bi se osoblje Odbora upoznalo s mandatom EPPO-a i pružile smjernice o tome kako prijaviti potencijalne slučajeve EPPO-u;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prima na znanje iz Upitnika da je Odbor izradio strategiju za borbu protiv prijevara koja je podnesena na savjetovanje među službama i postupak donošenja; poziva Odbor da o daljnjem postupanju obavijesti tijelo nadležno za davanje razrješnice; pozdravlja činjenicu da je Odbor organizirao dva tečaja osposobljavanja, koje je održalo osoblje OLAF-a, o informiranosti o prijevarama i sprečavanju prijevara u nabavi, na kojima je sudjelovao 21 sudionik, te jedan sastanak za podizanje razine informiranosti organiziran u suradnji s EPPO-om kako bi se osoblje Odbora upoznalo s mandatom EPPO-a i pružile smjernice o tome kako prijaviti potencijalne slučajeve EPPO-u;</w:t>
            </w:r>
          </w:p>
        </w:tc>
        <w:tc>
          <w:tcPr>
            <w:tcW w:w="4876" w:type="dxa"/>
            <w:tcBorders>
              <w:top w:val="nil"/>
              <w:left w:val="nil"/>
              <w:bottom w:val="nil"/>
              <w:right w:val="nil"/>
            </w:tcBorders>
          </w:tcPr>
          <w:p>
            <w:pPr>
              <w:pStyle w:val="Normal6a"/>
            </w:pPr>
            <w:r>
              <w:t>36.</w:t>
            </w:r>
            <w:r>
              <w:tab/>
            </w:r>
            <w:r>
              <w:rPr>
                <w:b/>
                <w:i/>
              </w:rPr>
              <w:t>sa zadovoljstvom</w:t>
            </w:r>
            <w:r>
              <w:t xml:space="preserve"> prima na znanje iz Upitnika da je Odbor </w:t>
            </w:r>
            <w:r>
              <w:rPr>
                <w:b/>
                <w:i/>
              </w:rPr>
              <w:t>nakon prethodnih poziva Parlamenta</w:t>
            </w:r>
            <w:r>
              <w:t xml:space="preserve"> izradio strategiju za borbu protiv prijevara koja je podnesena na savjetovanje među službama i postupak donošenja</w:t>
            </w:r>
            <w:r>
              <w:rPr>
                <w:b/>
                <w:i/>
              </w:rPr>
              <w:t>;</w:t>
            </w:r>
            <w:r>
              <w:t xml:space="preserve"> </w:t>
            </w:r>
            <w:r>
              <w:rPr>
                <w:b/>
                <w:i/>
              </w:rPr>
              <w:t>potiče Odbor da prednost da donošenju i provedbi te strategije, uključujući procjenu rizika, sprečavanje, otkrivanje i daljnje mjere</w:t>
            </w:r>
            <w:r>
              <w:t>; poziva Odbor da o daljnjem postupanju obavijesti tijelo nadležno za davanje razrješnice; pozdravlja činjenicu da je Odbor organizirao dva tečaja osposobljavanja, koje je održalo osoblje OLAF-a, o informiranosti o prijevarama i sprečavanju prijevara u nabavi, na kojima je sudjelovao 21 sudionik, te jedan sastanak za podizanje razine informiranosti organiziran u suradnji s EPPO-om kako bi se osoblje Odbora upoznalo s mandatom EPPO-a i pružile smjernice o tome kako prijaviti potencijalne slučajeve EPPO-u;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prima na znanje iz Upitnika da je Odbor izradio strategiju za borbu protiv prijevara koja je podnesena na savjetovanje među službama i postupak donošenja; poziva Odbor da o daljnjem postupanju obavijesti tijelo nadležno za davanje razrješnice; pozdravlja činjenicu da je Odbor organizirao dva tečaja osposobljavanja, koje je održalo osoblje OLAF-a, o informiranosti o prijevarama i sprečavanju prijevara u nabavi, na kojima je sudjelovao 21 sudionik, te jedan sastanak za podizanje razine informiranosti organiziran u suradnji s EPPO-om kako bi se osoblje Odbora upoznalo s mandatom EPPO-a i pružile smjernice o tome kako prijaviti potencijalne slučajeve EPPO-u;</w:t>
            </w:r>
          </w:p>
        </w:tc>
        <w:tc>
          <w:tcPr>
            <w:tcW w:w="4876" w:type="dxa"/>
            <w:tcBorders>
              <w:top w:val="nil"/>
              <w:left w:val="nil"/>
              <w:bottom w:val="nil"/>
              <w:right w:val="nil"/>
            </w:tcBorders>
          </w:tcPr>
          <w:p>
            <w:pPr>
              <w:pStyle w:val="Normal6a"/>
            </w:pPr>
            <w:r>
              <w:t>36.</w:t>
            </w:r>
            <w:r>
              <w:tab/>
            </w:r>
            <w:r>
              <w:t xml:space="preserve">prima na znanje iz Upitnika da je Odbor izradio strategiju za borbu protiv prijevara koja je podnesena na savjetovanje među službama i postupak donošenja; poziva Odbor da o daljnjem postupanju obavijesti tijelo nadležno za davanje razrješnice; pozdravlja činjenicu da je Odbor organizirao dva tečaja osposobljavanja, koje je održalo osoblje OLAF-a, o informiranosti o prijevarama i sprečavanju prijevara u nabavi, na kojima je sudjelovao 21 sudionik, te jedan sastanak za podizanje razine informiranosti organiziran u suradnji s EPPO-om kako bi se osoblje Odbora upoznalo s mandatom EPPO-a i pružile smjernice o tome kako prijaviti potencijalne slučajeve EPPO-u </w:t>
            </w:r>
            <w:r>
              <w:rPr>
                <w:b/>
                <w:i/>
              </w:rPr>
              <w:t>i predlaže da se nastavi s tom praksom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napominje da je kombinirani proračun Odbora i Odbora regija namijenjen IT-u 2022. iznosio 13 700 000 EUR, u usporedbi s 12 700 000 EUR 2023., što je povećanje od 7,87 %, dok je 760 000 EUR tog proračuna (ili približno 6 % tog proračuna) 2024. plaćeno za kibernetičku sigurnost; prima na znanje iz Upitnika da se financiranje projekata IT-a povećalo za 109 000 EUR u odnosu na 2023., što je povećanje od 4 %, prvenstveno za potporu programu za popust na radnom mjestu M365 i programu transformacije kibernetičke sigurnosti; nadalje konstatira da su se rashodi za opremu povećali za 117 000 EUR (tj. za 20 %), uglavnom zbog prilagodbi cijena i strateških ulaganja u infrastrukturu telefonije; prihvaća zabrinutost Odbora zbog toga što je strukturno nedovoljno financiran u području digitalizacije i kibernetičke sigurnosti; u tom kontekstu žali zbog toga što proračunsko tijelo u proračun Unije za 2026. nije uključilo iznos od 1 176 000 EUR koji je Odboru (i OR-u) potreban za opsežno unapređenje kibernetičke sigurnosti, zbog čega je neostvariv cilj iz Uredbe (EU, Euratom) 2023/2841</w:t>
            </w:r>
            <w:r>
              <w:rPr>
                <w:vertAlign w:val="superscript"/>
              </w:rPr>
              <w:t>1</w:t>
            </w:r>
            <w:r>
              <w:t>da se oko 10 % njegovih ukupnih rashoda za IT namijeni kibernetičkoj sigurnosti;</w:t>
            </w:r>
          </w:p>
        </w:tc>
        <w:tc>
          <w:tcPr>
            <w:tcW w:w="4876" w:type="dxa"/>
            <w:tcBorders>
              <w:top w:val="nil"/>
              <w:left w:val="nil"/>
              <w:bottom w:val="nil"/>
              <w:right w:val="nil"/>
            </w:tcBorders>
          </w:tcPr>
          <w:p>
            <w:pPr>
              <w:pStyle w:val="Normal6a"/>
            </w:pPr>
            <w:r>
              <w:t>37.</w:t>
            </w:r>
            <w:r>
              <w:tab/>
            </w:r>
            <w:r>
              <w:t xml:space="preserve">napominje da je kombinirani proračun Odbora i Odbora regija namijenjen IT-u 2022. iznosio 13 700 000 EUR, u usporedbi s 12 700 000 EUR 2023., što je povećanje od 7,87 %, dok je 760 000 EUR tog proračuna (ili približno 6 % tog proračuna) 2024. plaćeno za kibernetičku sigurnost; prima na znanje iz Upitnika da se financiranje projekata IT-a povećalo za 109 000 EUR u odnosu na 2023., što je povećanje od 4 %, prvenstveno za potporu programu za popust na radnom mjestu M365 i programu transformacije kibernetičke sigurnosti; nadalje konstatira da su se rashodi za opremu povećali za 117 000 EUR (tj. za 20 %), uglavnom zbog prilagodbi cijena i strateških ulaganja u infrastrukturu telefonije; prihvaća zabrinutost Odbora zbog toga što je strukturno nedovoljno financiran u području digitalizacije i kibernetičke sigurnosti </w:t>
            </w:r>
            <w:r>
              <w:rPr>
                <w:b/>
                <w:i/>
              </w:rPr>
              <w:t>te upozorava da kontinuirano nedovoljno ulaganje u kibernetičku sigurnost predstavlja strukturni rizik za integritet institucija EU-a</w:t>
            </w:r>
            <w:r>
              <w:t>; u tom kontekstu žali zbog toga što proračunsko tijelo u proračun Unije za 2026. nije uključilo iznos od 1 176 000 EUR koji je Odboru (i OR-u) potreban za opsežno unapređenje kibernetičke sigurnosti, zbog čega je neostvariv cilj iz Uredbe (EU, Euratom) 2023/2841</w:t>
            </w:r>
            <w:r>
              <w:rPr>
                <w:vertAlign w:val="superscript"/>
              </w:rPr>
              <w:t>1</w:t>
            </w:r>
            <w:r>
              <w:t>da se oko 10 % njegovih ukupnih rashoda za IT namijeni kibernetičkoj sigurnosti;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Uredba (EU, Euratom) 2023/2841 Europskog parlamenta i Vijeća od 13. prosinca 2023. o utvrđivanju mjera za visoku zajedničku razinu kibernetičke sigurnosti u institucijama, tijelima, uredima i agencijama Unije (SL L, 2023/2841, 18.12.2023</w:t>
            </w:r>
            <w:r>
              <w:rPr>
                <w:b/>
                <w:i/>
              </w:rPr>
              <w:t>.</w:t>
            </w:r>
            <w:r>
              <w:t>, ELI: http://data.europa.eu/eli/reg/2023/2841/oj).</w:t>
            </w:r>
          </w:p>
        </w:tc>
        <w:tc>
          <w:tcPr>
            <w:tcW w:w="4876" w:type="dxa"/>
            <w:tcBorders>
              <w:top w:val="nil"/>
              <w:left w:val="nil"/>
              <w:bottom w:val="nil"/>
              <w:right w:val="nil"/>
            </w:tcBorders>
          </w:tcPr>
          <w:p>
            <w:pPr>
              <w:pStyle w:val="Normal6a"/>
            </w:pPr>
            <w:r>
              <w:rPr>
                <w:vertAlign w:val="superscript"/>
              </w:rPr>
              <w:t>1</w:t>
            </w:r>
            <w:r>
              <w:t xml:space="preserve"> </w:t>
            </w:r>
            <w:r>
              <w:t>Uredba (EU, Euratom) 2023/2841 Europskog parlamenta i Vijeća od 13. prosinca 2023. o utvrđivanju mjera za visoku zajedničku razinu kibernetičke sigurnosti u institucijama, tijelima, uredima i agencijama Unije (SL L, 2023/2841, 18.12.2023, ELI: http://data.europa.eu/eli/reg/2023/2841/oj).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napominje da je kombinirani proračun Odbora i Odbora regija namijenjen IT-u </w:t>
            </w:r>
            <w:r>
              <w:rPr>
                <w:b/>
                <w:i/>
              </w:rPr>
              <w:t>2022</w:t>
            </w:r>
            <w:r>
              <w:t>. iznosio 13 700 000 EUR, u usporedbi s 12 700 000 EUR 2023., što je povećanje od 7,87 %, dok je 760 000 EUR tog proračuna (ili približno 6 % tog proračuna) 2024. plaćeno za kibernetičku sigurnost; prima na znanje iz Upitnika da se financiranje projekata IT-a povećalo za 109 000 EUR u odnosu na 2023., što je povećanje od 4 %, prvenstveno za potporu programu za popust na radnom mjestu M365 i programu transformacije kibernetičke sigurnosti; nadalje konstatira da su se rashodi za opremu povećali za 117 000 EUR (tj. za 20 %), uglavnom zbog prilagodbi cijena i strateških ulaganja u infrastrukturu telefonije; prihvaća zabrinutost Odbora zbog toga što je strukturno nedovoljno financiran u području digitalizacije i kibernetičke sigurnosti; u tom kontekstu žali zbog toga što proračunsko tijelo u proračun Unije za 2026. nije uključilo iznos od 1 176 000 EUR koji je Odboru (i OR-u) potreban za opsežno unapređenje kibernetičke sigurnosti, zbog čega je neostvariv cilj iz Uredbe (EU, Euratom) 2023/2841</w:t>
            </w:r>
            <w:r>
              <w:rPr>
                <w:vertAlign w:val="superscript"/>
              </w:rPr>
              <w:t>1</w:t>
            </w:r>
            <w:r>
              <w:t>da se oko 10 % njegovih ukupnih rashoda za IT namijeni kibernetičkoj sigurnosti;</w:t>
            </w:r>
          </w:p>
        </w:tc>
        <w:tc>
          <w:tcPr>
            <w:tcW w:w="4876" w:type="dxa"/>
            <w:tcBorders>
              <w:top w:val="nil"/>
              <w:left w:val="nil"/>
              <w:bottom w:val="nil"/>
              <w:right w:val="nil"/>
            </w:tcBorders>
          </w:tcPr>
          <w:p>
            <w:pPr>
              <w:pStyle w:val="Normal6a"/>
            </w:pPr>
            <w:r>
              <w:t>37.</w:t>
            </w:r>
            <w:r>
              <w:tab/>
            </w:r>
            <w:r>
              <w:t>napominje da je kombinirani proračun Odbora i Odbora regija namijenjen IT-u </w:t>
            </w:r>
            <w:r>
              <w:rPr>
                <w:b/>
                <w:i/>
              </w:rPr>
              <w:t>2024</w:t>
            </w:r>
            <w:r>
              <w:t>. iznosio 13 700 000 EUR, u usporedbi s 12 700 000 EUR 2023., što je povećanje od 7,87 %, dok je 760 000 EUR tog proračuna (ili približno 6 % tog proračuna) 2024. plaćeno za kibernetičku sigurnost; prima na znanje iz Upitnika da se financiranje projekata IT-a povećalo za 109 000 EUR u odnosu na 2023., što je povećanje od 4 %, prvenstveno za potporu programu za popust na radnom mjestu M365 i programu transformacije kibernetičke sigurnosti; nadalje konstatira da su se rashodi za opremu povećali za 117 000 EUR (tj. za 20 %), uglavnom zbog prilagodbi cijena i strateških ulaganja u infrastrukturu telefonije; prihvaća zabrinutost Odbora zbog toga što je strukturno nedovoljno financiran u području digitalizacije i kibernetičke sigurnosti; u tom kontekstu žali zbog toga što proračunsko tijelo u proračun Unije za 2026. nije uključilo iznos od 1 176 000 EUR koji je Odboru (i OR-u) potreban za opsežno unapređenje kibernetičke sigurnosti, zbog čega je neostvariv cilj iz Uredbe (EU, Euratom) 2023/2841</w:t>
            </w:r>
            <w:r>
              <w:rPr>
                <w:vertAlign w:val="superscript"/>
              </w:rPr>
              <w:t>1</w:t>
            </w:r>
            <w:r>
              <w:t xml:space="preserve">da se oko 10 % njegovih ukupnih rashoda za IT namijeni kibernetičkoj sigurnosti; </w:t>
            </w:r>
            <w:r>
              <w:rPr>
                <w:b/>
                <w:i/>
              </w:rPr>
              <w:t>poziva na dodjelu odgovarajućih sredstava kako bi se Odboru i OR-u omogućilo opsežno unapređenje kibernetičke sigurnosti;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Uredba (EU, Euratom) 2023/2841 Europskog parlamenta i Vijeća od 13. prosinca 2023. o utvrđivanju mjera za visoku zajedničku razinu kibernetičke sigurnosti u institucijama, tijelima, uredima i agencijama Unije (SL L, 2023/2841, 18.12.2023</w:t>
            </w:r>
            <w:r>
              <w:rPr>
                <w:b/>
                <w:i/>
              </w:rPr>
              <w:t>.</w:t>
            </w:r>
            <w:r>
              <w:t>, ELI: http://data.europa.eu/eli/reg/2023/2841/oj).</w:t>
            </w:r>
          </w:p>
        </w:tc>
        <w:tc>
          <w:tcPr>
            <w:tcW w:w="4876" w:type="dxa"/>
            <w:tcBorders>
              <w:top w:val="nil"/>
              <w:left w:val="nil"/>
              <w:bottom w:val="nil"/>
              <w:right w:val="nil"/>
            </w:tcBorders>
          </w:tcPr>
          <w:p>
            <w:pPr>
              <w:pStyle w:val="Normal6a"/>
            </w:pPr>
            <w:r>
              <w:rPr>
                <w:vertAlign w:val="superscript"/>
              </w:rPr>
              <w:t>1</w:t>
            </w:r>
            <w:r>
              <w:t xml:space="preserve"> </w:t>
            </w:r>
            <w:r>
              <w:t>Uredba (EU, Euratom) 2023/2841 Europskog parlamenta i Vijeća od 13. prosinca 2023. o utvrđivanju mjera za visoku zajedničku razinu kibernetičke sigurnosti u institucijama, tijelima, uredima i agencijama Unije (SL L, 2023/2841, 18.12.2023, ELI: http://data.europa.eu/eli/reg/2023/2841/oj).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napominje da je kombinirani proračun Odbora i Odbora regija namijenjen IT-u </w:t>
            </w:r>
            <w:r>
              <w:rPr>
                <w:b/>
                <w:i/>
              </w:rPr>
              <w:t>2022</w:t>
            </w:r>
            <w:r>
              <w:t>. iznosio 13 700 000 EUR, u usporedbi s 12 700 000 EUR 2023., što je povećanje od 7,87 %, dok je 760 000 EUR tog proračuna (ili približno 6 % tog proračuna) 2024. plaćeno za kibernetičku sigurnost; prima na znanje iz Upitnika da se financiranje projekata IT-a povećalo za 109 000 EUR u odnosu na 2023., što je povećanje od 4 %, prvenstveno za potporu programu za popust na radnom mjestu M365 i programu transformacije kibernetičke sigurnosti; nadalje konstatira da su se rashodi za opremu povećali za 117 000 EUR (tj. za 20 %), uglavnom zbog prilagodbi cijena i strateških ulaganja u infrastrukturu telefonije; prihvaća zabrinutost Odbora zbog toga što je strukturno nedovoljno financiran u području digitalizacije i kibernetičke sigurnosti; u tom kontekstu žali zbog toga što proračunsko tijelo u proračun Unije za 2026. nije uključilo iznos od 1 176 000 EUR koji je Odboru (i OR-u) potreban za opsežno unapređenje kibernetičke sigurnosti, zbog čega je neostvariv cilj iz Uredbe (EU, Euratom) 2023/2841</w:t>
            </w:r>
            <w:r>
              <w:rPr>
                <w:vertAlign w:val="superscript"/>
              </w:rPr>
              <w:t>1</w:t>
            </w:r>
            <w:r>
              <w:t>da se oko 10 % njegovih ukupnih rashoda za IT namijeni kibernetičkoj sigurnosti;</w:t>
            </w:r>
          </w:p>
        </w:tc>
        <w:tc>
          <w:tcPr>
            <w:tcW w:w="4876" w:type="dxa"/>
            <w:tcBorders>
              <w:top w:val="nil"/>
              <w:left w:val="nil"/>
              <w:bottom w:val="nil"/>
              <w:right w:val="nil"/>
            </w:tcBorders>
          </w:tcPr>
          <w:p>
            <w:pPr>
              <w:pStyle w:val="Normal6a"/>
            </w:pPr>
            <w:r>
              <w:t>37.</w:t>
            </w:r>
            <w:r>
              <w:tab/>
            </w:r>
            <w:r>
              <w:t>napominje da je kombinirani proračun Odbora i Odbora regija namijenjen IT-u </w:t>
            </w:r>
            <w:r>
              <w:rPr>
                <w:b/>
                <w:i/>
              </w:rPr>
              <w:t>2024</w:t>
            </w:r>
            <w:r>
              <w:t>. iznosio 13 700 000 EUR, u usporedbi s 12 700 000 EUR 2023., što je povećanje od 7,87 %, dok je 760 000 EUR tog proračuna (ili približno 6 % tog proračuna) 2024. plaćeno za kibernetičku sigurnost; prima na znanje iz Upitnika da se financiranje projekata IT-a povećalo za 109 000 EUR u odnosu na 2023., što je povećanje od 4 %, prvenstveno za potporu programu za popust na radnom mjestu M365 i programu transformacije kibernetičke sigurnosti; nadalje konstatira da su se rashodi za opremu povećali za 117 000 EUR (tj. za 20 %), uglavnom zbog prilagodbi cijena i strateških ulaganja u infrastrukturu telefonije; prihvaća zabrinutost Odbora zbog toga što je strukturno nedovoljno financiran u području digitalizacije i kibernetičke sigurnosti; u tom kontekstu žali zbog toga što proračunsko tijelo u proračun Unije za 2026. nije uključilo iznos od 1 176 000 EUR koji je Odboru (i OR-u) potreban za opsežno unapređenje kibernetičke sigurnosti, zbog čega je neostvariv cilj iz Uredbe (EU, Euratom) 2023/2841</w:t>
            </w:r>
            <w:r>
              <w:rPr>
                <w:vertAlign w:val="superscript"/>
              </w:rPr>
              <w:t>1</w:t>
            </w:r>
            <w:r>
              <w:t>da se oko 10 % njegovih ukupnih rashoda za IT namijeni kibernetičkoj sigurnosti;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Uredba (EU, Euratom) 2023/2841 Europskog parlamenta i Vijeća od 13. prosinca 2023. o utvrđivanju mjera za visoku zajedničku razinu kibernetičke sigurnosti u institucijama, tijelima, uredima i agencijama Unije (SL L, 2023/2841, 18.12.2023</w:t>
            </w:r>
            <w:r>
              <w:rPr>
                <w:b/>
                <w:i/>
              </w:rPr>
              <w:t>.</w:t>
            </w:r>
            <w:r>
              <w:t>, ELI: http://data.europa.eu/eli/reg/2023/2841/oj).</w:t>
            </w:r>
          </w:p>
        </w:tc>
        <w:tc>
          <w:tcPr>
            <w:tcW w:w="4876" w:type="dxa"/>
            <w:tcBorders>
              <w:top w:val="nil"/>
              <w:left w:val="nil"/>
              <w:bottom w:val="nil"/>
              <w:right w:val="nil"/>
            </w:tcBorders>
          </w:tcPr>
          <w:p>
            <w:pPr>
              <w:pStyle w:val="Normal6a"/>
            </w:pPr>
            <w:r>
              <w:rPr>
                <w:vertAlign w:val="superscript"/>
              </w:rPr>
              <w:t>1</w:t>
            </w:r>
            <w:r>
              <w:t xml:space="preserve"> </w:t>
            </w:r>
            <w:r>
              <w:t>Uredba (EU, Euratom) 2023/2841 Europskog parlamenta i Vijeća od 13. prosinca 2023. o utvrđivanju mjera za visoku zajedničku razinu kibernetičke sigurnosti u institucijama, tijelima, uredima i agencijama Unije (SL L, 2023/2841, 18.12.2023, ELI: http://data.europa.eu/eli/reg/2023/2841/oj).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pohvaljuje nastojanja Odbora 2024. da omogući osoblju da stekne digitalne vještine potrebne za radno okruženje u kojem je digitalizacija sve veća i za provedbu ciljanih informativnih kampanja, pružanjem sveobuhvatnog programa osposobljavanja i podučavanja te održavanjem ažurirane baze znanja u području IT-a sa sučeljem koje se temelji na umjetnoj inteligenciji kako bi se podržao razvoj osoblja;</w:t>
            </w:r>
          </w:p>
        </w:tc>
        <w:tc>
          <w:tcPr>
            <w:tcW w:w="4876" w:type="dxa"/>
            <w:tcBorders>
              <w:top w:val="nil"/>
              <w:left w:val="nil"/>
              <w:bottom w:val="nil"/>
              <w:right w:val="nil"/>
            </w:tcBorders>
          </w:tcPr>
          <w:p>
            <w:pPr>
              <w:pStyle w:val="Normal6a"/>
            </w:pPr>
            <w:r>
              <w:t>43.</w:t>
            </w:r>
            <w:r>
              <w:tab/>
            </w:r>
            <w:r>
              <w:t xml:space="preserve">pohvaljuje nastojanja Odbora 2024. da omogući osoblju da stekne digitalne vještine potrebne za radno okruženje u kojem je digitalizacija sve veća i za provedbu ciljanih informativnih kampanja, pružanjem sveobuhvatnog programa osposobljavanja i podučavanja te održavanjem ažurirane baze znanja u području IT-a sa sučeljem koje se temelji na umjetnoj inteligenciji kako bi se podržao razvoj osoblja; </w:t>
            </w:r>
            <w:r>
              <w:rPr>
                <w:b/>
                <w:i/>
              </w:rPr>
              <w:t>potiče osposobljavanje u području kibernetičke sigurnosti te sigurne, etičke i učinkovite upotrebe umjetne inteligencije;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49.</w:t>
            </w:r>
            <w:r>
              <w:tab/>
            </w:r>
            <w:r>
              <w:t xml:space="preserve">prima na znanje iz Upitnika smanjenje potrošnje električne energije (–19 %), plina (–13 %) i vode (–12 %) te povećanje potrošnje papira (+1 </w:t>
            </w:r>
            <w:r>
              <w:rPr>
                <w:b/>
                <w:i/>
              </w:rPr>
              <w:t>%) i količine otpada (–12</w:t>
            </w:r>
            <w:r>
              <w:t xml:space="preserve"> %) 2024. u odnosu na 2023.; nadalje, pozdravlja smanjenje emisija ugljika po EPRV-u za 4,30 % (ne uključujući emisije iz putovanja članova Odbora) tijekom istog razdoblja; prima na znanje iz Upitnika mjere Odbora za promicanje održivijih mogućnosti putovanja među osobljem i članovima te aktualnu reviziju vodiča za službena putovanja za osoblje, koji će sadržavati ekološki otisak kao ključnu sastavnicu; nadalje, pozdravlja težište Odbora na gospodarenju otpadom i recikliranju kako bi se potaknula kultura smanjenja otpada i učinkovitosti resursa;</w:t>
            </w:r>
          </w:p>
        </w:tc>
        <w:tc>
          <w:tcPr>
            <w:tcW w:w="4876" w:type="dxa"/>
            <w:tcBorders>
              <w:top w:val="nil"/>
              <w:left w:val="nil"/>
              <w:bottom w:val="nil"/>
              <w:right w:val="nil"/>
            </w:tcBorders>
          </w:tcPr>
          <w:p>
            <w:pPr>
              <w:pStyle w:val="Normal6a"/>
            </w:pPr>
            <w:r>
              <w:t>49.</w:t>
            </w:r>
            <w:r>
              <w:tab/>
            </w:r>
            <w:r>
              <w:t>prima na znanje iz Upitnika smanjenje potrošnje električne energije (–19 %), plina (–13 %) i vode (–12 %)</w:t>
            </w:r>
            <w:r>
              <w:rPr>
                <w:b/>
                <w:i/>
              </w:rPr>
              <w:t>, smanjenje količine otpada (–12 %)</w:t>
            </w:r>
            <w:r>
              <w:t xml:space="preserve"> te povećanje potrošnje papira (+1 %) 2024. u odnosu na 2023.; nadalje, pozdravlja smanjenje emisija ugljika po EPRV-u za 4,30 %(ne uključujući emisije iz putovanja članova Odbora) tijekom istog razdoblja; prima na znanje iz Upitnika mjere Odbora za promicanje održivijih mogućnosti putovanja među osobljem i članovima te aktualnu reviziju vodiča za službena putovanja za osoblje, koji će sadržavati ekološki otisak kao ključnu sastavnicu; nadalje, pozdravlja težište Odbora na gospodarenju otpadom i recikliranju kako bi se potaknula kultura smanjenja otpada i učinkovitosti resursa;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sa zadovoljstvom konstatira da svi pozivi Odbora na podnošenje ponuda u vrijednosti većoj od 60 000 EUR i oni u vrijednosti većoj od 25 000 EUR kojima upravlja zajedno s OR-om uključuju odredbe o održivosti u skladu sa standardima energetske unije, europskog zelenog plana i načelima kružnog gospodarstva; napominje da novi okvirni ugovor Odbora za ugostiteljske usluge, koji je stupio na snagu u kolovozu 2024., sadržava zahtjeve za ekološke i lokalno proizvedene proizvode, donacije hrane te sezonsko voće i povrće;</w:t>
            </w:r>
          </w:p>
        </w:tc>
        <w:tc>
          <w:tcPr>
            <w:tcW w:w="4876" w:type="dxa"/>
            <w:tcBorders>
              <w:top w:val="nil"/>
              <w:left w:val="nil"/>
              <w:bottom w:val="nil"/>
              <w:right w:val="nil"/>
            </w:tcBorders>
          </w:tcPr>
          <w:p>
            <w:pPr>
              <w:pStyle w:val="Normal6a"/>
            </w:pPr>
            <w:r>
              <w:t>50.</w:t>
            </w:r>
            <w:r>
              <w:tab/>
            </w:r>
            <w:r>
              <w:t xml:space="preserve">sa zadovoljstvom konstatira da svi pozivi Odbora na podnošenje ponuda u vrijednosti većoj od 60 000 EUR i oni u vrijednosti većoj od 25 000 EUR kojima upravlja zajedno s OR-om uključuju odredbe o održivosti u skladu sa standardima energetske unije, europskog zelenog plana i načelima kružnog gospodarstva; napominje da novi okvirni ugovor Odbora za ugostiteljske usluge, koji je stupio na snagu u kolovozu 2024., sadržava zahtjeve za ekološke i lokalno proizvedene proizvode, donacije hrane te sezonsko voće i povrće; </w:t>
            </w:r>
            <w:r>
              <w:rPr>
                <w:b/>
                <w:i/>
              </w:rPr>
              <w:t>ističe, međutim, da se zbog viših standarda takozvanih zelenih mjera povećavaju operativni troškovi institucije, čime se ne smanjuje samo raspoloživi proračun institucije već se i povećavaju troškovi njezina funkcioniranja za porezne obveznike;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Ondřej Knotek, 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51.a</w:t>
            </w:r>
            <w:r>
              <w:tab/>
            </w:r>
            <w:r>
              <w:rPr>
                <w:b/>
                <w:i/>
              </w:rPr>
              <w:t>ističe da inicijative u području zaštite okoliša u institucijama Unije moraju i dalje biti troškovno učinkovite i tehnološki neutralne;</w:t>
            </w:r>
            <w:r>
              <w:t xml:space="preserve"> </w:t>
            </w:r>
            <w:r>
              <w:rPr>
                <w:b/>
                <w:i/>
              </w:rPr>
              <w:t>poziva Odbor da osigura transparentnu analizu troškova i koristi svojih praksi zelenih ulaganja i zelene javne nabave te da zajamči da okolišni aspekti nemaju prednost pred učinkovitošću ni pred proračunskom disciplinom;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60.</w:t>
            </w:r>
            <w:r>
              <w:tab/>
            </w:r>
            <w:r>
              <w:t>napominje da Odbor ima ključnu ulogu u jačanju veza s nacionalnim gospodarskim i socijalnim vijećima država članica i među njima; u tom kontekstu prima na znanje osnivanje nove tematske radne skupine sastavljene od 13 nacionalnih gospodarskih i socijalnih vijeća, objavu 32 novinska članka i 26 sažetaka izvješća donesenih u okviru nacionalnih gospodarskih i socijalnih vijeća, organizaciju godišnjeg sastanka predsjednika i glavnih tajnika nacionalnih gospodarskih i socijalnih vijeća u Bruxellesu te zajednički organizirani seminar sa 100 sudionika iz europskih socijalnih partnera, organizacija civilnog društva, predstavnika institucija Unije i akademske zajednice 2024.;</w:t>
            </w:r>
          </w:p>
        </w:tc>
        <w:tc>
          <w:tcPr>
            <w:tcW w:w="4876" w:type="dxa"/>
            <w:tcBorders>
              <w:top w:val="nil"/>
              <w:left w:val="nil"/>
              <w:bottom w:val="nil"/>
              <w:right w:val="nil"/>
            </w:tcBorders>
          </w:tcPr>
          <w:p>
            <w:pPr>
              <w:pStyle w:val="Normal6a"/>
            </w:pPr>
            <w:r>
              <w:t>60.</w:t>
            </w:r>
            <w:r>
              <w:tab/>
            </w:r>
            <w:r>
              <w:t xml:space="preserve">napominje da Odbor ima ključnu ulogu u jačanju veza s nacionalnim gospodarskim i socijalnim vijećima država članica i među njima; u tom kontekstu prima na znanje osnivanje nove tematske radne skupine sastavljene od 13 nacionalnih gospodarskih i socijalnih vijeća, objavu 32 novinska članka i 26 sažetaka izvješća donesenih u okviru nacionalnih gospodarskih i socijalnih vijeća, organizaciju godišnjeg sastanka predsjednika i glavnih tajnika nacionalnih gospodarskih i socijalnih vijeća u Bruxellesu te zajednički organizirani seminar sa 100 sudionika iz europskih socijalnih partnera, organizacija civilnog društva, predstavnika institucija Unije i akademske zajednice 2024.; </w:t>
            </w:r>
            <w:r>
              <w:rPr>
                <w:b/>
                <w:i/>
              </w:rPr>
              <w:t>poziva na kontinuiranu suradnju na temama od zajedničkog interesa i razmjenu dobrih praksi, naglašavajući ključnu ulogu civilnog društva u rješavanju trenutačnih izazova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63.</w:t>
            </w:r>
            <w:r>
              <w:tab/>
            </w:r>
            <w:r>
              <w:t>cijeni pokretanje platforme NaviGate u svibnju 2024.; napominje da je ta platforma, koja se internetskim poveznicama prenosi na EULT Ureda za publikacije Unije, znatno povećala vidljivost rada Odbora i poboljšala korisničko iskustvo za zastupnike, osoblje, posjetitelje iz drugih institucija i javnost te je 2024. doprla do 4 600 pojedinačnih posjetitelja;</w:t>
            </w:r>
          </w:p>
        </w:tc>
        <w:tc>
          <w:tcPr>
            <w:tcW w:w="4876" w:type="dxa"/>
            <w:tcBorders>
              <w:top w:val="nil"/>
              <w:left w:val="nil"/>
              <w:bottom w:val="nil"/>
              <w:right w:val="nil"/>
            </w:tcBorders>
          </w:tcPr>
          <w:p>
            <w:pPr>
              <w:pStyle w:val="Normal6a"/>
            </w:pPr>
            <w:r>
              <w:t>63.</w:t>
            </w:r>
            <w:r>
              <w:tab/>
            </w:r>
            <w:r>
              <w:rPr>
                <w:b/>
                <w:i/>
              </w:rPr>
              <w:t>pozdravlja napore koje je Odbor uložio u povećanje vidljivosti svojega rada;</w:t>
            </w:r>
            <w:r>
              <w:t xml:space="preserve"> </w:t>
            </w:r>
            <w:r>
              <w:rPr>
                <w:b/>
                <w:i/>
              </w:rPr>
              <w:t>smatra, međutim, da je potreban dodatan trud kako bi se osiguralo da se u okviru komunikacijskih aktivnosti jasno objasni uloga Odbora i njegovi konkretni doprinosi prisutnosti EU-a na terenu, na način koji je dostupan i konstruktivan za građane;</w:t>
            </w:r>
            <w:r>
              <w:t xml:space="preserve"> cijeni pokretanje platforme NaviGate u svibnju 2024.; napominje da je ta platforma, koja se internetskim poveznicama prenosi na EULT Ureda za publikacije Unije, znatno povećala vidljivost rada Odbora i poboljšala korisničko iskustvo za zastupnike, osoblje, posjetitelje iz drugih institucija i javnost te je 2024. doprla do 4 600 pojedinačnih posjetitelja;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784.136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34</w:t>
    </w:r>
    <w:r>
      <w:fldChar w:fldCharType="end"/>
    </w:r>
    <w:r>
      <w:t>/</w:t>
    </w:r>
    <w:r>
      <w:fldChar w:fldCharType="begin"/>
    </w:r>
    <w:r>
      <w:instrText xml:space="preserve"> NUMPAGES </w:instrText>
    </w:r>
    <w:r>
      <w:fldChar w:fldCharType="separate"/>
    </w:r>
    <w:r>
      <w:t>35</w:t>
    </w:r>
    <w:r>
      <w:fldChar w:fldCharType="end"/>
    </w:r>
    <w:r>
      <w:tab/>
    </w:r>
    <w:r>
      <w:rPr>
        <w:rStyle w:val="HideTWBExt"/>
      </w:rPr>
      <w:t>&lt;PathFdR&gt;</w:t>
    </w:r>
    <w:r>
      <w:t>AM\1336221HR.docx</w:t>
    </w:r>
    <w:r>
      <w:rPr>
        <w:rStyle w:val="HideTWBExt"/>
      </w:rPr>
      <w:t>&lt;/PathFdR&gt;</w:t>
    </w:r>
  </w:p>
  <w:p>
    <w:pPr>
      <w:pStyle w:val="EPFooter2"/>
    </w:pPr>
    <w:r>
      <w:t>HR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AM\1336221HR.docx</w:t>
    </w:r>
    <w:r>
      <w:rPr>
        <w:rStyle w:val="HideTWBExt"/>
      </w:rPr>
      <w:t>&lt;/PathFdR&gt;</w:t>
    </w:r>
    <w:r>
      <w:tab/>
    </w:r>
    <w:r>
      <w:fldChar w:fldCharType="begin"/>
    </w:r>
    <w:r>
      <w:instrText xml:space="preserve"> PAGE </w:instrText>
    </w:r>
    <w:r>
      <w:fldChar w:fldCharType="separate"/>
    </w:r>
    <w:r>
      <w:t>35</w:t>
    </w:r>
    <w:r>
      <w:fldChar w:fldCharType="end"/>
    </w:r>
    <w:r>
      <w:t>/</w:t>
    </w:r>
    <w:r>
      <w:fldChar w:fldCharType="begin"/>
    </w:r>
    <w:r>
      <w:instrText xml:space="preserve"> NUMPAGES </w:instrText>
    </w:r>
    <w:r>
      <w:fldChar w:fldCharType="separate"/>
    </w:r>
    <w:r>
      <w:t>35</w:t>
    </w:r>
    <w:r>
      <w:fldChar w:fldCharType="end"/>
    </w:r>
    <w:r>
      <w:tab/>
    </w:r>
    <w:r>
      <w:t>PE</w:t>
    </w:r>
    <w:r>
      <w:rPr>
        <w:rStyle w:val="HideTWBExt"/>
      </w:rPr>
      <w:t>&lt;NoPE&gt;</w:t>
    </w:r>
    <w:r>
      <w:t>784.136</w:t>
    </w:r>
    <w:r>
      <w:rPr>
        <w:rStyle w:val="HideTWBExt"/>
      </w:rPr>
      <w:t>&lt;/NoPE&gt;</w:t>
    </w:r>
    <w:r>
      <w:rPr>
        <w:rStyle w:val="HideTWBExt"/>
      </w:rPr>
      <w:t>&lt;Version&gt;</w:t>
    </w:r>
    <w:r>
      <w:t>v01-00</w:t>
    </w:r>
    <w:r>
      <w:rPr>
        <w:rStyle w:val="HideTWBExt"/>
      </w:rPr>
      <w:t>&lt;/Version&gt;</w:t>
    </w:r>
  </w:p>
  <w:p>
    <w:pPr>
      <w:pStyle w:val="EPFooter2"/>
    </w:pPr>
    <w:r>
      <w:tab/>
    </w:r>
    <w:r>
      <w:tab/>
    </w:r>
    <w:r>
      <w:t>HR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AM\1336221HR.docx</w:t>
    </w:r>
    <w:r>
      <w:rPr>
        <w:rStyle w:val="HideTWBExt"/>
      </w:rPr>
      <w:t>&lt;/PathFdR&gt;</w:t>
    </w:r>
    <w:r>
      <w:tab/>
    </w:r>
    <w:r>
      <w:tab/>
    </w:r>
    <w:r>
      <w:t>PE</w:t>
    </w:r>
    <w:r>
      <w:rPr>
        <w:rStyle w:val="HideTWBExt"/>
      </w:rPr>
      <w:t>&lt;NoPE&gt;</w:t>
    </w:r>
    <w:r>
      <w:t>784.136</w:t>
    </w:r>
    <w:r>
      <w:rPr>
        <w:rStyle w:val="HideTWBExt"/>
      </w:rPr>
      <w:t>&lt;/NoPE&gt;</w:t>
    </w:r>
    <w:r>
      <w:rPr>
        <w:rStyle w:val="HideTWBExt"/>
      </w:rPr>
      <w:t>&lt;Version&gt;</w:t>
    </w:r>
    <w:r>
      <w:t>v01-00</w:t>
    </w:r>
    <w:r>
      <w:rPr>
        <w:rStyle w:val="HideTWBExt"/>
      </w:rPr>
      <w:t>&lt;/Version&gt;</w:t>
    </w:r>
  </w:p>
  <w:p>
    <w:pPr>
      <w:pStyle w:val="EPFooter2"/>
    </w:pPr>
    <w:r>
      <w:t>HR</w:t>
    </w:r>
    <w:r>
      <w:tab/>
    </w:r>
    <w:r>
      <w:rPr>
        <w:rStyle w:val="EPFooter2Motto"/>
      </w:rPr>
      <w:t>Ujedinjena u raznolikosti</w:t>
    </w:r>
    <w:r>
      <w:tab/>
    </w:r>
    <w:r>
      <w:t>HR</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r-H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35</Pages>
  <Words>10504</Words>
  <Characters>62521</Characters>
  <Application>Microsoft Office Word</Application>
  <DocSecurity>0</DocSecurity>
  <Lines>1</Lines>
  <Paragraphs>418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1336221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374325</vt:lpwstr>
  </property>
  <property fmtid="{D5CDD505-2E9C-101B-9397-08002B2CF9AE}" pid="7" name="dmxml.render.traceId">
    <vt:lpwstr>698c4fe0cb9eedb975cc1f21cb336042</vt:lpwstr>
  </property>
  <property fmtid="{D5CDD505-2E9C-101B-9397-08002B2CF9AE}" pid="8" name="FooterPath">
    <vt:lpwstr>AM\1336221HR.docx</vt:lpwstr>
  </property>
  <property fmtid="{D5CDD505-2E9C-101B-9397-08002B2CF9AE}" pid="9" name="PE Number">
    <vt:lpwstr>784.136</vt:lpwstr>
  </property>
  <property fmtid="{D5CDD505-2E9C-101B-9397-08002B2CF9AE}" pid="10" name="UID">
    <vt:lpwstr>eu.europa.europarl-DIN1-2026-0000016192_01.00-hr-01.00_text-xml</vt:lpwstr>
  </property>
</Properties>
</file>