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Költségvetési Ellenőrző Bizottság</w:t>
      </w:r>
      <w:r>
        <w:rPr>
          <w:rStyle w:val="HideTWBExt"/>
        </w:rPr>
        <w:t>&lt;/Commission&gt;</w:t>
      </w:r>
    </w:p>
    <w:p>
      <w:pPr>
        <w:pStyle w:val="LineBottom"/>
      </w:pPr>
      <w:r>
        <w:t xml:space="preserve"> </w:t>
      </w:r>
    </w:p>
    <w:p>
      <w:pPr>
        <w:pStyle w:val="CoverReference"/>
      </w:pPr>
      <w:r>
        <w:rPr>
          <w:rStyle w:val="HideTWBExt"/>
        </w:rPr>
        <w:t>&lt;RefProc&gt;</w:t>
      </w:r>
      <w:r>
        <w:t>2025/2151</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w:t>
      </w:r>
      <w:r>
        <w:t xml:space="preserve"> - </w:t>
      </w:r>
      <w:r>
        <w:t>45</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(PE778.063v01-00)</w:t>
      </w:r>
      <w:r>
        <w:rPr>
          <w:rStyle w:val="HideTWBExt"/>
        </w:rPr>
        <w:t>&lt;/DocRefPE&gt;</w:t>
      </w:r>
    </w:p>
    <w:p>
      <w:pPr>
        <w:pStyle w:val="CoverNormal"/>
      </w:pPr>
      <w:r>
        <w:rPr>
          <w:rStyle w:val="HideTWBExt"/>
        </w:rPr>
        <w:t>&lt;Titre&gt;</w:t>
      </w:r>
      <w:r>
        <w:t>2024. évi mentesítés: Az EU általános költségvetése – Európai Gazdasági és Szociális Bizottság</w:t>
      </w:r>
      <w:r>
        <w:rPr>
          <w:rStyle w:val="HideTWBExt"/>
        </w:rPr>
        <w:t>&lt;/Titre&gt;</w:t>
      </w:r>
    </w:p>
    <w:p>
      <w:pPr>
        <w:pStyle w:val="CoverNormal24a"/>
      </w:pPr>
      <w:r>
        <w:rPr>
          <w:rStyle w:val="HideTWBExt"/>
        </w:rPr>
        <w:t>&lt;DocRef&gt;</w:t>
      </w:r>
      <w:r>
        <w:t>(2025/2151(DEC))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H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mivel az Európai Unió működéséről szóló szerződés 300. és 304. cikke értelmében az Európai Gazdasági és Szociális Bizottság konzultatív szerv, amelynek elsődleges feladata vélemények kiadása;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tudomásul veszi, hogy az EGSZB a kiadásorientált megközelítésről áttért az erőforrás-gazdálkodásra és a priorizálásra, amint azt az EGSZB elnöksége által jóváhagyott stratégiai pénzügyi csomag és a prioritási sorrend kialakításának bevezetése is tükrözi;</w:t>
            </w:r>
            <w:r>
              <w:t xml:space="preserve"> </w:t>
            </w:r>
            <w:r>
              <w:rPr>
                <w:b/>
                <w:i/>
              </w:rPr>
              <w:t>megjegyzi, hogy ezen intézkedések célja a pénzügyi irányítás javítása és a költségvetési döntések stratégiai célkitűzésekkel való összehangolása;</w:t>
            </w:r>
            <w:r>
              <w:t xml:space="preserve"> </w:t>
            </w:r>
            <w:r>
              <w:rPr>
                <w:b/>
                <w:i/>
              </w:rPr>
              <w:t>tudomásul veszi az adminisztratív terhek csökkentésére és a folyamatok egyszerűsítésére irányuló, a költséghatékonyságot szolgáló törekvéseket;</w:t>
            </w:r>
            <w:r>
              <w:t xml:space="preserve"> </w:t>
            </w:r>
            <w:r>
              <w:rPr>
                <w:b/>
                <w:i/>
              </w:rPr>
              <w:t>felhívja az EGSZB-t, hogy erősítse tovább ezt a megközelítést azáltal, hogy teljesítménymutatókat és előrejelző tervezést épít be éves pénzügyi ciklusába;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elismerését fejezi ki az EGSZB-nek </w:t>
            </w:r>
            <w:r>
              <w:rPr>
                <w:b/>
                <w:i/>
              </w:rPr>
              <w:t>amiatt, hogy a folyó évi</w:t>
            </w:r>
            <w:r>
              <w:t xml:space="preserve"> kötelezettségvállalási </w:t>
            </w:r>
            <w:r>
              <w:rPr>
                <w:b/>
                <w:i/>
              </w:rPr>
              <w:t>előirányzatok költségvetésének EGSZB általi végrehajtása</w:t>
            </w:r>
            <w:r>
              <w:t xml:space="preserve"> a 2023. évi 98,70%-ról 2024-ben 99,21%-ra </w:t>
            </w:r>
            <w:r>
              <w:rPr>
                <w:b/>
                <w:i/>
              </w:rPr>
              <w:t>nőtt a költségvetés-végrehajtás sikeres nyomon követésének köszönhetően, de a személyzet bérét és az épületek költségeit befolyásoló magas inflációs ráta miatt is</w:t>
            </w:r>
            <w:r>
              <w:t xml:space="preserve">; ezzel összefüggésben tudomásul veszi az EGSZB </w:t>
            </w:r>
            <w:r>
              <w:rPr>
                <w:b/>
                <w:i/>
              </w:rPr>
              <w:t>a</w:t>
            </w:r>
            <w:r>
              <w:t xml:space="preserve"> különböző költségvetési sorok közötti költségvetési </w:t>
            </w:r>
            <w:r>
              <w:rPr>
                <w:b/>
                <w:i/>
              </w:rPr>
              <w:t>átcsoportosítások révén tett erőfeszítéseit</w:t>
            </w:r>
            <w:r>
              <w:t xml:space="preserve">, amelyek összesen 2 487 139 EUR-t tettek ki (ami a 2024. évi költségvetésének 1,51%-ának felel meg), és a legjelentősebb növekedés a szoftverrendszerek és az épületek üzemeltetéséhez és karbantartásához kapcsolódott (+ 519 682 EUR, illetve + 421 880 EUR); elégedetten veszi tudomásul továbbá, hogy a kifizetési előirányzatok folyó évi végrehajtási aránya a 2022. évi 88,12%-ról és a 2023. évi 90,67%-ról 2024-ben 92,85%-ra nőtt, az átlagos kifizetési idő pedig a 2023. évi 20,14 napról 2024-ben 16,06 napra csökkent, </w:t>
            </w:r>
            <w:r>
              <w:rPr>
                <w:b/>
                <w:i/>
              </w:rPr>
              <w:t>és</w:t>
            </w:r>
            <w:r>
              <w:t xml:space="preserve"> 2021 óta </w:t>
            </w:r>
            <w:r>
              <w:rPr>
                <w:b/>
                <w:i/>
              </w:rPr>
              <w:t>ez</w:t>
            </w:r>
            <w:r>
              <w:t xml:space="preserve"> az EGSZB által elért legjobb eredmény;</w:t>
            </w:r>
          </w:p>
        </w:tc>
        <w:tc>
          <w:tcPr>
            <w:tcW w:w="4876" w:type="dxa"/>
            <w:tcBorders>
              <w:top w:val="nil"/>
              <w:left w:val="nil"/>
              <w:bottom w:val="nil"/>
              <w:right w:val="nil"/>
            </w:tcBorders>
          </w:tcPr>
          <w:p>
            <w:pPr>
              <w:pStyle w:val="Normal6a"/>
            </w:pPr>
            <w:r>
              <w:t>5.</w:t>
            </w:r>
            <w:r>
              <w:tab/>
            </w:r>
            <w:r>
              <w:t xml:space="preserve">elismerését fejezi ki az EGSZB-nek </w:t>
            </w:r>
            <w:r>
              <w:rPr>
                <w:b/>
                <w:i/>
              </w:rPr>
              <w:t>az idei év</w:t>
            </w:r>
            <w:r>
              <w:t xml:space="preserve"> kötelezettségvállalási </w:t>
            </w:r>
            <w:r>
              <w:rPr>
                <w:b/>
                <w:i/>
              </w:rPr>
              <w:t>előirányzatainak magas szintű végrehajtásáért, amely a költségvetés végrehajtásának sikeres nyomon követésének, valamint a személyzeti bérek és az épületköltségeket érintő magas inflációs rátának köszönhetően</w:t>
            </w:r>
            <w:r>
              <w:t xml:space="preserve"> a 2023. évi 98,70%-ról 2024-ben 99,21%-ra </w:t>
            </w:r>
            <w:r>
              <w:rPr>
                <w:b/>
                <w:i/>
              </w:rPr>
              <w:t>emelkedett</w:t>
            </w:r>
            <w:r>
              <w:t xml:space="preserve">; ezzel összefüggésben tudomásul veszi az EGSZB </w:t>
            </w:r>
            <w:r>
              <w:rPr>
                <w:b/>
                <w:i/>
              </w:rPr>
              <w:t>által véghezvitt,</w:t>
            </w:r>
            <w:r>
              <w:t xml:space="preserve"> különböző költségvetési sorok közötti költségvetési </w:t>
            </w:r>
            <w:r>
              <w:rPr>
                <w:b/>
                <w:i/>
              </w:rPr>
              <w:t>átcsoportosításokat</w:t>
            </w:r>
            <w:r>
              <w:t xml:space="preserve">, amelyek összesen 2 487 139 EUR-t tettek ki (ami a 2024. évi költségvetésének 1,51%-ának felel meg), és a legjelentősebb növekedés a szoftverrendszerek és az épületek üzemeltetéséhez és karbantartásához kapcsolódott (+ 519 682 EUR, illetve + 421 880 EUR); elégedetten veszi tudomásul továbbá, hogy a kifizetési előirányzatok folyó évi végrehajtási aránya a 2022. évi 88,12%-ról és a 2023. évi 90,67%-ról 2024-ben 92,85%-ra nőtt, az átlagos kifizetési idő pedig a 2023. évi 20,14 napról 2024-ben 16,06 napra csökkent, </w:t>
            </w:r>
            <w:r>
              <w:rPr>
                <w:b/>
                <w:i/>
              </w:rPr>
              <w:t>ami</w:t>
            </w:r>
            <w:r>
              <w:t xml:space="preserve"> 2021 óta az EGSZB által elért legjobb eredmény; </w:t>
            </w:r>
            <w:r>
              <w:rPr>
                <w:b/>
                <w:i/>
              </w:rPr>
              <w:t>ösztönzi a hatékony nyomon követés, a költségek visszafogása és a stratégiai újraelosztás folytatását a megfelelő ár-érték arány és az átláthatóság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megjegyzi, hogy 2024. szeptember 21-én a Tanács új határozatot fogadott el az EGSZB tagjai és póttagjai részére napidíj biztosításáról, valamint utazási költségeik megtérítéséről, amelynek értelmében a személyes jelenléttel zajló üléseken részt vevő kedvezményezettek napidíjának összege 367 EUR (korábban 290 EUR volt), az üléseken távolról, elektronikus úton részt vevő kedvezményezettek napidíjának összege pedig 149 EUR (korábban 145 EUR volt); a kérdőív alapján megjegyzi, hogy 2024-ben az EGSZB 259 669 EUR-t (2023-ban 294 930 EUR-t) térített meg a távoli részvétel esetében, ami 1744 ülésnapnak felel meg (szemben a 2023. évi 2006 ülésnappal), míg az üléseken való személyes részvétel esetében fizetett átalányösszegű juttatások teljes összege 2024-ben 6 579 196 EUR volt (szemben a 2023. évi 5 902 963 </w:t>
            </w:r>
            <w:r>
              <w:rPr>
                <w:b/>
                <w:i/>
              </w:rPr>
              <w:t>EUR-ral</w:t>
            </w:r>
            <w:r>
              <w:t xml:space="preserve">); megjegyzi továbbá, hogy az EGSZB rendelkezik olyan rendszerrel, amely megerősíti az üléseken távolról, elektronikus úton való tényleges részvételt; úgy véli, hogy </w:t>
            </w:r>
            <w:r>
              <w:rPr>
                <w:b/>
                <w:i/>
              </w:rPr>
              <w:t>bár</w:t>
            </w:r>
            <w:r>
              <w:t xml:space="preserve"> a távoli részvétel fontos eszköz a modern intézmények számára </w:t>
            </w:r>
            <w:r>
              <w:rPr>
                <w:b/>
                <w:i/>
              </w:rPr>
              <w:t>–</w:t>
            </w:r>
            <w:r>
              <w:t xml:space="preserve"> az ülések </w:t>
            </w:r>
            <w:r>
              <w:rPr>
                <w:b/>
                <w:i/>
              </w:rPr>
              <w:t>költségeinek csökkentése és</w:t>
            </w:r>
            <w:r>
              <w:t xml:space="preserve"> a szélesebb körű részvétel </w:t>
            </w:r>
            <w:r>
              <w:rPr>
                <w:b/>
                <w:i/>
              </w:rPr>
              <w:t>lehetővé tétele szempontjából –, a nyilvánosság számára nehéz megérteni az üléseken való távoli részvételért járó juttatás odaítélését, még akkor is</w:t>
            </w:r>
            <w:r>
              <w:t xml:space="preserve">, </w:t>
            </w:r>
            <w:r>
              <w:rPr>
                <w:b/>
                <w:i/>
              </w:rPr>
              <w:t>ha a juttatás</w:t>
            </w:r>
            <w:r>
              <w:t xml:space="preserve"> csökkentett </w:t>
            </w:r>
            <w:r>
              <w:rPr>
                <w:b/>
                <w:i/>
              </w:rPr>
              <w:t>összegű és bizonyos</w:t>
            </w:r>
            <w:r>
              <w:t xml:space="preserve"> típusú rendezvényekre </w:t>
            </w:r>
            <w:r>
              <w:rPr>
                <w:b/>
                <w:i/>
              </w:rPr>
              <w:t>korlátozódik</w:t>
            </w:r>
            <w:r>
              <w:t>;</w:t>
            </w:r>
          </w:p>
        </w:tc>
        <w:tc>
          <w:tcPr>
            <w:tcW w:w="4876" w:type="dxa"/>
            <w:tcBorders>
              <w:top w:val="nil"/>
              <w:left w:val="nil"/>
              <w:bottom w:val="nil"/>
              <w:right w:val="nil"/>
            </w:tcBorders>
          </w:tcPr>
          <w:p>
            <w:pPr>
              <w:pStyle w:val="Normal6a"/>
            </w:pPr>
            <w:r>
              <w:t>7.</w:t>
            </w:r>
            <w:r>
              <w:tab/>
            </w:r>
            <w:r>
              <w:t xml:space="preserve">megjegyzi, hogy 2024. szeptember 21-én a Tanács új határozatot fogadott el az EGSZB tagjai és póttagjai részére napidíj biztosításáról, valamint utazási költségeik megtérítéséről, amelynek értelmében a személyes jelenléttel zajló üléseken részt vevő kedvezményezettek napidíjának összege 367 EUR (korábban 290 EUR volt), az üléseken távolról, elektronikus úton részt vevő kedvezményezettek napidíjának összege pedig 149 EUR (korábban 145 EUR volt); a kérdőív alapján megjegyzi, hogy 2024-ben az EGSZB 259 669 EUR-t (2023-ban 294 930 EUR-t) térített meg a távoli részvétel esetében, ami 1744 ülésnapnak felel meg (szemben a 2023. évi 2006 ülésnappal), míg az üléseken való személyes részvétel esetében fizetett átalányösszegű juttatások teljes összege 2024-ben 6 579 196 EUR volt (szemben a 2023. évi 5 902 963 </w:t>
            </w:r>
            <w:r>
              <w:rPr>
                <w:b/>
                <w:i/>
              </w:rPr>
              <w:t>EUR-val</w:t>
            </w:r>
            <w:r>
              <w:t xml:space="preserve">); megjegyzi továbbá, hogy az EGSZB rendelkezik olyan rendszerrel, amely megerősíti az üléseken távolról, elektronikus úton való tényleges részvételt; úgy véli, hogy a távoli részvétel fontos </w:t>
            </w:r>
            <w:r>
              <w:rPr>
                <w:b/>
                <w:i/>
              </w:rPr>
              <w:t>eszköz és értékes</w:t>
            </w:r>
            <w:r>
              <w:t xml:space="preserve"> eszköz a modern intézmények számára</w:t>
            </w:r>
            <w:r>
              <w:rPr>
                <w:b/>
                <w:i/>
              </w:rPr>
              <w:t>, mivel csökkenti</w:t>
            </w:r>
            <w:r>
              <w:t xml:space="preserve"> az ülések </w:t>
            </w:r>
            <w:r>
              <w:rPr>
                <w:b/>
                <w:i/>
              </w:rPr>
              <w:t>költségeit és lehetővé teszi</w:t>
            </w:r>
            <w:r>
              <w:t xml:space="preserve"> a szélesebb körű </w:t>
            </w:r>
            <w:r>
              <w:rPr>
                <w:b/>
                <w:i/>
              </w:rPr>
              <w:t>részvételt;</w:t>
            </w:r>
            <w:r>
              <w:t xml:space="preserve"> </w:t>
            </w:r>
            <w:r>
              <w:rPr>
                <w:b/>
                <w:i/>
              </w:rPr>
              <w:t>üdvözli az EGSZB azon megközelítését, hogy a távoli</w:t>
            </w:r>
            <w:r>
              <w:t xml:space="preserve"> részvétel </w:t>
            </w:r>
            <w:r>
              <w:rPr>
                <w:b/>
                <w:i/>
              </w:rPr>
              <w:t>idejére járó ellátmányokat méltányos és arányos módon</w:t>
            </w:r>
            <w:r>
              <w:t xml:space="preserve">, </w:t>
            </w:r>
            <w:r>
              <w:rPr>
                <w:b/>
                <w:i/>
              </w:rPr>
              <w:t>a tagok felelősségi köreit és az előkészületekre vonatkozó követelményeket tükrözve, az átláthatóság és a költséghatékonyság biztosítása és nyomon követése mellett osszák ki</w:t>
            </w:r>
            <w:r>
              <w:t xml:space="preserve"> csökkentett </w:t>
            </w:r>
            <w:r>
              <w:rPr>
                <w:b/>
                <w:i/>
              </w:rPr>
              <w:t>számú és korlátozott</w:t>
            </w:r>
            <w:r>
              <w:t xml:space="preserve"> típusú rendezvényekre</w:t>
            </w:r>
            <w:r>
              <w:rPr>
                <w:b/>
                <w:i/>
              </w:rPr>
              <w:t>;</w:t>
            </w:r>
            <w:r>
              <w:t xml:space="preserve"> </w:t>
            </w:r>
            <w:r>
              <w:rPr>
                <w:b/>
                <w:i/>
              </w:rPr>
              <w:t>emlékeztet arra, hogy az Európai Gazdasági és Szociális Bizottság tagjai megbízatásukért nem kapnak fizetést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felhívja az EGSZB-t, hogy értékelje újra a távoli részvétel idejére járó ellátmányok rendszerét a teljes átláthatóság, az arányosság és a közbizalom biztosítása érdekében;</w:t>
            </w:r>
            <w:r>
              <w:t xml:space="preserve"> </w:t>
            </w:r>
            <w:r>
              <w:rPr>
                <w:b/>
                <w:i/>
              </w:rPr>
              <w:t>hangsúlyozza, hogy a távoli részvétel idejére járó pénzügyi ellentételezésnek szigorúan indokoltnak és korlátozott hatókörűnek kell lennie, és összhangban kell lennie a költséghatékonyság és az elszámoltathatóság elvével.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mély aggodalmát fejezi ki az EU növekvő adósságterhei és hitelfelvételi költségei miatt;</w:t>
            </w:r>
            <w:r>
              <w:t xml:space="preserve"> </w:t>
            </w:r>
            <w:r>
              <w:rPr>
                <w:b/>
                <w:i/>
              </w:rPr>
              <w:t>megjegyzi, hogy az Európai Számvevőszék éves jelentése szerint az EU által felvett hitelek állománya 2027-ig meghaladhatja a 900 milliárd EUR-t, ami közel tízszerese a NextGenerationEU helyreállítási csomag bevezetése előtti, 2020-as szintnek;</w:t>
            </w:r>
            <w:r>
              <w:t xml:space="preserve"> </w:t>
            </w:r>
            <w:r>
              <w:rPr>
                <w:b/>
                <w:i/>
              </w:rPr>
              <w:t>figyelmeztet arra, hogy a növekvő hitelfelvételi költségek kockázatot jelentenek a jövőbeli költségvetésekre nézve, és csökkentik az új prioritások költségvetési mozgásterét;</w:t>
            </w:r>
            <w:r>
              <w:t xml:space="preserve"> </w:t>
            </w:r>
            <w:r>
              <w:rPr>
                <w:b/>
                <w:i/>
              </w:rPr>
              <w:t>ezért újfent hangsúlyozza, hogy ez a példa nélküli költségvetési nyomás megköveteli, hogy szigorúan az EGSZB saját igazgatási költségvetésén belül keressenek megtakarításokat;</w:t>
            </w:r>
            <w:r>
              <w:t xml:space="preserve"> </w:t>
            </w:r>
            <w:r>
              <w:rPr>
                <w:b/>
                <w:i/>
              </w:rPr>
              <w:t>felhívja a főtitkárt, hogy terjesszen elő tervet a strukturális költségek csökkentésére annak érdekében, hogy bizonyítsa az intézményi felelősséget magas államadósság idején;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felhívja az EGSZB igazgatását, hogy aktívan azonosítsa és hajtsa végre a költségmegtakarítási intézkedéseket, többek között a hibrid ülések technológiáinak fokozott használata, az épülethasználat optimalizálása, a parlamenti tevékenységek megszilárdítása és a szükségtelen logisztikai költségek csökkentése révén;</w:t>
            </w:r>
            <w:r>
              <w:t xml:space="preserve"> </w:t>
            </w:r>
            <w:r>
              <w:rPr>
                <w:b/>
                <w:i/>
              </w:rPr>
              <w:t>rendszeres eredményjelentéseket kér a végrehajtott intézkedésekről és az elért megtakarításokról;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felhívja az EGSZB-t, hogy fogadjon el strukturált ütemtervet a 10%-os kiberbiztonsági kiadási referenciaérték fokozatos elérésére, beleértve az éves mérföldköveket, a kockázatalapú rangsorolást és a mentesítésért felelős hatóságnak való rendszeres jelentéstételt;</w:t>
            </w:r>
            <w:r>
              <w:t xml:space="preserve"> </w:t>
            </w:r>
            <w:r>
              <w:rPr>
                <w:b/>
                <w:i/>
              </w:rPr>
              <w:t>hangsúlyozza, hogy a koherens és reziliens kiberbiztonsági helyzet biztosítása érdekében megerősített együttműködésre van szükség a CERT-EU-val és más uniós intézményekkel.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elismeri, hogy az EGSZB alapvető fontosságú hozzájárulást nyújt az uniós szakpolitikák kialakításához és a döntéshozatali folyamatokhoz azáltal, hogy az Unión belül a szervezett civil társadalom valamennyi területének véleményét képviseli, ilyen módon közelebb hozza Európát a polgáraihoz, és növeli az uniós jogszabályok demokratikus legitimitását; emlékeztet arra, hogy éves munkaprogramjának részeként az EGSZB teljesítmény-ellenőrzési rendszerrel rendelkezik, amely a főtitkárság 2021–2025 közötti időszakra szóló stratégiájának keretében öt alapvető érték és öt fő stratégiai célkitűzés köré szerveződő mutatókat tartalmaz különböző területekre, például az informatikára, a humánerőforrásokra, a fordításra és a kommunikációra vonatkozóan; a Parlament 2023. évre vonatkozó mentesítésről szóló állásfoglalásában szereplő megjegyzések EGSZB általi nyomon követése (a továbbiakban: nyomonkövetési jelentés) és a kérdőív alapján megelégedéssel veszi tudomásul, hogy egy ellenőrzést követően az EGSZB strukturált folyamatot indított annak érdekében, hogy javítsa teljesítmény-ellenőrzését azáltal, hogy teljesítménykeretét összehangolja a stratégiai célkitűzésekkel fő teljesítménymutatók és az EGSZB jövőbeli stratégiai céljaival összehangolandó hatásmutatók révén, mivel a felső vezetés kulcsszerepet fog játszani e mutatók alkalmazásában; elvárja, hogy a mentesítésért felelős hatóságnak történő jövőbeli jelentéstétel révén tájékoztatást kapjon ezen új keret megvalósításának eredményéről;</w:t>
            </w:r>
          </w:p>
        </w:tc>
        <w:tc>
          <w:tcPr>
            <w:tcW w:w="4876" w:type="dxa"/>
            <w:tcBorders>
              <w:top w:val="nil"/>
              <w:left w:val="nil"/>
              <w:bottom w:val="nil"/>
              <w:right w:val="nil"/>
            </w:tcBorders>
          </w:tcPr>
          <w:p>
            <w:pPr>
              <w:pStyle w:val="Normal6a"/>
            </w:pPr>
            <w:r>
              <w:t>12.</w:t>
            </w:r>
            <w:r>
              <w:tab/>
            </w:r>
            <w:r>
              <w:t>elismeri, hogy az EGSZB alapvető fontosságú hozzájárulást nyújt az uniós szakpolitikák kialakításához és a döntéshozatali folyamatokhoz azáltal, hogy az Unión belül a szervezett civil társadalom valamennyi területének véleményét képviseli, ilyen módon közelebb hozza Európát a polgáraihoz, és növeli az uniós jogszabályok demokratikus legitimitását; emlékeztet arra, hogy éves munkaprogramjának részeként az EGSZB teljesítmény-ellenőrzési rendszerrel rendelkezik, amely a főtitkárság 2021–2025 közötti időszakra szóló stratégiájának keretében öt alapvető érték és öt fő stratégiai célkitűzés köré szerveződő mutatókat tartalmaz különböző területekre, például az informatikára, a humánerőforrásokra, a fordításra és a kommunikációra vonatkozóan</w:t>
            </w:r>
            <w:r>
              <w:rPr>
                <w:b/>
                <w:i/>
              </w:rPr>
              <w:t>;</w:t>
            </w:r>
            <w:r>
              <w:t xml:space="preserve"> </w:t>
            </w:r>
            <w:r>
              <w:rPr>
                <w:b/>
                <w:i/>
              </w:rPr>
              <w:t>úgy véli azonban, hogy tevékenységeinek az európai polgárok számára nyújtott hozzáadott értékéről továbbra sem számolnak be kellő mértékben;</w:t>
            </w:r>
            <w:r>
              <w:t xml:space="preserve"> </w:t>
            </w:r>
            <w:r>
              <w:rPr>
                <w:b/>
                <w:i/>
              </w:rPr>
              <w:t>felkéri az EGSZB-t, hogy erősítse tovább hatásvizsgálati keretrendszerét annak jobb bemutatásával, hogy véleményei és kezdeményezései hogyan vezetnek konkrét szakpolitikai eredményekhez és kézzelfogható előnyökhöz a polgárok számára</w:t>
            </w:r>
            <w:r>
              <w:t>; a Parlament 2023. évre vonatkozó mentesítésről szóló állásfoglalásában szereplő megjegyzések EGSZB általi nyomon követése (a továbbiakban: nyomonkövetési jelentés) és a kérdőív alapján megelégedéssel veszi tudomásul, hogy egy ellenőrzést követően az EGSZB strukturált folyamatot indított annak érdekében, hogy javítsa teljesítmény-ellenőrzését azáltal, hogy teljesítménykeretét összehangolja a stratégiai célkitűzésekkel fő teljesítménymutatók és az EGSZB jövőbeli stratégiai céljaival összehangolandó hatásmutatók révén, mivel a felső vezetés kulcsszerepet fog játszani e mutatók alkalmazásában; elvárja, hogy a mentesítésért felelős hatóságnak történő jövőbeli jelentéstétel révén tájékoztatást kapjon ezen új keret megvalósításának eredményéről;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elismeri, hogy az EGSZB alapvető fontosságú hozzájárulást nyújt az uniós szakpolitikák kialakításához és a döntéshozatali folyamatokhoz azáltal, hogy az Unión belül a szervezett civil társadalom valamennyi területének véleményét képviseli, ilyen módon közelebb hozza Európát a polgáraihoz, és növeli az uniós jogszabályok demokratikus legitimitását; emlékeztet arra, hogy éves munkaprogramjának részeként az EGSZB teljesítmény-ellenőrzési rendszerrel rendelkezik, amely a főtitkárság 2021–2025 közötti időszakra szóló stratégiájának keretében öt alapvető érték és öt fő stratégiai célkitűzés köré szerveződő mutatókat tartalmaz különböző területekre, például az informatikára, a humánerőforrásokra, a fordításra és a kommunikációra vonatkozóan; a Parlament 2023. évre vonatkozó mentesítésről szóló állásfoglalásában szereplő megjegyzések EGSZB általi nyomon követése (a továbbiakban: nyomonkövetési jelentés) és a kérdőív alapján megelégedéssel veszi tudomásul, hogy egy ellenőrzést követően az EGSZB strukturált folyamatot indított annak érdekében, hogy javítsa teljesítmény-ellenőrzését azáltal, hogy teljesítménykeretét összehangolja a stratégiai célkitűzésekkel fő teljesítménymutatók és az EGSZB jövőbeli stratégiai céljaival összehangolandó hatásmutatók révén, mivel a felső vezetés kulcsszerepet fog játszani e mutatók alkalmazásában; elvárja, hogy a mentesítésért felelős hatóságnak történő jövőbeli jelentéstétel révén tájékoztatást kapjon ezen új keret megvalósításának eredményéről;</w:t>
            </w:r>
          </w:p>
        </w:tc>
        <w:tc>
          <w:tcPr>
            <w:tcW w:w="4876" w:type="dxa"/>
            <w:tcBorders>
              <w:top w:val="nil"/>
              <w:left w:val="nil"/>
              <w:bottom w:val="nil"/>
              <w:right w:val="nil"/>
            </w:tcBorders>
          </w:tcPr>
          <w:p>
            <w:pPr>
              <w:pStyle w:val="Normal6a"/>
            </w:pPr>
            <w:r>
              <w:t>12.</w:t>
            </w:r>
            <w:r>
              <w:tab/>
            </w:r>
            <w:r>
              <w:t xml:space="preserve">elismeri, hogy az EGSZB alapvető fontosságú hozzájárulást nyújt az uniós szakpolitikák kialakításához és a döntéshozatali folyamatokhoz azáltal, hogy az Unión belül a szervezett civil társadalom valamennyi területének véleményét képviseli, ilyen módon közelebb hozza Európát a polgáraihoz, és növeli az uniós jogszabályok demokratikus legitimitását; emlékeztet arra, hogy éves munkaprogramjának részeként az EGSZB teljesítmény-ellenőrzési rendszerrel rendelkezik, amely a főtitkárság 2021–2025 közötti időszakra szóló stratégiájának keretében öt alapvető érték és öt fő stratégiai célkitűzés köré szerveződő mutatókat tartalmaz különböző területekre, például az informatikára, a humánerőforrásokra, a fordításra és a kommunikációra vonatkozóan; a Parlament 2023. évre vonatkozó mentesítésről szóló állásfoglalásában szereplő megjegyzések EGSZB általi nyomon követése (a továbbiakban: nyomonkövetési jelentés) és a kérdőív alapján megelégedéssel veszi tudomásul, hogy egy ellenőrzést követően az EGSZB strukturált folyamatot indított annak érdekében, hogy javítsa teljesítmény-ellenőrzését azáltal, hogy teljesítménykeretét összehangolja a stratégiai célkitűzésekkel fő teljesítménymutatók és az EGSZB jövőbeli stratégiai céljaival összehangolandó hatásmutatók révén, mivel a felső vezetés kulcsszerepet fog játszani e mutatók alkalmazásában; elvárja, hogy a mentesítésért felelős hatóságnak történő jövőbeli jelentéstétel révén tájékoztatást kapjon ezen új keret megvalósításának eredményéről; </w:t>
            </w:r>
            <w:r>
              <w:rPr>
                <w:b/>
                <w:i/>
              </w:rPr>
              <w:t>üdvözli az EGSZB arra irányuló erőfeszítéseit, hogy döntéshozatali folyamatába beépítse a hatásmérést, és egyértelmű, számszerűsíthető fő teljesítménymutatókat és rendszeres jelentéstételt szorgalmaz a mérhető eredmények és az elszámoltathatóság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megjegyzi, hogy az EGSZB a küldetését vélemények megfogalmazásával teljesíti, amelyek vonatkozhatnak az Európai Bizottság jogalkotási javaslataira (felkérésre), lehetnek saját kezdeményezésű vélemények, amelyek cselekvésre szólítják fel az uniós intézményeket, valamint lehetnek feltáró vélemények, amelyek hozzájárulnak az Európai Bizottságnak a tervezett kezdeményezésekkel kapcsolatos munkájához; megjegyzi továbbá, hogy az EGSZB álláspontjai kiemelten jelenhetnek meg állásfoglalásokban, illetve helyet kaphatnak értékelő és tájékoztató jelentésekben is; elismerését fejezi ki az EGSZB-nek a 2024. évi jogalkotási ciklusban a Parlament, a Tanács és a Bizottság támogatása terén végzett teljesítményéért; ezzel összefüggésben megjegyzi, hogy 2024-ben az EGSZB 142 véleményt és jelentést fogadott el, ami csökkenést jelent a 2023. évi 213-hoz képest, valamint 148 meghallgatást és 26 konferenciát szervezett a 2023. évi 146-hoz, illetve 24-hez képest; elismeri, hogy a jogalkotási ciklus 2024-es megújítását követően csökkent a felkérések száma és következésképpen az EGSZB által abban az évben elfogadott vélemények száma is; megjegyzi, hogy az EGSZB tagjai 2024-ben 518 magas szintű ülésen, csúcstalálkozón és konferencián vettek részt, a 2023. évi 429-hez képest;</w:t>
            </w:r>
          </w:p>
        </w:tc>
        <w:tc>
          <w:tcPr>
            <w:tcW w:w="4876" w:type="dxa"/>
            <w:tcBorders>
              <w:top w:val="nil"/>
              <w:left w:val="nil"/>
              <w:bottom w:val="nil"/>
              <w:right w:val="nil"/>
            </w:tcBorders>
          </w:tcPr>
          <w:p>
            <w:pPr>
              <w:pStyle w:val="Normal6a"/>
            </w:pPr>
            <w:r>
              <w:t>13.</w:t>
            </w:r>
            <w:r>
              <w:tab/>
            </w:r>
            <w:r>
              <w:t xml:space="preserve">megjegyzi, hogy az EGSZB a küldetését vélemények megfogalmazásával teljesíti, amelyek vonatkozhatnak az Európai Bizottság jogalkotási javaslataira (felkérésre), lehetnek saját kezdeményezésű vélemények, amelyek cselekvésre szólítják fel az uniós intézményeket, valamint lehetnek feltáró vélemények, amelyek hozzájárulnak az Európai Bizottságnak a tervezett kezdeményezésekkel kapcsolatos munkájához; megjegyzi továbbá, hogy az EGSZB álláspontjai kiemelten jelenhetnek meg állásfoglalásokban, illetve helyet kaphatnak értékelő és tájékoztató jelentésekben is; elismerését fejezi ki az EGSZB-nek a 2024. évi jogalkotási ciklusban a Parlament, a Tanács és a Bizottság támogatása terén végzett teljesítményéért; ezzel összefüggésben megjegyzi, hogy 2024-ben az EGSZB 142 véleményt és jelentést fogadott el, ami csökkenést jelent a 2023. évi 213-hoz képest, valamint 148 meghallgatást és 26 konferenciát szervezett a 2023. évi 146-hoz, illetve 24-hez képest; elismeri, hogy a jogalkotási ciklus 2024-es megújítását követően csökkent a felkérések száma és következésképpen az EGSZB által abban az évben elfogadott vélemények száma is; megjegyzi, hogy az EGSZB tagjai 2024-ben 518 magas szintű ülésen, csúcstalálkozón és konferencián vettek részt, a 2023. évi 429-hez képest; </w:t>
            </w:r>
            <w:r>
              <w:rPr>
                <w:b/>
                <w:i/>
              </w:rPr>
              <w:t>ösztönzi a gazdasági növekedést, a versenyképességet és az EU stratégiai autonómiáját támogató kezdeményezések priorizálását;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ösztönzi az EGSZB-t, hogy továbbra is törekedjen arra, hogy munkáját azokra a területekre összpontosítsa, ahol egyértelmű, mérhető és szakpolitikai szempontból releváns hozzájárulásokat tud nyújtani, és fejlessze tovább azokat a teljesítmény- és hatásalapú mutatókat, amelyek túlmutatnak a tevékenységalapú outputokon, és jobban tükrözik az eredményeket és a polgárok számára releváns szempontokat;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 nyomonkövetési jelentés alapján üdvözli az EGSZB azon kötelezettségvállalását, hogy véleményeket fogalmaz meg a munkavállalói jogokról, a társadalmi befogadásról és az emberi jogok megsértéséről, és hogy megfelelő források rendelkezésre állása esetén az uniós jogszabályok és programok tekintetében kiterjeszti értékeléseinek hatókörét;</w:t>
            </w:r>
          </w:p>
        </w:tc>
        <w:tc>
          <w:tcPr>
            <w:tcW w:w="4876" w:type="dxa"/>
            <w:tcBorders>
              <w:top w:val="nil"/>
              <w:left w:val="nil"/>
              <w:bottom w:val="nil"/>
              <w:right w:val="nil"/>
            </w:tcBorders>
          </w:tcPr>
          <w:p>
            <w:pPr>
              <w:pStyle w:val="Normal6a"/>
            </w:pPr>
            <w:r>
              <w:t>14.</w:t>
            </w:r>
            <w:r>
              <w:tab/>
            </w:r>
            <w:r>
              <w:t>a nyomonkövetési jelentés alapján üdvözli az EGSZB azon kötelezettségvállalását, hogy véleményeket fogalmaz meg a munkavállalói jogokról, a társadalmi befogadásról és az emberi jogok megsértéséről, és hogy megfelelő források rendelkezésre állása esetén az uniós jogszabályok és programok tekintetében kiterjeszti értékeléseinek hatókörét</w:t>
            </w:r>
            <w:r>
              <w:rPr>
                <w:b/>
                <w:i/>
              </w:rPr>
              <w:t>, a civil társadalom széles körét képviselve</w:t>
            </w:r>
            <w:r>
              <w:t xml:space="preserve">; </w:t>
            </w:r>
            <w:r>
              <w:rPr>
                <w:b/>
                <w:i/>
              </w:rPr>
              <w:t>ösztönzi az EGSZB-t, hogy a vélemények hatályát terjessze ki a közjavakkal kapcsolatos további uniós jogszabályokra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nagyra értékeli az EGSZB által 2024-ben annak érdekében tett intézkedéseket, hogy növelje munkájának láthatóságát és hatását a politikai és jogalkotási ciklusban; üdvözli, hogy egy kísérleti projektet követően hivatalosan elindították </w:t>
            </w:r>
            <w:r>
              <w:rPr>
                <w:b/>
                <w:i/>
              </w:rPr>
              <w:t>a Parlamenttől,</w:t>
            </w:r>
            <w:r>
              <w:t xml:space="preserve"> a Tanácstól vagy a Bizottságtól érkező kötelező felkérésekre válaszul kidolgozott vélemények új formátumát; megjegyzi, hogy az új formátum növeli a felhasználóbarát jelleget és a jogalkotó általi felhasználhatóságot, ugyanakkor elősegíti az EGSZB munkája során a prioritások jobb kitűzését; megjegyzi továbbá, hogy a kiválasztott vélemények ellenőrzőlista és iránymutatás révén történő megerősített nyomon követésének köszönhetően az EGSZB arra számít, hogy azok elfogadásuk után is relevánsak maradnak, és beépülnek a többszintű jogalkotási folyamatokba; üdvözli továbbá, hogy az EU Law Tracker (EULT) webhely 2024 áprilisától tartalmazza az EGSZB véleményeit, így azok immár hivatkozásként jelennek meg a jogalkotási dossziékban; elismeréssel veszi tudomásul, hogy az EGSZB elfogadott egy belső tervet is az uniós prioritások jobb előrejelzése, az intézményközi koordináció javítása, a terjesztés és a nyomon követés megerősítése, valamint a hatás szisztematikusabb mérése érdekében;</w:t>
            </w:r>
          </w:p>
        </w:tc>
        <w:tc>
          <w:tcPr>
            <w:tcW w:w="4876" w:type="dxa"/>
            <w:tcBorders>
              <w:top w:val="nil"/>
              <w:left w:val="nil"/>
              <w:bottom w:val="nil"/>
              <w:right w:val="nil"/>
            </w:tcBorders>
          </w:tcPr>
          <w:p>
            <w:pPr>
              <w:pStyle w:val="Normal6a"/>
            </w:pPr>
            <w:r>
              <w:t>15.</w:t>
            </w:r>
            <w:r>
              <w:tab/>
            </w:r>
            <w:r>
              <w:t>nagyra értékeli az EGSZB által 2024-ben annak érdekében tett intézkedéseket, hogy növelje munkájának láthatóságát és hatását a politikai és jogalkotási ciklusban; üdvözli, hogy egy kísérleti projektet követően hivatalosan elindították a Tanácstól vagy a Bizottságtól érkező kötelező felkérésekre válaszul kidolgozott vélemények új formátumát; megjegyzi, hogy az új formátum növeli a felhasználóbarát jelleget és a jogalkotó általi felhasználhatóságot, ugyanakkor elősegíti az EGSZB munkája során a prioritások jobb kitűzését; megjegyzi továbbá, hogy a kiválasztott vélemények ellenőrzőlista és iránymutatás révén történő megerősített nyomon követésének köszönhetően az EGSZB arra számít, hogy azok elfogadásuk után is relevánsak maradnak, és beépülnek a többszintű jogalkotási folyamatokba; üdvözli továbbá, hogy az EU Law Tracker (EULT) webhely 2024 áprilisától tartalmazza az EGSZB véleményeit, így azok immár hivatkozásként jelennek meg a jogalkotási dossziékban; elismeréssel veszi tudomásul, hogy az EGSZB elfogadott egy belső tervet is az uniós prioritások jobb előrejelzése, az intézményközi koordináció javítása, a terjesztés és a nyomon követés megerősítése, valamint a hatás szisztematikusabb mérése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nagyra értékeli az EGSZB által 2024-ben annak érdekében hozott intézkedéseket, hogy javítsa véleményeinek hozzáférhetőségét, egyértelműségét és használhatóságát az uniós intézmények számára;</w:t>
            </w:r>
            <w:r>
              <w:t xml:space="preserve"> </w:t>
            </w:r>
            <w:r>
              <w:rPr>
                <w:b/>
                <w:i/>
              </w:rPr>
              <w:t>hangsúlyozza, hogy az ilyen intézkedések célja a jogalkotók tájékozott döntéshozatali képességének javítása;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elismeréssel veszi tudomásul, hogy az EGSZB számos kiemelt kezdeményezést terjesztett elő, amelyek Unió-szerte megerősítették a részvételt, a befogadást és a szakpolitikai hatást; megjegyzi, hogy az EGSZB 2024 szeptemberétől vezető szerepet vállalt abban, hogy véleményalkotási folyamatában alkalmazza az uniós ifjúsági tesztet, és 73 ifjúsági szervezet hálózatának bevonásával mintegy 40 véleményt tesztelt; megjegyzi továbbá, hogy az EGSZB a bővítési tagjelöltekre vonatkozó kezdeményezés révén kiterjesztette a tagjelölt országokkal való együttműködését, lehetővé téve a civil társadalom 146 képviselője számára, hogy tanulmányozócsoportokban, szekcióüléseken és (a 2024. októberi) plenáris ülésen való részvétel révén közvetlenül hozzájáruljanak az EGSZB véleményeihez; elismerését fejezi ki az EGSZB-nek az uniós kék megállapodás előmozdításáért, amivel elősegítette, hogy az Unió napirendre tűzze a vízgazdálkodás rezilienciáját; hangsúlyozza, hogy az EGSZB továbbra is vezető szerepet töltött be a körforgásos gazdaság érdekelt feleinek európai platformjában, és 2024-ben társszervezője volt az uniós ökológiai díjaknak, megerősítve ezáltal a kapcsolatokat a civil társadalmi szereplőkkel a biogazdálkodás terén;</w:t>
            </w:r>
          </w:p>
        </w:tc>
        <w:tc>
          <w:tcPr>
            <w:tcW w:w="4876" w:type="dxa"/>
            <w:tcBorders>
              <w:top w:val="nil"/>
              <w:left w:val="nil"/>
              <w:bottom w:val="nil"/>
              <w:right w:val="nil"/>
            </w:tcBorders>
          </w:tcPr>
          <w:p>
            <w:pPr>
              <w:pStyle w:val="Normal6a"/>
            </w:pPr>
            <w:r>
              <w:t>16.</w:t>
            </w:r>
            <w:r>
              <w:tab/>
            </w:r>
            <w:r>
              <w:t xml:space="preserve">elismeréssel veszi tudomásul, hogy az EGSZB számos kiemelt kezdeményezést terjesztett elő, amelyek Unió-szerte megerősítették a részvételt, a befogadást és a szakpolitikai hatást; megjegyzi, hogy az EGSZB 2024 szeptemberétől vezető szerepet vállalt abban, hogy véleményalkotási folyamatában alkalmazza az uniós ifjúsági tesztet, és 73 ifjúsági szervezet hálózatának bevonásával mintegy 40 véleményt tesztelt; megjegyzi továbbá, hogy az EGSZB a bővítési tagjelöltekre vonatkozó kezdeményezés révén kiterjesztette a tagjelölt országokkal való együttműködését, lehetővé téve a civil társadalom 146 képviselője számára, hogy tanulmányozócsoportokban, szekcióüléseken és (a 2024. októberi) plenáris ülésen való részvétel révén közvetlenül hozzájáruljanak az EGSZB véleményeihez; </w:t>
            </w:r>
            <w:r>
              <w:rPr>
                <w:b/>
                <w:i/>
              </w:rPr>
              <w:t>üdvözli ezt a kezdeményezést, amely elősegíti az inkluzív párbeszédet és a jövőbeli bővítésre való felkészülést;</w:t>
            </w:r>
            <w:r>
              <w:t xml:space="preserve"> elismerését fejezi ki az EGSZB-nek az uniós kék megállapodás előmozdításáért, amivel elősegítette, hogy az Unió napirendre tűzze a vízgazdálkodás rezilienciáját; hangsúlyozza, hogy az EGSZB továbbra is vezető szerepet töltött be a körforgásos gazdaság érdekelt feleinek európai platformjában, és 2024-ben társszervezője volt az uniós ökológiai díjaknak, megerősítve ezáltal a kapcsolatokat a civil társadalmi szereplőkkel a biogazdálkodás terén; </w:t>
            </w:r>
            <w:r>
              <w:rPr>
                <w:b/>
                <w:i/>
              </w:rPr>
              <w:t>ösztönzi az uniós stratégiai szakpolitikai célkitűzésekhez és a mérhető eredményekhez való folyamatos igazodást;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elismeréssel veszi tudomásul, hogy az EGSZB számos kiemelt kezdeményezést terjesztett elő, amelyek Unió-szerte megerősítették a részvételt, a befogadást és a szakpolitikai hatást; megjegyzi, hogy az EGSZB 2024 szeptemberétől vezető szerepet vállalt abban, hogy véleményalkotási folyamatában alkalmazza az uniós ifjúsági tesztet, és 73 ifjúsági szervezet hálózatának bevonásával mintegy 40 véleményt tesztelt; megjegyzi továbbá, hogy az EGSZB a bővítési tagjelöltekre vonatkozó kezdeményezés révén kiterjesztette a tagjelölt országokkal való együttműködését, lehetővé téve a civil társadalom 146 képviselője számára, hogy tanulmányozócsoportokban, szekcióüléseken és (a 2024. októberi) plenáris ülésen való részvétel révén közvetlenül hozzájáruljanak az EGSZB véleményeihez; elismerését fejezi ki az EGSZB-nek az uniós kék megállapodás előmozdításáért, amivel elősegítette, hogy az Unió napirendre tűzze a vízgazdálkodás rezilienciáját; hangsúlyozza, hogy az EGSZB továbbra is vezető szerepet töltött be a körforgásos gazdaság érdekelt feleinek európai platformjában, és 2024-ben társszervezője volt az uniós ökológiai díjaknak, megerősítve ezáltal a kapcsolatokat a civil társadalmi szereplőkkel a biogazdálkodás terén;</w:t>
            </w:r>
          </w:p>
        </w:tc>
        <w:tc>
          <w:tcPr>
            <w:tcW w:w="4876" w:type="dxa"/>
            <w:tcBorders>
              <w:top w:val="nil"/>
              <w:left w:val="nil"/>
              <w:bottom w:val="nil"/>
              <w:right w:val="nil"/>
            </w:tcBorders>
          </w:tcPr>
          <w:p>
            <w:pPr>
              <w:pStyle w:val="Normal6a"/>
            </w:pPr>
            <w:r>
              <w:t>16.</w:t>
            </w:r>
            <w:r>
              <w:tab/>
            </w:r>
            <w:r>
              <w:t>elismeréssel veszi tudomásul, hogy az EGSZB számos kiemelt kezdeményezést terjesztett elő, amelyek Unió-szerte megerősítették a részvételt, a befogadást és a szakpolitikai hatást; megjegyzi, hogy az EGSZB 2024 szeptemberétől vezető szerepet vállalt abban, hogy véleményalkotási folyamatában alkalmazza az uniós ifjúsági tesztet, és 73 ifjúsági szervezet hálózatának bevonásával mintegy 40 véleményt tesztelt</w:t>
            </w:r>
            <w:r>
              <w:rPr>
                <w:b/>
                <w:i/>
              </w:rPr>
              <w:t>;</w:t>
            </w:r>
            <w:r>
              <w:t xml:space="preserve"> </w:t>
            </w:r>
            <w:r>
              <w:rPr>
                <w:b/>
                <w:i/>
              </w:rPr>
              <w:t>üdvözli és támogatja az EGSZB arra irányuló kezdeményezéseit, hogy megerősítse a fiatalok részvételét a politikai döntéshozatali folyamatban</w:t>
            </w:r>
            <w:r>
              <w:t>; megjegyzi továbbá, hogy az EGSZB a bővítési tagjelöltekre vonatkozó kezdeményezés révén kiterjesztette a tagjelölt országokkal való együttműködését, lehetővé téve a civil társadalom 146 képviselője számára, hogy tanulmányozócsoportokban, szekcióüléseken és (a 2024. októberi) plenáris ülésen való részvétel révén közvetlenül hozzájáruljanak az EGSZB véleményeihez; elismerését fejezi ki az EGSZB-nek az uniós kék megállapodás előmozdításáért, amivel elősegítette, hogy az Unió napirendre tűzze a vízgazdálkodás rezilienciáját; hangsúlyozza, hogy az EGSZB továbbra is vezető szerepet töltött be a körforgásos gazdaság érdekelt feleinek európai platformjában, és 2024-ben társszervezője volt az uniós ökológiai díjaknak, megerősítve ezáltal a kapcsolatokat a civil társadalmi szereplőkkel a biogazdálkodás terén;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 kérdőív alapján megelégedéssel veszi tudomásul az EGSZB-nek az adminisztratív terhek csökkentésére és a folyamatok észszerűsítésére irányuló 2024. évi intézkedéseit; üdvözli e tekintetben többek között egy új, hatékonyabb látogatói regisztrációs program elindítását, a kollaboratív szoftvereknek a személyzet egyes tagjai általi használatát, az EGSZB üzleti folyamatmenedzsmentre vonatkozó módszertanának használatát szabályozó, több igazgatóságot átfogó munkacsoportot, az ellenőrzési folyamat egyszerűsítését a kiszervezett fordítások tekintetében, több nyelvi osztály összevonását, valamint az EGSZB kommunikációs szabályainak egyszerűsítését; érdeklődéssel veszi tudomásul, hogy az erőforrások megtakarítása érdekében az EGSZB kísérleti jelleggel mesterséges intelligenciát (MI) alkalmaz a Fordítási Igazgatóság átalakítására; felkéri az EGSZB-t, hogy a kérdésben történt előrelépésekről tájékoztassa a mentesítésért felelős hatóságot;</w:t>
            </w:r>
          </w:p>
        </w:tc>
        <w:tc>
          <w:tcPr>
            <w:tcW w:w="4876" w:type="dxa"/>
            <w:tcBorders>
              <w:top w:val="nil"/>
              <w:left w:val="nil"/>
              <w:bottom w:val="nil"/>
              <w:right w:val="nil"/>
            </w:tcBorders>
          </w:tcPr>
          <w:p>
            <w:pPr>
              <w:pStyle w:val="Normal6a"/>
            </w:pPr>
            <w:r>
              <w:t>17.</w:t>
            </w:r>
            <w:r>
              <w:tab/>
            </w:r>
            <w:r>
              <w:t xml:space="preserve">a kérdőív alapján megelégedéssel veszi tudomásul az EGSZB-nek az adminisztratív terhek csökkentésére és a folyamatok észszerűsítésére irányuló 2024. évi intézkedéseit; üdvözli e tekintetben többek között egy új, hatékonyabb látogatói regisztrációs program elindítását, a kollaboratív szoftvereknek a személyzet egyes tagjai általi használatát, az EGSZB üzleti folyamatmenedzsmentre vonatkozó módszertanának használatát szabályozó, több igazgatóságot átfogó munkacsoportot, az ellenőrzési folyamat egyszerűsítését a kiszervezett fordítások tekintetében, több nyelvi osztály összevonását, valamint az EGSZB kommunikációs szabályainak egyszerűsítését; érdeklődéssel veszi tudomásul, hogy az erőforrások megtakarítása érdekében az EGSZB kísérleti jelleggel mesterséges intelligenciát (MI) alkalmaz a Fordítási Igazgatóság átalakítására; </w:t>
            </w:r>
            <w:r>
              <w:rPr>
                <w:b/>
                <w:i/>
              </w:rPr>
              <w:t>hangsúlyozza, hogy a mesterséges intelligenciát emberi felügyelet mellett kell használni;</w:t>
            </w:r>
            <w:r>
              <w:t xml:space="preserve"> felkéri az EGSZB-t, hogy a kérdésben történt előrelépésekről tájékoztassa a mentesítésért felelős hatóságot;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felkéri az EGSZB-t, hogy fejlessze tovább a mesterséges intelligenciára, az automatizálásra, az interoperabilitásra és az adatkormányzásra kiterjedő átfogó digitális átállási stratégiát, és dolgozza ki a kialakulóban lévő technológiák biztonságos, felelős és átlátható használatát biztosító etikai keretet;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 kérdőív alapján érdeklődéssel veszi tudomásul az EGSZB arra irányuló erőfeszítéseit, hogy fokozottan stratégiai megközelítést alkalmazzon a hatásokkal kapcsolatos munkájára vonatkozó prioritások meghatározására, és a döntéshozatal középpontjába a hatásmenedzsmentet helyezze; ezzel összefüggésben megjegyzi, hogy 2024-ben és 2025-ben három magas szintű stratégiai szemináriumot szerveztek politikai vezetők részvételével, amelyek során az előrejelzések központi szerepet játszottak többek között a kezdeményezések prioritásainak meghatározásához vagy a prioritási sorrendek megszüntetéséhez és a civil társadalom hosszú távú igényeivel való tematikus összhang biztosításához szükséges kritériumok kidolgozásában; megjegyzi, hogy ez a priorizálás be fog épülni az EGSZB fő tevékenységeibe, mivel arra évente kerül sor, és azt 2,5 évente kiegészíti az EGSZB valamennyi szervének, tevékenységének és főbb rendezvényének felülvizsgálata;</w:t>
            </w:r>
          </w:p>
        </w:tc>
        <w:tc>
          <w:tcPr>
            <w:tcW w:w="4876" w:type="dxa"/>
            <w:tcBorders>
              <w:top w:val="nil"/>
              <w:left w:val="nil"/>
              <w:bottom w:val="nil"/>
              <w:right w:val="nil"/>
            </w:tcBorders>
          </w:tcPr>
          <w:p>
            <w:pPr>
              <w:pStyle w:val="Normal6a"/>
            </w:pPr>
            <w:r>
              <w:t>18.</w:t>
            </w:r>
            <w:r>
              <w:tab/>
            </w:r>
            <w:r>
              <w:t>a kérdőív alapján érdeklődéssel veszi tudomásul az EGSZB arra irányuló erőfeszítéseit, hogy fokozottan stratégiai megközelítést alkalmazzon a hatásokkal kapcsolatos munkájára vonatkozó prioritások meghatározására, és a döntéshozatal középpontjába a hatásmenedzsmentet helyezze; ezzel összefüggésben megjegyzi, hogy 2024-ben és 2025-ben három magas szintű stratégiai szemináriumot szerveztek politikai vezetők részvételével, amelyek során az előrejelzések központi szerepet játszottak többek között a kezdeményezések prioritásainak meghatározásához vagy a prioritási sorrendek megszüntetéséhez és a civil társadalom hosszú távú igényeivel való tematikus összhang biztosításához szükséges kritériumok kidolgozásában; megjegyzi, hogy ez a priorizálás be fog épülni az EGSZB fő tevékenységeibe, mivel arra évente kerül sor, és azt 2,5 évente kiegészíti az EGSZB valamennyi szervének, tevékenységének és főbb rendezvényének felülvizsgálata;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 2024. évi megfelelési ellenőrzés tekintetében megjegyzi, hogy az átlagos megfelelési arány magas, 85% (2023-ban 87% volt); sajnálja, hogy a belső kontrollrendszer hatékonysága 78%-ról 66%-ra csökkent; ezzel összefüggésben megjegyzi, hogy jelentős eltérés van a formális megfelelés és a napi működés tényleges hatékonysága között; </w:t>
            </w:r>
            <w:r>
              <w:rPr>
                <w:b/>
                <w:i/>
              </w:rPr>
              <w:t>megjegyzi, hogy erőfeszítéseket kell tenni többek között</w:t>
            </w:r>
            <w:r>
              <w:t xml:space="preserve"> a belső </w:t>
            </w:r>
            <w:r>
              <w:rPr>
                <w:b/>
                <w:i/>
              </w:rPr>
              <w:t>kommunikáció, a kockázatokra való figyelemfelkeltés</w:t>
            </w:r>
            <w:r>
              <w:t xml:space="preserve">, valamint a dokumentum- és információkezelési rendszerek </w:t>
            </w:r>
            <w:r>
              <w:rPr>
                <w:b/>
                <w:i/>
              </w:rPr>
              <w:t>korszerűsítése terén</w:t>
            </w:r>
            <w:r>
              <w:t>; megjegyzi továbbá, hogy 2024-ben az EGSZB felülvizsgált határozatot fogadott el az ellenőrzések 23 típusának egyszerűsítésére vonatkozóan, amely 2025 januárjától alkalmazandó; a kérdőív alapján üdvözli, hogy az ellenőrzések tekintetében már elvégzett utólagos ellenőrzések megerősítették, hogy az egyszerűsítés nem vont maga után további kockázatokat;</w:t>
            </w:r>
          </w:p>
        </w:tc>
        <w:tc>
          <w:tcPr>
            <w:tcW w:w="4876" w:type="dxa"/>
            <w:tcBorders>
              <w:top w:val="nil"/>
              <w:left w:val="nil"/>
              <w:bottom w:val="nil"/>
              <w:right w:val="nil"/>
            </w:tcBorders>
          </w:tcPr>
          <w:p>
            <w:pPr>
              <w:pStyle w:val="Normal6a"/>
            </w:pPr>
            <w:r>
              <w:t>19.</w:t>
            </w:r>
            <w:r>
              <w:tab/>
            </w:r>
            <w:r>
              <w:t xml:space="preserve">a 2024. évi megfelelési ellenőrzés tekintetében megjegyzi, hogy az átlagos megfelelési arány magas, 85% (2023-ban 87% volt); sajnálja, hogy a belső kontrollrendszer hatékonysága 78%-ról 66%-ra csökkent; ezzel összefüggésben megjegyzi, hogy jelentős eltérés van a formális megfelelés és a napi működés tényleges hatékonysága között; </w:t>
            </w:r>
            <w:r>
              <w:rPr>
                <w:b/>
                <w:i/>
              </w:rPr>
              <w:t>felhívja az EGSZB-t, hogy foglalkozzon</w:t>
            </w:r>
            <w:r>
              <w:t xml:space="preserve"> a belső </w:t>
            </w:r>
            <w:r>
              <w:rPr>
                <w:b/>
                <w:i/>
              </w:rPr>
              <w:t>ellenőrzés hatékonysága csökkenésének strukturális okaival, különösen a kockázattudatosság megerősítése, a belső kommunikációs csatornák javítása</w:t>
            </w:r>
            <w:r>
              <w:t xml:space="preserve">, valamint a dokumentum- és információkezelési rendszerek </w:t>
            </w:r>
            <w:r>
              <w:rPr>
                <w:b/>
                <w:i/>
              </w:rPr>
              <w:t>korszerűsítésének felgyorsítása révén</w:t>
            </w:r>
            <w:r>
              <w:t>; megjegyzi továbbá, hogy 2024-ben az EGSZB felülvizsgált határozatot fogadott el az ellenőrzések 23 típusának egyszerűsítésére vonatkozóan, amely 2025 januárjától alkalmazandó; a kérdőív alapján üdvözli, hogy az ellenőrzések tekintetében már elvégzett utólagos ellenőrzések megerősítették, hogy az egyszerűsítés nem vont maga után további kockázatokat;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 2024. évi megfelelési ellenőrzés tekintetében megjegyzi, hogy az átlagos megfelelési arány magas, 85% (2023-ban 87% volt); sajnálja, hogy a belső kontrollrendszer hatékonysága 78%-ról 66%-ra csökkent; ezzel összefüggésben megjegyzi, hogy jelentős eltérés van a formális megfelelés és a napi működés tényleges hatékonysága között; megjegyzi, hogy erőfeszítéseket kell tenni többek között a belső kommunikáció, a kockázatokra való figyelemfelkeltés, valamint a dokumentum- és információkezelési rendszerek korszerűsítése terén; megjegyzi továbbá, hogy 2024-ben az EGSZB felülvizsgált határozatot fogadott el az ellenőrzések 23 típusának egyszerűsítésére vonatkozóan, amely 2025 januárjától alkalmazandó; a kérdőív alapján üdvözli, hogy az ellenőrzések tekintetében már elvégzett utólagos ellenőrzések megerősítették, hogy az egyszerűsítés nem vont maga után további kockázatokat;</w:t>
            </w:r>
          </w:p>
        </w:tc>
        <w:tc>
          <w:tcPr>
            <w:tcW w:w="4876" w:type="dxa"/>
            <w:tcBorders>
              <w:top w:val="nil"/>
              <w:left w:val="nil"/>
              <w:bottom w:val="nil"/>
              <w:right w:val="nil"/>
            </w:tcBorders>
          </w:tcPr>
          <w:p>
            <w:pPr>
              <w:pStyle w:val="Normal6a"/>
            </w:pPr>
            <w:r>
              <w:t>19.</w:t>
            </w:r>
            <w:r>
              <w:tab/>
            </w:r>
            <w:r>
              <w:t>a 2024. évi megfelelési ellenőrzés tekintetében megjegyzi, hogy az átlagos megfelelési arány magas, 85% (2023-ban 87% volt); sajnálja, hogy a belső kontrollrendszer hatékonysága 78%-ról 66%-ra csökkent; ezzel összefüggésben megjegyzi, hogy jelentős eltérés van a formális megfelelés és a napi működés tényleges hatékonysága között; megjegyzi, hogy erőfeszítéseket kell tenni többek között a belső kommunikáció, a kockázatokra való figyelemfelkeltés, valamint a dokumentum- és információkezelési rendszerek korszerűsítése terén; megjegyzi továbbá, hogy 2024-ben az EGSZB felülvizsgált határozatot fogadott el az ellenőrzések 23 típusának egyszerűsítésére vonatkozóan, amely 2025 januárjától alkalmazandó; a kérdőív alapján üdvözli, hogy az ellenőrzések tekintetében már elvégzett utólagos ellenőrzések megerősítették, hogy az egyszerűsítés nem vont maga után további kockázatokat;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tudomásul veszi az EGSZB 2024. évi éves tevékenységi jelentését (a továbbiakban: az EGSZB jelentése), amely szerint 2024-ben öt új ellenőrzésre került sor az útidő- és távolsági pótlék, a kockázatkezelés, a felkérések, a fő tevékenység- és teljesítménymutatók, valamint az utazási költségek tekintetében, ami összesen 14 ajánlás megfogalmazásához vezetett; tudomásul veszi különösen a belső ellenőrnek az útidő- és távolsági pótlékokkal kapcsolatos megállapításait, például a „szokásos tartózkodási hely” egyértelmű meghatározásának hiányát és a bizonylatokra vonatkozó követelmények hiányát illetően; megjegyzi továbbá, hogy 2025. január végén az ajánlások közül 13 még lezáratlan volt; megjegyzi továbbá, hogy a korábbi ellenőrzésekből származó hét ajánlás még mindig lezáratlan, különösen az etika és a feddhetetlenség, a kifizetési határidők, az ülések engedélyezése, az Ipari Szerkezetváltás Konzultatív Bizottsága (CCMI) küldöttei és a stratégiai ciklus tekintetében; ezzel összefüggésben üdvözli, hogy az EGSZB új szabályokat fogadott el az ülések engedélyezésére, a juttatásokra és a költségtérítésekre vonatkozóan; </w:t>
            </w:r>
            <w:r>
              <w:rPr>
                <w:b/>
                <w:i/>
              </w:rPr>
              <w:t>kéri</w:t>
            </w:r>
            <w:r>
              <w:t xml:space="preserve"> az EGSZB-t, hogy </w:t>
            </w:r>
            <w:r>
              <w:rPr>
                <w:b/>
                <w:i/>
              </w:rPr>
              <w:t>folyamatosan</w:t>
            </w:r>
            <w:r>
              <w:t xml:space="preserve"> tájékoztassa a mentesítésért felelős hatóságot </w:t>
            </w:r>
            <w:r>
              <w:rPr>
                <w:b/>
                <w:i/>
              </w:rPr>
              <w:t>a</w:t>
            </w:r>
            <w:r>
              <w:t xml:space="preserve"> folyamatban lévő </w:t>
            </w:r>
            <w:r>
              <w:rPr>
                <w:b/>
                <w:i/>
              </w:rPr>
              <w:t>összes ajánlással kapcsolatban</w:t>
            </w:r>
            <w:r>
              <w:t xml:space="preserve"> elért </w:t>
            </w:r>
            <w:r>
              <w:rPr>
                <w:b/>
                <w:i/>
              </w:rPr>
              <w:t>előrehaladásról</w:t>
            </w:r>
            <w:r>
              <w:t>;</w:t>
            </w:r>
          </w:p>
        </w:tc>
        <w:tc>
          <w:tcPr>
            <w:tcW w:w="4876" w:type="dxa"/>
            <w:tcBorders>
              <w:top w:val="nil"/>
              <w:left w:val="nil"/>
              <w:bottom w:val="nil"/>
              <w:right w:val="nil"/>
            </w:tcBorders>
          </w:tcPr>
          <w:p>
            <w:pPr>
              <w:pStyle w:val="Normal6a"/>
            </w:pPr>
            <w:r>
              <w:t>20.</w:t>
            </w:r>
            <w:r>
              <w:tab/>
            </w:r>
            <w:r>
              <w:t xml:space="preserve">tudomásul veszi az EGSZB 2024.évi éves tevékenységi jelentését (a továbbiakban:az EGSZB jelentése), amely szerint 2024-ben öt új ellenőrzésre került sor az útidő- és távolsági pótlék, a kockázatkezelés, a felkérések, a fő tevékenység- és teljesítménymutatók, valamint az utazási költségek tekintetében, ami összesen 14 ajánlás megfogalmazásához vezetett;tudomásul veszi különösen a belső ellenőrnek az útidő- és távolsági pótlékokkal kapcsolatos megállapításait, például a „szokásos tartózkodási hely” egyértelmű meghatározásának hiányát és a bizonylatokra vonatkozó követelmények hiányát illetően; megjegyzi továbbá, hogy 2025. január végén az ajánlások közül 13 még lezáratlan volt; megjegyzi továbbá, hogy a korábbi ellenőrzésekből származó hét ajánlás még mindig lezáratlan, különösen az etika és a feddhetetlenség, a kifizetési határidők, az ülések engedélyezése, az Ipari Szerkezetváltás Konzultatív Bizottsága (CCMI) küldöttei és a stratégiai ciklus tekintetében; ezzel összefüggésben üdvözli, hogy az EGSZB új szabályokat fogadott el az ülések engedélyezésére, a juttatásokra és a költségtérítésekre vonatkozóan; </w:t>
            </w:r>
            <w:r>
              <w:rPr>
                <w:b/>
                <w:i/>
              </w:rPr>
              <w:t>felkéri</w:t>
            </w:r>
            <w:r>
              <w:t xml:space="preserve"> az EGSZB-t, hogy </w:t>
            </w:r>
            <w:r>
              <w:rPr>
                <w:b/>
                <w:i/>
              </w:rPr>
              <w:t>biztosítsa az összes függőben lévő ellenőrzési ajánlás gyors lezárását, különös tekintettel a juttatásokkal, az etikával és a feddhetetlenséggel kapcsolatos ajánlásokra, és továbbra is</w:t>
            </w:r>
            <w:r>
              <w:t xml:space="preserve"> tájékoztassa a mentesítésért felelős hatóságot </w:t>
            </w:r>
            <w:r>
              <w:rPr>
                <w:b/>
                <w:i/>
              </w:rPr>
              <w:t>az összes</w:t>
            </w:r>
            <w:r>
              <w:t xml:space="preserve"> folyamatban lévő </w:t>
            </w:r>
            <w:r>
              <w:rPr>
                <w:b/>
                <w:i/>
              </w:rPr>
              <w:t>ajánlás végrehajtása terén</w:t>
            </w:r>
            <w:r>
              <w:t xml:space="preserve"> elért </w:t>
            </w:r>
            <w:r>
              <w:rPr>
                <w:b/>
                <w:i/>
              </w:rPr>
              <w:t>eredményekről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hangsúlyozza, hogy a közbeszerzés fontos eszköz a szakpolitikai célkitűzések – többek között a szociális és környezetvédelmi célok – előmozdításában;</w:t>
            </w:r>
            <w:r>
              <w:t xml:space="preserve"> </w:t>
            </w:r>
            <w:r>
              <w:rPr>
                <w:b/>
                <w:i/>
              </w:rPr>
              <w:t>felhívja a Bizottságot, hogy közbeszerzési eljárásaiba jobban építse be a társadalmi felelősségvállalásra és a környezeti fenntarthatóságra vonatkozó stratégiai kritériumokat;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megjegyzi, hogy a 2023. évi 707 főhöz képest az EGSZB 2024 végén 713 főt foglalkoztatott; megjegyzi továbbá, hogy 2024-ben 48 szerződéses alkalmazottat és 144 ideiglenes alkalmazottat (akik közül 42-t 2024-ben vettek fel) foglalkoztattak (a 2023. évi 49 szerződéses alkalmazotthoz és 130 ideiglenes alkalmazotthoz képest); hangsúlyozza a határozatlan idejű szerződések biztosításának fontosságát a készségek, a folytonosság </w:t>
            </w:r>
            <w:r>
              <w:rPr>
                <w:b/>
                <w:i/>
              </w:rPr>
              <w:t>és</w:t>
            </w:r>
            <w:r>
              <w:t xml:space="preserve"> a produktív munkakörnyezet fenntartása érdekében; megjegyzi továbbá, hogy az EGSZB 10 szolgáltatót alkalmazott, és 14 főt foglalkoztatott a személyi állomány külső tagjai közül, nem számítva az étkeztetés, a karbantartás, a biztonság és a védelem területén dolgozókat; tudomásul veszi, hogy az álláshelyek betöltöttségének aránya 96% volt (2023-ban 95,50%), és hogy a személyzet fluktuációja 2024-ben 5,60% volt (szemben a 2023. évi 7%-kal);</w:t>
            </w:r>
          </w:p>
        </w:tc>
        <w:tc>
          <w:tcPr>
            <w:tcW w:w="4876" w:type="dxa"/>
            <w:tcBorders>
              <w:top w:val="nil"/>
              <w:left w:val="nil"/>
              <w:bottom w:val="nil"/>
              <w:right w:val="nil"/>
            </w:tcBorders>
          </w:tcPr>
          <w:p>
            <w:pPr>
              <w:pStyle w:val="Normal6a"/>
            </w:pPr>
            <w:r>
              <w:t>21.</w:t>
            </w:r>
            <w:r>
              <w:tab/>
            </w:r>
            <w:r>
              <w:t>megjegyzi, hogy a 2023. évi 707 főhöz képest az EGSZB 2024 végén 713 főt foglalkoztatott; megjegyzi továbbá, hogy 2024-ben 48 szerződéses alkalmazottat és 144 ideiglenes alkalmazottat (akik közül 42-t 2024-ben vettek fel) foglalkoztattak (a 2023. évi 49 szerződéses alkalmazotthoz és 130 ideiglenes alkalmazotthoz képest); hangsúlyozza a határozatlan idejű szerződések biztosításának fontosságát a készségek, a folytonosság</w:t>
            </w:r>
            <w:r>
              <w:rPr>
                <w:b/>
                <w:i/>
              </w:rPr>
              <w:t>, valamint</w:t>
            </w:r>
            <w:r>
              <w:t xml:space="preserve"> a produktív </w:t>
            </w:r>
            <w:r>
              <w:rPr>
                <w:b/>
                <w:i/>
              </w:rPr>
              <w:t>és stabil</w:t>
            </w:r>
            <w:r>
              <w:t xml:space="preserve"> munkakörnyezet fenntartása érdekében</w:t>
            </w:r>
            <w:r>
              <w:rPr>
                <w:b/>
                <w:i/>
              </w:rPr>
              <w:t>, és óva int attól, hogy túlzott mértékben külső szolgáltatókra támaszkodjanak</w:t>
            </w:r>
            <w:r>
              <w:t>; megjegyzi továbbá, hogy az EGSZB 10 szolgáltatót alkalmazott, és 14 főt foglalkoztatott a személyi állomány külső tagjai közül, nem számítva az étkeztetés, a karbantartás, a biztonság és a védelem területén dolgozókat; tudomásul veszi, hogy az álláshelyek betöltöttségének aránya 96% volt (2023-ban 95,50%), és hogy a személyzet fluktuációja 2024-ben 5,60% volt (szemben a 2023. évi 7%-kal);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megjegyzi, hogy 2024-ben az EGSZB valamennyi uniós állampolgárságot képviselő személyzetet foglalkoztatott, amelyből néhány állampolgárság felülreprezentált; megjegyzi, hogy a személyzet 62,70%-a nő, 37,30%-a pedig férfi volt; a nyomonkövetési jelentés alapján megjegyzi, hogy a vezetői pozíciók 52%-át nők töltik be, így e tekintetben az EGSZB élenjárónak számít; sajnálja azonban, hogy a felső vezetésben a nők aránya 2024-ben is alacsony maradt, és a hét felső vezetői tisztségből jelenleg csak kettőt töltenek be nők, ugyanannyit, mint 2023-ban; </w:t>
            </w:r>
            <w:r>
              <w:rPr>
                <w:b/>
                <w:i/>
              </w:rPr>
              <w:t>elismeri, hogy az EGSZB méretéből következő alacsony fluktuációs arány az egyik oka annak, hogy ezekben a pozíciókban alacsony a nők aránya;</w:t>
            </w:r>
            <w:r>
              <w:t xml:space="preserve"> </w:t>
            </w:r>
            <w:r>
              <w:rPr>
                <w:b/>
                <w:i/>
              </w:rPr>
              <w:t>üdvözli az EGSZB elkötelezettségét aziránt, hogy felhívja a kinevezésre jogosult hatóságok figyelmét erre a kérdésre, előmozdítsa a nemek szempontjából kiegyensúlyozott kinevezéseket, és célzott fellépésekben vegyen részt a Női Fórum és a vezetői fórum keretében, amelyek támogatják a középvezetői pozíciót betöltő nők vezetői képességeinek fejlesztését és szakmai előmenetelét;</w:t>
            </w:r>
          </w:p>
        </w:tc>
        <w:tc>
          <w:tcPr>
            <w:tcW w:w="4876" w:type="dxa"/>
            <w:tcBorders>
              <w:top w:val="nil"/>
              <w:left w:val="nil"/>
              <w:bottom w:val="nil"/>
              <w:right w:val="nil"/>
            </w:tcBorders>
          </w:tcPr>
          <w:p>
            <w:pPr>
              <w:pStyle w:val="Normal6a"/>
            </w:pPr>
            <w:r>
              <w:t>24.</w:t>
            </w:r>
            <w:r>
              <w:tab/>
            </w:r>
            <w:r>
              <w:t>megjegyzi, hogy 2024-ben az EGSZB valamennyi uniós állampolgárságot képviselő személyzetet foglalkoztatott, amelyből néhány állampolgárság felülreprezentált; megjegyzi, hogy a személyzet 62,70%-a nő, 37,30%-a pedig férfi volt; a nyomonkövetési jelentés alapján megjegyzi, hogy a vezetői pozíciók 52%-át nők töltik be, így e tekintetben az EGSZB élenjárónak számít; sajnálja azonban, hogy a felső vezetésben a nők aránya 2024-ben is alacsony maradt, és a hét felső vezetői tisztségből jelenleg csak kettőt töltenek be nők, ugyanannyit, mint 2023-ban;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megjegyzi, hogy 2024-ben az EGSZB valamennyi uniós állampolgárságot képviselő személyzetet foglalkoztatott, amelyből néhány állampolgárság felülreprezentált; megjegyzi, hogy a személyzet 62,70%-a nő, 37,30%-a pedig férfi volt; a nyomonkövetési jelentés alapján megjegyzi, hogy a vezetői pozíciók 52%-át nők töltik be, így e tekintetben az EGSZB élenjárónak számít; sajnálja azonban, hogy a felső vezetésben a nők aránya 2024-ben is alacsony maradt, és a hét felső vezetői tisztségből jelenleg csak kettőt töltenek be nők, ugyanannyit, mint 2023-ban; elismeri, hogy az EGSZB méretéből következő alacsony fluktuációs arány az egyik oka annak, hogy ezekben a pozíciókban alacsony a nők aránya; üdvözli az EGSZB elkötelezettségét aziránt, hogy felhívja a kinevezésre jogosult hatóságok figyelmét erre a kérdésre, előmozdítsa a nemek szempontjából kiegyensúlyozott kinevezéseket, és célzott fellépésekben vegyen részt a Női Fórum és a vezetői fórum keretében, amelyek támogatják a középvezetői pozíciót betöltő nők vezetői képességeinek fejlesztését és szakmai előmenetelét;</w:t>
            </w:r>
          </w:p>
        </w:tc>
        <w:tc>
          <w:tcPr>
            <w:tcW w:w="4876" w:type="dxa"/>
            <w:tcBorders>
              <w:top w:val="nil"/>
              <w:left w:val="nil"/>
              <w:bottom w:val="nil"/>
              <w:right w:val="nil"/>
            </w:tcBorders>
          </w:tcPr>
          <w:p>
            <w:pPr>
              <w:pStyle w:val="Normal6a"/>
            </w:pPr>
            <w:r>
              <w:t>24.</w:t>
            </w:r>
            <w:r>
              <w:tab/>
            </w:r>
            <w:r>
              <w:t xml:space="preserve">megjegyzi, hogy 2024-ben az EGSZB valamennyi uniós állampolgárságot képviselő személyzetet foglalkoztatott, amelyből néhány állampolgárság felülreprezentált; megjegyzi, hogy a személyzet 62,70%-a nő, 37,30%-a pedig férfi volt; a nyomonkövetési jelentés alapján megjegyzi, hogy a vezetői pozíciók 52%-át nők töltik be, így e tekintetben az EGSZB élenjárónak számít; sajnálja azonban, hogy a felső vezetésben a nők aránya 2024-ben is alacsony maradt, és a hét felső vezetői tisztségből jelenleg csak kettőt töltenek be nők, ugyanannyit, mint 2023-ban; elismeri </w:t>
            </w:r>
            <w:r>
              <w:rPr>
                <w:b/>
                <w:i/>
              </w:rPr>
              <w:t>a nemek közötti egyenlőség és a sokféleség stratégiai prioritásként való beépítésében elért legutóbbi előrelépéseket, amelyek célja egy befogadó és tiszteletteljes munkahelyi kultúra kialakítása;</w:t>
            </w:r>
            <w:r>
              <w:t xml:space="preserve"> </w:t>
            </w:r>
            <w:r>
              <w:rPr>
                <w:b/>
                <w:i/>
              </w:rPr>
              <w:t>üdvözli a sokszínűségi és befogadási stratégia és cselekvési terv végrehajtását, valamint a nőknek és az alulreprezentált csoportoknak szóló célzott mentorálási és vezetői készségeket fejlesztő programokat;</w:t>
            </w:r>
            <w:r>
              <w:t xml:space="preserve"> </w:t>
            </w:r>
            <w:r>
              <w:rPr>
                <w:b/>
                <w:i/>
              </w:rPr>
              <w:t>elismeri</w:t>
            </w:r>
            <w:r>
              <w:t>, hogy az EGSZB méretéből következő alacsony fluktuációs arány az egyik oka annak, hogy ezekben a pozíciókban alacsony a nők aránya; üdvözli az EGSZB elkötelezettségét aziránt, hogy felhívja a kinevezésre jogosult hatóságok figyelmét erre a kérdésre, előmozdítsa a nemek szempontjából kiegyensúlyozott kinevezéseket, és célzott fellépésekben vegyen részt a Női Fórum és a vezetői fórum keretében, amelyek támogatják a középvezetői pozíciót betöltő nők vezetői képességeinek fejlesztését és szakmai előmenetelét;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megjegyzi, hogy 2024-ben az EGSZB valamennyi uniós állampolgárságot képviselő személyzetet foglalkoztatott, amelyből néhány állampolgárság felülreprezentált; megjegyzi, hogy a személyzet 62,70%-a nő, 37,30%-a pedig férfi volt; a nyomonkövetési jelentés alapján </w:t>
            </w:r>
            <w:r>
              <w:rPr>
                <w:b/>
                <w:i/>
              </w:rPr>
              <w:t>megjegyzi</w:t>
            </w:r>
            <w:r>
              <w:t>, hogy a vezetői pozíciók 52%-át nők töltik be, így e tekintetben az EGSZB élenjárónak számít; sajnálja azonban, hogy a felső vezetésben a nők aránya 2024-ben is alacsony maradt, és a hét felső vezetői tisztségből jelenleg csak kettőt töltenek be nők, ugyanannyit, mint 2023-ban; elismeri, hogy az EGSZB méretéből következő alacsony fluktuációs arány az egyik oka annak, hogy ezekben a pozíciókban alacsony a nők aránya; üdvözli az EGSZB elkötelezettségét aziránt, hogy felhívja a kinevezésre jogosult hatóságok figyelmét erre a kérdésre, előmozdítsa a nemek szempontjából kiegyensúlyozott kinevezéseket, és célzott fellépésekben vegyen részt a Női Fórum és a vezetői fórum keretében, amelyek támogatják a középvezetői pozíciót betöltő nők vezetői képességeinek fejlesztését és szakmai előmenetelét;</w:t>
            </w:r>
          </w:p>
        </w:tc>
        <w:tc>
          <w:tcPr>
            <w:tcW w:w="4876" w:type="dxa"/>
            <w:tcBorders>
              <w:top w:val="nil"/>
              <w:left w:val="nil"/>
              <w:bottom w:val="nil"/>
              <w:right w:val="nil"/>
            </w:tcBorders>
          </w:tcPr>
          <w:p>
            <w:pPr>
              <w:pStyle w:val="Normal6a"/>
            </w:pPr>
            <w:r>
              <w:t>24.</w:t>
            </w:r>
            <w:r>
              <w:tab/>
            </w:r>
            <w:r>
              <w:t xml:space="preserve">megjegyzi, hogy 2024-ben az EGSZB valamennyi uniós állampolgárságot képviselő személyzetet foglalkoztatott, amelyből néhány állampolgárság felülreprezentált; megjegyzi, hogy a személyzet 62,70%-a nő, 37,30%-a pedig férfi volt; a nyomonkövetési jelentés alapján </w:t>
            </w:r>
            <w:r>
              <w:rPr>
                <w:b/>
                <w:i/>
              </w:rPr>
              <w:t>megelégedéssel veszi tudomásul</w:t>
            </w:r>
            <w:r>
              <w:t>, hogy a vezetői pozíciók 52%-át nők töltik be, így e tekintetben az EGSZB élenjárónak számít</w:t>
            </w:r>
            <w:r>
              <w:rPr>
                <w:b/>
                <w:i/>
              </w:rPr>
              <w:t>;</w:t>
            </w:r>
            <w:r>
              <w:t xml:space="preserve"> </w:t>
            </w:r>
            <w:r>
              <w:rPr>
                <w:b/>
                <w:i/>
              </w:rPr>
              <w:t>újfent üdvözli, hogy 2024 januárjában női főtitkárt neveztek ki, ami pozitív lépés a nemek közötti egyensúly elérése felé</w:t>
            </w:r>
            <w:r>
              <w:t>; sajnálja azonban, hogy a felső vezetésben a nők aránya 2024-ben is alacsony maradt, és a hét felső vezetői tisztségből jelenleg csak kettőt töltenek be nők, ugyanannyit, mint 2023-ban; elismeri, hogy az EGSZB méretéből következő alacsony fluktuációs arány az egyik oka annak, hogy ezekben a pozíciókban alacsony a nők aránya; üdvözli az EGSZB elkötelezettségét aziránt, hogy felhívja a kinevezésre jogosult hatóságok figyelmét erre a kérdésre, előmozdítsa a nemek szempontjából kiegyensúlyozott kinevezéseket, és célzott fellépésekben vegyen részt a Női Fórum és a vezetői fórum keretében, amelyek támogatják a középvezetői pozíciót betöltő nők vezetői képességeinek fejlesztését és szakmai előmenetelét;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emlékeztet az EGSZB arra irányuló kezdeményezésére, hogy új megközelítést vezessen be a stratégiai munkaerő-tervezés és a személyzet elosztása terén, kiaknázva a személyzeti készségekre vonatkozó adatgyűjtést, a szervezeten belüli aktív meghallgatást, valamint az EGSZB politikai szervei által a stratégiai prioritásokról folytatott gondolkodást; a nyomonkövetési jelentés alapján megjegyzi, hogy ezt az új típusú tervezést egy kísérleti projekt keretében indítják el és korlátozott számú, stratégiai prioritások alapján kiválasztott szolgáltatásokban alkalmazzák; felkéri az EGSZB-t, hogy folyamatosan tájékoztassa a mentesítésért felelős hatóságot az előrehaladásról és a későbbi fejleményekről;</w:t>
            </w:r>
          </w:p>
        </w:tc>
        <w:tc>
          <w:tcPr>
            <w:tcW w:w="4876" w:type="dxa"/>
            <w:tcBorders>
              <w:top w:val="nil"/>
              <w:left w:val="nil"/>
              <w:bottom w:val="nil"/>
              <w:right w:val="nil"/>
            </w:tcBorders>
          </w:tcPr>
          <w:p>
            <w:pPr>
              <w:pStyle w:val="Normal6a"/>
            </w:pPr>
            <w:r>
              <w:t>25.</w:t>
            </w:r>
            <w:r>
              <w:tab/>
            </w:r>
            <w:r>
              <w:t xml:space="preserve">emlékeztet az EGSZB arra irányuló kezdeményezésére, hogy új megközelítést vezessen be a stratégiai munkaerő-tervezés és a személyzet elosztása terén, kiaknázva a személyzeti készségekre vonatkozó adatgyűjtést, a szervezeten belüli aktív meghallgatást, valamint az EGSZB politikai szervei által a stratégiai prioritásokról folytatott gondolkodást; a nyomonkövetési jelentés alapján megjegyzi, hogy ezt az új típusú tervezést egy kísérleti projekt keretében indítják el és korlátozott számú, stratégiai prioritások alapján kiválasztott szolgáltatásokban alkalmazzák; felkéri az EGSZB-t, hogy folyamatosan tájékoztassa a mentesítésért felelős hatóságot az előrehaladásról és a későbbi fejleményekről; </w:t>
            </w:r>
            <w:r>
              <w:rPr>
                <w:b/>
                <w:i/>
              </w:rPr>
              <w:t>hangsúlyozza, hogy a stratégiai munkaerő-tervezés fontos jelentőséggel bír az erőforrás-elosztás optimalizálása és a magas szintű prioritásokkal való összhang biztosításában;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üdvözli az EGSZB arra irányuló erőfeszítéseit, hogy egészséges munkakörnyezetet teremtsen személyzete számára; különösen elismerését fejezi ki az EGSZB által a személyzet mentális és fizikai egészségére fordított figyelemért, valamint az egészséggel kapcsolatos kérdésekre való figyelemfelhívás érdekében tett erőfeszítésekért; tudomásul veszi az EGSZB betegszabadságok – például az orvosi részmunkaidő és a kiterjesztett távmunka – kezelésére vonatkozó intézkedéseit annak biztosítása érdekében, hogy a tartós betegséggel kapcsolatban távol lévő személyzet időben visszatérjen a munkába; megjegyzi, hogy a regisztrált betegszabadságon töltött napok teljes száma a 2023. évi 10 552-ről 2024-ben 9763-ra csökkent, ami 7,50%-os csökkenést jelent, valamint hogy a távollétek arány a 2023. évi 4,08%-ról 2023-ban 3,75%-ra csökkent (ami 2021 óta a legalacsonyabb érték); sajnálja, hogy az EGSZB ezúttal sem tudott adatokat szolgáltatni a kiégési szindróma eseteiről; megjegyzi, hogy az EGSZB érvei között szerepel többek között az, hogy a személyzet nem köteles előzetesen megosztani az orvosi adatokat, hogy a kiégés nem elismert orvosi diagnózis, és hogy a kiégés okai nem feltétlenül a munkával kapcsolatosak, valamint hivatkozik az orvosi titoktartásra is; megjegyzi, hogy az EGSZB anonimizált statisztikai adatokat gyűjt a mentális egészséggel kapcsolatos esetekről, de a rendelkezésre álló adatok nem teszik lehetővé a munkával kapcsolatos kiégés és egyéb, a munkával nem összefüggő problémák közötti különbségtételt; hangsúlyozza azonban, hogy a kiégés orvosi adatok nélkül is mérhető, mivel léteznek a munkával kapcsolatos kiégés felmérésére használható eszközök, és az Európai Munkahelyi Biztonsági és Egészségvédelmi Ügynökség (EU-OSHA) anonim kérdőívek használatát támogatja a munkahelyi stressz és a kiégés tényezőinek a munkával kapcsolatos mentális egészségügyi problémáktól elkülönített mérésére; sürgeti az EGSZB-t, hogy konzultáljon az európai adatvédelmi biztossal is a kiégéssel kapcsolatos adatok orvosi vagy nem orvosi eszközökkel történő gyűjtéséről, és folyamatosan tájékoztassa a mentesítésért felelős hatóságot a nyomon követésről;</w:t>
            </w:r>
          </w:p>
        </w:tc>
        <w:tc>
          <w:tcPr>
            <w:tcW w:w="4876" w:type="dxa"/>
            <w:tcBorders>
              <w:top w:val="nil"/>
              <w:left w:val="nil"/>
              <w:bottom w:val="nil"/>
              <w:right w:val="nil"/>
            </w:tcBorders>
          </w:tcPr>
          <w:p>
            <w:pPr>
              <w:pStyle w:val="Normal6a"/>
            </w:pPr>
            <w:r>
              <w:t>26.</w:t>
            </w:r>
            <w:r>
              <w:tab/>
            </w:r>
            <w:r>
              <w:t xml:space="preserve">üdvözli az EGSZB arra irányuló erőfeszítéseit, hogy egészséges munkakörnyezetet teremtsen személyzete számára; különösen elismerését fejezi ki az EGSZB által a személyzet mentális és fizikai egészségére fordított figyelemért, valamint az egészséggel kapcsolatos kérdésekre való figyelemfelhívás érdekében tett erőfeszítésekért; tudomásul veszi az EGSZB betegszabadságok – például az orvosi részmunkaidő és a kiterjesztett távmunka – kezelésére vonatkozó intézkedéseit annak biztosítása érdekében, hogy a tartós betegséggel kapcsolatban távol lévő személyzet időben visszatérjen a munkába; megjegyzi, hogy a regisztrált betegszabadságon töltött napok teljes száma a 2023. évi 10 552-ről 2024-ben 9763-ra csökkent, ami 7,50%-os csökkenést jelent, valamint hogy a távollétek arány a 2023. évi 4,08%-ról 2023-ban 3,75%-ra csökkent (ami 2021 óta a legalacsonyabb érték); sajnálja, hogy az EGSZB ezúttal sem tudott adatokat szolgáltatni a kiégési szindróma eseteiről; megjegyzi, hogy az EGSZB érvei között szerepel többek között az, hogy a személyzet nem köteles előzetesen megosztani az orvosi adatokat, hogy a kiégés nem elismert orvosi diagnózis, és hogy a kiégés okai nem feltétlenül a munkával kapcsolatosak, valamint hivatkozik az orvosi titoktartásra is; megjegyzi, hogy az EGSZB anonimizált statisztikai adatokat gyűjt a mentális egészséggel kapcsolatos esetekről, de a rendelkezésre álló adatok nem teszik lehetővé a munkával kapcsolatos kiégés és egyéb, a munkával nem összefüggő problémák közötti különbségtételt; hangsúlyozza azonban, hogy a kiégés orvosi adatok nélkül is mérhető, mivel léteznek a munkával kapcsolatos kiégés felmérésére használható eszközök, és az Európai Munkahelyi Biztonsági és Egészségvédelmi Ügynökség (EU-OSHA) anonim kérdőívek használatát támogatja a munkahelyi stressz és a kiégés tényezőinek a munkával kapcsolatos mentális egészségügyi problémáktól elkülönített mérésére; sürgeti az EGSZB-t, hogy konzultáljon az európai adatvédelmi biztossal is a kiégéssel kapcsolatos adatok orvosi vagy nem orvosi eszközökkel történő gyűjtéséről, </w:t>
            </w:r>
            <w:r>
              <w:rPr>
                <w:b/>
                <w:i/>
              </w:rPr>
              <w:t>tegyen konkrét és határozott lépéseket a kiégési esetekre vonatkozó adatok szisztematikus közzétételének biztosítása érdekében,</w:t>
            </w:r>
            <w:r>
              <w:t xml:space="preserve"> és folyamatosan tájékoztassa a mentesítésért felelős hatóságot a nyomon követésről;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28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üdvözli a szervezetváltási folyamatokban 2024 folyamán folytatott intenzív és strukturált szociális párbeszédet;</w:t>
            </w:r>
            <w:r>
              <w:t xml:space="preserve"> </w:t>
            </w:r>
            <w:r>
              <w:rPr>
                <w:b/>
                <w:i/>
              </w:rPr>
              <w:t>ösztönzi az EGSZB-t, hogy tartsa fenn és erősítse tovább a személyzet képviselőinek szisztematikus bevonását a többek között a digitalizációval, a belső átszervezéssel és az új munkamódszerekkel kapcsolatos reformokba;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a kérdőív alapján megjegyzi, hogy 2024-ben két állítólagos zaklatással kapcsolatos esetet jelentettek be, amelyeket kivizsgáltak és 2025-ben lezártak, mivel az egyik esetben nem állapítottak meg zaklatást, a másikban pedig elfogadták az érintett személy által a nem megfelelő magatartása miatt tett hivatalos bocsánatkérést; megjegyzi továbbá, hogy határozatot hoztak egy másik, 2024 előtt benyújtott, fegyelmi eljáráshoz kapcsolódó zaklatási ügyben; megjegyzi továbbá, hogy 2024-ben nem jelentettek be szexuális zaklatást;</w:t>
            </w:r>
          </w:p>
        </w:tc>
        <w:tc>
          <w:tcPr>
            <w:tcW w:w="4876" w:type="dxa"/>
            <w:tcBorders>
              <w:top w:val="nil"/>
              <w:left w:val="nil"/>
              <w:bottom w:val="nil"/>
              <w:right w:val="nil"/>
            </w:tcBorders>
          </w:tcPr>
          <w:p>
            <w:pPr>
              <w:pStyle w:val="Normal6a"/>
            </w:pPr>
            <w:r>
              <w:t>31.</w:t>
            </w:r>
            <w:r>
              <w:tab/>
            </w:r>
            <w:r>
              <w:t xml:space="preserve">a kérdőív alapján megjegyzi, hogy 2024-ben két állítólagos zaklatással kapcsolatos esetet jelentettek be, amelyeket kivizsgáltak és 2025-ben lezártak, mivel az egyik esetben nem állapítottak meg zaklatást, a másikban pedig elfogadták az érintett személy által a nem megfelelő magatartása miatt tett hivatalos bocsánatkérést; megjegyzi továbbá, hogy határozatot hoztak egy másik, 2024 előtt benyújtott, fegyelmi eljáráshoz kapcsolódó zaklatási ügyben; megjegyzi továbbá, hogy 2024-ben nem jelentettek be szexuális zaklatást; </w:t>
            </w:r>
            <w:r>
              <w:rPr>
                <w:b/>
                <w:i/>
              </w:rPr>
              <w:t>újfent hangsúlyozza, hogy a személyzet jóllétének védelme érdekében zéró toleranciát kell alkalmazni a zaklatással szemben, és emlékeztet arra, hogy ez minden munkáltatóra vonatkozó kötelezettség;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megjegyzi</w:t>
            </w:r>
            <w:r>
              <w:t>, hogy az EGSZB élen jár az átláthatóság tekintetében, mivel az eredeti aláíró feleket leszámítva az első olyan szerv, amely csatlakozott az uniós átláthatósági nyilvántartáshoz; üdvözli az EGSZB által elfogadott átláthatósági intézkedéseket, beleértve a tagjai számára megfogalmazott azon ajánlást, hogy csak a nyilvántartásba vett érdekelt felekkel találkozzanak, a tagok azon kötelezettségét, hogy találkozóikat tegyék közzé online, valamint az arra vonatkozó lehetőséget, hogy az EGSZB előadói – többek között egy 2025-ben indított kísérleti projekt révén – „jogalkotási lábnyomot” csatoljanak véleményükhöz; megjegyzi, hogy az EGSZB véleményei immár hivatkozásként jelennek meg az EULT jogalkotási dossziéiban; a kérdőív alapján megelégedéssel veszi tudomásul továbbá az EGSZB alapvető adminisztratív működéssel kapcsolatos átláthatósági intézkedéseit például a pénzügyek, a közbeszerzés, a humánerőforrások és a dokumentumokhoz való hozzáférés területén;</w:t>
            </w:r>
          </w:p>
        </w:tc>
        <w:tc>
          <w:tcPr>
            <w:tcW w:w="4876" w:type="dxa"/>
            <w:tcBorders>
              <w:top w:val="nil"/>
              <w:left w:val="nil"/>
              <w:bottom w:val="nil"/>
              <w:right w:val="nil"/>
            </w:tcBorders>
          </w:tcPr>
          <w:p>
            <w:pPr>
              <w:pStyle w:val="Normal6a"/>
            </w:pPr>
            <w:r>
              <w:t>33.</w:t>
            </w:r>
            <w:r>
              <w:tab/>
            </w:r>
            <w:r>
              <w:rPr>
                <w:b/>
                <w:i/>
              </w:rPr>
              <w:t>megelégedéssel nyugtázza</w:t>
            </w:r>
            <w:r>
              <w:t>, hogy az EGSZB élen jár az átláthatóság tekintetében, mivel az eredeti aláíró feleket leszámítva az első olyan szerv, amely csatlakozott az uniós átláthatósági nyilvántartáshoz; üdvözli az EGSZB által elfogadott átláthatósági intézkedéseket, beleértve a tagjai számára megfogalmazott azon ajánlást, hogy csak a nyilvántartásba vett érdekelt felekkel találkozzanak, a tagok azon kötelezettségét, hogy találkozóikat tegyék közzé online, valamint az arra vonatkozó lehetőséget, hogy az EGSZB előadói – többek között egy 2025-ben indított kísérleti projekt révén – „jogalkotási lábnyomot” csatoljanak véleményükhöz; megjegyzi, hogy az EGSZB véleményei immár hivatkozásként jelennek meg az EULT jogalkotási dossziéiban; a kérdőív alapján megelégedéssel veszi tudomásul továbbá az EGSZB alapvető adminisztratív működéssel kapcsolatos átláthatósági intézkedéseit például a pénzügyek, a közbeszerzés, a humánerőforrások és a dokumentumokhoz való hozzáférés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a kérdőív alapján megállapítja, hogy az EGSZB csalás elleni stratégiát dolgozott ki, amelyet előterjesztettek szolgálatközi konzultációra és elfogadásra; felkéri az EGSZB-t, hogy tájékoztassa a mentesítésért felelős hatóságot az ezzel kapcsolatos nyomon követésről; üdvözli, hogy az EGSZB szervezett két képzést, amelyeket az OLAF személyzete tartott a közbeszerzés terén a csalással kapcsolatos tudatosságról és a csalás megelőzéséről, amelyen 21-en vettek részt, továbbá az Európai Ügyészséggel közösen szervezett egy figyelemfelkeltő ülést azzal a céllal, hogy megismertesse az EGSZB személyzetét az Európai Ügyészség megbízatásával, és iránymutatást nyújtson arra vonatkozóan, hogy hogyan kell bejelenteni a lehetséges eseteket az Európai Ügyészségnek;</w:t>
            </w:r>
          </w:p>
        </w:tc>
        <w:tc>
          <w:tcPr>
            <w:tcW w:w="4876" w:type="dxa"/>
            <w:tcBorders>
              <w:top w:val="nil"/>
              <w:left w:val="nil"/>
              <w:bottom w:val="nil"/>
              <w:right w:val="nil"/>
            </w:tcBorders>
          </w:tcPr>
          <w:p>
            <w:pPr>
              <w:pStyle w:val="Normal6a"/>
            </w:pPr>
            <w:r>
              <w:t>36.</w:t>
            </w:r>
            <w:r>
              <w:tab/>
            </w:r>
            <w:r>
              <w:t>a kérdőív alapján megállapítja, hogy az EGSZB csalás elleni stratégiát dolgozott ki, amelyet előterjesztettek szolgálatközi konzultációra és elfogadásra</w:t>
            </w:r>
            <w:r>
              <w:rPr>
                <w:b/>
                <w:i/>
              </w:rPr>
              <w:t>;</w:t>
            </w:r>
            <w:r>
              <w:t xml:space="preserve"> </w:t>
            </w:r>
            <w:r>
              <w:rPr>
                <w:b/>
                <w:i/>
              </w:rPr>
              <w:t>üdvözli a kísérő cselekvési tervet, amely tizenkét konkrét, 2025 negyedik negyedévétől 2027 negyedik negyedévéig végrehajtandó intézkedést sorol fel, többek között figyelemfelkeltő kampányokat, képzési politikákat, a kockázati és belsőkontroll-módszerek korszerűsítését, az automatizált csalásfelderítési eszközök integrálását, az OLAF-fal és az Európai Ügyészséggel kötött felülvizsgált együttműködési megállapodásokat, valamint a belső vizsgálatokra vonatkozó aktualizált szabályokat</w:t>
            </w:r>
            <w:r>
              <w:t>; felkéri az EGSZB-t, hogy tájékoztassa a mentesítésért felelős hatóságot az ezzel kapcsolatos nyomon követésről; üdvözli, hogy az EGSZB szervezett két képzést, amelyeket az OLAF személyzete tartott a közbeszerzés terén a csalással kapcsolatos tudatosságról és a csalás megelőzéséről, amelyen 21-en vettek részt, továbbá az Európai Ügyészséggel közösen szervezett egy figyelemfelkeltő ülést azzal a céllal, hogy megismertesse az EGSZB személyzetét az Európai Ügyészség megbízatásával, és iránymutatást nyújtson arra vonatkozóan, hogy hogyan kell bejelenteni a lehetséges eseteket az Európai Ügyészségnek;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a kérdőív alapján </w:t>
            </w:r>
            <w:r>
              <w:rPr>
                <w:b/>
                <w:i/>
              </w:rPr>
              <w:t>megállapítja, hogy</w:t>
            </w:r>
            <w:r>
              <w:t xml:space="preserve"> az EGSZB csalás elleni stratégiát dolgozott ki, amelyet előterjesztettek szolgálatközi konzultációra és elfogadásra; felkéri az EGSZB-t, hogy tájékoztassa a mentesítésért felelős hatóságot az ezzel kapcsolatos nyomon követésről; üdvözli, hogy az EGSZB szervezett két képzést, amelyeket az OLAF személyzete tartott a közbeszerzés terén a csalással kapcsolatos tudatosságról és a csalás megelőzéséről, amelyen 21-en vettek részt, továbbá az Európai Ügyészséggel közösen szervezett egy figyelemfelkeltő ülést azzal a céllal, hogy megismertesse az EGSZB személyzetét az Európai Ügyészség megbízatásával, és iránymutatást nyújtson arra vonatkozóan, hogy hogyan kell bejelenteni a lehetséges eseteket az Európai Ügyészségnek;</w:t>
            </w:r>
          </w:p>
        </w:tc>
        <w:tc>
          <w:tcPr>
            <w:tcW w:w="4876" w:type="dxa"/>
            <w:tcBorders>
              <w:top w:val="nil"/>
              <w:left w:val="nil"/>
              <w:bottom w:val="nil"/>
              <w:right w:val="nil"/>
            </w:tcBorders>
          </w:tcPr>
          <w:p>
            <w:pPr>
              <w:pStyle w:val="Normal6a"/>
            </w:pPr>
            <w:r>
              <w:t>36.</w:t>
            </w:r>
            <w:r>
              <w:tab/>
            </w:r>
            <w:r>
              <w:t xml:space="preserve">a kérdőív alapján </w:t>
            </w:r>
            <w:r>
              <w:rPr>
                <w:b/>
                <w:i/>
              </w:rPr>
              <w:t>megelégedéssel nyugtázza, hogy a Parlament korábbi felhívásai nyomán</w:t>
            </w:r>
            <w:r>
              <w:t xml:space="preserve"> az EGSZB csalás elleni stratégiát dolgozott ki, amelyet előterjesztettek szolgálatközi konzultációra és elfogadásra</w:t>
            </w:r>
            <w:r>
              <w:rPr>
                <w:b/>
                <w:i/>
              </w:rPr>
              <w:t>;</w:t>
            </w:r>
            <w:r>
              <w:t xml:space="preserve"> </w:t>
            </w:r>
            <w:r>
              <w:rPr>
                <w:b/>
                <w:i/>
              </w:rPr>
              <w:t>sürgeti az EGSZB-t, hogy kezelje prioritásként e stratégia elfogadását és végrehajtását, beleértve a kockázatértékelést, a megelőzést, a felderítést és a nyomonkövetési intézkedéseket</w:t>
            </w:r>
            <w:r>
              <w:t>; felkéri az EGSZB-t, hogy tájékoztassa a mentesítésért felelős hatóságot az ezzel kapcsolatos nyomon követésről; üdvözli, hogy az EGSZB szervezett két képzést, amelyeket az OLAF személyzete tartott a közbeszerzés terén a csalással kapcsolatos tudatosságról és a csalás megelőzéséről, amelyen 21-en vettek részt, továbbá az Európai Ügyészséggel közösen szervezett egy figyelemfelkeltő ülést azzal a céllal, hogy megismertesse az EGSZB személyzetét az Európai Ügyészség megbízatásával, és iránymutatást nyújtson arra vonatkozóan, hogy hogyan kell bejelenteni a lehetséges eseteket az Európai Ügyészségnek;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a kérdőív alapján megállapítja, hogy az EGSZB csalás elleni stratégiát dolgozott ki, amelyet előterjesztettek szolgálatközi konzultációra és elfogadásra; felkéri az EGSZB-t, hogy tájékoztassa a mentesítésért felelős hatóságot az ezzel kapcsolatos nyomon követésről; üdvözli, hogy az EGSZB szervezett két képzést, amelyeket az OLAF személyzete tartott a közbeszerzés terén a csalással kapcsolatos tudatosságról és a csalás megelőzéséről, amelyen 21-en vettek részt, továbbá az Európai Ügyészséggel közösen szervezett egy </w:t>
            </w:r>
            <w:r>
              <w:rPr>
                <w:b/>
                <w:i/>
              </w:rPr>
              <w:t>figyelemfelkeltő</w:t>
            </w:r>
            <w:r>
              <w:t xml:space="preserve"> ülést azzal a céllal, hogy megismertesse az EGSZB személyzetét az Európai Ügyészség megbízatásával, és iránymutatást nyújtson arra vonatkozóan, hogy hogyan kell bejelenteni a </w:t>
            </w:r>
            <w:r>
              <w:rPr>
                <w:b/>
                <w:i/>
              </w:rPr>
              <w:t>lehetséges eseteket</w:t>
            </w:r>
            <w:r>
              <w:t xml:space="preserve"> az Európai Ügyészségnek;</w:t>
            </w:r>
          </w:p>
        </w:tc>
        <w:tc>
          <w:tcPr>
            <w:tcW w:w="4876" w:type="dxa"/>
            <w:tcBorders>
              <w:top w:val="nil"/>
              <w:left w:val="nil"/>
              <w:bottom w:val="nil"/>
              <w:right w:val="nil"/>
            </w:tcBorders>
          </w:tcPr>
          <w:p>
            <w:pPr>
              <w:pStyle w:val="Normal6a"/>
            </w:pPr>
            <w:r>
              <w:t>36.</w:t>
            </w:r>
            <w:r>
              <w:tab/>
            </w:r>
            <w:r>
              <w:t xml:space="preserve">a kérdőív alapján megállapítja, hogy az EGSZB csalás elleni stratégiát dolgozott ki, amelyet előterjesztettek szolgálatközi konzultációra és elfogadásra; felkéri az EGSZB-t, hogy tájékoztassa a mentesítésért felelős hatóságot az ezzel kapcsolatos nyomon követésről; üdvözli, hogy az EGSZB szervezett két képzést, amelyeket az OLAF személyzete tartott a közbeszerzés terén a csalással kapcsolatos tudatosságról és a csalás megelőzéséről, </w:t>
            </w:r>
            <w:r>
              <w:rPr>
                <w:b/>
                <w:i/>
              </w:rPr>
              <w:t>és</w:t>
            </w:r>
            <w:r>
              <w:t xml:space="preserve"> amelyen 21-en vettek részt, továbbá az Európai Ügyészséggel közösen szervezett egy </w:t>
            </w:r>
            <w:r>
              <w:rPr>
                <w:b/>
                <w:i/>
              </w:rPr>
              <w:t>tájékoztató</w:t>
            </w:r>
            <w:r>
              <w:t xml:space="preserve"> ülést azzal a céllal, hogy megismertesse az EGSZB személyzetét az Európai Ügyészség megbízatásával, és iránymutatást nyújtson arra vonatkozóan, hogy hogyan kell bejelenteni a </w:t>
            </w:r>
            <w:r>
              <w:rPr>
                <w:b/>
                <w:i/>
              </w:rPr>
              <w:t>potenciális ügyeket</w:t>
            </w:r>
            <w:r>
              <w:t xml:space="preserve"> az Európai Ügyészségnek</w:t>
            </w:r>
            <w:r>
              <w:rPr>
                <w:b/>
                <w:i/>
              </w:rPr>
              <w:t>, és javasolja, hogy folytassák e gyakorlatot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megjegyzi, hogy az EGSZB és az RB együttes informatikai költségvetése 2022-ben 13 700 000 EUR volt, a 2023. évi 12 700 000 EUR-hoz képest, ami 7,87%-os növekedést jelent, míg 2024-ben e költségvetésből 760 000 EUR-t (azaz mintegy 6%-ot) költöttek kiberbiztonságra; a kérdőív alapján megjegyzi, hogy az informatikai projektek finanszírozása 2023-hoz képest </w:t>
            </w:r>
            <w:r>
              <w:rPr>
                <w:b/>
                <w:i/>
              </w:rPr>
              <w:t>109 000 EUR-val</w:t>
            </w:r>
            <w:r>
              <w:t xml:space="preserve"> nőtt</w:t>
            </w:r>
            <w:r>
              <w:rPr>
                <w:b/>
                <w:i/>
              </w:rPr>
              <w:t>, ami 4%-os növekedést jelent</w:t>
            </w:r>
            <w:r>
              <w:t xml:space="preserve">, ami elsősorban az M365 Munkahelyi Program és a Kiberbiztonsági Átalakítási Program támogatásának tudható be; megjegyzi továbbá, hogy a berendezésekre fordított kiadások </w:t>
            </w:r>
            <w:r>
              <w:rPr>
                <w:b/>
                <w:i/>
              </w:rPr>
              <w:t>117 000</w:t>
            </w:r>
            <w:r>
              <w:t xml:space="preserve"> EUR-val (azaz 20%-kal) nőttek, főként az ár-kiigazítások és a telefonos infrastruktúrába történő stratégiai beruházások miatt; elismeri az EGSZB aggodalmát, miszerint a digitalizáció és a kiberbiztonság területén strukturálisan alulfinanszírozott; ezzel összefüggésben sajnálatát fejezi ki amiatt, hogy a költségvetési hatóság nem vette bele az Unió 2026. évi költségvetésébe az ahhoz szükséges 1 176 000 EUR összeget, hogy az EGSZB (és az RB) jelentős kiberbiztonsági korszerűsítést hajtson végre, ami megvalósíthatatlanná teszi az (EU, Euratom) 2023/2841 rendeletben</w:t>
            </w:r>
            <w:r>
              <w:rPr>
                <w:vertAlign w:val="superscript"/>
              </w:rPr>
              <w:t>1</w:t>
            </w:r>
            <w:r>
              <w:t>említett azon célkitűzés teljesítését, hogy teljes informatikai kiadásainak mintegy 10%-át a kiberbiztonságra fordítsa;</w:t>
            </w:r>
          </w:p>
        </w:tc>
        <w:tc>
          <w:tcPr>
            <w:tcW w:w="4876" w:type="dxa"/>
            <w:tcBorders>
              <w:top w:val="nil"/>
              <w:left w:val="nil"/>
              <w:bottom w:val="nil"/>
              <w:right w:val="nil"/>
            </w:tcBorders>
          </w:tcPr>
          <w:p>
            <w:pPr>
              <w:pStyle w:val="Normal6a"/>
            </w:pPr>
            <w:r>
              <w:t>37.</w:t>
            </w:r>
            <w:r>
              <w:tab/>
            </w:r>
            <w:r>
              <w:t xml:space="preserve">megjegyzi, hogy az EGSZB és az RB együttes informatikai költségvetése 2022-ben 13 700 000 EUR volt, a 2023. évi 12 700 000 EUR-hoz képest, ami 7,87%-os növekedést jelent, míg 2024-ben e költségvetésből 760 000 EUR-t (azaz mintegy 6%-ot) költöttek kiberbiztonságra; a kérdőív alapján megjegyzi, hogy az informatikai projektek finanszírozása 2023-hoz képest </w:t>
            </w:r>
            <w:r>
              <w:rPr>
                <w:b/>
                <w:i/>
              </w:rPr>
              <w:t>109 000 EUR-val, vagyis 4%-kal</w:t>
            </w:r>
            <w:r>
              <w:t xml:space="preserve"> nőtt, ami elsősorban az M365 Munkahelyi Program és a Kiberbiztonsági Átalakítási Program támogatásának tudható be; megjegyzi továbbá, hogy a berendezésekre fordított kiadások </w:t>
            </w:r>
            <w:r>
              <w:rPr>
                <w:b/>
                <w:i/>
              </w:rPr>
              <w:t>117 000</w:t>
            </w:r>
            <w:r>
              <w:t> EUR-val (azaz 20%-kal) nőttek, főként az ár-kiigazítások és a telefonos infrastruktúrába történő stratégiai beruházások miatt; elismeri az EGSZB aggodalmát, miszerint a digitalizáció és a kiberbiztonság területén strukturálisan alulfinanszírozott</w:t>
            </w:r>
            <w:r>
              <w:rPr>
                <w:b/>
                <w:i/>
              </w:rPr>
              <w:t>, és figyelmeztet arra, hogy a kiberbiztonságba történő beruházások tartós alulfinanszírozottsága strukturális kockázatot jelent az uniós intézmények integritására nézve</w:t>
            </w:r>
            <w:r>
              <w:t>; ezzel összefüggésben sajnálatát fejezi ki amiatt, hogy a költségvetési hatóság nem vette bele az Unió 2026. évi költségvetésébe az ahhoz szükséges 1 176 000 EUR összeget, hogy az EGSZB (és az RB) jelentős kiberbiztonsági korszerűsítést hajtson végre, ami megvalósíthatatlanná teszi az (EU, Euratom) 2023/2841</w:t>
            </w:r>
            <w:r>
              <w:rPr>
                <w:vertAlign w:val="superscript"/>
              </w:rPr>
              <w:t>1</w:t>
            </w:r>
            <w:r>
              <w:t xml:space="preserve"> rendeletben említett azon célkitűzés teljesítését, hogy teljes informatikai kiadásainak mintegy 10%-át a kiberbiztonságra fordítsa;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Az Európai Parlament és a Tanács (EU, Euratom) 2023/2841 rendelete (2023. december 13.) az uniós intézmények, szervek, hivatalok és ügynökségek egységesen magas szintű kiberbiztonságát biztosító intézkedések meghatározásáról (OJ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Az Európai Parlament és a Tanács (EU, Euratom) 2023/2841 rendelete (2023. december 13.) az uniós intézmények, szervek, hivatalok és ügynökségek egységesen magas szintű kiberbiztonságát biztosító intézkedések meghatározásáról (OJ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megjegyzi, hogy az EGSZB és az RB együttes informatikai költségvetése </w:t>
            </w:r>
            <w:r>
              <w:rPr>
                <w:b/>
                <w:i/>
              </w:rPr>
              <w:t>2022-ben 13 700 000</w:t>
            </w:r>
            <w:r>
              <w:t xml:space="preserve"> EUR volt, a 2023. évi 12 700 000 EUR-hoz képest, ami 7,87%-os növekedést jelent, míg 2024-ben e költségvetésből 760 000 EUR-t (azaz mintegy 6%-ot) költöttek kiberbiztonságra; a kérdőív alapján megjegyzi, hogy az informatikai projektek finanszírozása 2023-hoz képest </w:t>
            </w:r>
            <w:r>
              <w:rPr>
                <w:b/>
                <w:i/>
              </w:rPr>
              <w:t>109 000 EUR-val</w:t>
            </w:r>
            <w:r>
              <w:t xml:space="preserve"> nőtt</w:t>
            </w:r>
            <w:r>
              <w:rPr>
                <w:b/>
                <w:i/>
              </w:rPr>
              <w:t>, ami 4%-os növekedést jelent</w:t>
            </w:r>
            <w:r>
              <w:t xml:space="preserve">, ami elsősorban az M365 Munkahelyi Program és a Kiberbiztonsági Átalakítási Program támogatásának tudható be; megjegyzi továbbá, hogy a berendezésekre fordított kiadások </w:t>
            </w:r>
            <w:r>
              <w:rPr>
                <w:b/>
                <w:i/>
              </w:rPr>
              <w:t>117 000</w:t>
            </w:r>
            <w:r>
              <w:t xml:space="preserve"> EUR-val (azaz 20%-kal) nőttek, főként az ár-kiigazítások és a telefonos infrastruktúrába történő stratégiai beruházások miatt; elismeri az EGSZB aggodalmát, miszerint a digitalizáció és a kiberbiztonság területén strukturálisan alulfinanszírozott; ezzel összefüggésben sajnálatát fejezi ki amiatt, hogy a költségvetési hatóság nem vette bele az Unió 2026. évi költségvetésébe az ahhoz szükséges 1 176 000 EUR összeget, hogy az EGSZB (és az RB) jelentős kiberbiztonsági korszerűsítést hajtson végre, ami megvalósíthatatlanná teszi az (EU, Euratom) 2023/2841 rendeletben</w:t>
            </w:r>
            <w:r>
              <w:rPr>
                <w:vertAlign w:val="superscript"/>
              </w:rPr>
              <w:t>1</w:t>
            </w:r>
            <w:r>
              <w:t>említett azon célkitűzés teljesítését, hogy teljes informatikai kiadásainak mintegy 10%-át a kiberbiztonságra fordítsa;</w:t>
            </w:r>
          </w:p>
        </w:tc>
        <w:tc>
          <w:tcPr>
            <w:tcW w:w="4876" w:type="dxa"/>
            <w:tcBorders>
              <w:top w:val="nil"/>
              <w:left w:val="nil"/>
              <w:bottom w:val="nil"/>
              <w:right w:val="nil"/>
            </w:tcBorders>
          </w:tcPr>
          <w:p>
            <w:pPr>
              <w:pStyle w:val="Normal6a"/>
            </w:pPr>
            <w:r>
              <w:t>37.</w:t>
            </w:r>
            <w:r>
              <w:tab/>
            </w:r>
            <w:r>
              <w:t xml:space="preserve">megjegyzi, hogy az EGSZB és az RB együttes informatikai költségvetése </w:t>
            </w:r>
            <w:r>
              <w:rPr>
                <w:b/>
                <w:i/>
              </w:rPr>
              <w:t>2024-ben 13 70 000</w:t>
            </w:r>
            <w:r>
              <w:t xml:space="preserve"> EUR volt, a 2023. évi 12 700 000 EUR-hoz képest, ami 7,87%-os növekedést jelent, míg 2024-ben e költségvetésből 760 000 EUR-t (azaz mintegy 6%-ot) költöttek kiberbiztonságra; a kérdőív alapján megjegyzi, hogy az informatikai projektek finanszírozása 2023-hoz képest </w:t>
            </w:r>
            <w:r>
              <w:rPr>
                <w:b/>
                <w:i/>
              </w:rPr>
              <w:t>109 000 EUR-val, vagyis 4%-kal</w:t>
            </w:r>
            <w:r>
              <w:t xml:space="preserve"> nőtt, ami elsősorban az M365 Munkahelyi Program és a Kiberbiztonsági Átalakítási Program támogatásának tudható be; megjegyzi továbbá, hogy a berendezésekre fordított kiadások </w:t>
            </w:r>
            <w:r>
              <w:rPr>
                <w:b/>
                <w:i/>
              </w:rPr>
              <w:t>117 000</w:t>
            </w:r>
            <w:r>
              <w:t> EUR-val (azaz 20%-kal) nőttek, főként az ár-kiigazítások és a telefonos infrastruktúrába történő stratégiai beruházások miatt; elismeri az EGSZB aggodalmát, miszerint a digitalizáció és a kiberbiztonság területén strukturálisan alulfinanszírozott; ezzel összefüggésben sajnálatát fejezi ki amiatt, hogy a költségvetési hatóság nem vette bele az Unió 2026. évi költségvetésébe az ahhoz szükséges 1 176 000 EUR összeget, hogy az EGSZB (és az RB) jelentős kiberbiztonsági korszerűsítést hajtson végre, ami megvalósíthatatlanná teszi az (EU, Euratom) 2023/2841</w:t>
            </w:r>
            <w:r>
              <w:rPr>
                <w:vertAlign w:val="superscript"/>
              </w:rPr>
              <w:t>1</w:t>
            </w:r>
            <w:r>
              <w:t xml:space="preserve"> rendeletben említett azon célkitűzés teljesítését, hogy teljes informatikai kiadásainak mintegy 10%-át a kiberbiztonságra fordítsa; </w:t>
            </w:r>
            <w:r>
              <w:rPr>
                <w:b/>
                <w:i/>
              </w:rPr>
              <w:t>megfelelő forrásokat kér annak érdekében, hogy az EGSZB és az RB jelentős kiberbiztonsági fejlesztést hajthasson végre;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Az Európai Parlament és a Tanács (EU, Euratom) 2023/2841 rendelete (2023. december 13.) az uniós intézmények, szervek, hivatalok és ügynökségek egységesen magas szintű kiberbiztonságát biztosító intézkedések meghatározásáról (OJ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Az Európai Parlament és a Tanács (EU, Euratom) 2023/2841 rendelete (2023. december 13.) az uniós intézmények, szervek, hivatalok és ügynökségek egységesen magas szintű kiberbiztonságát biztosító intézkedések meghatározásáról (OJ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megjegyzi, hogy az EGSZB és az RB együttes informatikai költségvetése </w:t>
            </w:r>
            <w:r>
              <w:rPr>
                <w:b/>
                <w:i/>
              </w:rPr>
              <w:t>2022</w:t>
            </w:r>
            <w:r>
              <w:t xml:space="preserve">-ben 13 700 000 EUR volt, a 2023. évi 12 700 000 EUR-hoz képest, ami 7,87%-os növekedést jelent, míg 2024-ben e költségvetésből 760 000 EUR-t (azaz mintegy 6%-ot) költöttek kiberbiztonságra; a kérdőív alapján megjegyzi, hogy az informatikai projektek finanszírozása 2023-hoz képest </w:t>
            </w:r>
            <w:r>
              <w:rPr>
                <w:b/>
                <w:i/>
              </w:rPr>
              <w:t>109 000 EUR-val</w:t>
            </w:r>
            <w:r>
              <w:t xml:space="preserve"> nőtt</w:t>
            </w:r>
            <w:r>
              <w:rPr>
                <w:b/>
                <w:i/>
              </w:rPr>
              <w:t>, ami 4%-os növekedést jelent</w:t>
            </w:r>
            <w:r>
              <w:t xml:space="preserve">, ami elsősorban az M365 Munkahelyi Program és a Kiberbiztonsági Átalakítási Program támogatásának tudható be; megjegyzi továbbá, hogy a berendezésekre fordított kiadások </w:t>
            </w:r>
            <w:r>
              <w:rPr>
                <w:b/>
                <w:i/>
              </w:rPr>
              <w:t>117 000</w:t>
            </w:r>
            <w:r>
              <w:t xml:space="preserve"> EUR-val (azaz 20%-kal) nőttek, főként az ár-kiigazítások és a telefonos infrastruktúrába történő stratégiai beruházások miatt; elismeri az EGSZB aggodalmát, miszerint a digitalizáció és a kiberbiztonság területén strukturálisan alulfinanszírozott; ezzel összefüggésben sajnálatát fejezi ki amiatt, hogy a költségvetési hatóság nem vette bele az Unió 2026. évi költségvetésébe az ahhoz szükséges 1 176 000 EUR összeget, hogy az EGSZB (és az RB) jelentős kiberbiztonsági korszerűsítést hajtson végre, ami megvalósíthatatlanná teszi az (EU, Euratom) 2023/2841 rendeletben</w:t>
            </w:r>
            <w:r>
              <w:rPr>
                <w:vertAlign w:val="superscript"/>
              </w:rPr>
              <w:t>1</w:t>
            </w:r>
            <w:r>
              <w:t>említett azon célkitűzés teljesítését, hogy teljes informatikai kiadásainak mintegy 10%-át a kiberbiztonságra fordítsa;</w:t>
            </w:r>
          </w:p>
        </w:tc>
        <w:tc>
          <w:tcPr>
            <w:tcW w:w="4876" w:type="dxa"/>
            <w:tcBorders>
              <w:top w:val="nil"/>
              <w:left w:val="nil"/>
              <w:bottom w:val="nil"/>
              <w:right w:val="nil"/>
            </w:tcBorders>
          </w:tcPr>
          <w:p>
            <w:pPr>
              <w:pStyle w:val="Normal6a"/>
            </w:pPr>
            <w:r>
              <w:t>37.</w:t>
            </w:r>
            <w:r>
              <w:tab/>
            </w:r>
            <w:r>
              <w:t xml:space="preserve">megjegyzi, hogy az EGSZB és az RB együttes informatikai költségvetése </w:t>
            </w:r>
            <w:r>
              <w:rPr>
                <w:b/>
                <w:i/>
              </w:rPr>
              <w:t>2024</w:t>
            </w:r>
            <w:r>
              <w:t xml:space="preserve">-ben 13 700 000 EUR volt, a 2023. évi 12 700 000 EUR-hoz képest, ami 7,87%-os növekedést jelent, míg 2024-ben e költségvetésből 760 000 EUR-t (azaz mintegy 6%-ot) költöttek kiberbiztonságra; a kérdőív alapján megjegyzi, hogy az informatikai projektek finanszírozása 2023-hoz képest </w:t>
            </w:r>
            <w:r>
              <w:rPr>
                <w:b/>
                <w:i/>
              </w:rPr>
              <w:t>109 000 EUR-val, vagyis 4%-kal</w:t>
            </w:r>
            <w:r>
              <w:t xml:space="preserve"> nőtt, ami elsősorban az M365 Munkahelyi Program és a Kiberbiztonsági Átalakítási Program támogatásának tudható be; megjegyzi továbbá, hogy a berendezésekre fordított kiadások </w:t>
            </w:r>
            <w:r>
              <w:rPr>
                <w:b/>
                <w:i/>
              </w:rPr>
              <w:t>117 000</w:t>
            </w:r>
            <w:r>
              <w:t> EUR-val (azaz 20%-kal) nőttek, főként az ár-kiigazítások és a telefonos infrastruktúrába történő stratégiai beruházások miatt; elismeri az EGSZB aggodalmát, miszerint a digitalizáció és a kiberbiztonság területén strukturálisan alulfinanszírozott; ezzel összefüggésben sajnálatát fejezi ki amiatt, hogy a költségvetési hatóság nem vette bele az Unió 2026. évi költségvetésébe az ahhoz szükséges 1 176 000 EUR összeget, hogy az EGSZB (és az RB) jelentős kiberbiztonsági korszerűsítést hajtson végre, ami megvalósíthatatlanná teszi az (EU, Euratom) 2023/2841</w:t>
            </w:r>
            <w:r>
              <w:rPr>
                <w:vertAlign w:val="superscript"/>
              </w:rPr>
              <w:t>1</w:t>
            </w:r>
            <w:r>
              <w:t xml:space="preserve"> rendeletben említett azon célkitűzés teljesítését, hogy teljes informatikai kiadásainak mintegy 10%-át a kiberbiztonságra fordítsa;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Az Európai Parlament és a Tanács (EU, Euratom) 2023/2841 rendelete (2023. december 13.) az uniós intézmények, szervek, hivatalok és ügynökségek egységesen magas szintű kiberbiztonságát biztosító intézkedések meghatározásáról (OJ L, 2023/2841, 18.12.2023, ELI: http://data.europa.eu/eli/reg/2023/2841/oj).</w:t>
            </w:r>
          </w:p>
        </w:tc>
        <w:tc>
          <w:tcPr>
            <w:tcW w:w="4876" w:type="dxa"/>
            <w:tcBorders>
              <w:top w:val="nil"/>
              <w:left w:val="nil"/>
              <w:bottom w:val="nil"/>
              <w:right w:val="nil"/>
            </w:tcBorders>
          </w:tcPr>
          <w:p>
            <w:pPr>
              <w:pStyle w:val="Normal6a"/>
            </w:pPr>
            <w:r>
              <w:rPr>
                <w:vertAlign w:val="superscript"/>
              </w:rPr>
              <w:t>1</w:t>
            </w:r>
            <w:r>
              <w:t xml:space="preserve"> </w:t>
            </w:r>
            <w:r>
              <w:t>Az Európai Parlament és a Tanács (EU, Euratom) 2023/2841 rendelete (2023. december 13.) az uniós intézmények, szervek, hivatalok és ügynökségek egységesen magas szintű kiberbiztonságát biztosító intézkedések meghatározásáról (OJ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 Wiezik, Olivier Chastel, Vlad Vasile-Voiculescu,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elismerését fejezi ki az EGSZB által 2024-ben annak biztosítása érdekében tett erőfeszítésekért, hogy a személyzet elsajátítsa az egyre inkább digitalizált munkakörnyezethez és a célzott tájékoztató kampányok végrehajtásához szükséges digitális készségeket, és a személyzet fejlesztésének támogatása érdekében átfogó képzési és coaching programot kínál, valamint naprakész informatikai tudásbázist tart fenn egy mesterséges intelligencián alapuló interfész segítségével;</w:t>
            </w:r>
          </w:p>
        </w:tc>
        <w:tc>
          <w:tcPr>
            <w:tcW w:w="4876" w:type="dxa"/>
            <w:tcBorders>
              <w:top w:val="nil"/>
              <w:left w:val="nil"/>
              <w:bottom w:val="nil"/>
              <w:right w:val="nil"/>
            </w:tcBorders>
          </w:tcPr>
          <w:p>
            <w:pPr>
              <w:pStyle w:val="Normal6a"/>
            </w:pPr>
            <w:r>
              <w:t>43.</w:t>
            </w:r>
            <w:r>
              <w:tab/>
            </w:r>
            <w:r>
              <w:t xml:space="preserve">elismerését fejezi ki az EGSZB által 2024-ben annak biztosítása érdekében tett erőfeszítésekért, hogy a személyzet elsajátítsa az egyre inkább digitalizált munkakörnyezethez és a célzott tájékoztató kampányok végrehajtásához szükséges digitális készségeket, és a személyzet fejlesztésének támogatása érdekében átfogó képzési és coaching programot kínál, valamint naprakész informatikai tudásbázist tart fenn egy mesterséges intelligencián alapuló interfész segítségével; </w:t>
            </w:r>
            <w:r>
              <w:rPr>
                <w:b/>
                <w:i/>
              </w:rPr>
              <w:t>ösztönzi a kiberbiztonsággal, valamint a mesterséges intelligencia biztonságos, etikus és hatékony használatával kapcsolatos képzéseket;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a kérdőív alapján megállapítja, hogy 2023-hoz képest 2024-ben csökkent a villamosenergia-fogyasztás (–19%), a gázfogyasztás (–13%) és a vízfogyasztás (–12%), viszont nőtt a papírfogyasztás (+ 1%</w:t>
            </w:r>
            <w:r>
              <w:rPr>
                <w:b/>
                <w:i/>
              </w:rPr>
              <w:t>) és a hulladékmennyiség (–12%</w:t>
            </w:r>
            <w:r>
              <w:t>); üdvözli továbbá, hogy ugyanebben az időszakban a teljes munkaidős egyenértékre jutó szén-dioxid-kibocsátás 4,30%-kal csökkent (az EGSZB-tagok utazásaiból származó kibocsátásokat nem számítva); a kérdőív alapján tudomásul veszi az EGSZB arra irányuló intézkedéseit, hogy személyzete és tagjai körében fenntarthatóbb utazási lehetőségeket támogasson, valamint a személyzet kiküldetésére vonatkozó útmutató folyamatban lévő felülvizsgálatát, amely kulcsfontosságú elemként magában foglalja a környezeti lábnyomot; üdvözli továbbá, hogy az EGSZB a hulladékcsökkentés és az erőforrás-hatékonyság kultúrájának előmozdítása érdekében a hulladékgazdálkodásra és -újrafeldolgozásra összpontosít;</w:t>
            </w:r>
          </w:p>
        </w:tc>
        <w:tc>
          <w:tcPr>
            <w:tcW w:w="4876" w:type="dxa"/>
            <w:tcBorders>
              <w:top w:val="nil"/>
              <w:left w:val="nil"/>
              <w:bottom w:val="nil"/>
              <w:right w:val="nil"/>
            </w:tcBorders>
          </w:tcPr>
          <w:p>
            <w:pPr>
              <w:pStyle w:val="Normal6a"/>
            </w:pPr>
            <w:r>
              <w:t>49.</w:t>
            </w:r>
            <w:r>
              <w:tab/>
            </w:r>
            <w:r>
              <w:t xml:space="preserve">a kérdőív alapján megállapítja, hogy 2023-hoz képest 2024-ben csökkent a villamosenergia-fogyasztás (–19%), a gázfogyasztás (–13%) és a vízfogyasztás (–12%) </w:t>
            </w:r>
            <w:r>
              <w:rPr>
                <w:b/>
                <w:i/>
              </w:rPr>
              <w:t>és a hulladékmennyiség (–12%)</w:t>
            </w:r>
            <w:r>
              <w:t>, viszont nőtt a papírfogyasztás (+ 1%); üdvözli továbbá, hogy ugyanebben az időszakban a teljes munkaidős egyenértékre jutó szén-dioxid-kibocsátás 4,30%-kal csökkent (az EGSZB-tagok utazásaiból származó kibocsátásokat nem számítva); a kérdőív alapján tudomásul veszi az EGSZB arra irányuló intézkedéseit, hogy személyzete és tagjai körében fenntarthatóbb utazási lehetőségeket támogasson, valamint a személyzet kiküldetésére vonatkozó útmutató folyamatban lévő felülvizsgálatát, amely kulcsfontosságú elemként magában foglalja a környezeti lábnyomot; üdvözli továbbá, hogy az EGSZB a hulladékcsökkentés és az erőforrás-hatékonyság kultúrájának előmozdítása érdekében a hulladékgazdálkodásra és -újrafeldolgozásra összpontosít;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megelégedéssel veszi tudomásul, hogy az EGSZB 60 000 EUR-t és 25 000 EUR-t meghaladó, az RB-vel közösen kezelt ajánlati felhívásai az energiaunió, az európai zöld megállapodás és a körforgásos gazdaság elveivel összhangban fenntarthatósági záradékokat tartalmaznak; megjegyzi, hogy az EGSZB étkeztetési szolgáltatásokra vonatkozó új keretszerződése, amely 2024 augusztusában lépett hatályba, követelményeket ír elő az ökológiai és helyben előállított termékek, az élelmiszer-adományozás, valamint a szezonális gyümölcsök és zöldségek tekintetében;</w:t>
            </w:r>
          </w:p>
        </w:tc>
        <w:tc>
          <w:tcPr>
            <w:tcW w:w="4876" w:type="dxa"/>
            <w:tcBorders>
              <w:top w:val="nil"/>
              <w:left w:val="nil"/>
              <w:bottom w:val="nil"/>
              <w:right w:val="nil"/>
            </w:tcBorders>
          </w:tcPr>
          <w:p>
            <w:pPr>
              <w:pStyle w:val="Normal6a"/>
            </w:pPr>
            <w:r>
              <w:t>50.</w:t>
            </w:r>
            <w:r>
              <w:tab/>
            </w:r>
            <w:r>
              <w:t xml:space="preserve">megelégedéssel veszi tudomásul, hogy az EGSZB 60 000 EUR-t és 25 000 EUR-t meghaladó, az RB-vel közösen kezelt ajánlati felhívásai az energiaunió, az európai zöld megállapodás és a körforgásos gazdaság elveivel összhangban fenntarthatósági záradékokat tartalmaznak; megjegyzi, hogy az EGSZB étkeztetési szolgáltatásokra vonatkozó új keretszerződése, amely 2024 augusztusában lépett hatályba, követelményeket ír elő az ökológiai és helyben előállított termékek, az élelmiszer-adományozás, valamint a szezonális gyümölcsök és zöldségek tekintetében; </w:t>
            </w:r>
            <w:r>
              <w:rPr>
                <w:b/>
                <w:i/>
              </w:rPr>
              <w:t>rámutat azonban arra, hogy az úgynevezett zöld intézkedések szigorúbb normái növelik az intézmény működési költségeit, ezáltal nemcsak az intézmény rendelkezésre álló költségvetését csökkentik, hanem növelik működési költségeit is az adófizetők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hangsúlyozza, hogy az uniós intézményeken belüli környezetvédelmi kezdeményezéseknek költséghatékonynak és technológiasemlegesnek kell maradniuk;</w:t>
            </w:r>
            <w:r>
              <w:t xml:space="preserve"> </w:t>
            </w:r>
            <w:r>
              <w:rPr>
                <w:b/>
                <w:i/>
              </w:rPr>
              <w:t>felhívja az EGSZB-t, hogy készítsen átlátható költség-haszon elemzést zöld beruházásairól és közbeszerzési gyakorlatairól, és biztosítsa, hogy a környezetvédelmi megfontolások ne írják felül a hatékonyságot vagy a költségvetési fegyelmet;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megjegyzi, hogy az EGSZB kulcsszerepet játszik a tagállamok nemzeti gazdasági és szociális tanácsaival folytatott, illetve azok közötti kapcsolatok megerősítésében; ezzel összefüggésben megjegyzi, hogy sor került egy új, 13 nemzeti gazdasági és szociális tanácsból álló tematikus munkacsoport elindítására, 32 újságcikknek és a nemzeti gazdasági és szociális tanácsok által elfogadott jelentések 26 összefoglalójának közzétételére, a nemzeti gazdasági és szociális tanácsok elnökei és főtitkárai éves ülésének megszervezésére Brüsszelben, valamint egy közösen szervezett szemináriumra, amelyen 2024-ben 100-an vettek részt az európai szociális partnerek és a civil társadalmi szervezetek részéről, valamint az uniós intézmények képviselői és tudományos szakemberek;</w:t>
            </w:r>
          </w:p>
        </w:tc>
        <w:tc>
          <w:tcPr>
            <w:tcW w:w="4876" w:type="dxa"/>
            <w:tcBorders>
              <w:top w:val="nil"/>
              <w:left w:val="nil"/>
              <w:bottom w:val="nil"/>
              <w:right w:val="nil"/>
            </w:tcBorders>
          </w:tcPr>
          <w:p>
            <w:pPr>
              <w:pStyle w:val="Normal6a"/>
            </w:pPr>
            <w:r>
              <w:t>60.</w:t>
            </w:r>
            <w:r>
              <w:tab/>
            </w:r>
            <w:r>
              <w:t xml:space="preserve">megjegyzi, hogy az EGSZB kulcsszerepet játszik a tagállamok nemzeti gazdasági és szociális tanácsaival folytatott, illetve azok közötti kapcsolatok megerősítésében; ezzel összefüggésben megjegyzi, hogy sor került egy új, 13 nemzeti gazdasági és szociális tanácsból álló tematikus munkacsoport elindítására, 32 újságcikknek és a nemzeti gazdasági és szociális tanácsok által elfogadott jelentések 26 összefoglalójának közzétételére, a nemzeti gazdasági és szociális tanácsok elnökei és főtitkárai éves ülésének megszervezésére Brüsszelben, valamint egy közösen szervezett szemináriumra, amelyen 2024-ben 100-an vettek részt az európai szociális partnerek és a civil társadalmi szervezetek részéről, valamint az uniós intézmények képviselői és tudományos szakemberek; </w:t>
            </w:r>
            <w:r>
              <w:rPr>
                <w:b/>
                <w:i/>
              </w:rPr>
              <w:t>szorgalmazza a közös érdekű témákban folytatott folyamatos együttműködést és a bevált gyakorlatok megosztását, hangsúlyozva a civil társadalom létfontosságú szerepét az Unió jelenlegi kihívásainak kezelésében;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nagyra értékeli a NaviGate platform 2024. májusi elindítását; megjegyzi, hogy ez a platform, amely internetes hivatkozásokkal látja el az Unió Kiadóhivatalának EU Law Tracker (EULT) webhelyét, jelentősen növelte az EGSZB munkájának láthatóságát, és javította a felhasználói élményt a tagok, a személyzet, a webhelyet más intézményekből felkeresők és a nyilvánosság számára, és 2024-ben 4600 egyedi látogatót szolgált ki;</w:t>
            </w:r>
          </w:p>
        </w:tc>
        <w:tc>
          <w:tcPr>
            <w:tcW w:w="4876" w:type="dxa"/>
            <w:tcBorders>
              <w:top w:val="nil"/>
              <w:left w:val="nil"/>
              <w:bottom w:val="nil"/>
              <w:right w:val="nil"/>
            </w:tcBorders>
          </w:tcPr>
          <w:p>
            <w:pPr>
              <w:pStyle w:val="Normal6a"/>
            </w:pPr>
            <w:r>
              <w:t>63.</w:t>
            </w:r>
            <w:r>
              <w:tab/>
            </w:r>
            <w:r>
              <w:rPr>
                <w:b/>
                <w:i/>
              </w:rPr>
              <w:t>üdvözli az EGSZB arra irányuló erőfeszítéseit, hogy növelje munkájának láthatóságát;</w:t>
            </w:r>
            <w:r>
              <w:t xml:space="preserve"> </w:t>
            </w:r>
            <w:r>
              <w:rPr>
                <w:b/>
                <w:i/>
              </w:rPr>
              <w:t>úgy véli azonban, hogy további erőfeszítésekre van szükség annak biztosítása érdekében, hogy a kommunikációs tevékenységek egyértelműen elmagyarázzák az EGSZB szerepét és az EU helyszíni jelenlétéhez való konkrét hozzájárulását, a polgárok számára hozzáférhető és érdemi módon;</w:t>
            </w:r>
            <w:r>
              <w:t xml:space="preserve"> nagyra értékeli a NaviGate platform 2024. májusi elindítását; megjegyzi, hogy ez a platform, amely internetes hivatkozásokkal látja el az Unió Kiadóhivatalának EU Law Tracker (EULT) webhelyét, jelentősen növelte az EGSZB munkájának láthatóságát, és javította a felhasználói élményt a tagok, a személyzet, a webhelyet más intézményekből felkeresők és a nyilvánosság számára, és 2024-ben 4600 egyedi látogatót szolgált ki;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784.136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AM\1336221HU.docx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AM\1336221HU.docx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AM\1336221HU.docx</w:t>
    </w:r>
    <w:r>
      <w:rPr>
        <w:rStyle w:val="HideTWBExt"/>
      </w:rPr>
      <w:t>&lt;/PathFdR&gt;</w:t>
    </w:r>
    <w:r>
      <w:tab/>
    </w:r>
    <w:r>
      <w:tab/>
    </w:r>
    <w:r>
      <w:t>PE</w:t>
    </w:r>
    <w:r>
      <w:rPr>
        <w:rStyle w:val="HideTWBExt"/>
      </w:rPr>
      <w:t>&lt;NoPE&gt;</w:t>
    </w:r>
    <w:r>
      <w:t>784.136</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10479</Words>
  <Characters>73920</Characters>
  <Application>Microsoft Office Word</Application>
  <DocSecurity>0</DocSecurity>
  <Lines>1</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1336221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371368</vt:lpwstr>
  </property>
  <property fmtid="{D5CDD505-2E9C-101B-9397-08002B2CF9AE}" pid="7" name="dmxml.render.traceId">
    <vt:lpwstr>698b42cc314cd8833a0549c958d6e269</vt:lpwstr>
  </property>
  <property fmtid="{D5CDD505-2E9C-101B-9397-08002B2CF9AE}" pid="8" name="FooterPath">
    <vt:lpwstr>AM\1336221HU.docx</vt:lpwstr>
  </property>
  <property fmtid="{D5CDD505-2E9C-101B-9397-08002B2CF9AE}" pid="9" name="PE Number">
    <vt:lpwstr>784.136</vt:lpwstr>
  </property>
  <property fmtid="{D5CDD505-2E9C-101B-9397-08002B2CF9AE}" pid="10" name="UID">
    <vt:lpwstr>eu.europa.europarl-DIN1-2026-0000016192_01.00-hu-01.00_text-xml</vt:lpwstr>
  </property>
</Properties>
</file>