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085FDC" w:rsidRPr="006A55BB" w14:paraId="1C2B4F62" w14:textId="77777777">
        <w:trPr>
          <w:trHeight w:hRule="exact" w:val="1417"/>
          <w:jc w:val="center"/>
        </w:trPr>
        <w:tc>
          <w:tcPr>
            <w:tcW w:w="6804" w:type="dxa"/>
            <w:tcBorders>
              <w:top w:val="nil"/>
              <w:left w:val="nil"/>
              <w:bottom w:val="nil"/>
              <w:right w:val="nil"/>
            </w:tcBorders>
            <w:vAlign w:val="center"/>
          </w:tcPr>
          <w:p w14:paraId="0A9A026C" w14:textId="77777777" w:rsidR="00085FDC" w:rsidRPr="006A55BB" w:rsidRDefault="0071326C">
            <w:pPr>
              <w:pStyle w:val="EPName"/>
            </w:pPr>
            <w:r w:rsidRPr="006A55BB">
              <w:t>Parlamento europeo</w:t>
            </w:r>
          </w:p>
          <w:p w14:paraId="515B9A3D" w14:textId="77777777" w:rsidR="00085FDC" w:rsidRPr="006A55BB" w:rsidRDefault="0071326C">
            <w:pPr>
              <w:pStyle w:val="EPTerm"/>
            </w:pPr>
            <w:r w:rsidRPr="006A55BB">
              <w:t>2024-2029</w:t>
            </w:r>
          </w:p>
        </w:tc>
        <w:tc>
          <w:tcPr>
            <w:tcW w:w="2268" w:type="dxa"/>
            <w:tcBorders>
              <w:top w:val="nil"/>
              <w:left w:val="nil"/>
              <w:bottom w:val="nil"/>
              <w:right w:val="nil"/>
            </w:tcBorders>
          </w:tcPr>
          <w:p w14:paraId="4238E80F" w14:textId="77777777" w:rsidR="00085FDC" w:rsidRPr="006A55BB" w:rsidRDefault="0088565B">
            <w:pPr>
              <w:pStyle w:val="EPLogo"/>
            </w:pPr>
            <w:r w:rsidRPr="006A55BB">
              <w:pict w14:anchorId="671622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3pt;height:50.35pt">
                  <v:imagedata r:id="rId6" o:title=""/>
                </v:shape>
              </w:pict>
            </w:r>
          </w:p>
        </w:tc>
      </w:tr>
    </w:tbl>
    <w:p w14:paraId="44912477" w14:textId="77777777" w:rsidR="00085FDC" w:rsidRPr="006A55BB" w:rsidRDefault="0071326C">
      <w:pPr>
        <w:pStyle w:val="LineTop"/>
      </w:pPr>
      <w:r w:rsidRPr="006A55BB">
        <w:t xml:space="preserve"> </w:t>
      </w:r>
    </w:p>
    <w:p w14:paraId="0F30B61C" w14:textId="77777777" w:rsidR="00085FDC" w:rsidRPr="006A55BB" w:rsidRDefault="0071326C">
      <w:pPr>
        <w:pStyle w:val="EPBody"/>
      </w:pPr>
      <w:r w:rsidRPr="0071326C">
        <w:rPr>
          <w:rStyle w:val="HideTWBExt"/>
          <w:rFonts w:eastAsia="Times New Roman"/>
          <w:i w:val="0"/>
        </w:rPr>
        <w:t>&lt;Commission&gt;</w:t>
      </w:r>
      <w:r w:rsidRPr="0071326C">
        <w:rPr>
          <w:rStyle w:val="HideTWBInt"/>
          <w:i w:val="0"/>
        </w:rPr>
        <w:t>{CONT}</w:t>
      </w:r>
      <w:r w:rsidRPr="006A55BB">
        <w:t>Commissione per il controllo dei bilanci</w:t>
      </w:r>
      <w:r w:rsidRPr="0071326C">
        <w:rPr>
          <w:rStyle w:val="HideTWBExt"/>
          <w:rFonts w:eastAsia="Times New Roman"/>
          <w:i w:val="0"/>
        </w:rPr>
        <w:t>&lt;/Commission&gt;</w:t>
      </w:r>
    </w:p>
    <w:p w14:paraId="5AC71195" w14:textId="77777777" w:rsidR="00085FDC" w:rsidRPr="006A55BB" w:rsidRDefault="0071326C">
      <w:pPr>
        <w:pStyle w:val="LineBottom"/>
      </w:pPr>
      <w:r w:rsidRPr="006A55BB">
        <w:t xml:space="preserve"> </w:t>
      </w:r>
    </w:p>
    <w:p w14:paraId="21FA70ED" w14:textId="77777777" w:rsidR="00085FDC" w:rsidRPr="006A55BB" w:rsidRDefault="0071326C">
      <w:pPr>
        <w:pStyle w:val="CoverReference"/>
      </w:pPr>
      <w:r w:rsidRPr="0071326C">
        <w:rPr>
          <w:rStyle w:val="HideTWBExt"/>
          <w:rFonts w:eastAsia="Times New Roman"/>
          <w:b w:val="0"/>
        </w:rPr>
        <w:t>&lt;RefProc&gt;</w:t>
      </w:r>
      <w:r w:rsidRPr="006A55BB">
        <w:t>2025/2151</w:t>
      </w:r>
      <w:r w:rsidRPr="0071326C">
        <w:rPr>
          <w:rStyle w:val="HideTWBExt"/>
          <w:rFonts w:eastAsia="Times New Roman"/>
          <w:b w:val="0"/>
        </w:rPr>
        <w:t>&lt;/RefProc&gt;&lt;RefTypeProc&gt;</w:t>
      </w:r>
      <w:r w:rsidRPr="006A55BB">
        <w:t>(DEC)</w:t>
      </w:r>
      <w:r w:rsidRPr="0071326C">
        <w:rPr>
          <w:rStyle w:val="HideTWBExt"/>
          <w:rFonts w:eastAsia="Times New Roman"/>
          <w:b w:val="0"/>
        </w:rPr>
        <w:t>&lt;/RefTypeProc&gt;</w:t>
      </w:r>
    </w:p>
    <w:p w14:paraId="1FCAE7E0" w14:textId="77777777" w:rsidR="00085FDC" w:rsidRPr="006A55BB" w:rsidRDefault="0071326C">
      <w:pPr>
        <w:pStyle w:val="CoverDate"/>
      </w:pPr>
      <w:r w:rsidRPr="0071326C">
        <w:rPr>
          <w:rStyle w:val="HideTWBExt"/>
        </w:rPr>
        <w:t>&lt;Date&gt;</w:t>
      </w:r>
      <w:r w:rsidRPr="0071326C">
        <w:rPr>
          <w:rStyle w:val="HideTWBInt"/>
        </w:rPr>
        <w:t>{28/01/2026}</w:t>
      </w:r>
      <w:r w:rsidRPr="006A55BB">
        <w:t>28.1.2026</w:t>
      </w:r>
      <w:r w:rsidRPr="0071326C">
        <w:rPr>
          <w:rStyle w:val="HideTWBExt"/>
        </w:rPr>
        <w:t>&lt;/Date&gt;</w:t>
      </w:r>
    </w:p>
    <w:p w14:paraId="462E438F" w14:textId="77777777" w:rsidR="00085FDC" w:rsidRPr="006A55BB" w:rsidRDefault="0071326C">
      <w:pPr>
        <w:pStyle w:val="CoverDocType"/>
      </w:pPr>
      <w:r w:rsidRPr="0071326C">
        <w:rPr>
          <w:rStyle w:val="HideTWBExt"/>
          <w:b w:val="0"/>
        </w:rPr>
        <w:t>&lt;TypeAM&gt;</w:t>
      </w:r>
      <w:r w:rsidRPr="006A55BB">
        <w:t>EMENDAMENTI</w:t>
      </w:r>
      <w:r w:rsidRPr="0071326C">
        <w:rPr>
          <w:rStyle w:val="HideTWBExt"/>
          <w:b w:val="0"/>
        </w:rPr>
        <w:t>&lt;/TypeAM&gt;</w:t>
      </w:r>
    </w:p>
    <w:p w14:paraId="77E28DDA" w14:textId="77777777" w:rsidR="00085FDC" w:rsidRPr="006A55BB" w:rsidRDefault="0071326C">
      <w:pPr>
        <w:pStyle w:val="CoverDocType24a"/>
      </w:pPr>
      <w:r w:rsidRPr="0071326C">
        <w:rPr>
          <w:rStyle w:val="HideTWBExt"/>
          <w:rFonts w:eastAsia="Times New Roman"/>
          <w:b w:val="0"/>
        </w:rPr>
        <w:t>&lt;RangeAM&gt;</w:t>
      </w:r>
      <w:r w:rsidRPr="006A55BB">
        <w:t>1 - 45</w:t>
      </w:r>
      <w:r w:rsidRPr="0071326C">
        <w:rPr>
          <w:rStyle w:val="HideTWBExt"/>
          <w:rFonts w:eastAsia="Times New Roman"/>
          <w:b w:val="0"/>
        </w:rPr>
        <w:t>&lt;/RangeAM&gt;</w:t>
      </w:r>
    </w:p>
    <w:p w14:paraId="4968DA48" w14:textId="77777777" w:rsidR="00085FDC" w:rsidRPr="006A55BB" w:rsidRDefault="0071326C">
      <w:pPr>
        <w:pStyle w:val="CoverBold"/>
      </w:pPr>
      <w:r w:rsidRPr="0071326C">
        <w:rPr>
          <w:rStyle w:val="HideTWBExt"/>
          <w:b w:val="0"/>
        </w:rPr>
        <w:t>&lt;TitreType&gt;</w:t>
      </w:r>
      <w:r w:rsidRPr="006A55BB">
        <w:t>Progetto di relazione</w:t>
      </w:r>
      <w:r w:rsidRPr="0071326C">
        <w:rPr>
          <w:rStyle w:val="HideTWBExt"/>
          <w:b w:val="0"/>
        </w:rPr>
        <w:t>&lt;/TitreType&gt;</w:t>
      </w:r>
    </w:p>
    <w:p w14:paraId="568AE02F" w14:textId="77777777" w:rsidR="00085FDC" w:rsidRPr="006A55BB" w:rsidRDefault="0071326C">
      <w:pPr>
        <w:pStyle w:val="CoverBold"/>
      </w:pPr>
      <w:r w:rsidRPr="0071326C">
        <w:rPr>
          <w:rStyle w:val="HideTWBExt"/>
          <w:b w:val="0"/>
        </w:rPr>
        <w:t>&lt;Rapporteur&gt;</w:t>
      </w:r>
      <w:r w:rsidRPr="006A55BB">
        <w:t>Pasquale Tridico</w:t>
      </w:r>
      <w:r w:rsidRPr="0071326C">
        <w:rPr>
          <w:rStyle w:val="HideTWBExt"/>
          <w:b w:val="0"/>
        </w:rPr>
        <w:t>&lt;/Rapporteur&gt;</w:t>
      </w:r>
    </w:p>
    <w:p w14:paraId="28C757B9" w14:textId="77777777" w:rsidR="00085FDC" w:rsidRPr="006A55BB" w:rsidRDefault="0071326C">
      <w:pPr>
        <w:pStyle w:val="CoverNormal24a"/>
      </w:pPr>
      <w:r w:rsidRPr="0071326C">
        <w:rPr>
          <w:rStyle w:val="HideTWBExt"/>
        </w:rPr>
        <w:t>&lt;DocRefPE&gt;</w:t>
      </w:r>
      <w:r w:rsidRPr="006A55BB">
        <w:t>(PE778.063v01-00)</w:t>
      </w:r>
      <w:r w:rsidRPr="0071326C">
        <w:rPr>
          <w:rStyle w:val="HideTWBExt"/>
        </w:rPr>
        <w:t>&lt;/DocRefPE&gt;</w:t>
      </w:r>
    </w:p>
    <w:p w14:paraId="027D1639" w14:textId="77777777" w:rsidR="00085FDC" w:rsidRPr="006A55BB" w:rsidRDefault="0071326C">
      <w:pPr>
        <w:pStyle w:val="CoverNormal"/>
      </w:pPr>
      <w:r w:rsidRPr="0071326C">
        <w:rPr>
          <w:rStyle w:val="HideTWBExt"/>
        </w:rPr>
        <w:t>&lt;Titre&gt;</w:t>
      </w:r>
      <w:r w:rsidRPr="006A55BB">
        <w:t>Discarico 2024: bilancio generale dell'Unione europea – Comitato economico e sociale europeo</w:t>
      </w:r>
      <w:r w:rsidRPr="0071326C">
        <w:rPr>
          <w:rStyle w:val="HideTWBExt"/>
        </w:rPr>
        <w:t>&lt;/Titre&gt;</w:t>
      </w:r>
    </w:p>
    <w:p w14:paraId="13CA3D29" w14:textId="77777777" w:rsidR="00085FDC" w:rsidRPr="006A55BB" w:rsidRDefault="0071326C">
      <w:pPr>
        <w:pStyle w:val="CoverNormal24a"/>
      </w:pPr>
      <w:r w:rsidRPr="0071326C">
        <w:rPr>
          <w:rStyle w:val="HideTWBExt"/>
        </w:rPr>
        <w:t>&lt;DocRef&gt;</w:t>
      </w:r>
      <w:r w:rsidRPr="006A55BB">
        <w:t>(2025/2151(DEC))</w:t>
      </w:r>
      <w:r w:rsidRPr="0071326C">
        <w:rPr>
          <w:rStyle w:val="HideTWBExt"/>
        </w:rPr>
        <w:t>&lt;/DocRef&gt;</w:t>
      </w:r>
    </w:p>
    <w:p w14:paraId="50990711" w14:textId="77777777" w:rsidR="00085FDC" w:rsidRPr="006A55BB" w:rsidRDefault="0071326C">
      <w:r w:rsidRPr="006A55BB">
        <w:br w:type="page"/>
      </w:r>
      <w:r w:rsidRPr="006A55BB">
        <w:lastRenderedPageBreak/>
        <w:t>AM_Com_NonLegReport</w:t>
      </w:r>
    </w:p>
    <w:p w14:paraId="19B0F85C" w14:textId="77777777" w:rsidR="00085FDC" w:rsidRPr="006A55BB" w:rsidRDefault="0071326C">
      <w:pPr>
        <w:pStyle w:val="AmNumberTabs"/>
      </w:pPr>
      <w:r w:rsidRPr="006A55BB">
        <w:br w:type="page"/>
      </w:r>
      <w:r w:rsidRPr="0071326C">
        <w:rPr>
          <w:rStyle w:val="HideTWBExt"/>
          <w:b w:val="0"/>
        </w:rPr>
        <w:lastRenderedPageBreak/>
        <w:t>&lt;RepeatBlock-Amend&gt;&lt;Amend&gt;</w:t>
      </w:r>
      <w:r w:rsidRPr="006A55BB">
        <w:t>Emendamento</w:t>
      </w:r>
      <w:r w:rsidRPr="006A55BB">
        <w:tab/>
      </w:r>
      <w:r w:rsidRPr="006A55BB">
        <w:tab/>
      </w:r>
      <w:r w:rsidRPr="0071326C">
        <w:rPr>
          <w:rStyle w:val="HideTWBExt"/>
          <w:b w:val="0"/>
        </w:rPr>
        <w:t>&lt;NumAm&gt;</w:t>
      </w:r>
      <w:r w:rsidRPr="006A55BB">
        <w:t>1</w:t>
      </w:r>
      <w:r w:rsidRPr="0071326C">
        <w:rPr>
          <w:rStyle w:val="HideTWBExt"/>
          <w:b w:val="0"/>
        </w:rPr>
        <w:t>&lt;/NumAm&gt;</w:t>
      </w:r>
    </w:p>
    <w:p w14:paraId="3534AB74" w14:textId="77777777" w:rsidR="00085FDC" w:rsidRPr="006A55BB" w:rsidRDefault="0071326C">
      <w:pPr>
        <w:pStyle w:val="NormalBold"/>
      </w:pPr>
      <w:r w:rsidRPr="0071326C">
        <w:rPr>
          <w:rStyle w:val="HideTWBExt"/>
          <w:b w:val="0"/>
        </w:rPr>
        <w:t>&lt;RepeatBlock-By&gt;&lt;Members&gt;</w:t>
      </w:r>
      <w:r w:rsidRPr="006A55BB">
        <w:t>Ondřej Knotek, Virginie Joron, Julien Sanchez, Tamás Deutsch</w:t>
      </w:r>
      <w:r w:rsidRPr="0071326C">
        <w:rPr>
          <w:rStyle w:val="HideTWBExt"/>
          <w:b w:val="0"/>
        </w:rPr>
        <w:t>&lt;/Members&gt;</w:t>
      </w:r>
    </w:p>
    <w:p w14:paraId="40A2464D" w14:textId="77777777" w:rsidR="00085FDC" w:rsidRPr="006A55BB" w:rsidRDefault="0071326C">
      <w:pPr>
        <w:pStyle w:val="NormalBold"/>
      </w:pPr>
      <w:r w:rsidRPr="0071326C">
        <w:rPr>
          <w:rStyle w:val="HideTWBExt"/>
          <w:b w:val="0"/>
        </w:rPr>
        <w:t>&lt;/RepeatBlock-By&gt;</w:t>
      </w:r>
    </w:p>
    <w:p w14:paraId="2C6FC48D" w14:textId="77777777" w:rsidR="00085FDC" w:rsidRPr="006A55BB" w:rsidRDefault="0071326C">
      <w:pPr>
        <w:pStyle w:val="NormalBold"/>
      </w:pPr>
      <w:r w:rsidRPr="0071326C">
        <w:rPr>
          <w:rStyle w:val="HideTWBExt"/>
          <w:b w:val="0"/>
        </w:rPr>
        <w:t>&lt;DocAmend&gt;</w:t>
      </w:r>
      <w:r w:rsidRPr="006A55BB">
        <w:t>Proposta di risoluzione</w:t>
      </w:r>
      <w:r w:rsidRPr="0071326C">
        <w:rPr>
          <w:rStyle w:val="HideTWBExt"/>
          <w:b w:val="0"/>
        </w:rPr>
        <w:t>&lt;/DocAmend&gt;</w:t>
      </w:r>
    </w:p>
    <w:p w14:paraId="56D42120" w14:textId="77777777" w:rsidR="00085FDC" w:rsidRPr="006A55BB" w:rsidRDefault="0071326C">
      <w:pPr>
        <w:pStyle w:val="NormalBold"/>
      </w:pPr>
      <w:r w:rsidRPr="0071326C">
        <w:rPr>
          <w:rStyle w:val="HideTWBExt"/>
          <w:b w:val="0"/>
        </w:rPr>
        <w:t>&lt;Article&gt;</w:t>
      </w:r>
      <w:r w:rsidRPr="006A55BB">
        <w:t>Considerando H bis (nuovo)</w:t>
      </w:r>
      <w:r w:rsidRPr="007132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FDC" w:rsidRPr="006A55BB" w14:paraId="76F360C5" w14:textId="77777777">
        <w:trPr>
          <w:trHeight w:hRule="exact" w:val="240"/>
          <w:jc w:val="center"/>
        </w:trPr>
        <w:tc>
          <w:tcPr>
            <w:tcW w:w="9752" w:type="dxa"/>
            <w:gridSpan w:val="2"/>
            <w:tcBorders>
              <w:top w:val="nil"/>
              <w:left w:val="nil"/>
              <w:bottom w:val="nil"/>
              <w:right w:val="nil"/>
            </w:tcBorders>
          </w:tcPr>
          <w:p w14:paraId="2307A28B" w14:textId="77777777" w:rsidR="00085FDC" w:rsidRPr="006A55BB" w:rsidRDefault="00085FDC"/>
        </w:tc>
      </w:tr>
      <w:tr w:rsidR="00085FDC" w:rsidRPr="006A55BB" w14:paraId="04F46A0A" w14:textId="77777777">
        <w:trPr>
          <w:trHeight w:val="240"/>
          <w:jc w:val="center"/>
        </w:trPr>
        <w:tc>
          <w:tcPr>
            <w:tcW w:w="4876" w:type="dxa"/>
            <w:tcBorders>
              <w:top w:val="nil"/>
              <w:left w:val="nil"/>
              <w:bottom w:val="nil"/>
              <w:right w:val="nil"/>
            </w:tcBorders>
          </w:tcPr>
          <w:p w14:paraId="71D46132" w14:textId="77777777" w:rsidR="00085FDC" w:rsidRPr="006A55BB" w:rsidRDefault="0071326C">
            <w:pPr>
              <w:pStyle w:val="AmColumnHeading"/>
            </w:pPr>
            <w:r w:rsidRPr="006A55BB">
              <w:t>Proposta di risoluzione</w:t>
            </w:r>
          </w:p>
        </w:tc>
        <w:tc>
          <w:tcPr>
            <w:tcW w:w="4876" w:type="dxa"/>
            <w:tcBorders>
              <w:top w:val="nil"/>
              <w:left w:val="nil"/>
              <w:bottom w:val="nil"/>
              <w:right w:val="nil"/>
            </w:tcBorders>
          </w:tcPr>
          <w:p w14:paraId="7BA1B046" w14:textId="77777777" w:rsidR="00085FDC" w:rsidRPr="006A55BB" w:rsidRDefault="0071326C">
            <w:pPr>
              <w:pStyle w:val="AmColumnHeading"/>
            </w:pPr>
            <w:r w:rsidRPr="006A55BB">
              <w:t>Emendamento</w:t>
            </w:r>
          </w:p>
        </w:tc>
      </w:tr>
      <w:tr w:rsidR="00085FDC" w:rsidRPr="006A55BB" w14:paraId="29174FEC" w14:textId="77777777">
        <w:trPr>
          <w:jc w:val="center"/>
        </w:trPr>
        <w:tc>
          <w:tcPr>
            <w:tcW w:w="4876" w:type="dxa"/>
            <w:tcBorders>
              <w:top w:val="nil"/>
              <w:left w:val="nil"/>
              <w:bottom w:val="nil"/>
              <w:right w:val="nil"/>
            </w:tcBorders>
          </w:tcPr>
          <w:p w14:paraId="2F94B7CF" w14:textId="77777777" w:rsidR="00085FDC" w:rsidRPr="006A55BB" w:rsidRDefault="00085FDC">
            <w:pPr>
              <w:pStyle w:val="Normal6a"/>
            </w:pPr>
          </w:p>
        </w:tc>
        <w:tc>
          <w:tcPr>
            <w:tcW w:w="4876" w:type="dxa"/>
            <w:tcBorders>
              <w:top w:val="nil"/>
              <w:left w:val="nil"/>
              <w:bottom w:val="nil"/>
              <w:right w:val="nil"/>
            </w:tcBorders>
          </w:tcPr>
          <w:p w14:paraId="775C402F" w14:textId="77777777" w:rsidR="00085FDC" w:rsidRPr="006A55BB" w:rsidRDefault="0071326C">
            <w:pPr>
              <w:pStyle w:val="Normal6a"/>
            </w:pPr>
            <w:r w:rsidRPr="006A55BB">
              <w:rPr>
                <w:b/>
                <w:i/>
              </w:rPr>
              <w:t>H bis.</w:t>
            </w:r>
            <w:r w:rsidRPr="006A55BB">
              <w:tab/>
            </w:r>
            <w:r w:rsidRPr="006A55BB">
              <w:rPr>
                <w:b/>
                <w:i/>
              </w:rPr>
              <w:t xml:space="preserve">considerando che, a norma degli articoli 300 e 304 del trattato sul funzionamento dell'Unione europea, il Comitato economico e sociale </w:t>
            </w:r>
            <w:r w:rsidRPr="006A55BB">
              <w:rPr>
                <w:b/>
                <w:i/>
              </w:rPr>
              <w:t>europeo è un organo consultivo il cui mandato consiste principalmente nell'emettere pareri;</w:t>
            </w:r>
          </w:p>
        </w:tc>
      </w:tr>
    </w:tbl>
    <w:p w14:paraId="7E61EC85" w14:textId="77777777" w:rsidR="00085FDC" w:rsidRPr="006A55BB" w:rsidRDefault="0071326C">
      <w:pPr>
        <w:pStyle w:val="AmOrLang"/>
      </w:pPr>
      <w:r w:rsidRPr="006A55BB">
        <w:t xml:space="preserve">Or. </w:t>
      </w:r>
      <w:r w:rsidRPr="0071326C">
        <w:rPr>
          <w:rStyle w:val="HideTWBExt"/>
        </w:rPr>
        <w:t>&lt;Original&gt;</w:t>
      </w:r>
      <w:r w:rsidRPr="0071326C">
        <w:rPr>
          <w:rStyle w:val="HideTWBInt"/>
        </w:rPr>
        <w:t>{EN}</w:t>
      </w:r>
      <w:r w:rsidRPr="006A55BB">
        <w:t>en</w:t>
      </w:r>
      <w:r w:rsidRPr="0071326C">
        <w:rPr>
          <w:rStyle w:val="HideTWBExt"/>
        </w:rPr>
        <w:t>&lt;/Original&gt;</w:t>
      </w:r>
    </w:p>
    <w:p w14:paraId="0DBB97B7" w14:textId="77777777" w:rsidR="00085FDC" w:rsidRPr="006A55BB" w:rsidRDefault="0071326C">
      <w:r w:rsidRPr="0071326C">
        <w:rPr>
          <w:rStyle w:val="HideTWBExt"/>
        </w:rPr>
        <w:t>&lt;/Amend&gt;</w:t>
      </w:r>
    </w:p>
    <w:p w14:paraId="70B80272" w14:textId="77777777" w:rsidR="00085FDC" w:rsidRPr="006A55BB" w:rsidRDefault="0071326C">
      <w:pPr>
        <w:pStyle w:val="AmNumberTabs"/>
      </w:pPr>
      <w:r w:rsidRPr="0071326C">
        <w:rPr>
          <w:rStyle w:val="HideTWBExt"/>
          <w:b w:val="0"/>
        </w:rPr>
        <w:t>&lt;Amend&gt;</w:t>
      </w:r>
      <w:r w:rsidRPr="006A55BB">
        <w:t>Emendamento</w:t>
      </w:r>
      <w:r w:rsidRPr="006A55BB">
        <w:tab/>
      </w:r>
      <w:r w:rsidRPr="006A55BB">
        <w:tab/>
      </w:r>
      <w:r w:rsidRPr="0071326C">
        <w:rPr>
          <w:rStyle w:val="HideTWBExt"/>
          <w:b w:val="0"/>
        </w:rPr>
        <w:t>&lt;NumAm&gt;</w:t>
      </w:r>
      <w:r w:rsidRPr="006A55BB">
        <w:t>2</w:t>
      </w:r>
      <w:r w:rsidRPr="0071326C">
        <w:rPr>
          <w:rStyle w:val="HideTWBExt"/>
          <w:b w:val="0"/>
        </w:rPr>
        <w:t>&lt;/NumAm&gt;</w:t>
      </w:r>
    </w:p>
    <w:p w14:paraId="5E42CDBE" w14:textId="77777777" w:rsidR="00085FDC" w:rsidRPr="006A55BB" w:rsidRDefault="0071326C">
      <w:pPr>
        <w:pStyle w:val="NormalBold"/>
      </w:pPr>
      <w:r w:rsidRPr="0071326C">
        <w:rPr>
          <w:rStyle w:val="HideTWBExt"/>
          <w:b w:val="0"/>
        </w:rPr>
        <w:t>&lt;RepeatBlock-By&gt;&lt;Members&gt;</w:t>
      </w:r>
      <w:r w:rsidRPr="006A55BB">
        <w:t>Andrey Kovatchev</w:t>
      </w:r>
      <w:r w:rsidRPr="0071326C">
        <w:rPr>
          <w:rStyle w:val="HideTWBExt"/>
          <w:b w:val="0"/>
        </w:rPr>
        <w:t>&lt;/Members&gt;</w:t>
      </w:r>
    </w:p>
    <w:p w14:paraId="43DBD574" w14:textId="77777777" w:rsidR="00085FDC" w:rsidRPr="006A55BB" w:rsidRDefault="0071326C">
      <w:pPr>
        <w:pStyle w:val="NormalBold"/>
      </w:pPr>
      <w:r w:rsidRPr="0071326C">
        <w:rPr>
          <w:rStyle w:val="HideTWBExt"/>
          <w:b w:val="0"/>
        </w:rPr>
        <w:t>&lt;/RepeatBlock-By&gt;</w:t>
      </w:r>
    </w:p>
    <w:p w14:paraId="63989E67" w14:textId="77777777" w:rsidR="00085FDC" w:rsidRPr="006A55BB" w:rsidRDefault="0071326C">
      <w:pPr>
        <w:pStyle w:val="NormalBold"/>
      </w:pPr>
      <w:r w:rsidRPr="0071326C">
        <w:rPr>
          <w:rStyle w:val="HideTWBExt"/>
          <w:b w:val="0"/>
        </w:rPr>
        <w:t>&lt;DocAmend&gt;</w:t>
      </w:r>
      <w:r w:rsidRPr="006A55BB">
        <w:t>Proposta di risoluzione</w:t>
      </w:r>
      <w:r w:rsidRPr="0071326C">
        <w:rPr>
          <w:rStyle w:val="HideTWBExt"/>
          <w:b w:val="0"/>
        </w:rPr>
        <w:t>&lt;/DocAmend&gt;</w:t>
      </w:r>
    </w:p>
    <w:p w14:paraId="7101B865" w14:textId="77777777" w:rsidR="00085FDC" w:rsidRPr="006A55BB" w:rsidRDefault="0071326C">
      <w:pPr>
        <w:pStyle w:val="NormalBold"/>
      </w:pPr>
      <w:r w:rsidRPr="0071326C">
        <w:rPr>
          <w:rStyle w:val="HideTWBExt"/>
          <w:b w:val="0"/>
        </w:rPr>
        <w:t>&lt;Article&gt;</w:t>
      </w:r>
      <w:r w:rsidRPr="006A55BB">
        <w:t>Paragrafo 4 bis (nuovo)</w:t>
      </w:r>
      <w:r w:rsidRPr="007132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FDC" w:rsidRPr="006A55BB" w14:paraId="6857585A" w14:textId="77777777">
        <w:trPr>
          <w:trHeight w:hRule="exact" w:val="240"/>
          <w:jc w:val="center"/>
        </w:trPr>
        <w:tc>
          <w:tcPr>
            <w:tcW w:w="9752" w:type="dxa"/>
            <w:gridSpan w:val="2"/>
            <w:tcBorders>
              <w:top w:val="nil"/>
              <w:left w:val="nil"/>
              <w:bottom w:val="nil"/>
              <w:right w:val="nil"/>
            </w:tcBorders>
          </w:tcPr>
          <w:p w14:paraId="6A0BF8DE" w14:textId="77777777" w:rsidR="00085FDC" w:rsidRPr="006A55BB" w:rsidRDefault="00085FDC"/>
        </w:tc>
      </w:tr>
      <w:tr w:rsidR="00085FDC" w:rsidRPr="006A55BB" w14:paraId="1A378FC5" w14:textId="77777777">
        <w:trPr>
          <w:trHeight w:val="240"/>
          <w:jc w:val="center"/>
        </w:trPr>
        <w:tc>
          <w:tcPr>
            <w:tcW w:w="4876" w:type="dxa"/>
            <w:tcBorders>
              <w:top w:val="nil"/>
              <w:left w:val="nil"/>
              <w:bottom w:val="nil"/>
              <w:right w:val="nil"/>
            </w:tcBorders>
          </w:tcPr>
          <w:p w14:paraId="79E570A0" w14:textId="77777777" w:rsidR="00085FDC" w:rsidRPr="006A55BB" w:rsidRDefault="0071326C">
            <w:pPr>
              <w:pStyle w:val="AmColumnHeading"/>
            </w:pPr>
            <w:r w:rsidRPr="006A55BB">
              <w:t>Proposta di risoluzione</w:t>
            </w:r>
          </w:p>
        </w:tc>
        <w:tc>
          <w:tcPr>
            <w:tcW w:w="4876" w:type="dxa"/>
            <w:tcBorders>
              <w:top w:val="nil"/>
              <w:left w:val="nil"/>
              <w:bottom w:val="nil"/>
              <w:right w:val="nil"/>
            </w:tcBorders>
          </w:tcPr>
          <w:p w14:paraId="721E9498" w14:textId="77777777" w:rsidR="00085FDC" w:rsidRPr="006A55BB" w:rsidRDefault="0071326C">
            <w:pPr>
              <w:pStyle w:val="AmColumnHeading"/>
            </w:pPr>
            <w:r w:rsidRPr="006A55BB">
              <w:t>Emendamento</w:t>
            </w:r>
          </w:p>
        </w:tc>
      </w:tr>
      <w:tr w:rsidR="00085FDC" w:rsidRPr="006A55BB" w14:paraId="65C3EA5C" w14:textId="77777777">
        <w:trPr>
          <w:jc w:val="center"/>
        </w:trPr>
        <w:tc>
          <w:tcPr>
            <w:tcW w:w="4876" w:type="dxa"/>
            <w:tcBorders>
              <w:top w:val="nil"/>
              <w:left w:val="nil"/>
              <w:bottom w:val="nil"/>
              <w:right w:val="nil"/>
            </w:tcBorders>
          </w:tcPr>
          <w:p w14:paraId="6093387B" w14:textId="77777777" w:rsidR="00085FDC" w:rsidRPr="006A55BB" w:rsidRDefault="00085FDC">
            <w:pPr>
              <w:pStyle w:val="Normal6a"/>
            </w:pPr>
          </w:p>
        </w:tc>
        <w:tc>
          <w:tcPr>
            <w:tcW w:w="4876" w:type="dxa"/>
            <w:tcBorders>
              <w:top w:val="nil"/>
              <w:left w:val="nil"/>
              <w:bottom w:val="nil"/>
              <w:right w:val="nil"/>
            </w:tcBorders>
          </w:tcPr>
          <w:p w14:paraId="0AEA9E34" w14:textId="77777777" w:rsidR="00085FDC" w:rsidRPr="006A55BB" w:rsidRDefault="0071326C">
            <w:pPr>
              <w:pStyle w:val="Normal6a"/>
            </w:pPr>
            <w:proofErr w:type="gramStart"/>
            <w:r w:rsidRPr="006A55BB">
              <w:rPr>
                <w:b/>
                <w:i/>
              </w:rPr>
              <w:t>4</w:t>
            </w:r>
            <w:proofErr w:type="gramEnd"/>
            <w:r w:rsidRPr="006A55BB">
              <w:rPr>
                <w:b/>
                <w:i/>
              </w:rPr>
              <w:t xml:space="preserve"> bis.</w:t>
            </w:r>
            <w:r w:rsidRPr="006A55BB">
              <w:tab/>
            </w:r>
            <w:r w:rsidRPr="006A55BB">
              <w:rPr>
                <w:b/>
                <w:i/>
              </w:rPr>
              <w:t xml:space="preserve">prende atto del passaggio del Comitato da un approccio orientato alla spesa alla gestione delle </w:t>
            </w:r>
            <w:r w:rsidRPr="006A55BB">
              <w:rPr>
                <w:b/>
                <w:i/>
              </w:rPr>
              <w:t>risorse e alla definizione delle priorità, come indicato nel pacchetto finanziario strategico approvato dall'Ufficio di presidenza del CESE e nell'introduzione di attività di definizione delle priorità; osserva che tali misure sono volte a migliorare la governance finanziaria e ad allineare le decisioni di bilancio agli obiettivi strategici; prende atto degli sforzi volti a ridurre gli oneri amministrativi e a razionalizzare i processi nel perseguimento dell'efficacia in termini di costi; invita il Comitato</w:t>
            </w:r>
            <w:r w:rsidRPr="006A55BB">
              <w:rPr>
                <w:b/>
                <w:i/>
              </w:rPr>
              <w:t xml:space="preserve"> a consolidare ulteriormente tale approccio integrando gli indicatori di performance e la pianificazione previsionale nel suo ciclo </w:t>
            </w:r>
            <w:r w:rsidRPr="006A55BB">
              <w:rPr>
                <w:b/>
                <w:i/>
              </w:rPr>
              <w:lastRenderedPageBreak/>
              <w:t>finanziario annuale;</w:t>
            </w:r>
          </w:p>
        </w:tc>
      </w:tr>
    </w:tbl>
    <w:p w14:paraId="2802B17A" w14:textId="77777777" w:rsidR="00085FDC" w:rsidRPr="006A55BB" w:rsidRDefault="0071326C">
      <w:pPr>
        <w:pStyle w:val="AmOrLang"/>
      </w:pPr>
      <w:r w:rsidRPr="006A55BB">
        <w:lastRenderedPageBreak/>
        <w:t xml:space="preserve">Or. </w:t>
      </w:r>
      <w:r w:rsidRPr="0071326C">
        <w:rPr>
          <w:rStyle w:val="HideTWBExt"/>
        </w:rPr>
        <w:t>&lt;Original&gt;</w:t>
      </w:r>
      <w:r w:rsidRPr="0071326C">
        <w:rPr>
          <w:rStyle w:val="HideTWBInt"/>
        </w:rPr>
        <w:t>{EN}</w:t>
      </w:r>
      <w:r w:rsidRPr="006A55BB">
        <w:t>en</w:t>
      </w:r>
      <w:r w:rsidRPr="0071326C">
        <w:rPr>
          <w:rStyle w:val="HideTWBExt"/>
        </w:rPr>
        <w:t>&lt;/Original&gt;</w:t>
      </w:r>
    </w:p>
    <w:p w14:paraId="0A5F57EF" w14:textId="77777777" w:rsidR="00085FDC" w:rsidRPr="006A55BB" w:rsidRDefault="0071326C">
      <w:r w:rsidRPr="0071326C">
        <w:rPr>
          <w:rStyle w:val="HideTWBExt"/>
        </w:rPr>
        <w:t>&lt;/Amend&gt;</w:t>
      </w:r>
    </w:p>
    <w:p w14:paraId="06BD31A9" w14:textId="77777777" w:rsidR="00085FDC" w:rsidRPr="006A55BB" w:rsidRDefault="0071326C">
      <w:pPr>
        <w:pStyle w:val="AmNumberTabs"/>
      </w:pPr>
      <w:r w:rsidRPr="0071326C">
        <w:rPr>
          <w:rStyle w:val="HideTWBExt"/>
          <w:b w:val="0"/>
        </w:rPr>
        <w:t>&lt;Amend&gt;</w:t>
      </w:r>
      <w:r w:rsidRPr="006A55BB">
        <w:t>Emendamento</w:t>
      </w:r>
      <w:r w:rsidRPr="006A55BB">
        <w:tab/>
      </w:r>
      <w:r w:rsidRPr="006A55BB">
        <w:tab/>
      </w:r>
      <w:r w:rsidRPr="0071326C">
        <w:rPr>
          <w:rStyle w:val="HideTWBExt"/>
          <w:b w:val="0"/>
        </w:rPr>
        <w:t>&lt;NumAm&gt;</w:t>
      </w:r>
      <w:r w:rsidRPr="006A55BB">
        <w:t>3</w:t>
      </w:r>
      <w:r w:rsidRPr="0071326C">
        <w:rPr>
          <w:rStyle w:val="HideTWBExt"/>
          <w:b w:val="0"/>
        </w:rPr>
        <w:t>&lt;/NumAm&gt;</w:t>
      </w:r>
    </w:p>
    <w:p w14:paraId="2326DEF6" w14:textId="77777777" w:rsidR="00085FDC" w:rsidRPr="006A55BB" w:rsidRDefault="0071326C">
      <w:pPr>
        <w:pStyle w:val="NormalBold"/>
      </w:pPr>
      <w:r w:rsidRPr="0071326C">
        <w:rPr>
          <w:rStyle w:val="HideTWBExt"/>
          <w:b w:val="0"/>
        </w:rPr>
        <w:t>&lt;RepeatBlock-By&gt;&lt;Members&gt;</w:t>
      </w:r>
      <w:r w:rsidRPr="006A55BB">
        <w:t>Andrey Kovatchev</w:t>
      </w:r>
      <w:r w:rsidRPr="0071326C">
        <w:rPr>
          <w:rStyle w:val="HideTWBExt"/>
          <w:b w:val="0"/>
        </w:rPr>
        <w:t>&lt;/Members&gt;</w:t>
      </w:r>
    </w:p>
    <w:p w14:paraId="2544508C" w14:textId="77777777" w:rsidR="00085FDC" w:rsidRPr="006A55BB" w:rsidRDefault="0071326C">
      <w:pPr>
        <w:pStyle w:val="NormalBold"/>
      </w:pPr>
      <w:r w:rsidRPr="0071326C">
        <w:rPr>
          <w:rStyle w:val="HideTWBExt"/>
          <w:b w:val="0"/>
        </w:rPr>
        <w:t>&lt;/RepeatBlock-By&gt;</w:t>
      </w:r>
    </w:p>
    <w:p w14:paraId="48D2C1C8" w14:textId="77777777" w:rsidR="00085FDC" w:rsidRPr="006A55BB" w:rsidRDefault="0071326C">
      <w:pPr>
        <w:pStyle w:val="NormalBold"/>
      </w:pPr>
      <w:r w:rsidRPr="0071326C">
        <w:rPr>
          <w:rStyle w:val="HideTWBExt"/>
          <w:b w:val="0"/>
        </w:rPr>
        <w:t>&lt;DocAmend&gt;</w:t>
      </w:r>
      <w:r w:rsidRPr="006A55BB">
        <w:t>Proposta di risoluzione</w:t>
      </w:r>
      <w:r w:rsidRPr="0071326C">
        <w:rPr>
          <w:rStyle w:val="HideTWBExt"/>
          <w:b w:val="0"/>
        </w:rPr>
        <w:t>&lt;/DocAmend&gt;</w:t>
      </w:r>
    </w:p>
    <w:p w14:paraId="5860F4F7" w14:textId="77777777" w:rsidR="00085FDC" w:rsidRPr="006A55BB" w:rsidRDefault="0071326C">
      <w:pPr>
        <w:pStyle w:val="NormalBold"/>
      </w:pPr>
      <w:r w:rsidRPr="0071326C">
        <w:rPr>
          <w:rStyle w:val="HideTWBExt"/>
          <w:b w:val="0"/>
        </w:rPr>
        <w:t>&lt;Article&gt;</w:t>
      </w:r>
      <w:r w:rsidRPr="006A55BB">
        <w:t>Paragrafo 5</w:t>
      </w:r>
      <w:r w:rsidRPr="007132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FDC" w:rsidRPr="006A55BB" w14:paraId="67968C9B" w14:textId="77777777">
        <w:trPr>
          <w:trHeight w:hRule="exact" w:val="240"/>
          <w:jc w:val="center"/>
        </w:trPr>
        <w:tc>
          <w:tcPr>
            <w:tcW w:w="9752" w:type="dxa"/>
            <w:gridSpan w:val="2"/>
            <w:tcBorders>
              <w:top w:val="nil"/>
              <w:left w:val="nil"/>
              <w:bottom w:val="nil"/>
              <w:right w:val="nil"/>
            </w:tcBorders>
          </w:tcPr>
          <w:p w14:paraId="1AA2835F" w14:textId="77777777" w:rsidR="00085FDC" w:rsidRPr="006A55BB" w:rsidRDefault="00085FDC"/>
        </w:tc>
      </w:tr>
      <w:tr w:rsidR="00085FDC" w:rsidRPr="006A55BB" w14:paraId="0B7605C1" w14:textId="77777777">
        <w:trPr>
          <w:trHeight w:val="240"/>
          <w:jc w:val="center"/>
        </w:trPr>
        <w:tc>
          <w:tcPr>
            <w:tcW w:w="4876" w:type="dxa"/>
            <w:tcBorders>
              <w:top w:val="nil"/>
              <w:left w:val="nil"/>
              <w:bottom w:val="nil"/>
              <w:right w:val="nil"/>
            </w:tcBorders>
          </w:tcPr>
          <w:p w14:paraId="159CFFE3" w14:textId="77777777" w:rsidR="00085FDC" w:rsidRPr="006A55BB" w:rsidRDefault="0071326C">
            <w:pPr>
              <w:pStyle w:val="AmColumnHeading"/>
            </w:pPr>
            <w:r w:rsidRPr="006A55BB">
              <w:t>Proposta di risoluzione</w:t>
            </w:r>
          </w:p>
        </w:tc>
        <w:tc>
          <w:tcPr>
            <w:tcW w:w="4876" w:type="dxa"/>
            <w:tcBorders>
              <w:top w:val="nil"/>
              <w:left w:val="nil"/>
              <w:bottom w:val="nil"/>
              <w:right w:val="nil"/>
            </w:tcBorders>
          </w:tcPr>
          <w:p w14:paraId="43115851" w14:textId="77777777" w:rsidR="00085FDC" w:rsidRPr="006A55BB" w:rsidRDefault="0071326C">
            <w:pPr>
              <w:pStyle w:val="AmColumnHeading"/>
            </w:pPr>
            <w:r w:rsidRPr="006A55BB">
              <w:t>Emendamento</w:t>
            </w:r>
          </w:p>
        </w:tc>
      </w:tr>
      <w:tr w:rsidR="00085FDC" w:rsidRPr="006A55BB" w14:paraId="63B91289" w14:textId="77777777">
        <w:trPr>
          <w:jc w:val="center"/>
        </w:trPr>
        <w:tc>
          <w:tcPr>
            <w:tcW w:w="4876" w:type="dxa"/>
            <w:tcBorders>
              <w:top w:val="nil"/>
              <w:left w:val="nil"/>
              <w:bottom w:val="nil"/>
              <w:right w:val="nil"/>
            </w:tcBorders>
          </w:tcPr>
          <w:p w14:paraId="49C766EC" w14:textId="77777777" w:rsidR="00085FDC" w:rsidRPr="006A55BB" w:rsidRDefault="0071326C">
            <w:pPr>
              <w:pStyle w:val="Normal6a"/>
            </w:pPr>
            <w:r w:rsidRPr="006A55BB">
              <w:t>5.</w:t>
            </w:r>
            <w:r w:rsidRPr="006A55BB">
              <w:tab/>
              <w:t xml:space="preserve">elogia il Comitato per </w:t>
            </w:r>
            <w:r w:rsidRPr="006A55BB">
              <w:rPr>
                <w:b/>
                <w:i/>
              </w:rPr>
              <w:t>il fatto che il</w:t>
            </w:r>
            <w:r w:rsidRPr="006A55BB">
              <w:t xml:space="preserve"> tasso di esecuzione del bilancio per gli stanziamenti d'impegno dell'esercizio in corso è ulteriormente aumentato, passando dal 98,70 % nel 2023 al 99,21 % nel 2024, grazie al monitoraggio efficace della sua esecuzione del bilancio, ma anche a causa di un elevato tasso di inflazione che incide sulle retribuzioni del personale e sui costi immobiliari; prende atto, in tale contesto, degli sforzi di riassegnazione del Comitato attraverso storni di bilancio per un totale di 2 487 139 EUR (pari all'1,51 % del s</w:t>
            </w:r>
            <w:r w:rsidRPr="006A55BB">
              <w:t>uo bilancio 2024) tra varie linee di bilancio, con gli aumenti più significativi relativi al funzionamento e alla manutenzione dei sistemi software (+ 519 682 EUR) e degli edifici (+ 421 880 EUR); osserva inoltre con soddisfazione che il tasso di esecuzione per gli stanziamenti di pagamento dell'esercizio in corso è aumentato dall'88,12 % del 2022 e dal 90,67 % del 2023 al 92,85 % del 2024 e che il tempo medio di pagamento è diminuito da 20,14 giorni nel 2023 a 16,06 giorni nel 2024, il che rappresenta la m</w:t>
            </w:r>
            <w:r w:rsidRPr="006A55BB">
              <w:t>igliore performance del Comitato dal 2021;</w:t>
            </w:r>
          </w:p>
        </w:tc>
        <w:tc>
          <w:tcPr>
            <w:tcW w:w="4876" w:type="dxa"/>
            <w:tcBorders>
              <w:top w:val="nil"/>
              <w:left w:val="nil"/>
              <w:bottom w:val="nil"/>
              <w:right w:val="nil"/>
            </w:tcBorders>
          </w:tcPr>
          <w:p w14:paraId="01C45337" w14:textId="77777777" w:rsidR="00085FDC" w:rsidRPr="006A55BB" w:rsidRDefault="0071326C">
            <w:pPr>
              <w:pStyle w:val="Normal6a"/>
            </w:pPr>
            <w:r w:rsidRPr="006A55BB">
              <w:t>5.</w:t>
            </w:r>
            <w:r w:rsidRPr="006A55BB">
              <w:tab/>
              <w:t xml:space="preserve">elogia il Comitato per </w:t>
            </w:r>
            <w:r w:rsidRPr="006A55BB">
              <w:rPr>
                <w:b/>
                <w:i/>
              </w:rPr>
              <w:t>l'elevato</w:t>
            </w:r>
            <w:r w:rsidRPr="006A55BB">
              <w:t xml:space="preserve"> tasso di esecuzione del bilancio per gli stanziamenti d'impegno dell'esercizio in corso </w:t>
            </w:r>
            <w:r w:rsidRPr="006A55BB">
              <w:rPr>
                <w:b/>
                <w:i/>
              </w:rPr>
              <w:t xml:space="preserve">che </w:t>
            </w:r>
            <w:r w:rsidRPr="006A55BB">
              <w:t>è ulteriormente aumentato, passando dal 98,70 % nel 2023 al 99,21 % nel 2024, grazie al monitoraggio efficace della sua esecuzione del bilancio, ma anche a causa di un elevato tasso di inflazione che incide sulle retribuzioni del personale e sui costi immobiliari; prende atto, in tale contesto, degli sforzi di riassegnazione del Comitato attraverso storni di bilancio per un totale di</w:t>
            </w:r>
            <w:r w:rsidRPr="006A55BB">
              <w:t xml:space="preserve"> 2 487 139 EUR (pari all'1,51 % del suo bilancio 2024) tra varie linee di bilancio, con gli aumenti più significativi relativi al funzionamento e alla manutenzione dei sistemi software (+ 519 682 EUR) e degli edifici (+ 421 880 EUR); osserva inoltre con soddisfazione che il tasso di esecuzione per gli stanziamenti di pagamento dell'esercizio in corso è aumentato dall'88,12 % del 2022 e dal 90,67 % del 2023 al 92,85 % del 2024 e che il tempo medio di pagamento è diminuito da 20,14 giorni nel 2023 a 16,06 gio</w:t>
            </w:r>
            <w:r w:rsidRPr="006A55BB">
              <w:t xml:space="preserve">rni nel 2024, il che rappresenta la migliore performance del Comitato dal 2021; </w:t>
            </w:r>
            <w:r w:rsidRPr="006A55BB">
              <w:rPr>
                <w:b/>
                <w:i/>
              </w:rPr>
              <w:t>incoraggia il proseguimento di un monitoraggio efficiente, del contenimento dei costi e della riassegnazione strategica per garantire un buon rapporto costi-benefici e la trasparenza;</w:t>
            </w:r>
          </w:p>
        </w:tc>
      </w:tr>
    </w:tbl>
    <w:p w14:paraId="4E08FC65" w14:textId="77777777" w:rsidR="00085FDC" w:rsidRPr="006A55BB" w:rsidRDefault="0071326C">
      <w:pPr>
        <w:pStyle w:val="AmOrLang"/>
      </w:pPr>
      <w:r w:rsidRPr="006A55BB">
        <w:t xml:space="preserve">Or. </w:t>
      </w:r>
      <w:r w:rsidRPr="0071326C">
        <w:rPr>
          <w:rStyle w:val="HideTWBExt"/>
        </w:rPr>
        <w:t>&lt;Original&gt;</w:t>
      </w:r>
      <w:r w:rsidRPr="0071326C">
        <w:rPr>
          <w:rStyle w:val="HideTWBInt"/>
        </w:rPr>
        <w:t>{EN}</w:t>
      </w:r>
      <w:r w:rsidRPr="006A55BB">
        <w:t>en</w:t>
      </w:r>
      <w:r w:rsidRPr="0071326C">
        <w:rPr>
          <w:rStyle w:val="HideTWBExt"/>
        </w:rPr>
        <w:t>&lt;/Original&gt;</w:t>
      </w:r>
    </w:p>
    <w:p w14:paraId="49C78B61" w14:textId="77777777" w:rsidR="00085FDC" w:rsidRPr="006A55BB" w:rsidRDefault="0071326C">
      <w:r w:rsidRPr="0071326C">
        <w:rPr>
          <w:rStyle w:val="HideTWBExt"/>
        </w:rPr>
        <w:lastRenderedPageBreak/>
        <w:t>&lt;/Amend&gt;</w:t>
      </w:r>
    </w:p>
    <w:p w14:paraId="073AD62B" w14:textId="77777777" w:rsidR="00085FDC" w:rsidRPr="006A55BB" w:rsidRDefault="0071326C">
      <w:pPr>
        <w:pStyle w:val="AmNumberTabs"/>
      </w:pPr>
      <w:r w:rsidRPr="0071326C">
        <w:rPr>
          <w:rStyle w:val="HideTWBExt"/>
          <w:b w:val="0"/>
        </w:rPr>
        <w:t>&lt;Amend&gt;</w:t>
      </w:r>
      <w:r w:rsidRPr="006A55BB">
        <w:t>Emendamento</w:t>
      </w:r>
      <w:r w:rsidRPr="006A55BB">
        <w:tab/>
      </w:r>
      <w:r w:rsidRPr="006A55BB">
        <w:tab/>
      </w:r>
      <w:r w:rsidRPr="0071326C">
        <w:rPr>
          <w:rStyle w:val="HideTWBExt"/>
          <w:b w:val="0"/>
        </w:rPr>
        <w:t>&lt;NumAm&gt;</w:t>
      </w:r>
      <w:r w:rsidRPr="006A55BB">
        <w:t>4</w:t>
      </w:r>
      <w:r w:rsidRPr="0071326C">
        <w:rPr>
          <w:rStyle w:val="HideTWBExt"/>
          <w:b w:val="0"/>
        </w:rPr>
        <w:t>&lt;/NumAm&gt;</w:t>
      </w:r>
    </w:p>
    <w:p w14:paraId="7736DF7F" w14:textId="77777777" w:rsidR="00085FDC" w:rsidRPr="006A55BB" w:rsidRDefault="0071326C">
      <w:pPr>
        <w:pStyle w:val="NormalBold"/>
      </w:pPr>
      <w:r w:rsidRPr="0071326C">
        <w:rPr>
          <w:rStyle w:val="HideTWBExt"/>
          <w:b w:val="0"/>
        </w:rPr>
        <w:t>&lt;RepeatBlock-By&gt;&lt;Members&gt;</w:t>
      </w:r>
      <w:r w:rsidRPr="006A55BB">
        <w:t>Andrey Kovatchev</w:t>
      </w:r>
      <w:r w:rsidRPr="0071326C">
        <w:rPr>
          <w:rStyle w:val="HideTWBExt"/>
          <w:b w:val="0"/>
        </w:rPr>
        <w:t>&lt;/Members&gt;</w:t>
      </w:r>
    </w:p>
    <w:p w14:paraId="0F290DF7" w14:textId="77777777" w:rsidR="00085FDC" w:rsidRPr="006A55BB" w:rsidRDefault="0071326C">
      <w:pPr>
        <w:pStyle w:val="NormalBold"/>
      </w:pPr>
      <w:r w:rsidRPr="0071326C">
        <w:rPr>
          <w:rStyle w:val="HideTWBExt"/>
          <w:b w:val="0"/>
        </w:rPr>
        <w:t>&lt;/RepeatBlock-By&gt;</w:t>
      </w:r>
    </w:p>
    <w:p w14:paraId="350975E7" w14:textId="77777777" w:rsidR="00085FDC" w:rsidRPr="006A55BB" w:rsidRDefault="0071326C">
      <w:pPr>
        <w:pStyle w:val="NormalBold"/>
      </w:pPr>
      <w:r w:rsidRPr="0071326C">
        <w:rPr>
          <w:rStyle w:val="HideTWBExt"/>
          <w:b w:val="0"/>
        </w:rPr>
        <w:t>&lt;DocAmend&gt;</w:t>
      </w:r>
      <w:r w:rsidRPr="006A55BB">
        <w:t>Proposta di risoluzione</w:t>
      </w:r>
      <w:r w:rsidRPr="0071326C">
        <w:rPr>
          <w:rStyle w:val="HideTWBExt"/>
          <w:b w:val="0"/>
        </w:rPr>
        <w:t>&lt;/DocAmend&gt;</w:t>
      </w:r>
    </w:p>
    <w:p w14:paraId="46FCE919" w14:textId="77777777" w:rsidR="00085FDC" w:rsidRPr="006A55BB" w:rsidRDefault="0071326C">
      <w:pPr>
        <w:pStyle w:val="NormalBold"/>
      </w:pPr>
      <w:r w:rsidRPr="0071326C">
        <w:rPr>
          <w:rStyle w:val="HideTWBExt"/>
          <w:b w:val="0"/>
        </w:rPr>
        <w:t>&lt;Article&gt;</w:t>
      </w:r>
      <w:r w:rsidRPr="006A55BB">
        <w:t>Paragrafo 7</w:t>
      </w:r>
      <w:r w:rsidRPr="007132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FDC" w:rsidRPr="006A55BB" w14:paraId="315CA40C" w14:textId="77777777">
        <w:trPr>
          <w:trHeight w:hRule="exact" w:val="240"/>
          <w:jc w:val="center"/>
        </w:trPr>
        <w:tc>
          <w:tcPr>
            <w:tcW w:w="9752" w:type="dxa"/>
            <w:gridSpan w:val="2"/>
            <w:tcBorders>
              <w:top w:val="nil"/>
              <w:left w:val="nil"/>
              <w:bottom w:val="nil"/>
              <w:right w:val="nil"/>
            </w:tcBorders>
          </w:tcPr>
          <w:p w14:paraId="6F87372D" w14:textId="77777777" w:rsidR="00085FDC" w:rsidRPr="006A55BB" w:rsidRDefault="00085FDC"/>
        </w:tc>
      </w:tr>
      <w:tr w:rsidR="00085FDC" w:rsidRPr="006A55BB" w14:paraId="169C192A" w14:textId="77777777">
        <w:trPr>
          <w:trHeight w:val="240"/>
          <w:jc w:val="center"/>
        </w:trPr>
        <w:tc>
          <w:tcPr>
            <w:tcW w:w="4876" w:type="dxa"/>
            <w:tcBorders>
              <w:top w:val="nil"/>
              <w:left w:val="nil"/>
              <w:bottom w:val="nil"/>
              <w:right w:val="nil"/>
            </w:tcBorders>
          </w:tcPr>
          <w:p w14:paraId="4A0E2D03" w14:textId="77777777" w:rsidR="00085FDC" w:rsidRPr="006A55BB" w:rsidRDefault="0071326C">
            <w:pPr>
              <w:pStyle w:val="AmColumnHeading"/>
            </w:pPr>
            <w:r w:rsidRPr="006A55BB">
              <w:t>Proposta di risoluzione</w:t>
            </w:r>
          </w:p>
        </w:tc>
        <w:tc>
          <w:tcPr>
            <w:tcW w:w="4876" w:type="dxa"/>
            <w:tcBorders>
              <w:top w:val="nil"/>
              <w:left w:val="nil"/>
              <w:bottom w:val="nil"/>
              <w:right w:val="nil"/>
            </w:tcBorders>
          </w:tcPr>
          <w:p w14:paraId="1CE19EF7" w14:textId="77777777" w:rsidR="00085FDC" w:rsidRPr="006A55BB" w:rsidRDefault="0071326C">
            <w:pPr>
              <w:pStyle w:val="AmColumnHeading"/>
            </w:pPr>
            <w:r w:rsidRPr="006A55BB">
              <w:t>Emendamento</w:t>
            </w:r>
          </w:p>
        </w:tc>
      </w:tr>
      <w:tr w:rsidR="00085FDC" w:rsidRPr="006A55BB" w14:paraId="1AA14AC3" w14:textId="77777777">
        <w:trPr>
          <w:jc w:val="center"/>
        </w:trPr>
        <w:tc>
          <w:tcPr>
            <w:tcW w:w="4876" w:type="dxa"/>
            <w:tcBorders>
              <w:top w:val="nil"/>
              <w:left w:val="nil"/>
              <w:bottom w:val="nil"/>
              <w:right w:val="nil"/>
            </w:tcBorders>
          </w:tcPr>
          <w:p w14:paraId="7D7E12E8" w14:textId="77777777" w:rsidR="00085FDC" w:rsidRPr="006A55BB" w:rsidRDefault="0071326C">
            <w:pPr>
              <w:pStyle w:val="Normal6a"/>
            </w:pPr>
            <w:r w:rsidRPr="006A55BB">
              <w:t>7.</w:t>
            </w:r>
            <w:r w:rsidRPr="006A55BB">
              <w:tab/>
              <w:t>osserva che il 21 settembre 2024 il Consiglio ha adottato una nuova decisione sulla concessione delle indennità giornaliere e sul rimborso delle spese di viaggio dei membri del Comitato e dei loro supplenti, in base alla quale l'indennità giornaliera per i beneficiari che partecipano alle riunioni in presenza è fissata a 367 EUR (rispetto a 290 EUR) e l'indennità giornaliera per i beneficiari che partecipano alle riunioni a distanza per via elettronica è fissata a 149 EUR (rispetto a 145 EUR); apprende dal</w:t>
            </w:r>
            <w:r w:rsidRPr="006A55BB">
              <w:t xml:space="preserve"> questionario che nel 2024 il Comitato ha rimborsato per la partecipazione a distanza 259 669 EUR (294 930 EUR nel 2023), l'equivalente di 1 744 giorni di riunione (2 006 giorni di riunione nel 2023), mentre l'importo totale delle indennità forfettarie versate per la partecipazione alle riunioni in presenza è stato di 6 579 196 EUR nel 2024 (rispetto a 5 902 963 EUR nel 2023); osserva inoltre che il Comitato dispone di un sistema per confermare l'effettiva partecipazione a distanza alle riunioni per via ele</w:t>
            </w:r>
            <w:r w:rsidRPr="006A55BB">
              <w:t>ttronica; ritiene che</w:t>
            </w:r>
            <w:r w:rsidRPr="006A55BB">
              <w:rPr>
                <w:b/>
                <w:i/>
              </w:rPr>
              <w:t>, sebbene</w:t>
            </w:r>
            <w:r w:rsidRPr="006A55BB">
              <w:t xml:space="preserve"> la partecipazione a distanza sia uno strumento importante per le istituzioni moderne, riducendo i costi di riunione e consentendo una più ampia partecipazione</w:t>
            </w:r>
            <w:r w:rsidRPr="006A55BB">
              <w:rPr>
                <w:b/>
                <w:i/>
              </w:rPr>
              <w:t>, l'assegnazione di</w:t>
            </w:r>
            <w:r w:rsidRPr="006A55BB">
              <w:t xml:space="preserve"> un'indennità per la partecipazione a distanza </w:t>
            </w:r>
            <w:r w:rsidRPr="006A55BB">
              <w:rPr>
                <w:b/>
                <w:i/>
              </w:rPr>
              <w:t>alle riunioni, anche se ridotta e limitata a determinati tipi</w:t>
            </w:r>
            <w:r w:rsidRPr="006A55BB">
              <w:t xml:space="preserve"> di eventi, </w:t>
            </w:r>
            <w:r w:rsidRPr="006A55BB">
              <w:rPr>
                <w:b/>
                <w:i/>
              </w:rPr>
              <w:t>sia difficile da comprendere per il pubblico</w:t>
            </w:r>
            <w:r w:rsidRPr="006A55BB">
              <w:t>;</w:t>
            </w:r>
          </w:p>
        </w:tc>
        <w:tc>
          <w:tcPr>
            <w:tcW w:w="4876" w:type="dxa"/>
            <w:tcBorders>
              <w:top w:val="nil"/>
              <w:left w:val="nil"/>
              <w:bottom w:val="nil"/>
              <w:right w:val="nil"/>
            </w:tcBorders>
          </w:tcPr>
          <w:p w14:paraId="68A84664" w14:textId="77777777" w:rsidR="00085FDC" w:rsidRPr="006A55BB" w:rsidRDefault="0071326C">
            <w:pPr>
              <w:pStyle w:val="Normal6a"/>
            </w:pPr>
            <w:r w:rsidRPr="006A55BB">
              <w:t>7.</w:t>
            </w:r>
            <w:r w:rsidRPr="006A55BB">
              <w:tab/>
              <w:t xml:space="preserve">osserva che il 21 settembre 2024 il </w:t>
            </w:r>
            <w:r w:rsidRPr="006A55BB">
              <w:t>Consiglio ha adottato una nuova decisione sulla concessione delle indennità giornaliere e sul rimborso delle spese di viaggio dei membri del Comitato e dei loro supplenti, in base alla quale l'indennità giornaliera per i beneficiari che partecipano alle riunioni in presenza è fissata a 367 EUR (rispetto a 290 EUR) e l'indennità giornaliera per i beneficiari che partecipano alle riunioni a distanza per via elettronica è fissata a 149 EUR (rispetto a 145 EUR); apprende dal questionario che nel 2024 il Comitat</w:t>
            </w:r>
            <w:r w:rsidRPr="006A55BB">
              <w:t>o ha rimborsato per la partecipazione a distanza 259 669 EUR (294 930 EUR nel 2023), l'equivalente di 1 744 giorni di riunione (2 006 giorni di riunione nel 2023), mentre l'importo totale delle indennità forfettarie versate per la partecipazione alle riunioni in presenza è stato di 6 579 196 EUR nel 2024 (rispetto a 5 902 963 EUR nel 2023); osserva inoltre che il Comitato dispone di un sistema per confermare l'effettiva partecipazione a distanza alle riunioni per via elettronica; ritiene che la partecipazio</w:t>
            </w:r>
            <w:r w:rsidRPr="006A55BB">
              <w:t xml:space="preserve">ne a distanza sia uno strumento importante </w:t>
            </w:r>
            <w:r w:rsidRPr="006A55BB">
              <w:rPr>
                <w:b/>
                <w:i/>
              </w:rPr>
              <w:t>e un mezzo prezioso</w:t>
            </w:r>
            <w:r w:rsidRPr="006A55BB">
              <w:t xml:space="preserve"> per le istituzioni moderne, riducendo i costi di riunione e consentendo una più ampia partecipazione</w:t>
            </w:r>
            <w:r w:rsidRPr="006A55BB">
              <w:rPr>
                <w:b/>
                <w:i/>
              </w:rPr>
              <w:t>; accoglie con favore l'approccio del Comitato di assegnare</w:t>
            </w:r>
            <w:r w:rsidRPr="006A55BB">
              <w:t xml:space="preserve"> un'indennità per la partecipazione a distanza </w:t>
            </w:r>
            <w:r w:rsidRPr="006A55BB">
              <w:rPr>
                <w:b/>
                <w:i/>
              </w:rPr>
              <w:t>a un ridotto e limitato tipo</w:t>
            </w:r>
            <w:r w:rsidRPr="006A55BB">
              <w:t xml:space="preserve"> di eventi, </w:t>
            </w:r>
            <w:r w:rsidRPr="006A55BB">
              <w:rPr>
                <w:b/>
                <w:i/>
              </w:rPr>
              <w:t xml:space="preserve">in maniera equa e proporzionata, riflettendo le responsabilità e i requisiti di preparazione dei membri, garantendo e monitorando nel contempo la trasparenza e l'efficienza </w:t>
            </w:r>
            <w:r w:rsidRPr="006A55BB">
              <w:rPr>
                <w:b/>
                <w:i/>
              </w:rPr>
              <w:lastRenderedPageBreak/>
              <w:t>in termini di costi; ricorda c</w:t>
            </w:r>
            <w:r w:rsidRPr="006A55BB">
              <w:rPr>
                <w:b/>
                <w:i/>
              </w:rPr>
              <w:t>he i membri del Comitato economico e sociale europeo non ricevono uno stipendio per il loro mandato</w:t>
            </w:r>
            <w:r w:rsidRPr="006A55BB">
              <w:t>;</w:t>
            </w:r>
          </w:p>
        </w:tc>
      </w:tr>
    </w:tbl>
    <w:p w14:paraId="38BDEBEA" w14:textId="77777777" w:rsidR="00085FDC" w:rsidRPr="006A55BB" w:rsidRDefault="0071326C">
      <w:pPr>
        <w:pStyle w:val="AmOrLang"/>
      </w:pPr>
      <w:r w:rsidRPr="006A55BB">
        <w:lastRenderedPageBreak/>
        <w:t xml:space="preserve">Or. </w:t>
      </w:r>
      <w:r w:rsidRPr="0071326C">
        <w:rPr>
          <w:rStyle w:val="HideTWBExt"/>
        </w:rPr>
        <w:t>&lt;Original&gt;</w:t>
      </w:r>
      <w:r w:rsidRPr="0071326C">
        <w:rPr>
          <w:rStyle w:val="HideTWBInt"/>
        </w:rPr>
        <w:t>{EN}</w:t>
      </w:r>
      <w:r w:rsidRPr="006A55BB">
        <w:t>en</w:t>
      </w:r>
      <w:r w:rsidRPr="0071326C">
        <w:rPr>
          <w:rStyle w:val="HideTWBExt"/>
        </w:rPr>
        <w:t>&lt;/Original&gt;</w:t>
      </w:r>
    </w:p>
    <w:p w14:paraId="69103803" w14:textId="77777777" w:rsidR="00085FDC" w:rsidRPr="006A55BB" w:rsidRDefault="0071326C">
      <w:r w:rsidRPr="0071326C">
        <w:rPr>
          <w:rStyle w:val="HideTWBExt"/>
        </w:rPr>
        <w:t>&lt;/Amend&gt;</w:t>
      </w:r>
    </w:p>
    <w:p w14:paraId="2E41BA49" w14:textId="77777777" w:rsidR="00085FDC" w:rsidRPr="006A55BB" w:rsidRDefault="0071326C">
      <w:pPr>
        <w:pStyle w:val="AmNumberTabs"/>
      </w:pPr>
      <w:r w:rsidRPr="0071326C">
        <w:rPr>
          <w:rStyle w:val="HideTWBExt"/>
          <w:b w:val="0"/>
        </w:rPr>
        <w:t>&lt;Amend&gt;</w:t>
      </w:r>
      <w:r w:rsidRPr="006A55BB">
        <w:t>Emendamento</w:t>
      </w:r>
      <w:r w:rsidRPr="006A55BB">
        <w:tab/>
      </w:r>
      <w:r w:rsidRPr="006A55BB">
        <w:tab/>
      </w:r>
      <w:r w:rsidRPr="0071326C">
        <w:rPr>
          <w:rStyle w:val="HideTWBExt"/>
          <w:b w:val="0"/>
        </w:rPr>
        <w:t>&lt;NumAm&gt;</w:t>
      </w:r>
      <w:r w:rsidRPr="006A55BB">
        <w:t>5</w:t>
      </w:r>
      <w:r w:rsidRPr="0071326C">
        <w:rPr>
          <w:rStyle w:val="HideTWBExt"/>
          <w:b w:val="0"/>
        </w:rPr>
        <w:t>&lt;/NumAm&gt;</w:t>
      </w:r>
    </w:p>
    <w:p w14:paraId="2A944B47" w14:textId="77777777" w:rsidR="00085FDC" w:rsidRPr="006A55BB" w:rsidRDefault="0071326C">
      <w:pPr>
        <w:pStyle w:val="NormalBold"/>
      </w:pPr>
      <w:r w:rsidRPr="0071326C">
        <w:rPr>
          <w:rStyle w:val="HideTWBExt"/>
          <w:b w:val="0"/>
        </w:rPr>
        <w:t>&lt;RepeatBlock-By&gt;&lt;Members&gt;</w:t>
      </w:r>
      <w:r w:rsidRPr="006A55BB">
        <w:t>Michal Wiezik, Olivier Chastel, Vlad Vasile-Voiculescu, Gilles Boyer</w:t>
      </w:r>
      <w:r w:rsidRPr="0071326C">
        <w:rPr>
          <w:rStyle w:val="HideTWBExt"/>
          <w:b w:val="0"/>
        </w:rPr>
        <w:t>&lt;/Members&gt;</w:t>
      </w:r>
    </w:p>
    <w:p w14:paraId="1618A495" w14:textId="77777777" w:rsidR="00085FDC" w:rsidRPr="006A55BB" w:rsidRDefault="0071326C">
      <w:pPr>
        <w:pStyle w:val="NormalBold"/>
      </w:pPr>
      <w:r w:rsidRPr="0071326C">
        <w:rPr>
          <w:rStyle w:val="HideTWBExt"/>
          <w:b w:val="0"/>
        </w:rPr>
        <w:t>&lt;/RepeatBlock-By&gt;</w:t>
      </w:r>
    </w:p>
    <w:p w14:paraId="4A6EAE09" w14:textId="77777777" w:rsidR="00085FDC" w:rsidRPr="006A55BB" w:rsidRDefault="0071326C">
      <w:pPr>
        <w:pStyle w:val="NormalBold"/>
      </w:pPr>
      <w:r w:rsidRPr="0071326C">
        <w:rPr>
          <w:rStyle w:val="HideTWBExt"/>
          <w:b w:val="0"/>
        </w:rPr>
        <w:t>&lt;DocAmend&gt;</w:t>
      </w:r>
      <w:r w:rsidRPr="006A55BB">
        <w:t>Proposta di risoluzione</w:t>
      </w:r>
      <w:r w:rsidRPr="0071326C">
        <w:rPr>
          <w:rStyle w:val="HideTWBExt"/>
          <w:b w:val="0"/>
        </w:rPr>
        <w:t>&lt;/DocAmend&gt;</w:t>
      </w:r>
    </w:p>
    <w:p w14:paraId="13177B2B" w14:textId="77777777" w:rsidR="00085FDC" w:rsidRPr="006A55BB" w:rsidRDefault="0071326C">
      <w:pPr>
        <w:pStyle w:val="NormalBold"/>
      </w:pPr>
      <w:r w:rsidRPr="0071326C">
        <w:rPr>
          <w:rStyle w:val="HideTWBExt"/>
          <w:b w:val="0"/>
        </w:rPr>
        <w:t>&lt;Article&gt;</w:t>
      </w:r>
      <w:r w:rsidRPr="006A55BB">
        <w:t>Paragrafo 7 bis (nuovo)</w:t>
      </w:r>
      <w:r w:rsidRPr="007132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FDC" w:rsidRPr="006A55BB" w14:paraId="63FD6F82" w14:textId="77777777">
        <w:trPr>
          <w:trHeight w:hRule="exact" w:val="240"/>
          <w:jc w:val="center"/>
        </w:trPr>
        <w:tc>
          <w:tcPr>
            <w:tcW w:w="9752" w:type="dxa"/>
            <w:gridSpan w:val="2"/>
            <w:tcBorders>
              <w:top w:val="nil"/>
              <w:left w:val="nil"/>
              <w:bottom w:val="nil"/>
              <w:right w:val="nil"/>
            </w:tcBorders>
          </w:tcPr>
          <w:p w14:paraId="06DCE9AE" w14:textId="77777777" w:rsidR="00085FDC" w:rsidRPr="006A55BB" w:rsidRDefault="00085FDC"/>
        </w:tc>
      </w:tr>
      <w:tr w:rsidR="00085FDC" w:rsidRPr="006A55BB" w14:paraId="7085D060" w14:textId="77777777">
        <w:trPr>
          <w:trHeight w:val="240"/>
          <w:jc w:val="center"/>
        </w:trPr>
        <w:tc>
          <w:tcPr>
            <w:tcW w:w="4876" w:type="dxa"/>
            <w:tcBorders>
              <w:top w:val="nil"/>
              <w:left w:val="nil"/>
              <w:bottom w:val="nil"/>
              <w:right w:val="nil"/>
            </w:tcBorders>
          </w:tcPr>
          <w:p w14:paraId="0CABAA04" w14:textId="77777777" w:rsidR="00085FDC" w:rsidRPr="006A55BB" w:rsidRDefault="0071326C">
            <w:pPr>
              <w:pStyle w:val="AmColumnHeading"/>
            </w:pPr>
            <w:r w:rsidRPr="006A55BB">
              <w:t>Proposta di risoluzione</w:t>
            </w:r>
          </w:p>
        </w:tc>
        <w:tc>
          <w:tcPr>
            <w:tcW w:w="4876" w:type="dxa"/>
            <w:tcBorders>
              <w:top w:val="nil"/>
              <w:left w:val="nil"/>
              <w:bottom w:val="nil"/>
              <w:right w:val="nil"/>
            </w:tcBorders>
          </w:tcPr>
          <w:p w14:paraId="30A6227D" w14:textId="77777777" w:rsidR="00085FDC" w:rsidRPr="006A55BB" w:rsidRDefault="0071326C">
            <w:pPr>
              <w:pStyle w:val="AmColumnHeading"/>
            </w:pPr>
            <w:r w:rsidRPr="006A55BB">
              <w:t>Emendamento</w:t>
            </w:r>
          </w:p>
        </w:tc>
      </w:tr>
      <w:tr w:rsidR="00085FDC" w:rsidRPr="006A55BB" w14:paraId="0EA9940E" w14:textId="77777777">
        <w:trPr>
          <w:jc w:val="center"/>
        </w:trPr>
        <w:tc>
          <w:tcPr>
            <w:tcW w:w="4876" w:type="dxa"/>
            <w:tcBorders>
              <w:top w:val="nil"/>
              <w:left w:val="nil"/>
              <w:bottom w:val="nil"/>
              <w:right w:val="nil"/>
            </w:tcBorders>
          </w:tcPr>
          <w:p w14:paraId="5897F134" w14:textId="77777777" w:rsidR="00085FDC" w:rsidRPr="006A55BB" w:rsidRDefault="00085FDC">
            <w:pPr>
              <w:pStyle w:val="Normal6a"/>
            </w:pPr>
          </w:p>
        </w:tc>
        <w:tc>
          <w:tcPr>
            <w:tcW w:w="4876" w:type="dxa"/>
            <w:tcBorders>
              <w:top w:val="nil"/>
              <w:left w:val="nil"/>
              <w:bottom w:val="nil"/>
              <w:right w:val="nil"/>
            </w:tcBorders>
          </w:tcPr>
          <w:p w14:paraId="580D3B52" w14:textId="77777777" w:rsidR="00085FDC" w:rsidRPr="006A55BB" w:rsidRDefault="0071326C">
            <w:pPr>
              <w:pStyle w:val="Normal6a"/>
            </w:pPr>
            <w:proofErr w:type="gramStart"/>
            <w:r w:rsidRPr="006A55BB">
              <w:rPr>
                <w:b/>
                <w:i/>
              </w:rPr>
              <w:t>7</w:t>
            </w:r>
            <w:proofErr w:type="gramEnd"/>
            <w:r w:rsidRPr="006A55BB">
              <w:rPr>
                <w:b/>
                <w:i/>
              </w:rPr>
              <w:t xml:space="preserve"> bis.</w:t>
            </w:r>
            <w:r w:rsidRPr="006A55BB">
              <w:tab/>
            </w:r>
            <w:r w:rsidRPr="006A55BB">
              <w:rPr>
                <w:b/>
                <w:i/>
              </w:rPr>
              <w:t xml:space="preserve">invita il Comitato a rivalutare il sistema delle indennità per la </w:t>
            </w:r>
            <w:r w:rsidRPr="006A55BB">
              <w:rPr>
                <w:b/>
                <w:i/>
              </w:rPr>
              <w:t>partecipazione a distanza al fine di garantire la piena trasparenza, proporzionalità e fiducia dei cittadini; sottolinea che il compenso economico per la partecipazione a distanza deve essere rigorosamente giustificato, limitato nell'ambito di applicazione e allineato ai principi di responsabilità e dell'efficacia in termini di costi.</w:t>
            </w:r>
          </w:p>
        </w:tc>
      </w:tr>
    </w:tbl>
    <w:p w14:paraId="1AA199B5" w14:textId="77777777" w:rsidR="00085FDC" w:rsidRPr="006A55BB" w:rsidRDefault="0071326C">
      <w:pPr>
        <w:pStyle w:val="AmOrLang"/>
      </w:pPr>
      <w:r w:rsidRPr="006A55BB">
        <w:t xml:space="preserve">Or. </w:t>
      </w:r>
      <w:r w:rsidRPr="0071326C">
        <w:rPr>
          <w:rStyle w:val="HideTWBExt"/>
        </w:rPr>
        <w:t>&lt;Original&gt;</w:t>
      </w:r>
      <w:r w:rsidRPr="0071326C">
        <w:rPr>
          <w:rStyle w:val="HideTWBInt"/>
        </w:rPr>
        <w:t>{EN}</w:t>
      </w:r>
      <w:r w:rsidRPr="006A55BB">
        <w:t>en</w:t>
      </w:r>
      <w:r w:rsidRPr="0071326C">
        <w:rPr>
          <w:rStyle w:val="HideTWBExt"/>
        </w:rPr>
        <w:t>&lt;/Original&gt;</w:t>
      </w:r>
    </w:p>
    <w:p w14:paraId="44926635" w14:textId="77777777" w:rsidR="00085FDC" w:rsidRPr="006A55BB" w:rsidRDefault="0071326C">
      <w:r w:rsidRPr="0071326C">
        <w:rPr>
          <w:rStyle w:val="HideTWBExt"/>
        </w:rPr>
        <w:t>&lt;/Amend&gt;</w:t>
      </w:r>
    </w:p>
    <w:p w14:paraId="3F67D499" w14:textId="77777777" w:rsidR="00085FDC" w:rsidRPr="006A55BB" w:rsidRDefault="0071326C">
      <w:pPr>
        <w:pStyle w:val="AmNumberTabs"/>
      </w:pPr>
      <w:r w:rsidRPr="0071326C">
        <w:rPr>
          <w:rStyle w:val="HideTWBExt"/>
          <w:b w:val="0"/>
        </w:rPr>
        <w:t>&lt;Amend&gt;</w:t>
      </w:r>
      <w:r w:rsidRPr="006A55BB">
        <w:t>Emendamento</w:t>
      </w:r>
      <w:r w:rsidRPr="006A55BB">
        <w:tab/>
      </w:r>
      <w:r w:rsidRPr="006A55BB">
        <w:tab/>
      </w:r>
      <w:r w:rsidRPr="0071326C">
        <w:rPr>
          <w:rStyle w:val="HideTWBExt"/>
          <w:b w:val="0"/>
        </w:rPr>
        <w:t>&lt;NumAm&gt;</w:t>
      </w:r>
      <w:r w:rsidRPr="006A55BB">
        <w:t>6</w:t>
      </w:r>
      <w:r w:rsidRPr="0071326C">
        <w:rPr>
          <w:rStyle w:val="HideTWBExt"/>
          <w:b w:val="0"/>
        </w:rPr>
        <w:t>&lt;/NumAm&gt;</w:t>
      </w:r>
    </w:p>
    <w:p w14:paraId="0D53C727" w14:textId="77777777" w:rsidR="00085FDC" w:rsidRPr="006A55BB" w:rsidRDefault="0071326C">
      <w:pPr>
        <w:pStyle w:val="NormalBold"/>
      </w:pPr>
      <w:r w:rsidRPr="0071326C">
        <w:rPr>
          <w:rStyle w:val="HideTWBExt"/>
          <w:b w:val="0"/>
        </w:rPr>
        <w:t>&lt;RepeatBlock-By&gt;&lt;Members&gt;</w:t>
      </w:r>
      <w:r w:rsidRPr="006A55BB">
        <w:t>Dick Erixon, Şerban Dimitrie Sturdza</w:t>
      </w:r>
      <w:r w:rsidRPr="0071326C">
        <w:rPr>
          <w:rStyle w:val="HideTWBExt"/>
          <w:b w:val="0"/>
        </w:rPr>
        <w:t>&lt;/Members&gt;</w:t>
      </w:r>
    </w:p>
    <w:p w14:paraId="620BE747" w14:textId="77777777" w:rsidR="00085FDC" w:rsidRPr="006A55BB" w:rsidRDefault="0071326C">
      <w:pPr>
        <w:pStyle w:val="NormalBold"/>
      </w:pPr>
      <w:r w:rsidRPr="0071326C">
        <w:rPr>
          <w:rStyle w:val="HideTWBExt"/>
          <w:b w:val="0"/>
        </w:rPr>
        <w:t>&lt;/RepeatBlock-By&gt;</w:t>
      </w:r>
    </w:p>
    <w:p w14:paraId="7DB46CE6" w14:textId="77777777" w:rsidR="00085FDC" w:rsidRPr="006A55BB" w:rsidRDefault="0071326C">
      <w:pPr>
        <w:pStyle w:val="NormalBold"/>
      </w:pPr>
      <w:r w:rsidRPr="0071326C">
        <w:rPr>
          <w:rStyle w:val="HideTWBExt"/>
          <w:b w:val="0"/>
        </w:rPr>
        <w:t>&lt;DocAmend&gt;</w:t>
      </w:r>
      <w:r w:rsidRPr="006A55BB">
        <w:t>Proposta di risoluzione</w:t>
      </w:r>
      <w:r w:rsidRPr="0071326C">
        <w:rPr>
          <w:rStyle w:val="HideTWBExt"/>
          <w:b w:val="0"/>
        </w:rPr>
        <w:t>&lt;/DocAmend&gt;</w:t>
      </w:r>
    </w:p>
    <w:p w14:paraId="0DC2B928" w14:textId="77777777" w:rsidR="00085FDC" w:rsidRPr="006A55BB" w:rsidRDefault="0071326C">
      <w:pPr>
        <w:pStyle w:val="NormalBold"/>
      </w:pPr>
      <w:r w:rsidRPr="0071326C">
        <w:rPr>
          <w:rStyle w:val="HideTWBExt"/>
          <w:b w:val="0"/>
        </w:rPr>
        <w:t>&lt;Article&gt;</w:t>
      </w:r>
      <w:r w:rsidRPr="006A55BB">
        <w:t>Paragrafo 8 bis (nuovo)</w:t>
      </w:r>
      <w:r w:rsidRPr="007132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FDC" w:rsidRPr="006A55BB" w14:paraId="4DF89231" w14:textId="77777777">
        <w:trPr>
          <w:trHeight w:hRule="exact" w:val="240"/>
          <w:jc w:val="center"/>
        </w:trPr>
        <w:tc>
          <w:tcPr>
            <w:tcW w:w="9752" w:type="dxa"/>
            <w:gridSpan w:val="2"/>
            <w:tcBorders>
              <w:top w:val="nil"/>
              <w:left w:val="nil"/>
              <w:bottom w:val="nil"/>
              <w:right w:val="nil"/>
            </w:tcBorders>
          </w:tcPr>
          <w:p w14:paraId="0245E1EA" w14:textId="77777777" w:rsidR="00085FDC" w:rsidRPr="006A55BB" w:rsidRDefault="00085FDC"/>
        </w:tc>
      </w:tr>
      <w:tr w:rsidR="00085FDC" w:rsidRPr="006A55BB" w14:paraId="6D50F889" w14:textId="77777777">
        <w:trPr>
          <w:trHeight w:val="240"/>
          <w:jc w:val="center"/>
        </w:trPr>
        <w:tc>
          <w:tcPr>
            <w:tcW w:w="4876" w:type="dxa"/>
            <w:tcBorders>
              <w:top w:val="nil"/>
              <w:left w:val="nil"/>
              <w:bottom w:val="nil"/>
              <w:right w:val="nil"/>
            </w:tcBorders>
          </w:tcPr>
          <w:p w14:paraId="540D46E1" w14:textId="77777777" w:rsidR="00085FDC" w:rsidRPr="006A55BB" w:rsidRDefault="0071326C">
            <w:pPr>
              <w:pStyle w:val="AmColumnHeading"/>
            </w:pPr>
            <w:r w:rsidRPr="006A55BB">
              <w:t>Proposta di risoluzione</w:t>
            </w:r>
          </w:p>
        </w:tc>
        <w:tc>
          <w:tcPr>
            <w:tcW w:w="4876" w:type="dxa"/>
            <w:tcBorders>
              <w:top w:val="nil"/>
              <w:left w:val="nil"/>
              <w:bottom w:val="nil"/>
              <w:right w:val="nil"/>
            </w:tcBorders>
          </w:tcPr>
          <w:p w14:paraId="1C6517DB" w14:textId="77777777" w:rsidR="00085FDC" w:rsidRPr="006A55BB" w:rsidRDefault="0071326C">
            <w:pPr>
              <w:pStyle w:val="AmColumnHeading"/>
            </w:pPr>
            <w:r w:rsidRPr="006A55BB">
              <w:t>Emendamento</w:t>
            </w:r>
          </w:p>
        </w:tc>
      </w:tr>
      <w:tr w:rsidR="00085FDC" w:rsidRPr="006A55BB" w14:paraId="71B0F5F3" w14:textId="77777777">
        <w:trPr>
          <w:jc w:val="center"/>
        </w:trPr>
        <w:tc>
          <w:tcPr>
            <w:tcW w:w="4876" w:type="dxa"/>
            <w:tcBorders>
              <w:top w:val="nil"/>
              <w:left w:val="nil"/>
              <w:bottom w:val="nil"/>
              <w:right w:val="nil"/>
            </w:tcBorders>
          </w:tcPr>
          <w:p w14:paraId="565B80A7" w14:textId="77777777" w:rsidR="00085FDC" w:rsidRPr="006A55BB" w:rsidRDefault="00085FDC">
            <w:pPr>
              <w:pStyle w:val="Normal6a"/>
            </w:pPr>
          </w:p>
        </w:tc>
        <w:tc>
          <w:tcPr>
            <w:tcW w:w="4876" w:type="dxa"/>
            <w:tcBorders>
              <w:top w:val="nil"/>
              <w:left w:val="nil"/>
              <w:bottom w:val="nil"/>
              <w:right w:val="nil"/>
            </w:tcBorders>
          </w:tcPr>
          <w:p w14:paraId="0F635B44" w14:textId="77777777" w:rsidR="00085FDC" w:rsidRPr="006A55BB" w:rsidRDefault="0071326C">
            <w:pPr>
              <w:pStyle w:val="Normal6a"/>
            </w:pPr>
            <w:proofErr w:type="gramStart"/>
            <w:r w:rsidRPr="006A55BB">
              <w:rPr>
                <w:b/>
                <w:i/>
              </w:rPr>
              <w:t>8</w:t>
            </w:r>
            <w:proofErr w:type="gramEnd"/>
            <w:r w:rsidRPr="006A55BB">
              <w:rPr>
                <w:b/>
                <w:i/>
              </w:rPr>
              <w:t xml:space="preserve"> bis.</w:t>
            </w:r>
            <w:r w:rsidRPr="006A55BB">
              <w:tab/>
            </w:r>
            <w:r w:rsidRPr="006A55BB">
              <w:rPr>
                <w:b/>
                <w:i/>
              </w:rPr>
              <w:t xml:space="preserve">esprime profonda preoccupazione per i crescenti oneri del debito e finanziari dell'UE; osserva che, </w:t>
            </w:r>
            <w:r w:rsidRPr="006A55BB">
              <w:rPr>
                <w:b/>
                <w:i/>
              </w:rPr>
              <w:t xml:space="preserve">secondo la relazione annuale della Corte dei conti europea, i prestiti in essere assunti dall'UE potrebbero superare i 900 miliardi di EUR entro il 2027, ossia quasi dieci volte il </w:t>
            </w:r>
            <w:r w:rsidRPr="006A55BB">
              <w:rPr>
                <w:b/>
                <w:i/>
              </w:rPr>
              <w:lastRenderedPageBreak/>
              <w:t>livello del 2020 prima dell'introduzione del pacchetto per la ripresa NextGenerationEU; avverte che l'aumento degli oneri finanziari rappresenta un rischio per i bilanci futuri e riduce il margine di bilancio per le nuove priorità; insiste pertanto sul fatto che questa pressione fiscale senza precedenti impone una rigorosa ricerc</w:t>
            </w:r>
            <w:r w:rsidRPr="006A55BB">
              <w:rPr>
                <w:b/>
                <w:i/>
              </w:rPr>
              <w:t>a di risparmi all'interno del bilancio amministrativo del Comitato; invita il Segretario generale a presentare un piano di riduzione dei costi strutturali per dimostrare la responsabilità istituzionale in tempi di debito pubblico elevato;</w:t>
            </w:r>
          </w:p>
        </w:tc>
      </w:tr>
    </w:tbl>
    <w:p w14:paraId="2CD85899" w14:textId="77777777" w:rsidR="00085FDC" w:rsidRPr="006A55BB" w:rsidRDefault="0071326C">
      <w:pPr>
        <w:pStyle w:val="AmOrLang"/>
      </w:pPr>
      <w:r w:rsidRPr="006A55BB">
        <w:lastRenderedPageBreak/>
        <w:t xml:space="preserve">Or. </w:t>
      </w:r>
      <w:r w:rsidRPr="0071326C">
        <w:rPr>
          <w:rStyle w:val="HideTWBExt"/>
        </w:rPr>
        <w:t>&lt;Original&gt;</w:t>
      </w:r>
      <w:r w:rsidRPr="0071326C">
        <w:rPr>
          <w:rStyle w:val="HideTWBInt"/>
        </w:rPr>
        <w:t>{EN}</w:t>
      </w:r>
      <w:r w:rsidRPr="006A55BB">
        <w:t>en</w:t>
      </w:r>
      <w:r w:rsidRPr="0071326C">
        <w:rPr>
          <w:rStyle w:val="HideTWBExt"/>
        </w:rPr>
        <w:t>&lt;/Original&gt;</w:t>
      </w:r>
    </w:p>
    <w:p w14:paraId="02CBC006" w14:textId="77777777" w:rsidR="00085FDC" w:rsidRPr="006A55BB" w:rsidRDefault="0071326C">
      <w:r w:rsidRPr="0071326C">
        <w:rPr>
          <w:rStyle w:val="HideTWBExt"/>
        </w:rPr>
        <w:t>&lt;/Amend&gt;</w:t>
      </w:r>
    </w:p>
    <w:p w14:paraId="5D9262DF" w14:textId="77777777" w:rsidR="00085FDC" w:rsidRPr="006A55BB" w:rsidRDefault="0071326C">
      <w:pPr>
        <w:pStyle w:val="AmNumberTabs"/>
      </w:pPr>
      <w:r w:rsidRPr="0071326C">
        <w:rPr>
          <w:rStyle w:val="HideTWBExt"/>
          <w:b w:val="0"/>
        </w:rPr>
        <w:t>&lt;Amend&gt;</w:t>
      </w:r>
      <w:r w:rsidRPr="006A55BB">
        <w:t>Emendamento</w:t>
      </w:r>
      <w:r w:rsidRPr="006A55BB">
        <w:tab/>
      </w:r>
      <w:r w:rsidRPr="006A55BB">
        <w:tab/>
      </w:r>
      <w:r w:rsidRPr="0071326C">
        <w:rPr>
          <w:rStyle w:val="HideTWBExt"/>
          <w:b w:val="0"/>
        </w:rPr>
        <w:t>&lt;NumAm&gt;</w:t>
      </w:r>
      <w:r w:rsidRPr="006A55BB">
        <w:t>7</w:t>
      </w:r>
      <w:r w:rsidRPr="0071326C">
        <w:rPr>
          <w:rStyle w:val="HideTWBExt"/>
          <w:b w:val="0"/>
        </w:rPr>
        <w:t>&lt;/NumAm&gt;</w:t>
      </w:r>
    </w:p>
    <w:p w14:paraId="53E7E3CC" w14:textId="77777777" w:rsidR="00085FDC" w:rsidRPr="006A55BB" w:rsidRDefault="0071326C">
      <w:pPr>
        <w:pStyle w:val="NormalBold"/>
      </w:pPr>
      <w:r w:rsidRPr="0071326C">
        <w:rPr>
          <w:rStyle w:val="HideTWBExt"/>
          <w:b w:val="0"/>
        </w:rPr>
        <w:t>&lt;RepeatBlock-By&gt;&lt;Members&gt;</w:t>
      </w:r>
      <w:r w:rsidRPr="006A55BB">
        <w:t>Dick Erixon, Şerban Dimitrie Sturdza, Joachim Stanisław Brudziński</w:t>
      </w:r>
      <w:r w:rsidRPr="0071326C">
        <w:rPr>
          <w:rStyle w:val="HideTWBExt"/>
          <w:b w:val="0"/>
        </w:rPr>
        <w:t>&lt;/Members&gt;</w:t>
      </w:r>
    </w:p>
    <w:p w14:paraId="021AF157" w14:textId="77777777" w:rsidR="00085FDC" w:rsidRPr="006A55BB" w:rsidRDefault="0071326C">
      <w:pPr>
        <w:pStyle w:val="NormalBold"/>
      </w:pPr>
      <w:r w:rsidRPr="0071326C">
        <w:rPr>
          <w:rStyle w:val="HideTWBExt"/>
          <w:b w:val="0"/>
        </w:rPr>
        <w:t>&lt;/RepeatBlock-By&gt;</w:t>
      </w:r>
    </w:p>
    <w:p w14:paraId="5EA93D1E" w14:textId="77777777" w:rsidR="00085FDC" w:rsidRPr="006A55BB" w:rsidRDefault="0071326C">
      <w:pPr>
        <w:pStyle w:val="NormalBold"/>
      </w:pPr>
      <w:r w:rsidRPr="0071326C">
        <w:rPr>
          <w:rStyle w:val="HideTWBExt"/>
          <w:b w:val="0"/>
        </w:rPr>
        <w:t>&lt;DocAmend&gt;</w:t>
      </w:r>
      <w:r w:rsidRPr="006A55BB">
        <w:t>Proposta di risoluzione</w:t>
      </w:r>
      <w:r w:rsidRPr="0071326C">
        <w:rPr>
          <w:rStyle w:val="HideTWBExt"/>
          <w:b w:val="0"/>
        </w:rPr>
        <w:t>&lt;/DocAmend&gt;</w:t>
      </w:r>
    </w:p>
    <w:p w14:paraId="1D9A8FAE" w14:textId="77777777" w:rsidR="00085FDC" w:rsidRPr="006A55BB" w:rsidRDefault="0071326C">
      <w:pPr>
        <w:pStyle w:val="NormalBold"/>
      </w:pPr>
      <w:r w:rsidRPr="0071326C">
        <w:rPr>
          <w:rStyle w:val="HideTWBExt"/>
          <w:b w:val="0"/>
        </w:rPr>
        <w:t>&lt;Article&gt;</w:t>
      </w:r>
      <w:r w:rsidRPr="006A55BB">
        <w:t xml:space="preserve">Paragrafo 9 bis </w:t>
      </w:r>
      <w:r w:rsidRPr="006A55BB">
        <w:t>(nuovo)</w:t>
      </w:r>
      <w:r w:rsidRPr="007132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FDC" w:rsidRPr="006A55BB" w14:paraId="458B5B3B" w14:textId="77777777">
        <w:trPr>
          <w:trHeight w:hRule="exact" w:val="240"/>
          <w:jc w:val="center"/>
        </w:trPr>
        <w:tc>
          <w:tcPr>
            <w:tcW w:w="9752" w:type="dxa"/>
            <w:gridSpan w:val="2"/>
            <w:tcBorders>
              <w:top w:val="nil"/>
              <w:left w:val="nil"/>
              <w:bottom w:val="nil"/>
              <w:right w:val="nil"/>
            </w:tcBorders>
          </w:tcPr>
          <w:p w14:paraId="4D86C048" w14:textId="77777777" w:rsidR="00085FDC" w:rsidRPr="006A55BB" w:rsidRDefault="00085FDC"/>
        </w:tc>
      </w:tr>
      <w:tr w:rsidR="00085FDC" w:rsidRPr="006A55BB" w14:paraId="7551BFDB" w14:textId="77777777">
        <w:trPr>
          <w:trHeight w:val="240"/>
          <w:jc w:val="center"/>
        </w:trPr>
        <w:tc>
          <w:tcPr>
            <w:tcW w:w="4876" w:type="dxa"/>
            <w:tcBorders>
              <w:top w:val="nil"/>
              <w:left w:val="nil"/>
              <w:bottom w:val="nil"/>
              <w:right w:val="nil"/>
            </w:tcBorders>
          </w:tcPr>
          <w:p w14:paraId="0E37AE71" w14:textId="77777777" w:rsidR="00085FDC" w:rsidRPr="006A55BB" w:rsidRDefault="0071326C">
            <w:pPr>
              <w:pStyle w:val="AmColumnHeading"/>
            </w:pPr>
            <w:r w:rsidRPr="006A55BB">
              <w:t>Proposta di risoluzione</w:t>
            </w:r>
          </w:p>
        </w:tc>
        <w:tc>
          <w:tcPr>
            <w:tcW w:w="4876" w:type="dxa"/>
            <w:tcBorders>
              <w:top w:val="nil"/>
              <w:left w:val="nil"/>
              <w:bottom w:val="nil"/>
              <w:right w:val="nil"/>
            </w:tcBorders>
          </w:tcPr>
          <w:p w14:paraId="092BEDE2" w14:textId="77777777" w:rsidR="00085FDC" w:rsidRPr="006A55BB" w:rsidRDefault="0071326C">
            <w:pPr>
              <w:pStyle w:val="AmColumnHeading"/>
            </w:pPr>
            <w:r w:rsidRPr="006A55BB">
              <w:t>Emendamento</w:t>
            </w:r>
          </w:p>
        </w:tc>
      </w:tr>
      <w:tr w:rsidR="00085FDC" w:rsidRPr="006A55BB" w14:paraId="1EB3E9D2" w14:textId="77777777">
        <w:trPr>
          <w:jc w:val="center"/>
        </w:trPr>
        <w:tc>
          <w:tcPr>
            <w:tcW w:w="4876" w:type="dxa"/>
            <w:tcBorders>
              <w:top w:val="nil"/>
              <w:left w:val="nil"/>
              <w:bottom w:val="nil"/>
              <w:right w:val="nil"/>
            </w:tcBorders>
          </w:tcPr>
          <w:p w14:paraId="5C3A1CB5" w14:textId="77777777" w:rsidR="00085FDC" w:rsidRPr="006A55BB" w:rsidRDefault="00085FDC">
            <w:pPr>
              <w:pStyle w:val="Normal6a"/>
            </w:pPr>
          </w:p>
        </w:tc>
        <w:tc>
          <w:tcPr>
            <w:tcW w:w="4876" w:type="dxa"/>
            <w:tcBorders>
              <w:top w:val="nil"/>
              <w:left w:val="nil"/>
              <w:bottom w:val="nil"/>
              <w:right w:val="nil"/>
            </w:tcBorders>
          </w:tcPr>
          <w:p w14:paraId="3C6C382D" w14:textId="77777777" w:rsidR="00085FDC" w:rsidRPr="006A55BB" w:rsidRDefault="0071326C">
            <w:pPr>
              <w:pStyle w:val="Normal6a"/>
            </w:pPr>
            <w:proofErr w:type="gramStart"/>
            <w:r w:rsidRPr="006A55BB">
              <w:rPr>
                <w:b/>
                <w:i/>
              </w:rPr>
              <w:t>9</w:t>
            </w:r>
            <w:proofErr w:type="gramEnd"/>
            <w:r w:rsidRPr="006A55BB">
              <w:rPr>
                <w:b/>
                <w:i/>
              </w:rPr>
              <w:t xml:space="preserve"> bis.</w:t>
            </w:r>
            <w:r w:rsidRPr="006A55BB">
              <w:tab/>
            </w:r>
            <w:r w:rsidRPr="006A55BB">
              <w:rPr>
                <w:b/>
                <w:i/>
              </w:rPr>
              <w:t xml:space="preserve">invita l'amministrazione del Comitato a individuare e attuare attivamente misure di riduzione dei costi, anche attraverso un maggiore utilizzo delle tecnologie ibride per le </w:t>
            </w:r>
            <w:r w:rsidRPr="006A55BB">
              <w:rPr>
                <w:b/>
                <w:i/>
              </w:rPr>
              <w:t>riunioni, l'ottimizzazione dell'utilizzo degli edifici, il consolidamento delle attività parlamentari e la riduzione delle spese logistiche superflue; chiede relazioni periodiche sullo stato di avanzamento delle misure attuate e sui risparmi conseguiti;</w:t>
            </w:r>
          </w:p>
        </w:tc>
      </w:tr>
    </w:tbl>
    <w:p w14:paraId="771DDE19" w14:textId="77777777" w:rsidR="00085FDC" w:rsidRPr="006A55BB" w:rsidRDefault="0071326C">
      <w:pPr>
        <w:pStyle w:val="AmOrLang"/>
      </w:pPr>
      <w:r w:rsidRPr="006A55BB">
        <w:t xml:space="preserve">Or. </w:t>
      </w:r>
      <w:r w:rsidRPr="0071326C">
        <w:rPr>
          <w:rStyle w:val="HideTWBExt"/>
        </w:rPr>
        <w:t>&lt;Original&gt;</w:t>
      </w:r>
      <w:r w:rsidRPr="0071326C">
        <w:rPr>
          <w:rStyle w:val="HideTWBInt"/>
        </w:rPr>
        <w:t>{EN}</w:t>
      </w:r>
      <w:r w:rsidRPr="006A55BB">
        <w:t>en</w:t>
      </w:r>
      <w:r w:rsidRPr="0071326C">
        <w:rPr>
          <w:rStyle w:val="HideTWBExt"/>
        </w:rPr>
        <w:t>&lt;/Original&gt;</w:t>
      </w:r>
    </w:p>
    <w:p w14:paraId="4FDE69DB" w14:textId="77777777" w:rsidR="00085FDC" w:rsidRPr="006A55BB" w:rsidRDefault="0071326C">
      <w:r w:rsidRPr="0071326C">
        <w:rPr>
          <w:rStyle w:val="HideTWBExt"/>
        </w:rPr>
        <w:t>&lt;/Amend&gt;</w:t>
      </w:r>
    </w:p>
    <w:p w14:paraId="228FCB4E" w14:textId="77777777" w:rsidR="00085FDC" w:rsidRPr="006A55BB" w:rsidRDefault="0071326C">
      <w:pPr>
        <w:pStyle w:val="AmNumberTabs"/>
      </w:pPr>
      <w:r w:rsidRPr="0071326C">
        <w:rPr>
          <w:rStyle w:val="HideTWBExt"/>
          <w:b w:val="0"/>
        </w:rPr>
        <w:t>&lt;Amend&gt;</w:t>
      </w:r>
      <w:r w:rsidRPr="006A55BB">
        <w:t>Emendamento</w:t>
      </w:r>
      <w:r w:rsidRPr="006A55BB">
        <w:tab/>
      </w:r>
      <w:r w:rsidRPr="006A55BB">
        <w:tab/>
      </w:r>
      <w:r w:rsidRPr="0071326C">
        <w:rPr>
          <w:rStyle w:val="HideTWBExt"/>
          <w:b w:val="0"/>
        </w:rPr>
        <w:t>&lt;NumAm&gt;</w:t>
      </w:r>
      <w:r w:rsidRPr="006A55BB">
        <w:t>8</w:t>
      </w:r>
      <w:r w:rsidRPr="0071326C">
        <w:rPr>
          <w:rStyle w:val="HideTWBExt"/>
          <w:b w:val="0"/>
        </w:rPr>
        <w:t>&lt;/NumAm&gt;</w:t>
      </w:r>
    </w:p>
    <w:p w14:paraId="01773386" w14:textId="77777777" w:rsidR="00085FDC" w:rsidRPr="006A55BB" w:rsidRDefault="0071326C">
      <w:pPr>
        <w:pStyle w:val="NormalBold"/>
      </w:pPr>
      <w:r w:rsidRPr="0071326C">
        <w:rPr>
          <w:rStyle w:val="HideTWBExt"/>
          <w:b w:val="0"/>
        </w:rPr>
        <w:t>&lt;RepeatBlock-By&gt;&lt;Members&gt;</w:t>
      </w:r>
      <w:r w:rsidRPr="006A55BB">
        <w:t>Michal Wiezik, Olivier Chastel, Vlad Vasile-Voiculescu, Gilles Boyer</w:t>
      </w:r>
      <w:r w:rsidRPr="0071326C">
        <w:rPr>
          <w:rStyle w:val="HideTWBExt"/>
          <w:b w:val="0"/>
        </w:rPr>
        <w:t>&lt;/Members&gt;</w:t>
      </w:r>
    </w:p>
    <w:p w14:paraId="55005A65" w14:textId="77777777" w:rsidR="00085FDC" w:rsidRPr="006A55BB" w:rsidRDefault="0071326C">
      <w:pPr>
        <w:pStyle w:val="NormalBold"/>
      </w:pPr>
      <w:r w:rsidRPr="0071326C">
        <w:rPr>
          <w:rStyle w:val="HideTWBExt"/>
          <w:b w:val="0"/>
        </w:rPr>
        <w:t>&lt;/RepeatBlock-By&gt;</w:t>
      </w:r>
    </w:p>
    <w:p w14:paraId="0998AFCF" w14:textId="77777777" w:rsidR="00085FDC" w:rsidRPr="006A55BB" w:rsidRDefault="0071326C">
      <w:pPr>
        <w:pStyle w:val="NormalBold"/>
      </w:pPr>
      <w:r w:rsidRPr="0071326C">
        <w:rPr>
          <w:rStyle w:val="HideTWBExt"/>
          <w:b w:val="0"/>
        </w:rPr>
        <w:lastRenderedPageBreak/>
        <w:t>&lt;DocAmend&gt;</w:t>
      </w:r>
      <w:r w:rsidRPr="006A55BB">
        <w:t>Proposta di risoluzione</w:t>
      </w:r>
      <w:r w:rsidRPr="0071326C">
        <w:rPr>
          <w:rStyle w:val="HideTWBExt"/>
          <w:b w:val="0"/>
        </w:rPr>
        <w:t>&lt;/DocAmend&gt;</w:t>
      </w:r>
    </w:p>
    <w:p w14:paraId="419D5258" w14:textId="77777777" w:rsidR="00085FDC" w:rsidRPr="006A55BB" w:rsidRDefault="0071326C">
      <w:pPr>
        <w:pStyle w:val="NormalBold"/>
      </w:pPr>
      <w:r w:rsidRPr="0071326C">
        <w:rPr>
          <w:rStyle w:val="HideTWBExt"/>
          <w:b w:val="0"/>
        </w:rPr>
        <w:t>&lt;Article&gt;</w:t>
      </w:r>
      <w:r w:rsidRPr="006A55BB">
        <w:t>Paragrafo 11 bis (nuovo)</w:t>
      </w:r>
      <w:r w:rsidRPr="007132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FDC" w:rsidRPr="006A55BB" w14:paraId="28C180FA" w14:textId="77777777">
        <w:trPr>
          <w:trHeight w:hRule="exact" w:val="240"/>
          <w:jc w:val="center"/>
        </w:trPr>
        <w:tc>
          <w:tcPr>
            <w:tcW w:w="9752" w:type="dxa"/>
            <w:gridSpan w:val="2"/>
            <w:tcBorders>
              <w:top w:val="nil"/>
              <w:left w:val="nil"/>
              <w:bottom w:val="nil"/>
              <w:right w:val="nil"/>
            </w:tcBorders>
          </w:tcPr>
          <w:p w14:paraId="4B6CD202" w14:textId="77777777" w:rsidR="00085FDC" w:rsidRPr="006A55BB" w:rsidRDefault="00085FDC"/>
        </w:tc>
      </w:tr>
      <w:tr w:rsidR="00085FDC" w:rsidRPr="006A55BB" w14:paraId="27B152D7" w14:textId="77777777">
        <w:trPr>
          <w:trHeight w:val="240"/>
          <w:jc w:val="center"/>
        </w:trPr>
        <w:tc>
          <w:tcPr>
            <w:tcW w:w="4876" w:type="dxa"/>
            <w:tcBorders>
              <w:top w:val="nil"/>
              <w:left w:val="nil"/>
              <w:bottom w:val="nil"/>
              <w:right w:val="nil"/>
            </w:tcBorders>
          </w:tcPr>
          <w:p w14:paraId="227DC007" w14:textId="77777777" w:rsidR="00085FDC" w:rsidRPr="006A55BB" w:rsidRDefault="0071326C">
            <w:pPr>
              <w:pStyle w:val="AmColumnHeading"/>
            </w:pPr>
            <w:r w:rsidRPr="006A55BB">
              <w:t>Proposta di risoluzione</w:t>
            </w:r>
          </w:p>
        </w:tc>
        <w:tc>
          <w:tcPr>
            <w:tcW w:w="4876" w:type="dxa"/>
            <w:tcBorders>
              <w:top w:val="nil"/>
              <w:left w:val="nil"/>
              <w:bottom w:val="nil"/>
              <w:right w:val="nil"/>
            </w:tcBorders>
          </w:tcPr>
          <w:p w14:paraId="4D3C91C7" w14:textId="77777777" w:rsidR="00085FDC" w:rsidRPr="006A55BB" w:rsidRDefault="0071326C">
            <w:pPr>
              <w:pStyle w:val="AmColumnHeading"/>
            </w:pPr>
            <w:r w:rsidRPr="006A55BB">
              <w:t>Emendamento</w:t>
            </w:r>
          </w:p>
        </w:tc>
      </w:tr>
      <w:tr w:rsidR="00085FDC" w:rsidRPr="006A55BB" w14:paraId="2442383C" w14:textId="77777777">
        <w:trPr>
          <w:jc w:val="center"/>
        </w:trPr>
        <w:tc>
          <w:tcPr>
            <w:tcW w:w="4876" w:type="dxa"/>
            <w:tcBorders>
              <w:top w:val="nil"/>
              <w:left w:val="nil"/>
              <w:bottom w:val="nil"/>
              <w:right w:val="nil"/>
            </w:tcBorders>
          </w:tcPr>
          <w:p w14:paraId="58C3C9E3" w14:textId="77777777" w:rsidR="00085FDC" w:rsidRPr="006A55BB" w:rsidRDefault="00085FDC">
            <w:pPr>
              <w:pStyle w:val="Normal6a"/>
            </w:pPr>
          </w:p>
        </w:tc>
        <w:tc>
          <w:tcPr>
            <w:tcW w:w="4876" w:type="dxa"/>
            <w:tcBorders>
              <w:top w:val="nil"/>
              <w:left w:val="nil"/>
              <w:bottom w:val="nil"/>
              <w:right w:val="nil"/>
            </w:tcBorders>
          </w:tcPr>
          <w:p w14:paraId="6A24E3C0" w14:textId="77777777" w:rsidR="00085FDC" w:rsidRPr="006A55BB" w:rsidRDefault="0071326C">
            <w:pPr>
              <w:pStyle w:val="Normal6a"/>
            </w:pPr>
            <w:proofErr w:type="gramStart"/>
            <w:r w:rsidRPr="006A55BB">
              <w:rPr>
                <w:b/>
                <w:i/>
              </w:rPr>
              <w:t>11</w:t>
            </w:r>
            <w:proofErr w:type="gramEnd"/>
            <w:r w:rsidRPr="006A55BB">
              <w:rPr>
                <w:b/>
                <w:i/>
              </w:rPr>
              <w:t> bis.</w:t>
            </w:r>
            <w:r w:rsidRPr="006A55BB">
              <w:tab/>
            </w:r>
            <w:r w:rsidRPr="006A55BB">
              <w:rPr>
                <w:b/>
                <w:i/>
              </w:rPr>
              <w:t xml:space="preserve">invita il Comitato ad adottare una tabella di marcia strutturata per raggiungere progressivamente il parametro di riferimento per la spesa in materia di </w:t>
            </w:r>
            <w:r w:rsidRPr="006A55BB">
              <w:rPr>
                <w:b/>
                <w:i/>
              </w:rPr>
              <w:t>cibersicurezza del 10 %, compresi i traguardi annuali, la definizione delle priorità basata sul rischio e la presentazione di relazioni periodiche all'autorità di discarico; sottolinea la necessità di rafforzare la cooperazione con il CERT-UE e altre istituzioni dell'Unione per garantire una posizione coerente e resiliente in materia di cibersicurezza;</w:t>
            </w:r>
          </w:p>
        </w:tc>
      </w:tr>
    </w:tbl>
    <w:p w14:paraId="1B741676" w14:textId="77777777" w:rsidR="00085FDC" w:rsidRPr="006A55BB" w:rsidRDefault="0071326C">
      <w:pPr>
        <w:pStyle w:val="AmOrLang"/>
      </w:pPr>
      <w:r w:rsidRPr="006A55BB">
        <w:t xml:space="preserve">Or. </w:t>
      </w:r>
      <w:r w:rsidRPr="0071326C">
        <w:rPr>
          <w:rStyle w:val="HideTWBExt"/>
        </w:rPr>
        <w:t>&lt;Original&gt;</w:t>
      </w:r>
      <w:r w:rsidRPr="0071326C">
        <w:rPr>
          <w:rStyle w:val="HideTWBInt"/>
        </w:rPr>
        <w:t>{EN}</w:t>
      </w:r>
      <w:r w:rsidRPr="006A55BB">
        <w:t>en</w:t>
      </w:r>
      <w:r w:rsidRPr="0071326C">
        <w:rPr>
          <w:rStyle w:val="HideTWBExt"/>
        </w:rPr>
        <w:t>&lt;/Original&gt;</w:t>
      </w:r>
    </w:p>
    <w:p w14:paraId="4F8E7D57" w14:textId="77777777" w:rsidR="00085FDC" w:rsidRPr="006A55BB" w:rsidRDefault="0071326C">
      <w:r w:rsidRPr="0071326C">
        <w:rPr>
          <w:rStyle w:val="HideTWBExt"/>
        </w:rPr>
        <w:t>&lt;/Amend&gt;</w:t>
      </w:r>
    </w:p>
    <w:p w14:paraId="286B4F98" w14:textId="77777777" w:rsidR="00085FDC" w:rsidRPr="006A55BB" w:rsidRDefault="0071326C">
      <w:pPr>
        <w:pStyle w:val="AmNumberTabs"/>
      </w:pPr>
      <w:r w:rsidRPr="0071326C">
        <w:rPr>
          <w:rStyle w:val="HideTWBExt"/>
          <w:b w:val="0"/>
        </w:rPr>
        <w:t>&lt;Amend&gt;</w:t>
      </w:r>
      <w:r w:rsidRPr="006A55BB">
        <w:t>Emendamento</w:t>
      </w:r>
      <w:r w:rsidRPr="006A55BB">
        <w:tab/>
      </w:r>
      <w:r w:rsidRPr="006A55BB">
        <w:tab/>
      </w:r>
      <w:r w:rsidRPr="0071326C">
        <w:rPr>
          <w:rStyle w:val="HideTWBExt"/>
          <w:b w:val="0"/>
        </w:rPr>
        <w:t>&lt;NumAm&gt;</w:t>
      </w:r>
      <w:r w:rsidRPr="006A55BB">
        <w:t>9</w:t>
      </w:r>
      <w:r w:rsidRPr="0071326C">
        <w:rPr>
          <w:rStyle w:val="HideTWBExt"/>
          <w:b w:val="0"/>
        </w:rPr>
        <w:t>&lt;/NumAm&gt;</w:t>
      </w:r>
    </w:p>
    <w:p w14:paraId="37D93DA8" w14:textId="77777777" w:rsidR="00085FDC" w:rsidRPr="006A55BB" w:rsidRDefault="0071326C">
      <w:pPr>
        <w:pStyle w:val="NormalBold"/>
      </w:pPr>
      <w:r w:rsidRPr="0071326C">
        <w:rPr>
          <w:rStyle w:val="HideTWBExt"/>
          <w:b w:val="0"/>
        </w:rPr>
        <w:t>&lt;RepeatBlock-By&gt;&lt;Members&gt;</w:t>
      </w:r>
      <w:r w:rsidRPr="006A55BB">
        <w:t>Şerban Dimitrie Sturdza</w:t>
      </w:r>
      <w:r w:rsidRPr="0071326C">
        <w:rPr>
          <w:rStyle w:val="HideTWBExt"/>
          <w:b w:val="0"/>
        </w:rPr>
        <w:t>&lt;/Members&gt;</w:t>
      </w:r>
    </w:p>
    <w:p w14:paraId="241F1BCB" w14:textId="77777777" w:rsidR="00085FDC" w:rsidRPr="006A55BB" w:rsidRDefault="0071326C">
      <w:pPr>
        <w:pStyle w:val="NormalBold"/>
      </w:pPr>
      <w:r w:rsidRPr="0071326C">
        <w:rPr>
          <w:rStyle w:val="HideTWBExt"/>
          <w:b w:val="0"/>
        </w:rPr>
        <w:t>&lt;/RepeatBlock-By&gt;</w:t>
      </w:r>
    </w:p>
    <w:p w14:paraId="5879F257" w14:textId="77777777" w:rsidR="00085FDC" w:rsidRPr="006A55BB" w:rsidRDefault="0071326C">
      <w:pPr>
        <w:pStyle w:val="NormalBold"/>
      </w:pPr>
      <w:r w:rsidRPr="0071326C">
        <w:rPr>
          <w:rStyle w:val="HideTWBExt"/>
          <w:b w:val="0"/>
        </w:rPr>
        <w:t>&lt;DocAmend&gt;</w:t>
      </w:r>
      <w:r w:rsidRPr="006A55BB">
        <w:t>Proposta di risoluzione</w:t>
      </w:r>
      <w:r w:rsidRPr="0071326C">
        <w:rPr>
          <w:rStyle w:val="HideTWBExt"/>
          <w:b w:val="0"/>
        </w:rPr>
        <w:t>&lt;/DocAmend&gt;</w:t>
      </w:r>
    </w:p>
    <w:p w14:paraId="5952EB44" w14:textId="77777777" w:rsidR="00085FDC" w:rsidRPr="006A55BB" w:rsidRDefault="0071326C">
      <w:pPr>
        <w:pStyle w:val="NormalBold"/>
      </w:pPr>
      <w:r w:rsidRPr="0071326C">
        <w:rPr>
          <w:rStyle w:val="HideTWBExt"/>
          <w:b w:val="0"/>
        </w:rPr>
        <w:t>&lt;Article&gt;</w:t>
      </w:r>
      <w:r w:rsidRPr="006A55BB">
        <w:t>Paragrafo 12</w:t>
      </w:r>
      <w:r w:rsidRPr="007132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FDC" w:rsidRPr="006A55BB" w14:paraId="0D0BA5DE" w14:textId="77777777">
        <w:trPr>
          <w:trHeight w:hRule="exact" w:val="240"/>
          <w:jc w:val="center"/>
        </w:trPr>
        <w:tc>
          <w:tcPr>
            <w:tcW w:w="9752" w:type="dxa"/>
            <w:gridSpan w:val="2"/>
            <w:tcBorders>
              <w:top w:val="nil"/>
              <w:left w:val="nil"/>
              <w:bottom w:val="nil"/>
              <w:right w:val="nil"/>
            </w:tcBorders>
          </w:tcPr>
          <w:p w14:paraId="5D186C9D" w14:textId="77777777" w:rsidR="00085FDC" w:rsidRPr="006A55BB" w:rsidRDefault="00085FDC"/>
        </w:tc>
      </w:tr>
      <w:tr w:rsidR="00085FDC" w:rsidRPr="006A55BB" w14:paraId="025BE450" w14:textId="77777777">
        <w:trPr>
          <w:trHeight w:val="240"/>
          <w:jc w:val="center"/>
        </w:trPr>
        <w:tc>
          <w:tcPr>
            <w:tcW w:w="4876" w:type="dxa"/>
            <w:tcBorders>
              <w:top w:val="nil"/>
              <w:left w:val="nil"/>
              <w:bottom w:val="nil"/>
              <w:right w:val="nil"/>
            </w:tcBorders>
          </w:tcPr>
          <w:p w14:paraId="12E6FF88" w14:textId="77777777" w:rsidR="00085FDC" w:rsidRPr="006A55BB" w:rsidRDefault="0071326C">
            <w:pPr>
              <w:pStyle w:val="AmColumnHeading"/>
            </w:pPr>
            <w:r w:rsidRPr="006A55BB">
              <w:t>Proposta di risoluzione</w:t>
            </w:r>
          </w:p>
        </w:tc>
        <w:tc>
          <w:tcPr>
            <w:tcW w:w="4876" w:type="dxa"/>
            <w:tcBorders>
              <w:top w:val="nil"/>
              <w:left w:val="nil"/>
              <w:bottom w:val="nil"/>
              <w:right w:val="nil"/>
            </w:tcBorders>
          </w:tcPr>
          <w:p w14:paraId="42E5BBA1" w14:textId="77777777" w:rsidR="00085FDC" w:rsidRPr="006A55BB" w:rsidRDefault="0071326C">
            <w:pPr>
              <w:pStyle w:val="AmColumnHeading"/>
            </w:pPr>
            <w:r w:rsidRPr="006A55BB">
              <w:t>Emendamento</w:t>
            </w:r>
          </w:p>
        </w:tc>
      </w:tr>
      <w:tr w:rsidR="00085FDC" w:rsidRPr="006A55BB" w14:paraId="138583A9" w14:textId="77777777">
        <w:trPr>
          <w:jc w:val="center"/>
        </w:trPr>
        <w:tc>
          <w:tcPr>
            <w:tcW w:w="4876" w:type="dxa"/>
            <w:tcBorders>
              <w:top w:val="nil"/>
              <w:left w:val="nil"/>
              <w:bottom w:val="nil"/>
              <w:right w:val="nil"/>
            </w:tcBorders>
          </w:tcPr>
          <w:p w14:paraId="1A5275DB" w14:textId="77777777" w:rsidR="00085FDC" w:rsidRPr="006A55BB" w:rsidRDefault="0071326C">
            <w:pPr>
              <w:pStyle w:val="Normal6a"/>
            </w:pPr>
            <w:r w:rsidRPr="006A55BB">
              <w:t>12.</w:t>
            </w:r>
            <w:r w:rsidRPr="006A55BB">
              <w:tab/>
              <w:t xml:space="preserve">riconosce che il Comitato svolge un ruolo fondamentale nel contribuire allo sviluppo delle politiche e ai </w:t>
            </w:r>
            <w:r w:rsidRPr="006A55BB">
              <w:t>processi decisionali dell'Unione, rappresentando le voci di tutti i settori della società civile organizzata all'interno dell'Unione, avvicinando così l'Europa ai suoi cittadini e aumentando la legittimità democratica della legislazione dell'Unione; ricorda che, nell'ambito del suo programma di lavoro annuale, il Comitato dispone di un sistema di monitoraggio della performance con indicatori in vari settori, quali l'informatica, le risorse umane, la traduzione e la comunicazione, strutturato attorno a cinqu</w:t>
            </w:r>
            <w:r w:rsidRPr="006A55BB">
              <w:t xml:space="preserve">e valori fondamentali e cinque obiettivi strategici chiave, nell'ambito della strategia </w:t>
            </w:r>
            <w:r w:rsidRPr="006A55BB">
              <w:lastRenderedPageBreak/>
              <w:t>del segretariato generale per il periodo 2021-2025; prende atto con soddisfazione del seguito dato dal Comitato alle osservazioni contenute nella risoluzione sul discarico 2023 del Parlamento (la "relazione di follow-up") e nel questionario secondo cui, a seguito di un audit, il Comitato ha avviato un processo strutturato per migliorare il monitoraggio della sua performance allineando il suo quadro di riferimento della p</w:t>
            </w:r>
            <w:r w:rsidRPr="006A55BB">
              <w:t>erformance agli obiettivi strategici attraverso indicatori chiave di performance e indicatori di impatto da allineare ai futuri obiettivi strategici del Comitato, mentre l'alta dirigenza svolgerà un ruolo chiave nell'uso di tali indicatori; si attende di essere informato dell'esito dell'attuazione di questo nuovo quadro mediante la futura relazione del Comitato all'autorità di discarico;</w:t>
            </w:r>
          </w:p>
        </w:tc>
        <w:tc>
          <w:tcPr>
            <w:tcW w:w="4876" w:type="dxa"/>
            <w:tcBorders>
              <w:top w:val="nil"/>
              <w:left w:val="nil"/>
              <w:bottom w:val="nil"/>
              <w:right w:val="nil"/>
            </w:tcBorders>
          </w:tcPr>
          <w:p w14:paraId="68800D27" w14:textId="77777777" w:rsidR="00085FDC" w:rsidRPr="006A55BB" w:rsidRDefault="0071326C">
            <w:pPr>
              <w:pStyle w:val="Normal6a"/>
            </w:pPr>
            <w:r w:rsidRPr="006A55BB">
              <w:lastRenderedPageBreak/>
              <w:t>12.</w:t>
            </w:r>
            <w:r w:rsidRPr="006A55BB">
              <w:tab/>
              <w:t>riconosce che il Comitato svolge un ruolo fondamentale nel contribuire allo sviluppo delle politiche e ai processi decisionali dell'Unione, rappresentando le voci di tutti i settori della società civile organizzata all'interno dell'Unione, avvicinando così l'Europa ai suoi cittadini e aumentando la legittimità democratica della legislazione dell'Unione; ricorda che, nell'ambito del suo programma di lavoro annuale, il Comitato dispone di un sistema di monitoraggio della performance con indicatori in vari se</w:t>
            </w:r>
            <w:r w:rsidRPr="006A55BB">
              <w:t xml:space="preserve">ttori, quali l'informatica, le risorse umane, la traduzione e la comunicazione, strutturato attorno a cinque valori fondamentali e cinque obiettivi strategici chiave, nell'ambito della strategia </w:t>
            </w:r>
            <w:r w:rsidRPr="006A55BB">
              <w:lastRenderedPageBreak/>
              <w:t>del segretariato generale per il periodo 2021-2025</w:t>
            </w:r>
            <w:r w:rsidRPr="006A55BB">
              <w:rPr>
                <w:b/>
                <w:i/>
              </w:rPr>
              <w:t>; ritiene, tuttavia, che il valore aggiunto delle sue attività per i cittadini europei rimanga ampiamente sottostimato; invita il Comitato a rafforzare ulteriormente il suo quadro di valutazione dell'impatto dimostrando meglio come i suoi pareri e le sue iniziative s</w:t>
            </w:r>
            <w:r w:rsidRPr="006A55BB">
              <w:rPr>
                <w:b/>
                <w:i/>
              </w:rPr>
              <w:t>i traducano in risultati politici concreti e in vantaggi tangibili per i cittadini</w:t>
            </w:r>
            <w:r w:rsidRPr="006A55BB">
              <w:t>; prende atto con soddisfazione del seguito dato dal Comitato alle osservazioni contenute nella risoluzione sul discarico 2023 del Parlamento (la "relazione di follow-up") e nel questionario secondo cui, a seguito di un audit, il Comitato ha avviato un processo strutturato per migliorare il monitoraggio della sua performance allineando il suo quadro di riferimento della performance agli obiettivi strategici attraverso indicato</w:t>
            </w:r>
            <w:r w:rsidRPr="006A55BB">
              <w:t>ri chiave di performance e indicatori di impatto da allineare ai futuri obiettivi strategici del Comitato, mentre l'alta dirigenza svolgerà un ruolo chiave nell'uso di tali indicatori; si attende di essere informato dell'esito dell'attuazione di questo nuovo quadro mediante la futura relazione del Comitato all'autorità di discarico;</w:t>
            </w:r>
          </w:p>
        </w:tc>
      </w:tr>
    </w:tbl>
    <w:p w14:paraId="0418B2DB" w14:textId="77777777" w:rsidR="00085FDC" w:rsidRPr="006A55BB" w:rsidRDefault="0071326C">
      <w:pPr>
        <w:pStyle w:val="AmOrLang"/>
      </w:pPr>
      <w:r w:rsidRPr="006A55BB">
        <w:lastRenderedPageBreak/>
        <w:t xml:space="preserve">Or. </w:t>
      </w:r>
      <w:r w:rsidRPr="0071326C">
        <w:rPr>
          <w:rStyle w:val="HideTWBExt"/>
        </w:rPr>
        <w:t>&lt;Original&gt;</w:t>
      </w:r>
      <w:r w:rsidRPr="0071326C">
        <w:rPr>
          <w:rStyle w:val="HideTWBInt"/>
        </w:rPr>
        <w:t>{EN}</w:t>
      </w:r>
      <w:r w:rsidRPr="006A55BB">
        <w:t>en</w:t>
      </w:r>
      <w:r w:rsidRPr="0071326C">
        <w:rPr>
          <w:rStyle w:val="HideTWBExt"/>
        </w:rPr>
        <w:t>&lt;/Original&gt;</w:t>
      </w:r>
    </w:p>
    <w:p w14:paraId="42922179" w14:textId="77777777" w:rsidR="00085FDC" w:rsidRPr="006A55BB" w:rsidRDefault="0071326C">
      <w:r w:rsidRPr="0071326C">
        <w:rPr>
          <w:rStyle w:val="HideTWBExt"/>
        </w:rPr>
        <w:t>&lt;/Amend&gt;</w:t>
      </w:r>
    </w:p>
    <w:p w14:paraId="7B1AF559" w14:textId="77777777" w:rsidR="00085FDC" w:rsidRPr="006A55BB" w:rsidRDefault="0071326C">
      <w:pPr>
        <w:pStyle w:val="AmNumberTabs"/>
      </w:pPr>
      <w:r w:rsidRPr="0071326C">
        <w:rPr>
          <w:rStyle w:val="HideTWBExt"/>
          <w:b w:val="0"/>
        </w:rPr>
        <w:t>&lt;Amend&gt;</w:t>
      </w:r>
      <w:r w:rsidRPr="006A55BB">
        <w:t>Emendamento</w:t>
      </w:r>
      <w:r w:rsidRPr="006A55BB">
        <w:tab/>
      </w:r>
      <w:r w:rsidRPr="006A55BB">
        <w:tab/>
      </w:r>
      <w:r w:rsidRPr="0071326C">
        <w:rPr>
          <w:rStyle w:val="HideTWBExt"/>
          <w:b w:val="0"/>
        </w:rPr>
        <w:t>&lt;NumAm&gt;</w:t>
      </w:r>
      <w:r w:rsidRPr="006A55BB">
        <w:t>10</w:t>
      </w:r>
      <w:r w:rsidRPr="0071326C">
        <w:rPr>
          <w:rStyle w:val="HideTWBExt"/>
          <w:b w:val="0"/>
        </w:rPr>
        <w:t>&lt;/NumAm&gt;</w:t>
      </w:r>
    </w:p>
    <w:p w14:paraId="544341BB" w14:textId="77777777" w:rsidR="00085FDC" w:rsidRPr="006A55BB" w:rsidRDefault="0071326C">
      <w:pPr>
        <w:pStyle w:val="NormalBold"/>
      </w:pPr>
      <w:r w:rsidRPr="0071326C">
        <w:rPr>
          <w:rStyle w:val="HideTWBExt"/>
          <w:b w:val="0"/>
        </w:rPr>
        <w:t>&lt;RepeatBlock-By&gt;&lt;Members&gt;</w:t>
      </w:r>
      <w:r w:rsidRPr="006A55BB">
        <w:t>Andrey Kovatchev</w:t>
      </w:r>
      <w:r w:rsidRPr="0071326C">
        <w:rPr>
          <w:rStyle w:val="HideTWBExt"/>
          <w:b w:val="0"/>
        </w:rPr>
        <w:t>&lt;/Members&gt;</w:t>
      </w:r>
    </w:p>
    <w:p w14:paraId="333D7A14" w14:textId="77777777" w:rsidR="00085FDC" w:rsidRPr="006A55BB" w:rsidRDefault="0071326C">
      <w:pPr>
        <w:pStyle w:val="NormalBold"/>
      </w:pPr>
      <w:r w:rsidRPr="0071326C">
        <w:rPr>
          <w:rStyle w:val="HideTWBExt"/>
          <w:b w:val="0"/>
        </w:rPr>
        <w:t>&lt;/RepeatBlock-By&gt;</w:t>
      </w:r>
    </w:p>
    <w:p w14:paraId="58810E42" w14:textId="77777777" w:rsidR="00085FDC" w:rsidRPr="006A55BB" w:rsidRDefault="0071326C">
      <w:pPr>
        <w:pStyle w:val="NormalBold"/>
      </w:pPr>
      <w:r w:rsidRPr="0071326C">
        <w:rPr>
          <w:rStyle w:val="HideTWBExt"/>
          <w:b w:val="0"/>
        </w:rPr>
        <w:t>&lt;DocAmend&gt;</w:t>
      </w:r>
      <w:r w:rsidRPr="006A55BB">
        <w:t>Proposta di risoluzione</w:t>
      </w:r>
      <w:r w:rsidRPr="0071326C">
        <w:rPr>
          <w:rStyle w:val="HideTWBExt"/>
          <w:b w:val="0"/>
        </w:rPr>
        <w:t>&lt;/DocAmend&gt;</w:t>
      </w:r>
    </w:p>
    <w:p w14:paraId="6A0CCE45" w14:textId="77777777" w:rsidR="00085FDC" w:rsidRPr="006A55BB" w:rsidRDefault="0071326C">
      <w:pPr>
        <w:pStyle w:val="NormalBold"/>
      </w:pPr>
      <w:r w:rsidRPr="0071326C">
        <w:rPr>
          <w:rStyle w:val="HideTWBExt"/>
          <w:b w:val="0"/>
        </w:rPr>
        <w:t>&lt;Article&gt;</w:t>
      </w:r>
      <w:r w:rsidRPr="006A55BB">
        <w:t>Paragrafo 12</w:t>
      </w:r>
      <w:r w:rsidRPr="007132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FDC" w:rsidRPr="006A55BB" w14:paraId="4FDC8D10" w14:textId="77777777">
        <w:trPr>
          <w:trHeight w:hRule="exact" w:val="240"/>
          <w:jc w:val="center"/>
        </w:trPr>
        <w:tc>
          <w:tcPr>
            <w:tcW w:w="9752" w:type="dxa"/>
            <w:gridSpan w:val="2"/>
            <w:tcBorders>
              <w:top w:val="nil"/>
              <w:left w:val="nil"/>
              <w:bottom w:val="nil"/>
              <w:right w:val="nil"/>
            </w:tcBorders>
          </w:tcPr>
          <w:p w14:paraId="0852142C" w14:textId="77777777" w:rsidR="00085FDC" w:rsidRPr="006A55BB" w:rsidRDefault="00085FDC"/>
        </w:tc>
      </w:tr>
      <w:tr w:rsidR="00085FDC" w:rsidRPr="006A55BB" w14:paraId="1248326B" w14:textId="77777777">
        <w:trPr>
          <w:trHeight w:val="240"/>
          <w:jc w:val="center"/>
        </w:trPr>
        <w:tc>
          <w:tcPr>
            <w:tcW w:w="4876" w:type="dxa"/>
            <w:tcBorders>
              <w:top w:val="nil"/>
              <w:left w:val="nil"/>
              <w:bottom w:val="nil"/>
              <w:right w:val="nil"/>
            </w:tcBorders>
          </w:tcPr>
          <w:p w14:paraId="5B1C77AD" w14:textId="77777777" w:rsidR="00085FDC" w:rsidRPr="006A55BB" w:rsidRDefault="0071326C">
            <w:pPr>
              <w:pStyle w:val="AmColumnHeading"/>
            </w:pPr>
            <w:r w:rsidRPr="006A55BB">
              <w:t>Proposta di risoluzione</w:t>
            </w:r>
          </w:p>
        </w:tc>
        <w:tc>
          <w:tcPr>
            <w:tcW w:w="4876" w:type="dxa"/>
            <w:tcBorders>
              <w:top w:val="nil"/>
              <w:left w:val="nil"/>
              <w:bottom w:val="nil"/>
              <w:right w:val="nil"/>
            </w:tcBorders>
          </w:tcPr>
          <w:p w14:paraId="6E281205" w14:textId="77777777" w:rsidR="00085FDC" w:rsidRPr="006A55BB" w:rsidRDefault="0071326C">
            <w:pPr>
              <w:pStyle w:val="AmColumnHeading"/>
            </w:pPr>
            <w:r w:rsidRPr="006A55BB">
              <w:t>Emendamento</w:t>
            </w:r>
          </w:p>
        </w:tc>
      </w:tr>
      <w:tr w:rsidR="00085FDC" w:rsidRPr="006A55BB" w14:paraId="5AA2E5FA" w14:textId="77777777">
        <w:trPr>
          <w:jc w:val="center"/>
        </w:trPr>
        <w:tc>
          <w:tcPr>
            <w:tcW w:w="4876" w:type="dxa"/>
            <w:tcBorders>
              <w:top w:val="nil"/>
              <w:left w:val="nil"/>
              <w:bottom w:val="nil"/>
              <w:right w:val="nil"/>
            </w:tcBorders>
          </w:tcPr>
          <w:p w14:paraId="76C2FC39" w14:textId="77777777" w:rsidR="00085FDC" w:rsidRPr="006A55BB" w:rsidRDefault="0071326C">
            <w:pPr>
              <w:pStyle w:val="Normal6a"/>
            </w:pPr>
            <w:r w:rsidRPr="006A55BB">
              <w:t>12.</w:t>
            </w:r>
            <w:r w:rsidRPr="006A55BB">
              <w:tab/>
              <w:t xml:space="preserve">riconosce che il </w:t>
            </w:r>
            <w:r w:rsidRPr="006A55BB">
              <w:t xml:space="preserve">Comitato svolge un ruolo fondamentale nel contribuire allo sviluppo delle politiche e ai processi decisionali dell'Unione, rappresentando le voci di tutti i settori della società civile organizzata all'interno dell'Unione, </w:t>
            </w:r>
            <w:r w:rsidRPr="006A55BB">
              <w:lastRenderedPageBreak/>
              <w:t>avvicinando così l'Europa ai suoi cittadini e aumentando la legittimità democratica della legislazione dell'Unione; ricorda che, nell'ambito del suo programma di lavoro annuale, il Comitato dispone di un sistema di monitoraggio della performance con indicatori in vari settori, quali l'inf</w:t>
            </w:r>
            <w:r w:rsidRPr="006A55BB">
              <w:t>ormatica, le risorse umane, la traduzione e la comunicazione, strutturato attorno a cinque valori fondamentali e cinque obiettivi strategici chiave, nell'ambito della strategia del segretariato generale per il periodo 2021-2025; prende atto con soddisfazione del seguito dato dal Comitato alle osservazioni contenute nella risoluzione sul discarico 2023 del Parlamento (la "relazione di follow-up") e nel questionario secondo cui, a seguito di un audit, il Comitato ha avviato un processo strutturato per miglior</w:t>
            </w:r>
            <w:r w:rsidRPr="006A55BB">
              <w:t>are il monitoraggio della sua performance allineando il suo quadro di riferimento della performance agli obiettivi strategici attraverso indicatori chiave di performance e indicatori di impatto da allineare ai futuri obiettivi strategici del Comitato, mentre l'alta dirigenza svolgerà un ruolo chiave nell'uso di tali indicatori; si attende di essere informato dell'esito dell'attuazione di questo nuovo quadro mediante la futura relazione del Comitato all'autorità di discarico;</w:t>
            </w:r>
          </w:p>
        </w:tc>
        <w:tc>
          <w:tcPr>
            <w:tcW w:w="4876" w:type="dxa"/>
            <w:tcBorders>
              <w:top w:val="nil"/>
              <w:left w:val="nil"/>
              <w:bottom w:val="nil"/>
              <w:right w:val="nil"/>
            </w:tcBorders>
          </w:tcPr>
          <w:p w14:paraId="3153103E" w14:textId="77777777" w:rsidR="00085FDC" w:rsidRPr="006A55BB" w:rsidRDefault="0071326C">
            <w:pPr>
              <w:pStyle w:val="Normal6a"/>
            </w:pPr>
            <w:r w:rsidRPr="006A55BB">
              <w:lastRenderedPageBreak/>
              <w:t>12.</w:t>
            </w:r>
            <w:r w:rsidRPr="006A55BB">
              <w:tab/>
              <w:t xml:space="preserve">riconosce che il </w:t>
            </w:r>
            <w:r w:rsidRPr="006A55BB">
              <w:t xml:space="preserve">Comitato svolge un ruolo fondamentale nel contribuire allo sviluppo delle politiche e ai processi decisionali dell'Unione, rappresentando le voci di tutti i settori della società civile organizzata all'interno dell'Unione, </w:t>
            </w:r>
            <w:r w:rsidRPr="006A55BB">
              <w:lastRenderedPageBreak/>
              <w:t>avvicinando così l'Europa ai suoi cittadini e aumentando la legittimità democratica della legislazione dell'Unione; ricorda che, nell'ambito del suo programma di lavoro annuale, il Comitato dispone di un sistema di monitoraggio della performance con indicatori in vari settori, quali l'inf</w:t>
            </w:r>
            <w:r w:rsidRPr="006A55BB">
              <w:t>ormatica, le risorse umane, la traduzione e la comunicazione, strutturato attorno a cinque valori fondamentali e cinque obiettivi strategici chiave, nell'ambito della strategia del segretariato generale per il periodo 2021-2025; prende atto con soddisfazione del seguito dato dal Comitato alle osservazioni contenute nella risoluzione sul discarico 2023 del Parlamento (la "relazione di follow-up") e nel questionario secondo cui, a seguito di un audit, il Comitato ha avviato un processo strutturato per miglior</w:t>
            </w:r>
            <w:r w:rsidRPr="006A55BB">
              <w:t xml:space="preserve">are il monitoraggio della sua performance allineando il suo quadro di riferimento della performance agli obiettivi strategici attraverso indicatori chiave di performance e indicatori di impatto da allineare ai futuri obiettivi strategici del Comitato, mentre l'alta dirigenza svolgerà un ruolo chiave nell'uso di tali indicatori; si attende di essere informato dell'esito dell'attuazione di questo nuovo quadro mediante la futura relazione del Comitato all'autorità di discarico; </w:t>
            </w:r>
            <w:r w:rsidRPr="006A55BB">
              <w:rPr>
                <w:b/>
                <w:i/>
              </w:rPr>
              <w:t>accoglie con favore gli sforzi d</w:t>
            </w:r>
            <w:r w:rsidRPr="006A55BB">
              <w:rPr>
                <w:b/>
                <w:i/>
              </w:rPr>
              <w:t>el Comitato volti a integrare la misurazione dell'impatto nel suo processo decisionale e chiede chiari indicatori chiave di performance quantificabili e relazioni periodiche per garantire risultati misurabili e responsabilità;</w:t>
            </w:r>
          </w:p>
        </w:tc>
      </w:tr>
    </w:tbl>
    <w:p w14:paraId="365D7E4A" w14:textId="77777777" w:rsidR="00085FDC" w:rsidRPr="006A55BB" w:rsidRDefault="0071326C">
      <w:pPr>
        <w:pStyle w:val="AmOrLang"/>
      </w:pPr>
      <w:r w:rsidRPr="006A55BB">
        <w:lastRenderedPageBreak/>
        <w:t xml:space="preserve">Or. </w:t>
      </w:r>
      <w:r w:rsidRPr="0071326C">
        <w:rPr>
          <w:rStyle w:val="HideTWBExt"/>
        </w:rPr>
        <w:t>&lt;Original&gt;</w:t>
      </w:r>
      <w:r w:rsidRPr="0071326C">
        <w:rPr>
          <w:rStyle w:val="HideTWBInt"/>
        </w:rPr>
        <w:t>{EN}</w:t>
      </w:r>
      <w:r w:rsidRPr="006A55BB">
        <w:t>en</w:t>
      </w:r>
      <w:r w:rsidRPr="0071326C">
        <w:rPr>
          <w:rStyle w:val="HideTWBExt"/>
        </w:rPr>
        <w:t>&lt;/Original&gt;</w:t>
      </w:r>
    </w:p>
    <w:p w14:paraId="3BC2A7E3" w14:textId="77777777" w:rsidR="00085FDC" w:rsidRPr="006A55BB" w:rsidRDefault="0071326C">
      <w:r w:rsidRPr="0071326C">
        <w:rPr>
          <w:rStyle w:val="HideTWBExt"/>
        </w:rPr>
        <w:t>&lt;/Amend&gt;</w:t>
      </w:r>
    </w:p>
    <w:p w14:paraId="35AF827D" w14:textId="77777777" w:rsidR="00085FDC" w:rsidRPr="006A55BB" w:rsidRDefault="0071326C">
      <w:pPr>
        <w:pStyle w:val="AmNumberTabs"/>
      </w:pPr>
      <w:r w:rsidRPr="0071326C">
        <w:rPr>
          <w:rStyle w:val="HideTWBExt"/>
          <w:b w:val="0"/>
        </w:rPr>
        <w:t>&lt;Amend&gt;</w:t>
      </w:r>
      <w:r w:rsidRPr="006A55BB">
        <w:t>Emendamento</w:t>
      </w:r>
      <w:r w:rsidRPr="006A55BB">
        <w:tab/>
      </w:r>
      <w:r w:rsidRPr="006A55BB">
        <w:tab/>
      </w:r>
      <w:r w:rsidRPr="0071326C">
        <w:rPr>
          <w:rStyle w:val="HideTWBExt"/>
          <w:b w:val="0"/>
        </w:rPr>
        <w:t>&lt;NumAm&gt;</w:t>
      </w:r>
      <w:r w:rsidRPr="006A55BB">
        <w:t>11</w:t>
      </w:r>
      <w:r w:rsidRPr="0071326C">
        <w:rPr>
          <w:rStyle w:val="HideTWBExt"/>
          <w:b w:val="0"/>
        </w:rPr>
        <w:t>&lt;/NumAm&gt;</w:t>
      </w:r>
    </w:p>
    <w:p w14:paraId="292DB2C7" w14:textId="77777777" w:rsidR="00085FDC" w:rsidRPr="006A55BB" w:rsidRDefault="0071326C">
      <w:pPr>
        <w:pStyle w:val="NormalBold"/>
      </w:pPr>
      <w:r w:rsidRPr="0071326C">
        <w:rPr>
          <w:rStyle w:val="HideTWBExt"/>
          <w:b w:val="0"/>
        </w:rPr>
        <w:t>&lt;RepeatBlock-By&gt;&lt;Members&gt;</w:t>
      </w:r>
      <w:r w:rsidRPr="006A55BB">
        <w:t>Andrey Kovatchev</w:t>
      </w:r>
      <w:r w:rsidRPr="0071326C">
        <w:rPr>
          <w:rStyle w:val="HideTWBExt"/>
          <w:b w:val="0"/>
        </w:rPr>
        <w:t>&lt;/Members&gt;</w:t>
      </w:r>
    </w:p>
    <w:p w14:paraId="59304D11" w14:textId="77777777" w:rsidR="00085FDC" w:rsidRPr="006A55BB" w:rsidRDefault="0071326C">
      <w:pPr>
        <w:pStyle w:val="NormalBold"/>
      </w:pPr>
      <w:r w:rsidRPr="0071326C">
        <w:rPr>
          <w:rStyle w:val="HideTWBExt"/>
          <w:b w:val="0"/>
        </w:rPr>
        <w:t>&lt;/RepeatBlock-By&gt;</w:t>
      </w:r>
    </w:p>
    <w:p w14:paraId="2D0957AC" w14:textId="77777777" w:rsidR="00085FDC" w:rsidRPr="006A55BB" w:rsidRDefault="0071326C">
      <w:pPr>
        <w:pStyle w:val="NormalBold"/>
      </w:pPr>
      <w:r w:rsidRPr="0071326C">
        <w:rPr>
          <w:rStyle w:val="HideTWBExt"/>
          <w:b w:val="0"/>
        </w:rPr>
        <w:t>&lt;DocAmend&gt;</w:t>
      </w:r>
      <w:r w:rsidRPr="006A55BB">
        <w:t>Proposta di risoluzione</w:t>
      </w:r>
      <w:r w:rsidRPr="0071326C">
        <w:rPr>
          <w:rStyle w:val="HideTWBExt"/>
          <w:b w:val="0"/>
        </w:rPr>
        <w:t>&lt;/DocAmend&gt;</w:t>
      </w:r>
    </w:p>
    <w:p w14:paraId="5A753ACC" w14:textId="77777777" w:rsidR="00085FDC" w:rsidRPr="006A55BB" w:rsidRDefault="0071326C">
      <w:pPr>
        <w:pStyle w:val="NormalBold"/>
      </w:pPr>
      <w:r w:rsidRPr="0071326C">
        <w:rPr>
          <w:rStyle w:val="HideTWBExt"/>
          <w:b w:val="0"/>
        </w:rPr>
        <w:t>&lt;Article&gt;</w:t>
      </w:r>
      <w:r w:rsidRPr="006A55BB">
        <w:t>Paragrafo 13</w:t>
      </w:r>
      <w:r w:rsidRPr="007132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FDC" w:rsidRPr="006A55BB" w14:paraId="46AC82CF" w14:textId="77777777">
        <w:trPr>
          <w:trHeight w:hRule="exact" w:val="240"/>
          <w:jc w:val="center"/>
        </w:trPr>
        <w:tc>
          <w:tcPr>
            <w:tcW w:w="9752" w:type="dxa"/>
            <w:gridSpan w:val="2"/>
            <w:tcBorders>
              <w:top w:val="nil"/>
              <w:left w:val="nil"/>
              <w:bottom w:val="nil"/>
              <w:right w:val="nil"/>
            </w:tcBorders>
          </w:tcPr>
          <w:p w14:paraId="5E5D91BA" w14:textId="77777777" w:rsidR="00085FDC" w:rsidRPr="006A55BB" w:rsidRDefault="00085FDC"/>
        </w:tc>
      </w:tr>
      <w:tr w:rsidR="00085FDC" w:rsidRPr="006A55BB" w14:paraId="1E130080" w14:textId="77777777">
        <w:trPr>
          <w:trHeight w:val="240"/>
          <w:jc w:val="center"/>
        </w:trPr>
        <w:tc>
          <w:tcPr>
            <w:tcW w:w="4876" w:type="dxa"/>
            <w:tcBorders>
              <w:top w:val="nil"/>
              <w:left w:val="nil"/>
              <w:bottom w:val="nil"/>
              <w:right w:val="nil"/>
            </w:tcBorders>
          </w:tcPr>
          <w:p w14:paraId="63230ACD" w14:textId="77777777" w:rsidR="00085FDC" w:rsidRPr="006A55BB" w:rsidRDefault="0071326C">
            <w:pPr>
              <w:pStyle w:val="AmColumnHeading"/>
            </w:pPr>
            <w:r w:rsidRPr="006A55BB">
              <w:t>Proposta di risoluzione</w:t>
            </w:r>
          </w:p>
        </w:tc>
        <w:tc>
          <w:tcPr>
            <w:tcW w:w="4876" w:type="dxa"/>
            <w:tcBorders>
              <w:top w:val="nil"/>
              <w:left w:val="nil"/>
              <w:bottom w:val="nil"/>
              <w:right w:val="nil"/>
            </w:tcBorders>
          </w:tcPr>
          <w:p w14:paraId="52623EE0" w14:textId="77777777" w:rsidR="00085FDC" w:rsidRPr="006A55BB" w:rsidRDefault="0071326C">
            <w:pPr>
              <w:pStyle w:val="AmColumnHeading"/>
            </w:pPr>
            <w:r w:rsidRPr="006A55BB">
              <w:t>Emendamento</w:t>
            </w:r>
          </w:p>
        </w:tc>
      </w:tr>
      <w:tr w:rsidR="00085FDC" w:rsidRPr="006A55BB" w14:paraId="3E23D30A" w14:textId="77777777">
        <w:trPr>
          <w:jc w:val="center"/>
        </w:trPr>
        <w:tc>
          <w:tcPr>
            <w:tcW w:w="4876" w:type="dxa"/>
            <w:tcBorders>
              <w:top w:val="nil"/>
              <w:left w:val="nil"/>
              <w:bottom w:val="nil"/>
              <w:right w:val="nil"/>
            </w:tcBorders>
          </w:tcPr>
          <w:p w14:paraId="5A070245" w14:textId="77777777" w:rsidR="00085FDC" w:rsidRPr="006A55BB" w:rsidRDefault="0071326C">
            <w:pPr>
              <w:pStyle w:val="Normal6a"/>
            </w:pPr>
            <w:r w:rsidRPr="006A55BB">
              <w:t>13.</w:t>
            </w:r>
            <w:r w:rsidRPr="006A55BB">
              <w:tab/>
              <w:t xml:space="preserve">rileva che il </w:t>
            </w:r>
            <w:r w:rsidRPr="006A55BB">
              <w:t xml:space="preserve">Comitato svolge la propria funzione tramite la pubblicazione di pareri, che si riferiscono alle proposte legislative presentate dalla Commissione (consultazioni), pareri d'iniziativa, che invitano le istituzioni dell'Unione a intraprendere azioni, o pareri esplorativi, che confluiscono nell'attività della Commissione sulle iniziative programmate, e che le posizioni del Comitato possono essere sottolineate nelle risoluzioni o incluse nelle relazioni di valutazione o di informazione; elogia il Comitato per i </w:t>
            </w:r>
            <w:r w:rsidRPr="006A55BB">
              <w:t>suoi risultati nell'assistere il Parlamento, il Consiglio e la Commissione nel ciclo legislativo del 2024; osserva, in tale contesto, che nel 2024 il Comitato ha adottato 142 pareri e relazioni, un calo rispetto ai 213 del 2023, e ha organizzato 148 audizioni e 26 conferenze, che nel 2023 erano state rispettivamente 146 e 24; riconosce che il rinnovo della legislatura nel 2024 ha comportato una riduzione del numero di consultazioni e, di conseguenza, del numero di pareri adottati dal Comitato quell'anno; os</w:t>
            </w:r>
            <w:r w:rsidRPr="006A55BB">
              <w:t>serva che nel 2024 i membri del Comitato hanno partecipato a 518 riunioni di alto livello, vertici e conferenze, rispetto a 429 del 2023;</w:t>
            </w:r>
          </w:p>
        </w:tc>
        <w:tc>
          <w:tcPr>
            <w:tcW w:w="4876" w:type="dxa"/>
            <w:tcBorders>
              <w:top w:val="nil"/>
              <w:left w:val="nil"/>
              <w:bottom w:val="nil"/>
              <w:right w:val="nil"/>
            </w:tcBorders>
          </w:tcPr>
          <w:p w14:paraId="59EEEDC0" w14:textId="77777777" w:rsidR="00085FDC" w:rsidRPr="006A55BB" w:rsidRDefault="0071326C">
            <w:pPr>
              <w:pStyle w:val="Normal6a"/>
            </w:pPr>
            <w:r w:rsidRPr="006A55BB">
              <w:t>13.</w:t>
            </w:r>
            <w:r w:rsidRPr="006A55BB">
              <w:tab/>
              <w:t xml:space="preserve">rileva che il Comitato svolge la propria funzione tramite la pubblicazione di pareri, che si riferiscono alle proposte legislative presentate dalla Commissione (consultazioni), pareri d'iniziativa, che invitano le istituzioni dell'Unione a intraprendere azioni, o pareri esplorativi, che confluiscono nell'attività della Commissione sulle iniziative programmate, e che le posizioni del Comitato possono essere sottolineate nelle risoluzioni o incluse nelle relazioni di valutazione o di informazione; elogia il </w:t>
            </w:r>
            <w:r w:rsidRPr="006A55BB">
              <w:t>Comitato per i suoi risultati nell'assistere il Parlamento, il Consiglio e la Commissione nel ciclo legislativo del 2024; osserva, in tale contesto, che nel 2024 il Comitato ha adottato 142 pareri e relazioni, un calo rispetto ai 213 del 2023, e ha organizzato 148 audizioni e 26 conferenze, che nel 2023 erano state rispettivamente 146 e 24; riconosce che il rinnovo della legislatura nel 2024 ha comportato una riduzione del numero di consultazioni e, di conseguenza, del numero di pareri adottati dal Comitato</w:t>
            </w:r>
            <w:r w:rsidRPr="006A55BB">
              <w:t xml:space="preserve"> quell'anno; osserva che nel 2024 i membri del Comitato hanno partecipato a 518 riunioni di alto livello, vertici e conferenze, rispetto a 429 del 2023; </w:t>
            </w:r>
            <w:r w:rsidRPr="006A55BB">
              <w:rPr>
                <w:b/>
                <w:i/>
              </w:rPr>
              <w:t>incoraggia a privilegiare iniziative che sostengono la crescita economica, la competitività e l'autonomia strategica dell'UE;</w:t>
            </w:r>
          </w:p>
        </w:tc>
      </w:tr>
    </w:tbl>
    <w:p w14:paraId="7F63FCDF" w14:textId="77777777" w:rsidR="00085FDC" w:rsidRPr="006A55BB" w:rsidRDefault="0071326C">
      <w:pPr>
        <w:pStyle w:val="AmOrLang"/>
      </w:pPr>
      <w:r w:rsidRPr="006A55BB">
        <w:t xml:space="preserve">Or. </w:t>
      </w:r>
      <w:r w:rsidRPr="0071326C">
        <w:rPr>
          <w:rStyle w:val="HideTWBExt"/>
        </w:rPr>
        <w:t>&lt;Original&gt;</w:t>
      </w:r>
      <w:r w:rsidRPr="0071326C">
        <w:rPr>
          <w:rStyle w:val="HideTWBInt"/>
        </w:rPr>
        <w:t>{EN}</w:t>
      </w:r>
      <w:r w:rsidRPr="006A55BB">
        <w:t>en</w:t>
      </w:r>
      <w:r w:rsidRPr="0071326C">
        <w:rPr>
          <w:rStyle w:val="HideTWBExt"/>
        </w:rPr>
        <w:t>&lt;/Original&gt;</w:t>
      </w:r>
    </w:p>
    <w:p w14:paraId="39E8F9D6" w14:textId="77777777" w:rsidR="00085FDC" w:rsidRPr="006A55BB" w:rsidRDefault="0071326C">
      <w:r w:rsidRPr="0071326C">
        <w:rPr>
          <w:rStyle w:val="HideTWBExt"/>
        </w:rPr>
        <w:t>&lt;/Amend&gt;</w:t>
      </w:r>
    </w:p>
    <w:p w14:paraId="39C56647" w14:textId="77777777" w:rsidR="00085FDC" w:rsidRPr="006A55BB" w:rsidRDefault="0071326C">
      <w:pPr>
        <w:pStyle w:val="AmNumberTabs"/>
      </w:pPr>
      <w:r w:rsidRPr="0071326C">
        <w:rPr>
          <w:rStyle w:val="HideTWBExt"/>
          <w:b w:val="0"/>
        </w:rPr>
        <w:t>&lt;Amend&gt;</w:t>
      </w:r>
      <w:r w:rsidRPr="006A55BB">
        <w:t>Emendamento</w:t>
      </w:r>
      <w:r w:rsidRPr="006A55BB">
        <w:tab/>
      </w:r>
      <w:r w:rsidRPr="006A55BB">
        <w:tab/>
      </w:r>
      <w:r w:rsidRPr="0071326C">
        <w:rPr>
          <w:rStyle w:val="HideTWBExt"/>
          <w:b w:val="0"/>
        </w:rPr>
        <w:t>&lt;NumAm&gt;</w:t>
      </w:r>
      <w:r w:rsidRPr="006A55BB">
        <w:t>12</w:t>
      </w:r>
      <w:r w:rsidRPr="0071326C">
        <w:rPr>
          <w:rStyle w:val="HideTWBExt"/>
          <w:b w:val="0"/>
        </w:rPr>
        <w:t>&lt;/NumAm&gt;</w:t>
      </w:r>
    </w:p>
    <w:p w14:paraId="64F17BF8" w14:textId="77777777" w:rsidR="00085FDC" w:rsidRPr="006A55BB" w:rsidRDefault="0071326C">
      <w:pPr>
        <w:pStyle w:val="NormalBold"/>
      </w:pPr>
      <w:r w:rsidRPr="0071326C">
        <w:rPr>
          <w:rStyle w:val="HideTWBExt"/>
          <w:b w:val="0"/>
        </w:rPr>
        <w:t>&lt;RepeatBlock-By&gt;&lt;Members&gt;</w:t>
      </w:r>
      <w:r w:rsidRPr="006A55BB">
        <w:t>Şerban Dimitrie Sturdza</w:t>
      </w:r>
      <w:r w:rsidRPr="0071326C">
        <w:rPr>
          <w:rStyle w:val="HideTWBExt"/>
          <w:b w:val="0"/>
        </w:rPr>
        <w:t>&lt;/Members&gt;</w:t>
      </w:r>
    </w:p>
    <w:p w14:paraId="1F2DD28E" w14:textId="77777777" w:rsidR="00085FDC" w:rsidRPr="006A55BB" w:rsidRDefault="0071326C">
      <w:pPr>
        <w:pStyle w:val="NormalBold"/>
      </w:pPr>
      <w:r w:rsidRPr="0071326C">
        <w:rPr>
          <w:rStyle w:val="HideTWBExt"/>
          <w:b w:val="0"/>
        </w:rPr>
        <w:t>&lt;/RepeatBlock-By&gt;</w:t>
      </w:r>
    </w:p>
    <w:p w14:paraId="3BF355EC" w14:textId="77777777" w:rsidR="00085FDC" w:rsidRPr="006A55BB" w:rsidRDefault="0071326C">
      <w:pPr>
        <w:pStyle w:val="NormalBold"/>
      </w:pPr>
      <w:r w:rsidRPr="0071326C">
        <w:rPr>
          <w:rStyle w:val="HideTWBExt"/>
          <w:b w:val="0"/>
        </w:rPr>
        <w:t>&lt;DocAmend&gt;</w:t>
      </w:r>
      <w:r w:rsidRPr="006A55BB">
        <w:t>Proposta di risoluzione</w:t>
      </w:r>
      <w:r w:rsidRPr="0071326C">
        <w:rPr>
          <w:rStyle w:val="HideTWBExt"/>
          <w:b w:val="0"/>
        </w:rPr>
        <w:t>&lt;/DocAmend&gt;</w:t>
      </w:r>
    </w:p>
    <w:p w14:paraId="01340B64" w14:textId="77777777" w:rsidR="00085FDC" w:rsidRPr="006A55BB" w:rsidRDefault="0071326C">
      <w:pPr>
        <w:pStyle w:val="NormalBold"/>
      </w:pPr>
      <w:r w:rsidRPr="0071326C">
        <w:rPr>
          <w:rStyle w:val="HideTWBExt"/>
          <w:b w:val="0"/>
        </w:rPr>
        <w:t>&lt;Article&gt;</w:t>
      </w:r>
      <w:r w:rsidRPr="006A55BB">
        <w:t>Paragrafo 13 bis (nuovo)</w:t>
      </w:r>
      <w:r w:rsidRPr="007132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FDC" w:rsidRPr="006A55BB" w14:paraId="2224928A" w14:textId="77777777">
        <w:trPr>
          <w:trHeight w:hRule="exact" w:val="240"/>
          <w:jc w:val="center"/>
        </w:trPr>
        <w:tc>
          <w:tcPr>
            <w:tcW w:w="9752" w:type="dxa"/>
            <w:gridSpan w:val="2"/>
            <w:tcBorders>
              <w:top w:val="nil"/>
              <w:left w:val="nil"/>
              <w:bottom w:val="nil"/>
              <w:right w:val="nil"/>
            </w:tcBorders>
          </w:tcPr>
          <w:p w14:paraId="44A5A7D6" w14:textId="77777777" w:rsidR="00085FDC" w:rsidRPr="006A55BB" w:rsidRDefault="00085FDC"/>
        </w:tc>
      </w:tr>
      <w:tr w:rsidR="00085FDC" w:rsidRPr="006A55BB" w14:paraId="6553F2D5" w14:textId="77777777">
        <w:trPr>
          <w:trHeight w:val="240"/>
          <w:jc w:val="center"/>
        </w:trPr>
        <w:tc>
          <w:tcPr>
            <w:tcW w:w="4876" w:type="dxa"/>
            <w:tcBorders>
              <w:top w:val="nil"/>
              <w:left w:val="nil"/>
              <w:bottom w:val="nil"/>
              <w:right w:val="nil"/>
            </w:tcBorders>
          </w:tcPr>
          <w:p w14:paraId="7016763F" w14:textId="77777777" w:rsidR="00085FDC" w:rsidRPr="006A55BB" w:rsidRDefault="0071326C">
            <w:pPr>
              <w:pStyle w:val="AmColumnHeading"/>
            </w:pPr>
            <w:r w:rsidRPr="006A55BB">
              <w:t>Proposta di risoluzione</w:t>
            </w:r>
          </w:p>
        </w:tc>
        <w:tc>
          <w:tcPr>
            <w:tcW w:w="4876" w:type="dxa"/>
            <w:tcBorders>
              <w:top w:val="nil"/>
              <w:left w:val="nil"/>
              <w:bottom w:val="nil"/>
              <w:right w:val="nil"/>
            </w:tcBorders>
          </w:tcPr>
          <w:p w14:paraId="28C33EFB" w14:textId="77777777" w:rsidR="00085FDC" w:rsidRPr="006A55BB" w:rsidRDefault="0071326C">
            <w:pPr>
              <w:pStyle w:val="AmColumnHeading"/>
            </w:pPr>
            <w:r w:rsidRPr="006A55BB">
              <w:t>Emendamento</w:t>
            </w:r>
          </w:p>
        </w:tc>
      </w:tr>
      <w:tr w:rsidR="00085FDC" w:rsidRPr="006A55BB" w14:paraId="01E54125" w14:textId="77777777">
        <w:trPr>
          <w:jc w:val="center"/>
        </w:trPr>
        <w:tc>
          <w:tcPr>
            <w:tcW w:w="4876" w:type="dxa"/>
            <w:tcBorders>
              <w:top w:val="nil"/>
              <w:left w:val="nil"/>
              <w:bottom w:val="nil"/>
              <w:right w:val="nil"/>
            </w:tcBorders>
          </w:tcPr>
          <w:p w14:paraId="6097B270" w14:textId="77777777" w:rsidR="00085FDC" w:rsidRPr="006A55BB" w:rsidRDefault="00085FDC">
            <w:pPr>
              <w:pStyle w:val="Normal6a"/>
            </w:pPr>
          </w:p>
        </w:tc>
        <w:tc>
          <w:tcPr>
            <w:tcW w:w="4876" w:type="dxa"/>
            <w:tcBorders>
              <w:top w:val="nil"/>
              <w:left w:val="nil"/>
              <w:bottom w:val="nil"/>
              <w:right w:val="nil"/>
            </w:tcBorders>
          </w:tcPr>
          <w:p w14:paraId="36A56375" w14:textId="77777777" w:rsidR="00085FDC" w:rsidRPr="006A55BB" w:rsidRDefault="0071326C">
            <w:pPr>
              <w:pStyle w:val="Normal6a"/>
            </w:pPr>
            <w:r w:rsidRPr="006A55BB">
              <w:rPr>
                <w:b/>
                <w:i/>
              </w:rPr>
              <w:t>13 bis.</w:t>
            </w:r>
            <w:r w:rsidRPr="006A55BB">
              <w:tab/>
            </w:r>
            <w:r w:rsidRPr="006A55BB">
              <w:rPr>
                <w:b/>
                <w:i/>
              </w:rPr>
              <w:t xml:space="preserve">incoraggia il Comitato a </w:t>
            </w:r>
            <w:r w:rsidRPr="006A55BB">
              <w:rPr>
                <w:b/>
                <w:i/>
              </w:rPr>
              <w:t>proseguire i suoi sforzi per concentrare la sua attività in settori in cui può fornire contributi chiari, misurabili e pertinenti per le politiche, e a sviluppare ulteriormente indicatori di performance e basati sull'impatto che vadano oltre i risultati basati sulle attività e riflettano meglio i risultati e la pertinenza per i cittadini;</w:t>
            </w:r>
          </w:p>
        </w:tc>
      </w:tr>
    </w:tbl>
    <w:p w14:paraId="5300E069" w14:textId="77777777" w:rsidR="00085FDC" w:rsidRPr="006A55BB" w:rsidRDefault="0071326C">
      <w:pPr>
        <w:pStyle w:val="AmOrLang"/>
      </w:pPr>
      <w:r w:rsidRPr="006A55BB">
        <w:t xml:space="preserve">Or. </w:t>
      </w:r>
      <w:r w:rsidRPr="0071326C">
        <w:rPr>
          <w:rStyle w:val="HideTWBExt"/>
        </w:rPr>
        <w:t>&lt;Original&gt;</w:t>
      </w:r>
      <w:r w:rsidRPr="0071326C">
        <w:rPr>
          <w:rStyle w:val="HideTWBInt"/>
        </w:rPr>
        <w:t>{EN}</w:t>
      </w:r>
      <w:r w:rsidRPr="006A55BB">
        <w:t>en</w:t>
      </w:r>
      <w:r w:rsidRPr="0071326C">
        <w:rPr>
          <w:rStyle w:val="HideTWBExt"/>
        </w:rPr>
        <w:t>&lt;/Original&gt;</w:t>
      </w:r>
    </w:p>
    <w:p w14:paraId="63AE1049" w14:textId="77777777" w:rsidR="00085FDC" w:rsidRPr="006A55BB" w:rsidRDefault="0071326C">
      <w:r w:rsidRPr="0071326C">
        <w:rPr>
          <w:rStyle w:val="HideTWBExt"/>
        </w:rPr>
        <w:t>&lt;/Amend&gt;</w:t>
      </w:r>
    </w:p>
    <w:p w14:paraId="27B39FD5" w14:textId="77777777" w:rsidR="00085FDC" w:rsidRPr="006A55BB" w:rsidRDefault="0071326C">
      <w:pPr>
        <w:pStyle w:val="AmNumberTabs"/>
      </w:pPr>
      <w:r w:rsidRPr="0071326C">
        <w:rPr>
          <w:rStyle w:val="HideTWBExt"/>
          <w:b w:val="0"/>
        </w:rPr>
        <w:t>&lt;Amend&gt;</w:t>
      </w:r>
      <w:r w:rsidRPr="006A55BB">
        <w:t>Emendamento</w:t>
      </w:r>
      <w:r w:rsidRPr="006A55BB">
        <w:tab/>
      </w:r>
      <w:r w:rsidRPr="006A55BB">
        <w:tab/>
      </w:r>
      <w:r w:rsidRPr="0071326C">
        <w:rPr>
          <w:rStyle w:val="HideTWBExt"/>
          <w:b w:val="0"/>
        </w:rPr>
        <w:t>&lt;NumAm&gt;</w:t>
      </w:r>
      <w:r w:rsidRPr="006A55BB">
        <w:t>13</w:t>
      </w:r>
      <w:r w:rsidRPr="0071326C">
        <w:rPr>
          <w:rStyle w:val="HideTWBExt"/>
          <w:b w:val="0"/>
        </w:rPr>
        <w:t>&lt;/NumAm&gt;</w:t>
      </w:r>
    </w:p>
    <w:p w14:paraId="310763A7" w14:textId="77777777" w:rsidR="00085FDC" w:rsidRPr="006A55BB" w:rsidRDefault="0071326C">
      <w:pPr>
        <w:pStyle w:val="NormalBold"/>
      </w:pPr>
      <w:r w:rsidRPr="0071326C">
        <w:rPr>
          <w:rStyle w:val="HideTWBExt"/>
          <w:b w:val="0"/>
        </w:rPr>
        <w:t>&lt;RepeatBlock-By&gt;&lt;Members&gt;</w:t>
      </w:r>
      <w:r w:rsidRPr="006A55BB">
        <w:t>Michal Wiezik, Olivier Chastel, Vlad Vasile-Voiculescu, Gilles Boyer</w:t>
      </w:r>
      <w:r w:rsidRPr="0071326C">
        <w:rPr>
          <w:rStyle w:val="HideTWBExt"/>
          <w:b w:val="0"/>
        </w:rPr>
        <w:t>&lt;/Members&gt;</w:t>
      </w:r>
    </w:p>
    <w:p w14:paraId="0386DD21" w14:textId="77777777" w:rsidR="00085FDC" w:rsidRPr="006A55BB" w:rsidRDefault="0071326C">
      <w:pPr>
        <w:pStyle w:val="NormalBold"/>
      </w:pPr>
      <w:r w:rsidRPr="0071326C">
        <w:rPr>
          <w:rStyle w:val="HideTWBExt"/>
          <w:b w:val="0"/>
        </w:rPr>
        <w:t>&lt;/RepeatBlock-By&gt;</w:t>
      </w:r>
    </w:p>
    <w:p w14:paraId="67DDFE32" w14:textId="77777777" w:rsidR="00085FDC" w:rsidRPr="006A55BB" w:rsidRDefault="0071326C">
      <w:pPr>
        <w:pStyle w:val="NormalBold"/>
      </w:pPr>
      <w:r w:rsidRPr="0071326C">
        <w:rPr>
          <w:rStyle w:val="HideTWBExt"/>
          <w:b w:val="0"/>
        </w:rPr>
        <w:t>&lt;DocAmend&gt;</w:t>
      </w:r>
      <w:r w:rsidRPr="006A55BB">
        <w:t>Proposta di risoluzione</w:t>
      </w:r>
      <w:r w:rsidRPr="0071326C">
        <w:rPr>
          <w:rStyle w:val="HideTWBExt"/>
          <w:b w:val="0"/>
        </w:rPr>
        <w:t>&lt;/DocAmend&gt;</w:t>
      </w:r>
    </w:p>
    <w:p w14:paraId="4A6DC1BE" w14:textId="77777777" w:rsidR="00085FDC" w:rsidRPr="006A55BB" w:rsidRDefault="0071326C">
      <w:pPr>
        <w:pStyle w:val="NormalBold"/>
      </w:pPr>
      <w:r w:rsidRPr="0071326C">
        <w:rPr>
          <w:rStyle w:val="HideTWBExt"/>
          <w:b w:val="0"/>
        </w:rPr>
        <w:t>&lt;Article&gt;</w:t>
      </w:r>
      <w:r w:rsidRPr="006A55BB">
        <w:t>Paragrafo 14</w:t>
      </w:r>
      <w:r w:rsidRPr="007132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FDC" w:rsidRPr="006A55BB" w14:paraId="147EA682" w14:textId="77777777">
        <w:trPr>
          <w:trHeight w:hRule="exact" w:val="240"/>
          <w:jc w:val="center"/>
        </w:trPr>
        <w:tc>
          <w:tcPr>
            <w:tcW w:w="9752" w:type="dxa"/>
            <w:gridSpan w:val="2"/>
            <w:tcBorders>
              <w:top w:val="nil"/>
              <w:left w:val="nil"/>
              <w:bottom w:val="nil"/>
              <w:right w:val="nil"/>
            </w:tcBorders>
          </w:tcPr>
          <w:p w14:paraId="6FAE8058" w14:textId="77777777" w:rsidR="00085FDC" w:rsidRPr="006A55BB" w:rsidRDefault="00085FDC"/>
        </w:tc>
      </w:tr>
      <w:tr w:rsidR="00085FDC" w:rsidRPr="006A55BB" w14:paraId="2DA57616" w14:textId="77777777">
        <w:trPr>
          <w:trHeight w:val="240"/>
          <w:jc w:val="center"/>
        </w:trPr>
        <w:tc>
          <w:tcPr>
            <w:tcW w:w="4876" w:type="dxa"/>
            <w:tcBorders>
              <w:top w:val="nil"/>
              <w:left w:val="nil"/>
              <w:bottom w:val="nil"/>
              <w:right w:val="nil"/>
            </w:tcBorders>
          </w:tcPr>
          <w:p w14:paraId="59C68A7D" w14:textId="77777777" w:rsidR="00085FDC" w:rsidRPr="006A55BB" w:rsidRDefault="0071326C">
            <w:pPr>
              <w:pStyle w:val="AmColumnHeading"/>
            </w:pPr>
            <w:r w:rsidRPr="006A55BB">
              <w:t>Proposta di risoluzione</w:t>
            </w:r>
          </w:p>
        </w:tc>
        <w:tc>
          <w:tcPr>
            <w:tcW w:w="4876" w:type="dxa"/>
            <w:tcBorders>
              <w:top w:val="nil"/>
              <w:left w:val="nil"/>
              <w:bottom w:val="nil"/>
              <w:right w:val="nil"/>
            </w:tcBorders>
          </w:tcPr>
          <w:p w14:paraId="30BBBF45" w14:textId="77777777" w:rsidR="00085FDC" w:rsidRPr="006A55BB" w:rsidRDefault="0071326C">
            <w:pPr>
              <w:pStyle w:val="AmColumnHeading"/>
            </w:pPr>
            <w:r w:rsidRPr="006A55BB">
              <w:t>Emendamento</w:t>
            </w:r>
          </w:p>
        </w:tc>
      </w:tr>
      <w:tr w:rsidR="00085FDC" w:rsidRPr="006A55BB" w14:paraId="3D89AE6E" w14:textId="77777777">
        <w:trPr>
          <w:jc w:val="center"/>
        </w:trPr>
        <w:tc>
          <w:tcPr>
            <w:tcW w:w="4876" w:type="dxa"/>
            <w:tcBorders>
              <w:top w:val="nil"/>
              <w:left w:val="nil"/>
              <w:bottom w:val="nil"/>
              <w:right w:val="nil"/>
            </w:tcBorders>
          </w:tcPr>
          <w:p w14:paraId="3FAFF06D" w14:textId="77777777" w:rsidR="00085FDC" w:rsidRPr="006A55BB" w:rsidRDefault="0071326C">
            <w:pPr>
              <w:pStyle w:val="Normal6a"/>
            </w:pPr>
            <w:r w:rsidRPr="006A55BB">
              <w:t>14.</w:t>
            </w:r>
            <w:r w:rsidRPr="006A55BB">
              <w:tab/>
              <w:t xml:space="preserve">accoglie con favore, dalla relazione di follow-up, l'impegno del Comitato a formulare pareri sui </w:t>
            </w:r>
            <w:r w:rsidRPr="006A55BB">
              <w:t>diritti del lavoro, sull'inclusione sociale e sulle violazioni dei diritti umani e ad ampliare la portata delle sue valutazioni per quanto riguarda la legislazione e i programmi dell'Unione, a condizione che siano disponibili risorse adeguate;</w:t>
            </w:r>
          </w:p>
        </w:tc>
        <w:tc>
          <w:tcPr>
            <w:tcW w:w="4876" w:type="dxa"/>
            <w:tcBorders>
              <w:top w:val="nil"/>
              <w:left w:val="nil"/>
              <w:bottom w:val="nil"/>
              <w:right w:val="nil"/>
            </w:tcBorders>
          </w:tcPr>
          <w:p w14:paraId="5BA7558B" w14:textId="77777777" w:rsidR="00085FDC" w:rsidRPr="006A55BB" w:rsidRDefault="0071326C">
            <w:pPr>
              <w:pStyle w:val="Normal6a"/>
            </w:pPr>
            <w:r w:rsidRPr="006A55BB">
              <w:t>14.</w:t>
            </w:r>
            <w:r w:rsidRPr="006A55BB">
              <w:tab/>
            </w:r>
            <w:r w:rsidRPr="006A55BB">
              <w:t>accoglie con favore, dalla relazione di follow-up, l'impegno del Comitato a formulare pareri sui diritti del lavoro, sull'inclusione sociale e sulle violazioni dei diritti umani e ad ampliare la portata delle sue valutazioni per quanto riguarda la legislazione e i programmi dell'Unione, a condizione che siano disponibili risorse adeguate</w:t>
            </w:r>
            <w:r w:rsidRPr="006A55BB">
              <w:rPr>
                <w:b/>
                <w:i/>
              </w:rPr>
              <w:t>, in rappresentanza della vasta società civile</w:t>
            </w:r>
            <w:r w:rsidRPr="006A55BB">
              <w:t xml:space="preserve">; </w:t>
            </w:r>
            <w:r w:rsidRPr="006A55BB">
              <w:rPr>
                <w:b/>
                <w:i/>
              </w:rPr>
              <w:t>incoraggia il Comitato ad ampliare l'ambito di applicazione dei pareri per includere ulteriori normative dell'Unione relative</w:t>
            </w:r>
            <w:r w:rsidRPr="006A55BB">
              <w:rPr>
                <w:b/>
                <w:i/>
              </w:rPr>
              <w:t xml:space="preserve"> ai beni pubblici;</w:t>
            </w:r>
          </w:p>
        </w:tc>
      </w:tr>
    </w:tbl>
    <w:p w14:paraId="65F5923E" w14:textId="77777777" w:rsidR="00085FDC" w:rsidRPr="006A55BB" w:rsidRDefault="0071326C">
      <w:pPr>
        <w:pStyle w:val="AmOrLang"/>
      </w:pPr>
      <w:r w:rsidRPr="006A55BB">
        <w:t xml:space="preserve">Or. </w:t>
      </w:r>
      <w:r w:rsidRPr="0071326C">
        <w:rPr>
          <w:rStyle w:val="HideTWBExt"/>
        </w:rPr>
        <w:t>&lt;Original&gt;</w:t>
      </w:r>
      <w:r w:rsidRPr="0071326C">
        <w:rPr>
          <w:rStyle w:val="HideTWBInt"/>
        </w:rPr>
        <w:t>{EN}</w:t>
      </w:r>
      <w:r w:rsidRPr="006A55BB">
        <w:t>en</w:t>
      </w:r>
      <w:r w:rsidRPr="0071326C">
        <w:rPr>
          <w:rStyle w:val="HideTWBExt"/>
        </w:rPr>
        <w:t>&lt;/Original&gt;</w:t>
      </w:r>
    </w:p>
    <w:p w14:paraId="18F83E06" w14:textId="77777777" w:rsidR="00085FDC" w:rsidRPr="006A55BB" w:rsidRDefault="0071326C">
      <w:r w:rsidRPr="0071326C">
        <w:rPr>
          <w:rStyle w:val="HideTWBExt"/>
        </w:rPr>
        <w:t>&lt;/Amend&gt;</w:t>
      </w:r>
    </w:p>
    <w:p w14:paraId="06703C6F" w14:textId="77777777" w:rsidR="00085FDC" w:rsidRPr="006A55BB" w:rsidRDefault="0071326C">
      <w:pPr>
        <w:pStyle w:val="AmNumberTabs"/>
      </w:pPr>
      <w:r w:rsidRPr="0071326C">
        <w:rPr>
          <w:rStyle w:val="HideTWBExt"/>
          <w:b w:val="0"/>
        </w:rPr>
        <w:t>&lt;Amend&gt;</w:t>
      </w:r>
      <w:r w:rsidRPr="006A55BB">
        <w:t>Emendamento</w:t>
      </w:r>
      <w:r w:rsidRPr="006A55BB">
        <w:tab/>
      </w:r>
      <w:r w:rsidRPr="006A55BB">
        <w:tab/>
      </w:r>
      <w:r w:rsidRPr="0071326C">
        <w:rPr>
          <w:rStyle w:val="HideTWBExt"/>
          <w:b w:val="0"/>
        </w:rPr>
        <w:t>&lt;NumAm&gt;</w:t>
      </w:r>
      <w:r w:rsidRPr="006A55BB">
        <w:t>14</w:t>
      </w:r>
      <w:r w:rsidRPr="0071326C">
        <w:rPr>
          <w:rStyle w:val="HideTWBExt"/>
          <w:b w:val="0"/>
        </w:rPr>
        <w:t>&lt;/NumAm&gt;</w:t>
      </w:r>
    </w:p>
    <w:p w14:paraId="1ACB100B" w14:textId="77777777" w:rsidR="00085FDC" w:rsidRPr="006A55BB" w:rsidRDefault="0071326C">
      <w:pPr>
        <w:pStyle w:val="NormalBold"/>
      </w:pPr>
      <w:r w:rsidRPr="0071326C">
        <w:rPr>
          <w:rStyle w:val="HideTWBExt"/>
          <w:b w:val="0"/>
        </w:rPr>
        <w:t>&lt;RepeatBlock-By&gt;&lt;Members&gt;</w:t>
      </w:r>
      <w:r w:rsidRPr="006A55BB">
        <w:t>Michal Wiezik, Olivier Chastel, Vlad Vasile-Voiculescu, Gilles Boyer</w:t>
      </w:r>
      <w:r w:rsidRPr="0071326C">
        <w:rPr>
          <w:rStyle w:val="HideTWBExt"/>
          <w:b w:val="0"/>
        </w:rPr>
        <w:t>&lt;/Members&gt;</w:t>
      </w:r>
    </w:p>
    <w:p w14:paraId="7B3345CB" w14:textId="77777777" w:rsidR="00085FDC" w:rsidRPr="006A55BB" w:rsidRDefault="0071326C">
      <w:pPr>
        <w:pStyle w:val="NormalBold"/>
      </w:pPr>
      <w:r w:rsidRPr="0071326C">
        <w:rPr>
          <w:rStyle w:val="HideTWBExt"/>
          <w:b w:val="0"/>
        </w:rPr>
        <w:t>&lt;/RepeatBlock-By&gt;</w:t>
      </w:r>
    </w:p>
    <w:p w14:paraId="790967BE" w14:textId="77777777" w:rsidR="00085FDC" w:rsidRPr="006A55BB" w:rsidRDefault="0071326C">
      <w:pPr>
        <w:pStyle w:val="NormalBold"/>
      </w:pPr>
      <w:r w:rsidRPr="0071326C">
        <w:rPr>
          <w:rStyle w:val="HideTWBExt"/>
          <w:b w:val="0"/>
        </w:rPr>
        <w:t>&lt;DocAmend&gt;</w:t>
      </w:r>
      <w:r w:rsidRPr="006A55BB">
        <w:t>Proposta di risoluzione</w:t>
      </w:r>
      <w:r w:rsidRPr="0071326C">
        <w:rPr>
          <w:rStyle w:val="HideTWBExt"/>
          <w:b w:val="0"/>
        </w:rPr>
        <w:t>&lt;/DocAmend&gt;</w:t>
      </w:r>
    </w:p>
    <w:p w14:paraId="78DDCC8C" w14:textId="77777777" w:rsidR="00085FDC" w:rsidRPr="006A55BB" w:rsidRDefault="0071326C">
      <w:pPr>
        <w:pStyle w:val="NormalBold"/>
      </w:pPr>
      <w:r w:rsidRPr="0071326C">
        <w:rPr>
          <w:rStyle w:val="HideTWBExt"/>
          <w:b w:val="0"/>
        </w:rPr>
        <w:t>&lt;Article&gt;</w:t>
      </w:r>
      <w:r w:rsidRPr="006A55BB">
        <w:t>Paragrafo 15</w:t>
      </w:r>
      <w:r w:rsidRPr="007132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FDC" w:rsidRPr="006A55BB" w14:paraId="57E9BAE8" w14:textId="77777777">
        <w:trPr>
          <w:trHeight w:hRule="exact" w:val="240"/>
          <w:jc w:val="center"/>
        </w:trPr>
        <w:tc>
          <w:tcPr>
            <w:tcW w:w="9752" w:type="dxa"/>
            <w:gridSpan w:val="2"/>
            <w:tcBorders>
              <w:top w:val="nil"/>
              <w:left w:val="nil"/>
              <w:bottom w:val="nil"/>
              <w:right w:val="nil"/>
            </w:tcBorders>
          </w:tcPr>
          <w:p w14:paraId="6FFCFFAE" w14:textId="77777777" w:rsidR="00085FDC" w:rsidRPr="006A55BB" w:rsidRDefault="00085FDC"/>
        </w:tc>
      </w:tr>
      <w:tr w:rsidR="00085FDC" w:rsidRPr="006A55BB" w14:paraId="29C7D1BB" w14:textId="77777777">
        <w:trPr>
          <w:trHeight w:val="240"/>
          <w:jc w:val="center"/>
        </w:trPr>
        <w:tc>
          <w:tcPr>
            <w:tcW w:w="4876" w:type="dxa"/>
            <w:tcBorders>
              <w:top w:val="nil"/>
              <w:left w:val="nil"/>
              <w:bottom w:val="nil"/>
              <w:right w:val="nil"/>
            </w:tcBorders>
          </w:tcPr>
          <w:p w14:paraId="3CB44A7F" w14:textId="77777777" w:rsidR="00085FDC" w:rsidRPr="006A55BB" w:rsidRDefault="0071326C">
            <w:pPr>
              <w:pStyle w:val="AmColumnHeading"/>
            </w:pPr>
            <w:r w:rsidRPr="006A55BB">
              <w:lastRenderedPageBreak/>
              <w:t>Proposta di risoluzione</w:t>
            </w:r>
          </w:p>
        </w:tc>
        <w:tc>
          <w:tcPr>
            <w:tcW w:w="4876" w:type="dxa"/>
            <w:tcBorders>
              <w:top w:val="nil"/>
              <w:left w:val="nil"/>
              <w:bottom w:val="nil"/>
              <w:right w:val="nil"/>
            </w:tcBorders>
          </w:tcPr>
          <w:p w14:paraId="6B9AB969" w14:textId="77777777" w:rsidR="00085FDC" w:rsidRPr="006A55BB" w:rsidRDefault="0071326C">
            <w:pPr>
              <w:pStyle w:val="AmColumnHeading"/>
            </w:pPr>
            <w:r w:rsidRPr="006A55BB">
              <w:t>Emendamento</w:t>
            </w:r>
          </w:p>
        </w:tc>
      </w:tr>
      <w:tr w:rsidR="00085FDC" w:rsidRPr="006A55BB" w14:paraId="7277AEA9" w14:textId="77777777">
        <w:trPr>
          <w:jc w:val="center"/>
        </w:trPr>
        <w:tc>
          <w:tcPr>
            <w:tcW w:w="4876" w:type="dxa"/>
            <w:tcBorders>
              <w:top w:val="nil"/>
              <w:left w:val="nil"/>
              <w:bottom w:val="nil"/>
              <w:right w:val="nil"/>
            </w:tcBorders>
          </w:tcPr>
          <w:p w14:paraId="71C5ABA7" w14:textId="77777777" w:rsidR="00085FDC" w:rsidRPr="006A55BB" w:rsidRDefault="0071326C">
            <w:pPr>
              <w:pStyle w:val="Normal6a"/>
            </w:pPr>
            <w:r w:rsidRPr="006A55BB">
              <w:t>15.</w:t>
            </w:r>
            <w:r w:rsidRPr="006A55BB">
              <w:tab/>
              <w:t xml:space="preserve">apprezza le azioni intraprese dal Comitato nel 2024 per migliorare la visibilità e l'impatto del suo lavoro nel ciclo politico e legislativo; </w:t>
            </w:r>
            <w:r w:rsidRPr="006A55BB">
              <w:t xml:space="preserve">accoglie con favore l'avvio ufficiale, a seguito di un progetto pilota, di un nuovo formato di pareri formulati in risposta alle consultazioni obbligatorie da parte del Parlamento, del Consiglio o </w:t>
            </w:r>
            <w:r w:rsidRPr="006A55BB">
              <w:rPr>
                <w:b/>
                <w:i/>
              </w:rPr>
              <w:t>del Parlamento</w:t>
            </w:r>
            <w:r w:rsidRPr="006A55BB">
              <w:t xml:space="preserve"> della Commissione; osserva che il nuovo formato migliora la facilità d'uso e l'usabilità da parte del legislatore, perfezionando nel contempo la definizione delle priorità dei lavori del Comitato; osserva inoltre che, grazie al seguito rafforzato su determinati pareri mediante una lista di controllo</w:t>
            </w:r>
            <w:r w:rsidRPr="006A55BB">
              <w:t xml:space="preserve"> e orientamenti, il Comitato si attende che essi rimangano pertinenti al di là della loro adozione e contribuiscano ai processi legislativi su più livelli; accoglie con favore l'ulteriore integrazione dei pareri del Comitato nel sistema di tracciamento del diritto dell'Unione (EU Law Tracker, EULT) a partire dall'aprile 2024, in base al quale ora appaiono come riferimenti nei fascicoli legislativi; osserva con soddisfazione che il Comitato ha anche adottato un piano interno per anticipare meglio le priorità</w:t>
            </w:r>
            <w:r w:rsidRPr="006A55BB">
              <w:t xml:space="preserve"> dell'Unione, migliorare il coordinamento interistituzionale, rafforzare la diffusione e il follow-up e misurare l'impatto in modo più sistematico;</w:t>
            </w:r>
          </w:p>
        </w:tc>
        <w:tc>
          <w:tcPr>
            <w:tcW w:w="4876" w:type="dxa"/>
            <w:tcBorders>
              <w:top w:val="nil"/>
              <w:left w:val="nil"/>
              <w:bottom w:val="nil"/>
              <w:right w:val="nil"/>
            </w:tcBorders>
          </w:tcPr>
          <w:p w14:paraId="475712C3" w14:textId="77777777" w:rsidR="00085FDC" w:rsidRPr="006A55BB" w:rsidRDefault="0071326C">
            <w:pPr>
              <w:pStyle w:val="Normal6a"/>
            </w:pPr>
            <w:r w:rsidRPr="006A55BB">
              <w:t>15.</w:t>
            </w:r>
            <w:r w:rsidRPr="006A55BB">
              <w:tab/>
              <w:t xml:space="preserve">apprezza le azioni intraprese dal Comitato nel 2024 per migliorare la visibilità e l'impatto del suo lavoro nel ciclo politico e legislativo; accoglie con favore l'avvio ufficiale, a seguito di un progetto pilota, di un nuovo formato di pareri formulati in risposta alle consultazioni obbligatorie da parte del Parlamento, del Consiglio o della Commissione; osserva che il nuovo formato migliora la facilità d'uso e l'usabilità da parte del legislatore, perfezionando nel contempo la definizione delle priorità </w:t>
            </w:r>
            <w:r w:rsidRPr="006A55BB">
              <w:t>dei lavori del Comitato; osserva inoltre che, grazie al seguito rafforzato su determinati pareri mediante una lista di controllo e orientamenti, il Comitato si attende che essi rimangano pertinenti al di là della loro adozione e contribuiscano ai processi legislativi su più livelli; accoglie con favore l'ulteriore integrazione dei pareri del Comitato nel sistema di tracciamento del diritto dell'Unione (EU Law Tracker, EULT) a partire dall'aprile 2024, in base al quale ora appaiono come riferimenti nei fasci</w:t>
            </w:r>
            <w:r w:rsidRPr="006A55BB">
              <w:t>coli legislativi; osserva con soddisfazione che il Comitato ha anche adottato un piano interno per anticipare meglio le priorità dell'Unione, migliorare il coordinamento interistituzionale, rafforzare la diffusione e il follow-up e misurare l'impatto in modo più sistematico;</w:t>
            </w:r>
          </w:p>
        </w:tc>
      </w:tr>
    </w:tbl>
    <w:p w14:paraId="747471D7" w14:textId="77777777" w:rsidR="00085FDC" w:rsidRPr="006A55BB" w:rsidRDefault="0071326C">
      <w:pPr>
        <w:pStyle w:val="AmOrLang"/>
      </w:pPr>
      <w:r w:rsidRPr="006A55BB">
        <w:t xml:space="preserve">Or. </w:t>
      </w:r>
      <w:r w:rsidRPr="0071326C">
        <w:rPr>
          <w:rStyle w:val="HideTWBExt"/>
        </w:rPr>
        <w:t>&lt;Original&gt;</w:t>
      </w:r>
      <w:r w:rsidRPr="0071326C">
        <w:rPr>
          <w:rStyle w:val="HideTWBInt"/>
        </w:rPr>
        <w:t>{EN}</w:t>
      </w:r>
      <w:r w:rsidRPr="006A55BB">
        <w:t>en</w:t>
      </w:r>
      <w:r w:rsidRPr="0071326C">
        <w:rPr>
          <w:rStyle w:val="HideTWBExt"/>
        </w:rPr>
        <w:t>&lt;/Original&gt;</w:t>
      </w:r>
    </w:p>
    <w:p w14:paraId="32404D67" w14:textId="77777777" w:rsidR="00085FDC" w:rsidRPr="006A55BB" w:rsidRDefault="0071326C">
      <w:r w:rsidRPr="0071326C">
        <w:rPr>
          <w:rStyle w:val="HideTWBExt"/>
        </w:rPr>
        <w:t>&lt;/Amend&gt;</w:t>
      </w:r>
    </w:p>
    <w:p w14:paraId="67E62B7A" w14:textId="77777777" w:rsidR="00085FDC" w:rsidRPr="006A55BB" w:rsidRDefault="0071326C">
      <w:pPr>
        <w:pStyle w:val="AmNumberTabs"/>
      </w:pPr>
      <w:r w:rsidRPr="0071326C">
        <w:rPr>
          <w:rStyle w:val="HideTWBExt"/>
          <w:b w:val="0"/>
        </w:rPr>
        <w:t>&lt;Amend&gt;</w:t>
      </w:r>
      <w:r w:rsidRPr="006A55BB">
        <w:t>Emendamento</w:t>
      </w:r>
      <w:r w:rsidRPr="006A55BB">
        <w:tab/>
      </w:r>
      <w:r w:rsidRPr="006A55BB">
        <w:tab/>
      </w:r>
      <w:r w:rsidRPr="0071326C">
        <w:rPr>
          <w:rStyle w:val="HideTWBExt"/>
          <w:b w:val="0"/>
        </w:rPr>
        <w:t>&lt;NumAm&gt;</w:t>
      </w:r>
      <w:r w:rsidRPr="006A55BB">
        <w:t>15</w:t>
      </w:r>
      <w:r w:rsidRPr="0071326C">
        <w:rPr>
          <w:rStyle w:val="HideTWBExt"/>
          <w:b w:val="0"/>
        </w:rPr>
        <w:t>&lt;/NumAm&gt;</w:t>
      </w:r>
    </w:p>
    <w:p w14:paraId="041ED6F8" w14:textId="77777777" w:rsidR="00085FDC" w:rsidRPr="006A55BB" w:rsidRDefault="0071326C">
      <w:pPr>
        <w:pStyle w:val="NormalBold"/>
      </w:pPr>
      <w:r w:rsidRPr="0071326C">
        <w:rPr>
          <w:rStyle w:val="HideTWBExt"/>
          <w:b w:val="0"/>
        </w:rPr>
        <w:t>&lt;RepeatBlock-By&gt;&lt;Members&gt;</w:t>
      </w:r>
      <w:r w:rsidRPr="006A55BB">
        <w:t>Ondřej Knotek, Tamás Deutsch</w:t>
      </w:r>
      <w:r w:rsidRPr="0071326C">
        <w:rPr>
          <w:rStyle w:val="HideTWBExt"/>
          <w:b w:val="0"/>
        </w:rPr>
        <w:t>&lt;/Members&gt;</w:t>
      </w:r>
    </w:p>
    <w:p w14:paraId="2E298DEF" w14:textId="77777777" w:rsidR="00085FDC" w:rsidRPr="006A55BB" w:rsidRDefault="0071326C">
      <w:pPr>
        <w:pStyle w:val="NormalBold"/>
      </w:pPr>
      <w:r w:rsidRPr="0071326C">
        <w:rPr>
          <w:rStyle w:val="HideTWBExt"/>
          <w:b w:val="0"/>
        </w:rPr>
        <w:t>&lt;/RepeatBlock-By&gt;</w:t>
      </w:r>
    </w:p>
    <w:p w14:paraId="0B36D940" w14:textId="77777777" w:rsidR="00085FDC" w:rsidRPr="006A55BB" w:rsidRDefault="0071326C">
      <w:pPr>
        <w:pStyle w:val="NormalBold"/>
      </w:pPr>
      <w:r w:rsidRPr="0071326C">
        <w:rPr>
          <w:rStyle w:val="HideTWBExt"/>
          <w:b w:val="0"/>
        </w:rPr>
        <w:t>&lt;DocAmend&gt;</w:t>
      </w:r>
      <w:r w:rsidRPr="006A55BB">
        <w:t>Proposta di risoluzione</w:t>
      </w:r>
      <w:r w:rsidRPr="0071326C">
        <w:rPr>
          <w:rStyle w:val="HideTWBExt"/>
          <w:b w:val="0"/>
        </w:rPr>
        <w:t>&lt;/DocAmend&gt;</w:t>
      </w:r>
    </w:p>
    <w:p w14:paraId="52393468" w14:textId="77777777" w:rsidR="00085FDC" w:rsidRPr="006A55BB" w:rsidRDefault="0071326C">
      <w:pPr>
        <w:pStyle w:val="NormalBold"/>
      </w:pPr>
      <w:r w:rsidRPr="0071326C">
        <w:rPr>
          <w:rStyle w:val="HideTWBExt"/>
          <w:b w:val="0"/>
        </w:rPr>
        <w:t>&lt;Article&gt;</w:t>
      </w:r>
      <w:r w:rsidRPr="006A55BB">
        <w:t>Paragrafo 15 bis (nuovo)</w:t>
      </w:r>
      <w:r w:rsidRPr="007132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FDC" w:rsidRPr="006A55BB" w14:paraId="42CAF1BC" w14:textId="77777777">
        <w:trPr>
          <w:trHeight w:hRule="exact" w:val="240"/>
          <w:jc w:val="center"/>
        </w:trPr>
        <w:tc>
          <w:tcPr>
            <w:tcW w:w="9752" w:type="dxa"/>
            <w:gridSpan w:val="2"/>
            <w:tcBorders>
              <w:top w:val="nil"/>
              <w:left w:val="nil"/>
              <w:bottom w:val="nil"/>
              <w:right w:val="nil"/>
            </w:tcBorders>
          </w:tcPr>
          <w:p w14:paraId="779C508C" w14:textId="77777777" w:rsidR="00085FDC" w:rsidRPr="006A55BB" w:rsidRDefault="00085FDC"/>
        </w:tc>
      </w:tr>
      <w:tr w:rsidR="00085FDC" w:rsidRPr="006A55BB" w14:paraId="367D7845" w14:textId="77777777">
        <w:trPr>
          <w:trHeight w:val="240"/>
          <w:jc w:val="center"/>
        </w:trPr>
        <w:tc>
          <w:tcPr>
            <w:tcW w:w="4876" w:type="dxa"/>
            <w:tcBorders>
              <w:top w:val="nil"/>
              <w:left w:val="nil"/>
              <w:bottom w:val="nil"/>
              <w:right w:val="nil"/>
            </w:tcBorders>
          </w:tcPr>
          <w:p w14:paraId="7EA8A245" w14:textId="77777777" w:rsidR="00085FDC" w:rsidRPr="006A55BB" w:rsidRDefault="0071326C">
            <w:pPr>
              <w:pStyle w:val="AmColumnHeading"/>
            </w:pPr>
            <w:r w:rsidRPr="006A55BB">
              <w:t>Proposta di risoluzione</w:t>
            </w:r>
          </w:p>
        </w:tc>
        <w:tc>
          <w:tcPr>
            <w:tcW w:w="4876" w:type="dxa"/>
            <w:tcBorders>
              <w:top w:val="nil"/>
              <w:left w:val="nil"/>
              <w:bottom w:val="nil"/>
              <w:right w:val="nil"/>
            </w:tcBorders>
          </w:tcPr>
          <w:p w14:paraId="26661D44" w14:textId="77777777" w:rsidR="00085FDC" w:rsidRPr="006A55BB" w:rsidRDefault="0071326C">
            <w:pPr>
              <w:pStyle w:val="AmColumnHeading"/>
            </w:pPr>
            <w:r w:rsidRPr="006A55BB">
              <w:t>Emendamento</w:t>
            </w:r>
          </w:p>
        </w:tc>
      </w:tr>
      <w:tr w:rsidR="00085FDC" w:rsidRPr="006A55BB" w14:paraId="70F4AB81" w14:textId="77777777">
        <w:trPr>
          <w:jc w:val="center"/>
        </w:trPr>
        <w:tc>
          <w:tcPr>
            <w:tcW w:w="4876" w:type="dxa"/>
            <w:tcBorders>
              <w:top w:val="nil"/>
              <w:left w:val="nil"/>
              <w:bottom w:val="nil"/>
              <w:right w:val="nil"/>
            </w:tcBorders>
          </w:tcPr>
          <w:p w14:paraId="067BBC3F" w14:textId="77777777" w:rsidR="00085FDC" w:rsidRPr="006A55BB" w:rsidRDefault="00085FDC">
            <w:pPr>
              <w:pStyle w:val="Normal6a"/>
            </w:pPr>
          </w:p>
        </w:tc>
        <w:tc>
          <w:tcPr>
            <w:tcW w:w="4876" w:type="dxa"/>
            <w:tcBorders>
              <w:top w:val="nil"/>
              <w:left w:val="nil"/>
              <w:bottom w:val="nil"/>
              <w:right w:val="nil"/>
            </w:tcBorders>
          </w:tcPr>
          <w:p w14:paraId="53F173CF" w14:textId="77777777" w:rsidR="00085FDC" w:rsidRPr="006A55BB" w:rsidRDefault="0071326C">
            <w:pPr>
              <w:pStyle w:val="Normal6a"/>
            </w:pPr>
            <w:r w:rsidRPr="006A55BB">
              <w:rPr>
                <w:b/>
                <w:i/>
              </w:rPr>
              <w:t>15 bis.</w:t>
            </w:r>
            <w:r w:rsidRPr="006A55BB">
              <w:tab/>
            </w:r>
            <w:r w:rsidRPr="006A55BB">
              <w:rPr>
                <w:b/>
                <w:i/>
              </w:rPr>
              <w:t xml:space="preserve">apprezza le azioni </w:t>
            </w:r>
            <w:r w:rsidRPr="006A55BB">
              <w:rPr>
                <w:b/>
                <w:i/>
              </w:rPr>
              <w:t>intraprese dal Comitato nel 2024 per migliorare l'accessibilità, la chiarezza e la fruibilità dei suoi pareri per le istituzioni dell'UE; sottolinea che tali azioni sono intese a rafforzare la capacità dei legislatori di assumere decisioni informate;</w:t>
            </w:r>
          </w:p>
        </w:tc>
      </w:tr>
    </w:tbl>
    <w:p w14:paraId="756475DC" w14:textId="77777777" w:rsidR="00085FDC" w:rsidRPr="006A55BB" w:rsidRDefault="0071326C">
      <w:pPr>
        <w:pStyle w:val="AmOrLang"/>
      </w:pPr>
      <w:r w:rsidRPr="006A55BB">
        <w:t xml:space="preserve">Or. </w:t>
      </w:r>
      <w:r w:rsidRPr="0071326C">
        <w:rPr>
          <w:rStyle w:val="HideTWBExt"/>
        </w:rPr>
        <w:t>&lt;Original&gt;</w:t>
      </w:r>
      <w:r w:rsidRPr="0071326C">
        <w:rPr>
          <w:rStyle w:val="HideTWBInt"/>
        </w:rPr>
        <w:t>{EN}</w:t>
      </w:r>
      <w:r w:rsidRPr="006A55BB">
        <w:t>en</w:t>
      </w:r>
      <w:r w:rsidRPr="0071326C">
        <w:rPr>
          <w:rStyle w:val="HideTWBExt"/>
        </w:rPr>
        <w:t>&lt;/Original&gt;</w:t>
      </w:r>
    </w:p>
    <w:p w14:paraId="2A0A7ED2" w14:textId="77777777" w:rsidR="00085FDC" w:rsidRPr="006A55BB" w:rsidRDefault="0071326C">
      <w:r w:rsidRPr="0071326C">
        <w:rPr>
          <w:rStyle w:val="HideTWBExt"/>
        </w:rPr>
        <w:t>&lt;/Amend&gt;</w:t>
      </w:r>
    </w:p>
    <w:p w14:paraId="6FB0088A" w14:textId="77777777" w:rsidR="00085FDC" w:rsidRPr="006A55BB" w:rsidRDefault="0071326C">
      <w:pPr>
        <w:pStyle w:val="AmNumberTabs"/>
      </w:pPr>
      <w:r w:rsidRPr="0071326C">
        <w:rPr>
          <w:rStyle w:val="HideTWBExt"/>
          <w:b w:val="0"/>
        </w:rPr>
        <w:t>&lt;Amend&gt;</w:t>
      </w:r>
      <w:r w:rsidRPr="006A55BB">
        <w:t>Emendamento</w:t>
      </w:r>
      <w:r w:rsidRPr="006A55BB">
        <w:tab/>
      </w:r>
      <w:r w:rsidRPr="006A55BB">
        <w:tab/>
      </w:r>
      <w:r w:rsidRPr="0071326C">
        <w:rPr>
          <w:rStyle w:val="HideTWBExt"/>
          <w:b w:val="0"/>
        </w:rPr>
        <w:t>&lt;NumAm&gt;</w:t>
      </w:r>
      <w:r w:rsidRPr="006A55BB">
        <w:t>16</w:t>
      </w:r>
      <w:r w:rsidRPr="0071326C">
        <w:rPr>
          <w:rStyle w:val="HideTWBExt"/>
          <w:b w:val="0"/>
        </w:rPr>
        <w:t>&lt;/NumAm&gt;</w:t>
      </w:r>
    </w:p>
    <w:p w14:paraId="4F44968F" w14:textId="77777777" w:rsidR="00085FDC" w:rsidRPr="006A55BB" w:rsidRDefault="0071326C">
      <w:pPr>
        <w:pStyle w:val="NormalBold"/>
      </w:pPr>
      <w:r w:rsidRPr="0071326C">
        <w:rPr>
          <w:rStyle w:val="HideTWBExt"/>
          <w:b w:val="0"/>
        </w:rPr>
        <w:t>&lt;RepeatBlock-By&gt;&lt;Members&gt;</w:t>
      </w:r>
      <w:r w:rsidRPr="006A55BB">
        <w:t>Andrey Kovatchev</w:t>
      </w:r>
      <w:r w:rsidRPr="0071326C">
        <w:rPr>
          <w:rStyle w:val="HideTWBExt"/>
          <w:b w:val="0"/>
        </w:rPr>
        <w:t>&lt;/Members&gt;</w:t>
      </w:r>
    </w:p>
    <w:p w14:paraId="1550D2AE" w14:textId="77777777" w:rsidR="00085FDC" w:rsidRPr="006A55BB" w:rsidRDefault="0071326C">
      <w:pPr>
        <w:pStyle w:val="NormalBold"/>
      </w:pPr>
      <w:r w:rsidRPr="0071326C">
        <w:rPr>
          <w:rStyle w:val="HideTWBExt"/>
          <w:b w:val="0"/>
        </w:rPr>
        <w:t>&lt;/RepeatBlock-By&gt;</w:t>
      </w:r>
    </w:p>
    <w:p w14:paraId="58AF11CF" w14:textId="77777777" w:rsidR="00085FDC" w:rsidRPr="006A55BB" w:rsidRDefault="0071326C">
      <w:pPr>
        <w:pStyle w:val="NormalBold"/>
      </w:pPr>
      <w:r w:rsidRPr="0071326C">
        <w:rPr>
          <w:rStyle w:val="HideTWBExt"/>
          <w:b w:val="0"/>
        </w:rPr>
        <w:t>&lt;DocAmend&gt;</w:t>
      </w:r>
      <w:r w:rsidRPr="006A55BB">
        <w:t>Proposta di risoluzione</w:t>
      </w:r>
      <w:r w:rsidRPr="0071326C">
        <w:rPr>
          <w:rStyle w:val="HideTWBExt"/>
          <w:b w:val="0"/>
        </w:rPr>
        <w:t>&lt;/DocAmend&gt;</w:t>
      </w:r>
    </w:p>
    <w:p w14:paraId="4F4B1FAB" w14:textId="77777777" w:rsidR="00085FDC" w:rsidRPr="006A55BB" w:rsidRDefault="0071326C">
      <w:pPr>
        <w:pStyle w:val="NormalBold"/>
      </w:pPr>
      <w:r w:rsidRPr="0071326C">
        <w:rPr>
          <w:rStyle w:val="HideTWBExt"/>
          <w:b w:val="0"/>
        </w:rPr>
        <w:t>&lt;Article&gt;</w:t>
      </w:r>
      <w:r w:rsidRPr="006A55BB">
        <w:t>Paragrafo 16</w:t>
      </w:r>
      <w:r w:rsidRPr="007132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FDC" w:rsidRPr="006A55BB" w14:paraId="092AC215" w14:textId="77777777">
        <w:trPr>
          <w:trHeight w:hRule="exact" w:val="240"/>
          <w:jc w:val="center"/>
        </w:trPr>
        <w:tc>
          <w:tcPr>
            <w:tcW w:w="9752" w:type="dxa"/>
            <w:gridSpan w:val="2"/>
            <w:tcBorders>
              <w:top w:val="nil"/>
              <w:left w:val="nil"/>
              <w:bottom w:val="nil"/>
              <w:right w:val="nil"/>
            </w:tcBorders>
          </w:tcPr>
          <w:p w14:paraId="100ACB6D" w14:textId="77777777" w:rsidR="00085FDC" w:rsidRPr="006A55BB" w:rsidRDefault="00085FDC"/>
        </w:tc>
      </w:tr>
      <w:tr w:rsidR="00085FDC" w:rsidRPr="006A55BB" w14:paraId="3421EBC0" w14:textId="77777777">
        <w:trPr>
          <w:trHeight w:val="240"/>
          <w:jc w:val="center"/>
        </w:trPr>
        <w:tc>
          <w:tcPr>
            <w:tcW w:w="4876" w:type="dxa"/>
            <w:tcBorders>
              <w:top w:val="nil"/>
              <w:left w:val="nil"/>
              <w:bottom w:val="nil"/>
              <w:right w:val="nil"/>
            </w:tcBorders>
          </w:tcPr>
          <w:p w14:paraId="48645CEC" w14:textId="77777777" w:rsidR="00085FDC" w:rsidRPr="006A55BB" w:rsidRDefault="0071326C">
            <w:pPr>
              <w:pStyle w:val="AmColumnHeading"/>
            </w:pPr>
            <w:r w:rsidRPr="006A55BB">
              <w:t xml:space="preserve">Proposta di </w:t>
            </w:r>
            <w:r w:rsidRPr="006A55BB">
              <w:t>risoluzione</w:t>
            </w:r>
          </w:p>
        </w:tc>
        <w:tc>
          <w:tcPr>
            <w:tcW w:w="4876" w:type="dxa"/>
            <w:tcBorders>
              <w:top w:val="nil"/>
              <w:left w:val="nil"/>
              <w:bottom w:val="nil"/>
              <w:right w:val="nil"/>
            </w:tcBorders>
          </w:tcPr>
          <w:p w14:paraId="4D4D938A" w14:textId="77777777" w:rsidR="00085FDC" w:rsidRPr="006A55BB" w:rsidRDefault="0071326C">
            <w:pPr>
              <w:pStyle w:val="AmColumnHeading"/>
            </w:pPr>
            <w:r w:rsidRPr="006A55BB">
              <w:t>Emendamento</w:t>
            </w:r>
          </w:p>
        </w:tc>
      </w:tr>
      <w:tr w:rsidR="00085FDC" w:rsidRPr="006A55BB" w14:paraId="72F2F5BE" w14:textId="77777777">
        <w:trPr>
          <w:jc w:val="center"/>
        </w:trPr>
        <w:tc>
          <w:tcPr>
            <w:tcW w:w="4876" w:type="dxa"/>
            <w:tcBorders>
              <w:top w:val="nil"/>
              <w:left w:val="nil"/>
              <w:bottom w:val="nil"/>
              <w:right w:val="nil"/>
            </w:tcBorders>
          </w:tcPr>
          <w:p w14:paraId="145DFDB1" w14:textId="77777777" w:rsidR="00085FDC" w:rsidRPr="006A55BB" w:rsidRDefault="0071326C">
            <w:pPr>
              <w:pStyle w:val="Normal6a"/>
            </w:pPr>
            <w:r w:rsidRPr="006A55BB">
              <w:t>16.</w:t>
            </w:r>
            <w:r w:rsidRPr="006A55BB">
              <w:tab/>
              <w:t>nota con soddisfazione che il Comitato ha portato avanti diverse iniziative faro che hanno rafforzato la partecipazione, l'inclusione e l'impatto politico in tutta l'Unione; prende atto che nel settembre 2024 il Comitato ha assunto un ruolo guida nell'applicazione della valutazione d'impatto dell'UE per i giovani nel suo processo di elaborazione dei pareri, coinvolgendo una rete di 73 organizzazioni giovanili e testando circa 40 pareri dal punto di vista dei giovani; osserva inoltre che il Comitato ha ampl</w:t>
            </w:r>
            <w:r w:rsidRPr="006A55BB">
              <w:t>iato il suo impegno con i paesi candidati attraverso l'iniziativa dei membri candidati all'allargamento, consentendo a 146 rappresentanti della società civile di contribuire direttamente ai pareri del Comitato, attraverso la partecipazione a gruppi di studio, riunioni delle sezioni e sessioni plenarie (nell'ottobre 2024); elogia il Comitato per aver portato avanti il suo Blue Deal dell'UE, contribuendo a inserire la resilienza idrica nell'agenda dell'Unione; sottolinea che il Comitato ha continuato a guidar</w:t>
            </w:r>
            <w:r w:rsidRPr="006A55BB">
              <w:t xml:space="preserve">e la piattaforma europea delle parti interessate per l'economia circolare e ha co-organizzato i premi dell'UE per la </w:t>
            </w:r>
            <w:r w:rsidRPr="006A55BB">
              <w:lastRenderedPageBreak/>
              <w:t>produzione biologica nel 2024, rafforzando i legami con gli attori della società civile nell'agricoltura biologica;</w:t>
            </w:r>
          </w:p>
        </w:tc>
        <w:tc>
          <w:tcPr>
            <w:tcW w:w="4876" w:type="dxa"/>
            <w:tcBorders>
              <w:top w:val="nil"/>
              <w:left w:val="nil"/>
              <w:bottom w:val="nil"/>
              <w:right w:val="nil"/>
            </w:tcBorders>
          </w:tcPr>
          <w:p w14:paraId="74DA3A14" w14:textId="77777777" w:rsidR="00085FDC" w:rsidRPr="006A55BB" w:rsidRDefault="0071326C">
            <w:pPr>
              <w:pStyle w:val="Normal6a"/>
            </w:pPr>
            <w:r w:rsidRPr="006A55BB">
              <w:lastRenderedPageBreak/>
              <w:t>16.</w:t>
            </w:r>
            <w:r w:rsidRPr="006A55BB">
              <w:tab/>
              <w:t xml:space="preserve">nota con soddisfazione che il Comitato ha portato avanti diverse iniziative faro che hanno rafforzato la partecipazione, l'inclusione e l'impatto politico in tutta l'Unione; prende atto che nel settembre 2024 il Comitato ha assunto un ruolo </w:t>
            </w:r>
            <w:r w:rsidRPr="006A55BB">
              <w:t xml:space="preserve">guida nell'applicazione della valutazione d'impatto dell'UE per i giovani nel suo processo di elaborazione dei pareri, coinvolgendo una rete di 73 organizzazioni giovanili e testando circa 40 pareri dal punto di vista dei giovani; osserva inoltre che il Comitato ha ampliato il suo impegno con i paesi candidati attraverso l'iniziativa dei membri candidati all'allargamento, consentendo a 146 rappresentanti della società civile di contribuire direttamente ai pareri del Comitato, attraverso la partecipazione a </w:t>
            </w:r>
            <w:r w:rsidRPr="006A55BB">
              <w:t xml:space="preserve">gruppi di studio, riunioni delle sezioni e sessioni plenarie (nell'ottobre 2024); </w:t>
            </w:r>
            <w:r w:rsidRPr="006A55BB">
              <w:rPr>
                <w:b/>
                <w:i/>
              </w:rPr>
              <w:t>accoglie con favore tale iniziativa quale contributo positivo al dialogo inclusivo e alla preparazione al futuro allargamento;</w:t>
            </w:r>
            <w:r w:rsidRPr="006A55BB">
              <w:t xml:space="preserve"> elogia il Comitato per aver portato avanti il suo Blue Deal dell'UE, contribuendo a inserire la resilienza idrica nell'agenda dell'Unione; sottolinea che il Comitato ha continuato a </w:t>
            </w:r>
            <w:r w:rsidRPr="006A55BB">
              <w:lastRenderedPageBreak/>
              <w:t>guidare la piattaforma europea delle parti interessate per l'economia circolare e ha co-organizzato i premi dell'UE per l</w:t>
            </w:r>
            <w:r w:rsidRPr="006A55BB">
              <w:t xml:space="preserve">a produzione biologica nel 2024, rafforzando i legami con gli attori della società civile nell'agricoltura biologica; </w:t>
            </w:r>
            <w:r w:rsidRPr="006A55BB">
              <w:rPr>
                <w:b/>
                <w:i/>
              </w:rPr>
              <w:t>incoraggia un costante allineamento agli obiettivi strategici dell'UE e a risultati misurabili;</w:t>
            </w:r>
          </w:p>
        </w:tc>
      </w:tr>
    </w:tbl>
    <w:p w14:paraId="6DCA6A30" w14:textId="77777777" w:rsidR="00085FDC" w:rsidRPr="006A55BB" w:rsidRDefault="0071326C">
      <w:pPr>
        <w:pStyle w:val="AmOrLang"/>
      </w:pPr>
      <w:r w:rsidRPr="006A55BB">
        <w:lastRenderedPageBreak/>
        <w:t xml:space="preserve">Or. </w:t>
      </w:r>
      <w:r w:rsidRPr="0071326C">
        <w:rPr>
          <w:rStyle w:val="HideTWBExt"/>
        </w:rPr>
        <w:t>&lt;Original&gt;</w:t>
      </w:r>
      <w:r w:rsidRPr="0071326C">
        <w:rPr>
          <w:rStyle w:val="HideTWBInt"/>
        </w:rPr>
        <w:t>{EN}</w:t>
      </w:r>
      <w:r w:rsidRPr="006A55BB">
        <w:t>en</w:t>
      </w:r>
      <w:r w:rsidRPr="0071326C">
        <w:rPr>
          <w:rStyle w:val="HideTWBExt"/>
        </w:rPr>
        <w:t>&lt;/Original&gt;</w:t>
      </w:r>
    </w:p>
    <w:p w14:paraId="0958B07F" w14:textId="77777777" w:rsidR="00085FDC" w:rsidRPr="006A55BB" w:rsidRDefault="0071326C">
      <w:r w:rsidRPr="0071326C">
        <w:rPr>
          <w:rStyle w:val="HideTWBExt"/>
        </w:rPr>
        <w:t>&lt;/Amend&gt;</w:t>
      </w:r>
    </w:p>
    <w:p w14:paraId="2A77B1C2" w14:textId="77777777" w:rsidR="00085FDC" w:rsidRPr="006A55BB" w:rsidRDefault="0071326C">
      <w:pPr>
        <w:pStyle w:val="AmNumberTabs"/>
      </w:pPr>
      <w:r w:rsidRPr="0071326C">
        <w:rPr>
          <w:rStyle w:val="HideTWBExt"/>
          <w:b w:val="0"/>
        </w:rPr>
        <w:t>&lt;Amend&gt;</w:t>
      </w:r>
      <w:r w:rsidRPr="006A55BB">
        <w:t>Emendamento</w:t>
      </w:r>
      <w:r w:rsidRPr="006A55BB">
        <w:tab/>
      </w:r>
      <w:r w:rsidRPr="006A55BB">
        <w:tab/>
      </w:r>
      <w:r w:rsidRPr="0071326C">
        <w:rPr>
          <w:rStyle w:val="HideTWBExt"/>
          <w:b w:val="0"/>
        </w:rPr>
        <w:t>&lt;NumAm&gt;</w:t>
      </w:r>
      <w:r w:rsidRPr="006A55BB">
        <w:t>17</w:t>
      </w:r>
      <w:r w:rsidRPr="0071326C">
        <w:rPr>
          <w:rStyle w:val="HideTWBExt"/>
          <w:b w:val="0"/>
        </w:rPr>
        <w:t>&lt;/NumAm&gt;</w:t>
      </w:r>
    </w:p>
    <w:p w14:paraId="4CEB2D1A" w14:textId="77777777" w:rsidR="00085FDC" w:rsidRPr="006A55BB" w:rsidRDefault="0071326C">
      <w:pPr>
        <w:pStyle w:val="NormalBold"/>
      </w:pPr>
      <w:r w:rsidRPr="0071326C">
        <w:rPr>
          <w:rStyle w:val="HideTWBExt"/>
          <w:b w:val="0"/>
        </w:rPr>
        <w:t>&lt;RepeatBlock-By&gt;&lt;Members&gt;</w:t>
      </w:r>
      <w:r w:rsidRPr="006A55BB">
        <w:t>Csaba Molnár</w:t>
      </w:r>
      <w:r w:rsidRPr="0071326C">
        <w:rPr>
          <w:rStyle w:val="HideTWBExt"/>
          <w:b w:val="0"/>
        </w:rPr>
        <w:t>&lt;/Members&gt;</w:t>
      </w:r>
    </w:p>
    <w:p w14:paraId="752E1F2D" w14:textId="77777777" w:rsidR="00085FDC" w:rsidRPr="006A55BB" w:rsidRDefault="0071326C">
      <w:pPr>
        <w:pStyle w:val="NormalBold"/>
      </w:pPr>
      <w:r w:rsidRPr="0071326C">
        <w:rPr>
          <w:rStyle w:val="HideTWBExt"/>
          <w:b w:val="0"/>
        </w:rPr>
        <w:t>&lt;/RepeatBlock-By&gt;</w:t>
      </w:r>
    </w:p>
    <w:p w14:paraId="056EEE4C" w14:textId="77777777" w:rsidR="00085FDC" w:rsidRPr="006A55BB" w:rsidRDefault="0071326C">
      <w:pPr>
        <w:pStyle w:val="NormalBold"/>
      </w:pPr>
      <w:r w:rsidRPr="0071326C">
        <w:rPr>
          <w:rStyle w:val="HideTWBExt"/>
          <w:b w:val="0"/>
        </w:rPr>
        <w:t>&lt;DocAmend&gt;</w:t>
      </w:r>
      <w:r w:rsidRPr="006A55BB">
        <w:t>Proposta di risoluzione</w:t>
      </w:r>
      <w:r w:rsidRPr="0071326C">
        <w:rPr>
          <w:rStyle w:val="HideTWBExt"/>
          <w:b w:val="0"/>
        </w:rPr>
        <w:t>&lt;/DocAmend&gt;</w:t>
      </w:r>
    </w:p>
    <w:p w14:paraId="0BB89149" w14:textId="77777777" w:rsidR="00085FDC" w:rsidRPr="006A55BB" w:rsidRDefault="0071326C">
      <w:pPr>
        <w:pStyle w:val="NormalBold"/>
      </w:pPr>
      <w:r w:rsidRPr="0071326C">
        <w:rPr>
          <w:rStyle w:val="HideTWBExt"/>
          <w:b w:val="0"/>
        </w:rPr>
        <w:t>&lt;Article&gt;</w:t>
      </w:r>
      <w:r w:rsidRPr="006A55BB">
        <w:t>Paragrafo 16</w:t>
      </w:r>
      <w:r w:rsidRPr="007132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FDC" w:rsidRPr="006A55BB" w14:paraId="1AB5BB07" w14:textId="77777777">
        <w:trPr>
          <w:trHeight w:hRule="exact" w:val="240"/>
          <w:jc w:val="center"/>
        </w:trPr>
        <w:tc>
          <w:tcPr>
            <w:tcW w:w="9752" w:type="dxa"/>
            <w:gridSpan w:val="2"/>
            <w:tcBorders>
              <w:top w:val="nil"/>
              <w:left w:val="nil"/>
              <w:bottom w:val="nil"/>
              <w:right w:val="nil"/>
            </w:tcBorders>
          </w:tcPr>
          <w:p w14:paraId="42AA4F6C" w14:textId="77777777" w:rsidR="00085FDC" w:rsidRPr="006A55BB" w:rsidRDefault="00085FDC"/>
        </w:tc>
      </w:tr>
      <w:tr w:rsidR="00085FDC" w:rsidRPr="006A55BB" w14:paraId="10255D23" w14:textId="77777777">
        <w:trPr>
          <w:trHeight w:val="240"/>
          <w:jc w:val="center"/>
        </w:trPr>
        <w:tc>
          <w:tcPr>
            <w:tcW w:w="4876" w:type="dxa"/>
            <w:tcBorders>
              <w:top w:val="nil"/>
              <w:left w:val="nil"/>
              <w:bottom w:val="nil"/>
              <w:right w:val="nil"/>
            </w:tcBorders>
          </w:tcPr>
          <w:p w14:paraId="48D4B862" w14:textId="77777777" w:rsidR="00085FDC" w:rsidRPr="006A55BB" w:rsidRDefault="0071326C">
            <w:pPr>
              <w:pStyle w:val="AmColumnHeading"/>
            </w:pPr>
            <w:r w:rsidRPr="006A55BB">
              <w:t>Proposta di risoluzione</w:t>
            </w:r>
          </w:p>
        </w:tc>
        <w:tc>
          <w:tcPr>
            <w:tcW w:w="4876" w:type="dxa"/>
            <w:tcBorders>
              <w:top w:val="nil"/>
              <w:left w:val="nil"/>
              <w:bottom w:val="nil"/>
              <w:right w:val="nil"/>
            </w:tcBorders>
          </w:tcPr>
          <w:p w14:paraId="23B27453" w14:textId="77777777" w:rsidR="00085FDC" w:rsidRPr="006A55BB" w:rsidRDefault="0071326C">
            <w:pPr>
              <w:pStyle w:val="AmColumnHeading"/>
            </w:pPr>
            <w:r w:rsidRPr="006A55BB">
              <w:t>Emendamento</w:t>
            </w:r>
          </w:p>
        </w:tc>
      </w:tr>
      <w:tr w:rsidR="00085FDC" w:rsidRPr="006A55BB" w14:paraId="0F1E53F1" w14:textId="77777777">
        <w:trPr>
          <w:jc w:val="center"/>
        </w:trPr>
        <w:tc>
          <w:tcPr>
            <w:tcW w:w="4876" w:type="dxa"/>
            <w:tcBorders>
              <w:top w:val="nil"/>
              <w:left w:val="nil"/>
              <w:bottom w:val="nil"/>
              <w:right w:val="nil"/>
            </w:tcBorders>
          </w:tcPr>
          <w:p w14:paraId="0472B80C" w14:textId="77777777" w:rsidR="00085FDC" w:rsidRPr="006A55BB" w:rsidRDefault="0071326C">
            <w:pPr>
              <w:pStyle w:val="Normal6a"/>
            </w:pPr>
            <w:r w:rsidRPr="006A55BB">
              <w:t>16.</w:t>
            </w:r>
            <w:r w:rsidRPr="006A55BB">
              <w:tab/>
              <w:t xml:space="preserve">nota con </w:t>
            </w:r>
            <w:r w:rsidRPr="006A55BB">
              <w:t>soddisfazione che il Comitato ha portato avanti diverse iniziative faro che hanno rafforzato la partecipazione, l'inclusione e l'impatto politico in tutta l'Unione; prende atto che nel settembre 2024 il Comitato ha assunto un ruolo guida nell'applicazione della valutazione d'impatto dell'UE per i giovani nel suo processo di elaborazione dei pareri, coinvolgendo una rete di 73 organizzazioni giovanili e testando circa 40 pareri dal punto di vista dei giovani; osserva inoltre che il Comitato ha ampliato il su</w:t>
            </w:r>
            <w:r w:rsidRPr="006A55BB">
              <w:t>o impegno con i paesi candidati attraverso l'iniziativa dei membri candidati all'allargamento, consentendo a 146 rappresentanti della società civile di contribuire direttamente ai pareri del Comitato, attraverso la partecipazione a gruppi di studio, riunioni delle sezioni e sessioni plenarie (nell'ottobre 2024); elogia il Comitato per aver portato avanti il suo Blue Deal dell'UE, contribuendo a inserire la resilienza idrica nell'agenda dell'Unione; sottolinea che il Comitato ha continuato a guidare la piatt</w:t>
            </w:r>
            <w:r w:rsidRPr="006A55BB">
              <w:t xml:space="preserve">aforma europea delle parti interessate per l'economia circolare e ha </w:t>
            </w:r>
            <w:r w:rsidRPr="006A55BB">
              <w:lastRenderedPageBreak/>
              <w:t>co-organizzato i premi dell'UE per la produzione biologica nel 2024, rafforzando i legami con gli attori della società civile nell'agricoltura biologica;</w:t>
            </w:r>
          </w:p>
        </w:tc>
        <w:tc>
          <w:tcPr>
            <w:tcW w:w="4876" w:type="dxa"/>
            <w:tcBorders>
              <w:top w:val="nil"/>
              <w:left w:val="nil"/>
              <w:bottom w:val="nil"/>
              <w:right w:val="nil"/>
            </w:tcBorders>
          </w:tcPr>
          <w:p w14:paraId="400B5DE8" w14:textId="77777777" w:rsidR="00085FDC" w:rsidRPr="006A55BB" w:rsidRDefault="0071326C">
            <w:pPr>
              <w:pStyle w:val="Normal6a"/>
            </w:pPr>
            <w:r w:rsidRPr="006A55BB">
              <w:lastRenderedPageBreak/>
              <w:t>16.</w:t>
            </w:r>
            <w:r w:rsidRPr="006A55BB">
              <w:tab/>
              <w:t>nota con soddisfazione che il Comitato ha portato avanti diverse iniziative faro che hanno rafforzato la partecipazione, l'inclusione e l'impatto politico in tutta l'Unione; prende atto che nel settembre 2024 il Comitato ha assunto un ruolo guida nell'applicazione della valutazione d'impatto dell'UE per i giovani nel suo processo di elaborazione dei pareri, coinvolgendo una rete di 73 organizzazioni giovanili e testando circa 40 pareri dal punto di vista dei giovani</w:t>
            </w:r>
            <w:r w:rsidRPr="006A55BB">
              <w:rPr>
                <w:b/>
                <w:i/>
              </w:rPr>
              <w:t>; accoglie con favore e sostiene le inizi</w:t>
            </w:r>
            <w:r w:rsidRPr="006A55BB">
              <w:rPr>
                <w:b/>
                <w:i/>
              </w:rPr>
              <w:t>ative del Comitato volte a rafforzare la partecipazione dei giovani nel processo decisionale</w:t>
            </w:r>
            <w:r w:rsidRPr="006A55BB">
              <w:t xml:space="preserve">; osserva inoltre che il Comitato ha ampliato il suo impegno con i paesi candidati attraverso l'iniziativa dei membri candidati all'allargamento, consentendo a 146 rappresentanti della società civile di contribuire direttamente ai pareri del Comitato, attraverso la partecipazione a gruppi di studio, riunioni delle sezioni e sessioni plenarie (nell'ottobre 2024); elogia il Comitato per aver portato avanti il suo Blue </w:t>
            </w:r>
            <w:r w:rsidRPr="006A55BB">
              <w:t xml:space="preserve">Deal dell'UE, contribuendo a inserire la resilienza idrica nell'agenda dell'Unione; </w:t>
            </w:r>
            <w:r w:rsidRPr="006A55BB">
              <w:lastRenderedPageBreak/>
              <w:t>sottolinea che il Comitato ha continuato a guidare la piattaforma europea delle parti interessate per l'economia circolare e ha co-organizzato i premi dell'UE per la produzione biologica nel 2024, rafforzando i legami con gli attori della società civile nell'agricoltura biologica;</w:t>
            </w:r>
          </w:p>
        </w:tc>
      </w:tr>
    </w:tbl>
    <w:p w14:paraId="1987030B" w14:textId="77777777" w:rsidR="00085FDC" w:rsidRPr="006A55BB" w:rsidRDefault="0071326C">
      <w:pPr>
        <w:pStyle w:val="AmOrLang"/>
      </w:pPr>
      <w:r w:rsidRPr="006A55BB">
        <w:lastRenderedPageBreak/>
        <w:t xml:space="preserve">Or. </w:t>
      </w:r>
      <w:r w:rsidRPr="0071326C">
        <w:rPr>
          <w:rStyle w:val="HideTWBExt"/>
        </w:rPr>
        <w:t>&lt;Original&gt;</w:t>
      </w:r>
      <w:r w:rsidRPr="0071326C">
        <w:rPr>
          <w:rStyle w:val="HideTWBInt"/>
        </w:rPr>
        <w:t>{EN}</w:t>
      </w:r>
      <w:r w:rsidRPr="006A55BB">
        <w:t>en</w:t>
      </w:r>
      <w:r w:rsidRPr="0071326C">
        <w:rPr>
          <w:rStyle w:val="HideTWBExt"/>
        </w:rPr>
        <w:t>&lt;/Original&gt;</w:t>
      </w:r>
    </w:p>
    <w:p w14:paraId="6B8C8334" w14:textId="77777777" w:rsidR="00085FDC" w:rsidRPr="006A55BB" w:rsidRDefault="0071326C">
      <w:r w:rsidRPr="0071326C">
        <w:rPr>
          <w:rStyle w:val="HideTWBExt"/>
        </w:rPr>
        <w:t>&lt;/Amend&gt;</w:t>
      </w:r>
    </w:p>
    <w:p w14:paraId="0892434D" w14:textId="77777777" w:rsidR="00085FDC" w:rsidRPr="006A55BB" w:rsidRDefault="0071326C">
      <w:pPr>
        <w:pStyle w:val="AmNumberTabs"/>
      </w:pPr>
      <w:r w:rsidRPr="0071326C">
        <w:rPr>
          <w:rStyle w:val="HideTWBExt"/>
          <w:b w:val="0"/>
        </w:rPr>
        <w:t>&lt;Amend&gt;</w:t>
      </w:r>
      <w:r w:rsidRPr="006A55BB">
        <w:t>Emendamento</w:t>
      </w:r>
      <w:r w:rsidRPr="006A55BB">
        <w:tab/>
      </w:r>
      <w:r w:rsidRPr="006A55BB">
        <w:tab/>
      </w:r>
      <w:r w:rsidRPr="0071326C">
        <w:rPr>
          <w:rStyle w:val="HideTWBExt"/>
          <w:b w:val="0"/>
        </w:rPr>
        <w:t>&lt;NumAm&gt;</w:t>
      </w:r>
      <w:r w:rsidRPr="006A55BB">
        <w:t>18</w:t>
      </w:r>
      <w:r w:rsidRPr="0071326C">
        <w:rPr>
          <w:rStyle w:val="HideTWBExt"/>
          <w:b w:val="0"/>
        </w:rPr>
        <w:t>&lt;/NumAm&gt;</w:t>
      </w:r>
    </w:p>
    <w:p w14:paraId="6E2C998B" w14:textId="77777777" w:rsidR="00085FDC" w:rsidRPr="006A55BB" w:rsidRDefault="0071326C">
      <w:pPr>
        <w:pStyle w:val="NormalBold"/>
      </w:pPr>
      <w:r w:rsidRPr="0071326C">
        <w:rPr>
          <w:rStyle w:val="HideTWBExt"/>
          <w:b w:val="0"/>
        </w:rPr>
        <w:t>&lt;RepeatBlock-By&gt;&lt;Members&gt;</w:t>
      </w:r>
      <w:r w:rsidRPr="006A55BB">
        <w:t>Csaba Molnár</w:t>
      </w:r>
      <w:r w:rsidRPr="0071326C">
        <w:rPr>
          <w:rStyle w:val="HideTWBExt"/>
          <w:b w:val="0"/>
        </w:rPr>
        <w:t>&lt;/Members&gt;</w:t>
      </w:r>
    </w:p>
    <w:p w14:paraId="400B48A8" w14:textId="77777777" w:rsidR="00085FDC" w:rsidRPr="006A55BB" w:rsidRDefault="0071326C">
      <w:pPr>
        <w:pStyle w:val="NormalBold"/>
      </w:pPr>
      <w:r w:rsidRPr="0071326C">
        <w:rPr>
          <w:rStyle w:val="HideTWBExt"/>
          <w:b w:val="0"/>
        </w:rPr>
        <w:t>&lt;/RepeatBlock-By&gt;</w:t>
      </w:r>
    </w:p>
    <w:p w14:paraId="0BEF22E3" w14:textId="77777777" w:rsidR="00085FDC" w:rsidRPr="006A55BB" w:rsidRDefault="0071326C">
      <w:pPr>
        <w:pStyle w:val="NormalBold"/>
      </w:pPr>
      <w:r w:rsidRPr="0071326C">
        <w:rPr>
          <w:rStyle w:val="HideTWBExt"/>
          <w:b w:val="0"/>
        </w:rPr>
        <w:t>&lt;DocAmend&gt;</w:t>
      </w:r>
      <w:r w:rsidRPr="006A55BB">
        <w:t xml:space="preserve">Proposta di </w:t>
      </w:r>
      <w:r w:rsidRPr="006A55BB">
        <w:t>risoluzione</w:t>
      </w:r>
      <w:r w:rsidRPr="0071326C">
        <w:rPr>
          <w:rStyle w:val="HideTWBExt"/>
          <w:b w:val="0"/>
        </w:rPr>
        <w:t>&lt;/DocAmend&gt;</w:t>
      </w:r>
    </w:p>
    <w:p w14:paraId="701A0760" w14:textId="77777777" w:rsidR="00085FDC" w:rsidRPr="006A55BB" w:rsidRDefault="0071326C">
      <w:pPr>
        <w:pStyle w:val="NormalBold"/>
      </w:pPr>
      <w:r w:rsidRPr="0071326C">
        <w:rPr>
          <w:rStyle w:val="HideTWBExt"/>
          <w:b w:val="0"/>
        </w:rPr>
        <w:t>&lt;Article&gt;</w:t>
      </w:r>
      <w:r w:rsidRPr="006A55BB">
        <w:t>Paragrafo 17</w:t>
      </w:r>
      <w:r w:rsidRPr="007132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FDC" w:rsidRPr="006A55BB" w14:paraId="74923D96" w14:textId="77777777">
        <w:trPr>
          <w:trHeight w:hRule="exact" w:val="240"/>
          <w:jc w:val="center"/>
        </w:trPr>
        <w:tc>
          <w:tcPr>
            <w:tcW w:w="9752" w:type="dxa"/>
            <w:gridSpan w:val="2"/>
            <w:tcBorders>
              <w:top w:val="nil"/>
              <w:left w:val="nil"/>
              <w:bottom w:val="nil"/>
              <w:right w:val="nil"/>
            </w:tcBorders>
          </w:tcPr>
          <w:p w14:paraId="3199CE75" w14:textId="77777777" w:rsidR="00085FDC" w:rsidRPr="006A55BB" w:rsidRDefault="00085FDC"/>
        </w:tc>
      </w:tr>
      <w:tr w:rsidR="00085FDC" w:rsidRPr="006A55BB" w14:paraId="50730383" w14:textId="77777777">
        <w:trPr>
          <w:trHeight w:val="240"/>
          <w:jc w:val="center"/>
        </w:trPr>
        <w:tc>
          <w:tcPr>
            <w:tcW w:w="4876" w:type="dxa"/>
            <w:tcBorders>
              <w:top w:val="nil"/>
              <w:left w:val="nil"/>
              <w:bottom w:val="nil"/>
              <w:right w:val="nil"/>
            </w:tcBorders>
          </w:tcPr>
          <w:p w14:paraId="29519097" w14:textId="77777777" w:rsidR="00085FDC" w:rsidRPr="006A55BB" w:rsidRDefault="0071326C">
            <w:pPr>
              <w:pStyle w:val="AmColumnHeading"/>
            </w:pPr>
            <w:r w:rsidRPr="006A55BB">
              <w:t>Proposta di risoluzione</w:t>
            </w:r>
          </w:p>
        </w:tc>
        <w:tc>
          <w:tcPr>
            <w:tcW w:w="4876" w:type="dxa"/>
            <w:tcBorders>
              <w:top w:val="nil"/>
              <w:left w:val="nil"/>
              <w:bottom w:val="nil"/>
              <w:right w:val="nil"/>
            </w:tcBorders>
          </w:tcPr>
          <w:p w14:paraId="3924B651" w14:textId="77777777" w:rsidR="00085FDC" w:rsidRPr="006A55BB" w:rsidRDefault="0071326C">
            <w:pPr>
              <w:pStyle w:val="AmColumnHeading"/>
            </w:pPr>
            <w:r w:rsidRPr="006A55BB">
              <w:t>Emendamento</w:t>
            </w:r>
          </w:p>
        </w:tc>
      </w:tr>
      <w:tr w:rsidR="00085FDC" w:rsidRPr="006A55BB" w14:paraId="694693A6" w14:textId="77777777">
        <w:trPr>
          <w:jc w:val="center"/>
        </w:trPr>
        <w:tc>
          <w:tcPr>
            <w:tcW w:w="4876" w:type="dxa"/>
            <w:tcBorders>
              <w:top w:val="nil"/>
              <w:left w:val="nil"/>
              <w:bottom w:val="nil"/>
              <w:right w:val="nil"/>
            </w:tcBorders>
          </w:tcPr>
          <w:p w14:paraId="675A9A5F" w14:textId="77777777" w:rsidR="00085FDC" w:rsidRPr="006A55BB" w:rsidRDefault="0071326C">
            <w:pPr>
              <w:pStyle w:val="Normal6a"/>
            </w:pPr>
            <w:r w:rsidRPr="006A55BB">
              <w:t>17.</w:t>
            </w:r>
            <w:r w:rsidRPr="006A55BB">
              <w:tab/>
              <w:t xml:space="preserve">prende atto con soddisfazione dal questionario delle azioni del Comitato volte a ridurre gli oneri amministrativi e a razionalizzare i processi nel 2024; </w:t>
            </w:r>
            <w:r w:rsidRPr="006A55BB">
              <w:t>accoglie con favore, in tal senso, l'avvio di un nuovo programma di registrazione dei visitatori più efficiente, l'uso di software collaborativi da parte di alcuni membri del suo personale, il gruppo di lavoro interdirezionale che disciplina l'uso della metodologia di gestione dei processi operativi del Comitato, la semplificazione del circuito di verifica per quanto riguarda le traduzioni esternalizzate, la fusione di diverse unità linguistiche e la semplificazione delle norme di comunicazione del Comitato</w:t>
            </w:r>
            <w:r w:rsidRPr="006A55BB">
              <w:t xml:space="preserve">; osserva </w:t>
            </w:r>
            <w:r w:rsidRPr="006A55BB">
              <w:rPr>
                <w:b/>
                <w:i/>
              </w:rPr>
              <w:t>con interesse</w:t>
            </w:r>
            <w:r w:rsidRPr="006A55BB">
              <w:t xml:space="preserve"> che, al fine di risparmiare risorse, il Comitato sta intraprendendo una fase pilota utilizzando l'intelligenza artificiale (IA) per trasformare la direzione della Traduzione; invita il Comitato a tenere informata l'autorità di discarico sui progressi compiuti al riguardo;</w:t>
            </w:r>
          </w:p>
        </w:tc>
        <w:tc>
          <w:tcPr>
            <w:tcW w:w="4876" w:type="dxa"/>
            <w:tcBorders>
              <w:top w:val="nil"/>
              <w:left w:val="nil"/>
              <w:bottom w:val="nil"/>
              <w:right w:val="nil"/>
            </w:tcBorders>
          </w:tcPr>
          <w:p w14:paraId="19E109ED" w14:textId="77777777" w:rsidR="00085FDC" w:rsidRPr="006A55BB" w:rsidRDefault="0071326C">
            <w:pPr>
              <w:pStyle w:val="Normal6a"/>
            </w:pPr>
            <w:r w:rsidRPr="006A55BB">
              <w:t>17.</w:t>
            </w:r>
            <w:r w:rsidRPr="006A55BB">
              <w:tab/>
              <w:t>prende atto con soddisfazione dal questionario delle azioni del Comitato volte a ridurre gli oneri amministrativi e a razionalizzare i processi nel 2024; accoglie con favore, in tal senso, l'avvio di un nuovo programma di registrazione dei visitatori più efficiente, l'uso di software collaborativi da parte di alcuni membri del suo personale, il gruppo di lavoro interdirezionale che disciplina l'uso della metodologia di gestione dei processi operativi del Comitato, la semplificazione del circuito di verific</w:t>
            </w:r>
            <w:r w:rsidRPr="006A55BB">
              <w:t>a per quanto riguarda le traduzioni esternalizzate, la fusione di diverse unità linguistiche e la semplificazione delle norme di comunicazione del Comitato; osserva che, al fine di risparmiare risorse, il Comitato sta intraprendendo una fase pilota utilizzando l'intelligenza artificiale (IA) per trasformare la direzione della Traduzione; </w:t>
            </w:r>
            <w:r w:rsidRPr="006A55BB">
              <w:rPr>
                <w:b/>
                <w:i/>
              </w:rPr>
              <w:t>sottolinea che l'uso dell'IA deve avvenire sotto il controllo umano;</w:t>
            </w:r>
            <w:r w:rsidRPr="006A55BB">
              <w:t xml:space="preserve"> invita il Comitato a tenere informata l'autorità di discarico sui progressi compiuti al riguardo;</w:t>
            </w:r>
          </w:p>
        </w:tc>
      </w:tr>
    </w:tbl>
    <w:p w14:paraId="539B3D3E" w14:textId="77777777" w:rsidR="00085FDC" w:rsidRPr="006A55BB" w:rsidRDefault="0071326C">
      <w:pPr>
        <w:pStyle w:val="AmOrLang"/>
      </w:pPr>
      <w:r w:rsidRPr="006A55BB">
        <w:t xml:space="preserve">Or. </w:t>
      </w:r>
      <w:r w:rsidRPr="0071326C">
        <w:rPr>
          <w:rStyle w:val="HideTWBExt"/>
        </w:rPr>
        <w:t>&lt;Original&gt;</w:t>
      </w:r>
      <w:r w:rsidRPr="0071326C">
        <w:rPr>
          <w:rStyle w:val="HideTWBInt"/>
        </w:rPr>
        <w:t>{EN}</w:t>
      </w:r>
      <w:r w:rsidRPr="006A55BB">
        <w:t>en</w:t>
      </w:r>
      <w:r w:rsidRPr="0071326C">
        <w:rPr>
          <w:rStyle w:val="HideTWBExt"/>
        </w:rPr>
        <w:t>&lt;/Original&gt;</w:t>
      </w:r>
    </w:p>
    <w:p w14:paraId="0589499F" w14:textId="77777777" w:rsidR="00085FDC" w:rsidRPr="006A55BB" w:rsidRDefault="0071326C">
      <w:r w:rsidRPr="0071326C">
        <w:rPr>
          <w:rStyle w:val="HideTWBExt"/>
        </w:rPr>
        <w:lastRenderedPageBreak/>
        <w:t>&lt;/Amend&gt;</w:t>
      </w:r>
    </w:p>
    <w:p w14:paraId="7EDA00EB" w14:textId="77777777" w:rsidR="00085FDC" w:rsidRPr="006A55BB" w:rsidRDefault="0071326C">
      <w:pPr>
        <w:pStyle w:val="AmNumberTabs"/>
      </w:pPr>
      <w:r w:rsidRPr="0071326C">
        <w:rPr>
          <w:rStyle w:val="HideTWBExt"/>
          <w:b w:val="0"/>
        </w:rPr>
        <w:t>&lt;Amend&gt;</w:t>
      </w:r>
      <w:r w:rsidRPr="006A55BB">
        <w:t>Emendamento</w:t>
      </w:r>
      <w:r w:rsidRPr="006A55BB">
        <w:tab/>
      </w:r>
      <w:r w:rsidRPr="006A55BB">
        <w:tab/>
      </w:r>
      <w:r w:rsidRPr="0071326C">
        <w:rPr>
          <w:rStyle w:val="HideTWBExt"/>
          <w:b w:val="0"/>
        </w:rPr>
        <w:t>&lt;NumAm&gt;</w:t>
      </w:r>
      <w:r w:rsidRPr="006A55BB">
        <w:t>19</w:t>
      </w:r>
      <w:r w:rsidRPr="0071326C">
        <w:rPr>
          <w:rStyle w:val="HideTWBExt"/>
          <w:b w:val="0"/>
        </w:rPr>
        <w:t>&lt;/NumAm&gt;</w:t>
      </w:r>
    </w:p>
    <w:p w14:paraId="0C62455D" w14:textId="77777777" w:rsidR="00085FDC" w:rsidRPr="006A55BB" w:rsidRDefault="0071326C">
      <w:pPr>
        <w:pStyle w:val="NormalBold"/>
      </w:pPr>
      <w:r w:rsidRPr="0071326C">
        <w:rPr>
          <w:rStyle w:val="HideTWBExt"/>
          <w:b w:val="0"/>
        </w:rPr>
        <w:t>&lt;RepeatBlock-By&gt;&lt;Members&gt;</w:t>
      </w:r>
      <w:r w:rsidRPr="006A55BB">
        <w:t>Michal Wiezik, Olivier Chastel, Vlad Vasile-Voiculescu, Gilles Boyer</w:t>
      </w:r>
      <w:r w:rsidRPr="0071326C">
        <w:rPr>
          <w:rStyle w:val="HideTWBExt"/>
          <w:b w:val="0"/>
        </w:rPr>
        <w:t>&lt;/Members&gt;</w:t>
      </w:r>
    </w:p>
    <w:p w14:paraId="310BBC5B" w14:textId="77777777" w:rsidR="00085FDC" w:rsidRPr="006A55BB" w:rsidRDefault="0071326C">
      <w:pPr>
        <w:pStyle w:val="NormalBold"/>
      </w:pPr>
      <w:r w:rsidRPr="0071326C">
        <w:rPr>
          <w:rStyle w:val="HideTWBExt"/>
          <w:b w:val="0"/>
        </w:rPr>
        <w:t>&lt;/RepeatBlock-By&gt;</w:t>
      </w:r>
    </w:p>
    <w:p w14:paraId="2A45B20C" w14:textId="77777777" w:rsidR="00085FDC" w:rsidRPr="006A55BB" w:rsidRDefault="0071326C">
      <w:pPr>
        <w:pStyle w:val="NormalBold"/>
      </w:pPr>
      <w:r w:rsidRPr="0071326C">
        <w:rPr>
          <w:rStyle w:val="HideTWBExt"/>
          <w:b w:val="0"/>
        </w:rPr>
        <w:t>&lt;DocAmend&gt;</w:t>
      </w:r>
      <w:r w:rsidRPr="006A55BB">
        <w:t>Proposta di risoluzione</w:t>
      </w:r>
      <w:r w:rsidRPr="0071326C">
        <w:rPr>
          <w:rStyle w:val="HideTWBExt"/>
          <w:b w:val="0"/>
        </w:rPr>
        <w:t>&lt;/DocAmend&gt;</w:t>
      </w:r>
    </w:p>
    <w:p w14:paraId="4ECC38AC" w14:textId="77777777" w:rsidR="00085FDC" w:rsidRPr="006A55BB" w:rsidRDefault="0071326C">
      <w:pPr>
        <w:pStyle w:val="NormalBold"/>
      </w:pPr>
      <w:r w:rsidRPr="0071326C">
        <w:rPr>
          <w:rStyle w:val="HideTWBExt"/>
          <w:b w:val="0"/>
        </w:rPr>
        <w:t>&lt;Article&gt;</w:t>
      </w:r>
      <w:r w:rsidRPr="006A55BB">
        <w:t>Paragrafo 17 bis (nuovo)</w:t>
      </w:r>
      <w:r w:rsidRPr="007132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FDC" w:rsidRPr="006A55BB" w14:paraId="1E244A40" w14:textId="77777777">
        <w:trPr>
          <w:trHeight w:hRule="exact" w:val="240"/>
          <w:jc w:val="center"/>
        </w:trPr>
        <w:tc>
          <w:tcPr>
            <w:tcW w:w="9752" w:type="dxa"/>
            <w:gridSpan w:val="2"/>
            <w:tcBorders>
              <w:top w:val="nil"/>
              <w:left w:val="nil"/>
              <w:bottom w:val="nil"/>
              <w:right w:val="nil"/>
            </w:tcBorders>
          </w:tcPr>
          <w:p w14:paraId="0BA6EED0" w14:textId="77777777" w:rsidR="00085FDC" w:rsidRPr="006A55BB" w:rsidRDefault="00085FDC"/>
        </w:tc>
      </w:tr>
      <w:tr w:rsidR="00085FDC" w:rsidRPr="006A55BB" w14:paraId="03A397AD" w14:textId="77777777">
        <w:trPr>
          <w:trHeight w:val="240"/>
          <w:jc w:val="center"/>
        </w:trPr>
        <w:tc>
          <w:tcPr>
            <w:tcW w:w="4876" w:type="dxa"/>
            <w:tcBorders>
              <w:top w:val="nil"/>
              <w:left w:val="nil"/>
              <w:bottom w:val="nil"/>
              <w:right w:val="nil"/>
            </w:tcBorders>
          </w:tcPr>
          <w:p w14:paraId="714144ED" w14:textId="77777777" w:rsidR="00085FDC" w:rsidRPr="006A55BB" w:rsidRDefault="0071326C">
            <w:pPr>
              <w:pStyle w:val="AmColumnHeading"/>
            </w:pPr>
            <w:r w:rsidRPr="006A55BB">
              <w:t>Proposta di risoluzione</w:t>
            </w:r>
          </w:p>
        </w:tc>
        <w:tc>
          <w:tcPr>
            <w:tcW w:w="4876" w:type="dxa"/>
            <w:tcBorders>
              <w:top w:val="nil"/>
              <w:left w:val="nil"/>
              <w:bottom w:val="nil"/>
              <w:right w:val="nil"/>
            </w:tcBorders>
          </w:tcPr>
          <w:p w14:paraId="6FFE2378" w14:textId="77777777" w:rsidR="00085FDC" w:rsidRPr="006A55BB" w:rsidRDefault="0071326C">
            <w:pPr>
              <w:pStyle w:val="AmColumnHeading"/>
            </w:pPr>
            <w:r w:rsidRPr="006A55BB">
              <w:t>Emendamento</w:t>
            </w:r>
          </w:p>
        </w:tc>
      </w:tr>
      <w:tr w:rsidR="00085FDC" w:rsidRPr="006A55BB" w14:paraId="7E901A12" w14:textId="77777777">
        <w:trPr>
          <w:jc w:val="center"/>
        </w:trPr>
        <w:tc>
          <w:tcPr>
            <w:tcW w:w="4876" w:type="dxa"/>
            <w:tcBorders>
              <w:top w:val="nil"/>
              <w:left w:val="nil"/>
              <w:bottom w:val="nil"/>
              <w:right w:val="nil"/>
            </w:tcBorders>
          </w:tcPr>
          <w:p w14:paraId="35FE7CAC" w14:textId="77777777" w:rsidR="00085FDC" w:rsidRPr="006A55BB" w:rsidRDefault="00085FDC">
            <w:pPr>
              <w:pStyle w:val="Normal6a"/>
            </w:pPr>
          </w:p>
        </w:tc>
        <w:tc>
          <w:tcPr>
            <w:tcW w:w="4876" w:type="dxa"/>
            <w:tcBorders>
              <w:top w:val="nil"/>
              <w:left w:val="nil"/>
              <w:bottom w:val="nil"/>
              <w:right w:val="nil"/>
            </w:tcBorders>
          </w:tcPr>
          <w:p w14:paraId="7F01AE7E" w14:textId="77777777" w:rsidR="00085FDC" w:rsidRPr="006A55BB" w:rsidRDefault="0071326C">
            <w:pPr>
              <w:pStyle w:val="Normal6a"/>
            </w:pPr>
            <w:r w:rsidRPr="006A55BB">
              <w:rPr>
                <w:b/>
                <w:i/>
              </w:rPr>
              <w:t>17 bis.</w:t>
            </w:r>
            <w:r w:rsidRPr="006A55BB">
              <w:tab/>
            </w:r>
            <w:r w:rsidRPr="006A55BB">
              <w:rPr>
                <w:b/>
                <w:i/>
              </w:rPr>
              <w:t xml:space="preserve">invita il Comitato a rafforzare lo sviluppo di una strategia globale di trasformazione </w:t>
            </w:r>
            <w:r w:rsidRPr="006A55BB">
              <w:rPr>
                <w:b/>
                <w:i/>
              </w:rPr>
              <w:t>digitale, concernente l'intelligenza artificiale, l'automazione, l'interoperabilità e la governance dei dati, accompagnata da un quadro etico che garantisca un uso sicuro, responsabile e trasparente delle tecnologie emergenti;</w:t>
            </w:r>
          </w:p>
        </w:tc>
      </w:tr>
    </w:tbl>
    <w:p w14:paraId="79451FF1" w14:textId="77777777" w:rsidR="00085FDC" w:rsidRPr="006A55BB" w:rsidRDefault="0071326C">
      <w:pPr>
        <w:pStyle w:val="AmOrLang"/>
      </w:pPr>
      <w:r w:rsidRPr="006A55BB">
        <w:t xml:space="preserve">Or. </w:t>
      </w:r>
      <w:r w:rsidRPr="0071326C">
        <w:rPr>
          <w:rStyle w:val="HideTWBExt"/>
        </w:rPr>
        <w:t>&lt;Original&gt;</w:t>
      </w:r>
      <w:r w:rsidRPr="0071326C">
        <w:rPr>
          <w:rStyle w:val="HideTWBInt"/>
        </w:rPr>
        <w:t>{EN}</w:t>
      </w:r>
      <w:r w:rsidRPr="006A55BB">
        <w:t>en</w:t>
      </w:r>
      <w:r w:rsidRPr="0071326C">
        <w:rPr>
          <w:rStyle w:val="HideTWBExt"/>
        </w:rPr>
        <w:t>&lt;/Original&gt;</w:t>
      </w:r>
    </w:p>
    <w:p w14:paraId="6BE7670B" w14:textId="77777777" w:rsidR="00085FDC" w:rsidRPr="006A55BB" w:rsidRDefault="0071326C">
      <w:r w:rsidRPr="0071326C">
        <w:rPr>
          <w:rStyle w:val="HideTWBExt"/>
        </w:rPr>
        <w:t>&lt;/Amend&gt;</w:t>
      </w:r>
    </w:p>
    <w:p w14:paraId="27691300" w14:textId="77777777" w:rsidR="00085FDC" w:rsidRPr="006A55BB" w:rsidRDefault="0071326C">
      <w:pPr>
        <w:pStyle w:val="AmNumberTabs"/>
      </w:pPr>
      <w:r w:rsidRPr="0071326C">
        <w:rPr>
          <w:rStyle w:val="HideTWBExt"/>
          <w:b w:val="0"/>
        </w:rPr>
        <w:t>&lt;Amend&gt;</w:t>
      </w:r>
      <w:r w:rsidRPr="006A55BB">
        <w:t>Emendamento</w:t>
      </w:r>
      <w:r w:rsidRPr="006A55BB">
        <w:tab/>
      </w:r>
      <w:r w:rsidRPr="006A55BB">
        <w:tab/>
      </w:r>
      <w:r w:rsidRPr="0071326C">
        <w:rPr>
          <w:rStyle w:val="HideTWBExt"/>
          <w:b w:val="0"/>
        </w:rPr>
        <w:t>&lt;NumAm&gt;</w:t>
      </w:r>
      <w:r w:rsidRPr="006A55BB">
        <w:t>20</w:t>
      </w:r>
      <w:r w:rsidRPr="0071326C">
        <w:rPr>
          <w:rStyle w:val="HideTWBExt"/>
          <w:b w:val="0"/>
        </w:rPr>
        <w:t>&lt;/NumAm&gt;</w:t>
      </w:r>
    </w:p>
    <w:p w14:paraId="050AA02D" w14:textId="77777777" w:rsidR="00085FDC" w:rsidRPr="006A55BB" w:rsidRDefault="0071326C">
      <w:pPr>
        <w:pStyle w:val="NormalBold"/>
      </w:pPr>
      <w:r w:rsidRPr="0071326C">
        <w:rPr>
          <w:rStyle w:val="HideTWBExt"/>
          <w:b w:val="0"/>
        </w:rPr>
        <w:t>&lt;RepeatBlock-By&gt;&lt;Members&gt;</w:t>
      </w:r>
      <w:r w:rsidRPr="006A55BB">
        <w:t>Csaba Molnár</w:t>
      </w:r>
      <w:r w:rsidRPr="0071326C">
        <w:rPr>
          <w:rStyle w:val="HideTWBExt"/>
          <w:b w:val="0"/>
        </w:rPr>
        <w:t>&lt;/Members&gt;</w:t>
      </w:r>
    </w:p>
    <w:p w14:paraId="03AF822B" w14:textId="77777777" w:rsidR="00085FDC" w:rsidRPr="006A55BB" w:rsidRDefault="0071326C">
      <w:pPr>
        <w:pStyle w:val="NormalBold"/>
      </w:pPr>
      <w:r w:rsidRPr="0071326C">
        <w:rPr>
          <w:rStyle w:val="HideTWBExt"/>
          <w:b w:val="0"/>
        </w:rPr>
        <w:t>&lt;/RepeatBlock-By&gt;</w:t>
      </w:r>
    </w:p>
    <w:p w14:paraId="7F21585A" w14:textId="77777777" w:rsidR="00085FDC" w:rsidRPr="006A55BB" w:rsidRDefault="0071326C">
      <w:pPr>
        <w:pStyle w:val="NormalBold"/>
      </w:pPr>
      <w:r w:rsidRPr="0071326C">
        <w:rPr>
          <w:rStyle w:val="HideTWBExt"/>
          <w:b w:val="0"/>
        </w:rPr>
        <w:t>&lt;DocAmend&gt;</w:t>
      </w:r>
      <w:r w:rsidRPr="006A55BB">
        <w:t>Proposta di risoluzione</w:t>
      </w:r>
      <w:r w:rsidRPr="0071326C">
        <w:rPr>
          <w:rStyle w:val="HideTWBExt"/>
          <w:b w:val="0"/>
        </w:rPr>
        <w:t>&lt;/DocAmend&gt;</w:t>
      </w:r>
    </w:p>
    <w:p w14:paraId="3D475F65" w14:textId="77777777" w:rsidR="00085FDC" w:rsidRPr="006A55BB" w:rsidRDefault="0071326C">
      <w:pPr>
        <w:pStyle w:val="NormalBold"/>
      </w:pPr>
      <w:r w:rsidRPr="0071326C">
        <w:rPr>
          <w:rStyle w:val="HideTWBExt"/>
          <w:b w:val="0"/>
        </w:rPr>
        <w:t>&lt;Article&gt;</w:t>
      </w:r>
      <w:r w:rsidRPr="006A55BB">
        <w:t>Paragrafo 18</w:t>
      </w:r>
      <w:r w:rsidRPr="007132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FDC" w:rsidRPr="006A55BB" w14:paraId="48E66CD7" w14:textId="77777777">
        <w:trPr>
          <w:trHeight w:hRule="exact" w:val="240"/>
          <w:jc w:val="center"/>
        </w:trPr>
        <w:tc>
          <w:tcPr>
            <w:tcW w:w="9752" w:type="dxa"/>
            <w:gridSpan w:val="2"/>
            <w:tcBorders>
              <w:top w:val="nil"/>
              <w:left w:val="nil"/>
              <w:bottom w:val="nil"/>
              <w:right w:val="nil"/>
            </w:tcBorders>
          </w:tcPr>
          <w:p w14:paraId="76237257" w14:textId="77777777" w:rsidR="00085FDC" w:rsidRPr="006A55BB" w:rsidRDefault="00085FDC"/>
        </w:tc>
      </w:tr>
      <w:tr w:rsidR="00085FDC" w:rsidRPr="006A55BB" w14:paraId="1E97E792" w14:textId="77777777">
        <w:trPr>
          <w:trHeight w:val="240"/>
          <w:jc w:val="center"/>
        </w:trPr>
        <w:tc>
          <w:tcPr>
            <w:tcW w:w="4876" w:type="dxa"/>
            <w:tcBorders>
              <w:top w:val="nil"/>
              <w:left w:val="nil"/>
              <w:bottom w:val="nil"/>
              <w:right w:val="nil"/>
            </w:tcBorders>
          </w:tcPr>
          <w:p w14:paraId="4AEA4A0C" w14:textId="77777777" w:rsidR="00085FDC" w:rsidRPr="006A55BB" w:rsidRDefault="0071326C">
            <w:pPr>
              <w:pStyle w:val="AmColumnHeading"/>
            </w:pPr>
            <w:r w:rsidRPr="006A55BB">
              <w:t>Proposta di risoluzione</w:t>
            </w:r>
          </w:p>
        </w:tc>
        <w:tc>
          <w:tcPr>
            <w:tcW w:w="4876" w:type="dxa"/>
            <w:tcBorders>
              <w:top w:val="nil"/>
              <w:left w:val="nil"/>
              <w:bottom w:val="nil"/>
              <w:right w:val="nil"/>
            </w:tcBorders>
          </w:tcPr>
          <w:p w14:paraId="19279550" w14:textId="77777777" w:rsidR="00085FDC" w:rsidRPr="006A55BB" w:rsidRDefault="0071326C">
            <w:pPr>
              <w:pStyle w:val="AmColumnHeading"/>
            </w:pPr>
            <w:r w:rsidRPr="006A55BB">
              <w:t>Emendamento</w:t>
            </w:r>
          </w:p>
        </w:tc>
      </w:tr>
      <w:tr w:rsidR="00085FDC" w:rsidRPr="006A55BB" w14:paraId="013A3EEA" w14:textId="77777777">
        <w:trPr>
          <w:jc w:val="center"/>
        </w:trPr>
        <w:tc>
          <w:tcPr>
            <w:tcW w:w="4876" w:type="dxa"/>
            <w:tcBorders>
              <w:top w:val="nil"/>
              <w:left w:val="nil"/>
              <w:bottom w:val="nil"/>
              <w:right w:val="nil"/>
            </w:tcBorders>
          </w:tcPr>
          <w:p w14:paraId="449B86C8" w14:textId="77777777" w:rsidR="00085FDC" w:rsidRPr="006A55BB" w:rsidRDefault="0071326C">
            <w:pPr>
              <w:pStyle w:val="Normal6a"/>
            </w:pPr>
            <w:r w:rsidRPr="006A55BB">
              <w:t>18.</w:t>
            </w:r>
            <w:r w:rsidRPr="006A55BB">
              <w:tab/>
              <w:t xml:space="preserve">prende atto con </w:t>
            </w:r>
            <w:r w:rsidRPr="006A55BB">
              <w:t xml:space="preserve">interesse dal questionario degli sforzi del Comitato volti ad adottare un approccio più strategico per mettere in primo piano il suo lavoro relativo all'impatto e inserire la gestione dell'impatto al centro del processo decisionale; prende atto, in tale contesto, dell'organizzazione di tre seminari strategici ad alto livello con la leadership politica nel 2024 e nel 2025, durante i quali l'attività di previsione è stata centrale per l'elaborazione di criteri di definizione delle priorità delle iniziative e </w:t>
            </w:r>
            <w:r w:rsidRPr="006A55BB">
              <w:t xml:space="preserve">per garantire, tra gli altri obiettivi, l'allineamento tematico alle esigenze a lungo termine della società civile; osserva che tale attività di definizione delle priorità farà parte delle </w:t>
            </w:r>
            <w:r w:rsidRPr="006A55BB">
              <w:lastRenderedPageBreak/>
              <w:t>attività principali del Comitato, in quanto sarà condotta annualmente e integrata, ogni 2,5 anni, da un riesame di tutti gli organi, le attività e gli eventi principali del Comitato;</w:t>
            </w:r>
          </w:p>
        </w:tc>
        <w:tc>
          <w:tcPr>
            <w:tcW w:w="4876" w:type="dxa"/>
            <w:tcBorders>
              <w:top w:val="nil"/>
              <w:left w:val="nil"/>
              <w:bottom w:val="nil"/>
              <w:right w:val="nil"/>
            </w:tcBorders>
          </w:tcPr>
          <w:p w14:paraId="1D8E9015" w14:textId="77777777" w:rsidR="00085FDC" w:rsidRPr="006A55BB" w:rsidRDefault="0071326C">
            <w:pPr>
              <w:pStyle w:val="Normal6a"/>
            </w:pPr>
            <w:r w:rsidRPr="006A55BB">
              <w:rPr>
                <w:i/>
                <w:iCs/>
              </w:rPr>
              <w:lastRenderedPageBreak/>
              <w:t>(Non concerne la versione italiana)</w:t>
            </w:r>
            <w:r w:rsidRPr="006A55BB">
              <w:tab/>
              <w:t xml:space="preserve">  </w:t>
            </w:r>
          </w:p>
        </w:tc>
      </w:tr>
    </w:tbl>
    <w:p w14:paraId="328C3CD9" w14:textId="77777777" w:rsidR="00085FDC" w:rsidRPr="006A55BB" w:rsidRDefault="0071326C">
      <w:pPr>
        <w:pStyle w:val="AmOrLang"/>
      </w:pPr>
      <w:r w:rsidRPr="006A55BB">
        <w:t xml:space="preserve">Or. </w:t>
      </w:r>
      <w:r w:rsidRPr="0071326C">
        <w:rPr>
          <w:rStyle w:val="HideTWBExt"/>
        </w:rPr>
        <w:t>&lt;Original&gt;</w:t>
      </w:r>
      <w:r w:rsidRPr="0071326C">
        <w:rPr>
          <w:rStyle w:val="HideTWBInt"/>
        </w:rPr>
        <w:t>{EN}</w:t>
      </w:r>
      <w:r w:rsidRPr="006A55BB">
        <w:t>en</w:t>
      </w:r>
      <w:r w:rsidRPr="0071326C">
        <w:rPr>
          <w:rStyle w:val="HideTWBExt"/>
        </w:rPr>
        <w:t>&lt;/Original&gt;</w:t>
      </w:r>
    </w:p>
    <w:p w14:paraId="49072042" w14:textId="77777777" w:rsidR="00085FDC" w:rsidRPr="006A55BB" w:rsidRDefault="0071326C">
      <w:r w:rsidRPr="0071326C">
        <w:rPr>
          <w:rStyle w:val="HideTWBExt"/>
        </w:rPr>
        <w:t>&lt;/Amend&gt;</w:t>
      </w:r>
    </w:p>
    <w:p w14:paraId="316D57A3" w14:textId="77777777" w:rsidR="00085FDC" w:rsidRPr="006A55BB" w:rsidRDefault="0071326C">
      <w:pPr>
        <w:pStyle w:val="AmNumberTabs"/>
      </w:pPr>
      <w:r w:rsidRPr="0071326C">
        <w:rPr>
          <w:rStyle w:val="HideTWBExt"/>
          <w:b w:val="0"/>
        </w:rPr>
        <w:t>&lt;Amend&gt;</w:t>
      </w:r>
      <w:r w:rsidRPr="006A55BB">
        <w:t>Emendamento</w:t>
      </w:r>
      <w:r w:rsidRPr="006A55BB">
        <w:tab/>
      </w:r>
      <w:r w:rsidRPr="006A55BB">
        <w:tab/>
      </w:r>
      <w:r w:rsidRPr="0071326C">
        <w:rPr>
          <w:rStyle w:val="HideTWBExt"/>
          <w:b w:val="0"/>
        </w:rPr>
        <w:t>&lt;NumAm&gt;</w:t>
      </w:r>
      <w:r w:rsidRPr="006A55BB">
        <w:t>21</w:t>
      </w:r>
      <w:r w:rsidRPr="0071326C">
        <w:rPr>
          <w:rStyle w:val="HideTWBExt"/>
          <w:b w:val="0"/>
        </w:rPr>
        <w:t>&lt;/NumAm&gt;</w:t>
      </w:r>
    </w:p>
    <w:p w14:paraId="4AC7C74E" w14:textId="77777777" w:rsidR="00085FDC" w:rsidRPr="006A55BB" w:rsidRDefault="0071326C">
      <w:pPr>
        <w:pStyle w:val="NormalBold"/>
      </w:pPr>
      <w:r w:rsidRPr="0071326C">
        <w:rPr>
          <w:rStyle w:val="HideTWBExt"/>
          <w:b w:val="0"/>
        </w:rPr>
        <w:t>&lt;RepeatBlock-By&gt;&lt;Members&gt;</w:t>
      </w:r>
      <w:r w:rsidRPr="006A55BB">
        <w:t>Michal Wiezik, Olivier Chastel, Vlad Vasile-Voiculescu, Gilles Boyer</w:t>
      </w:r>
      <w:r w:rsidRPr="0071326C">
        <w:rPr>
          <w:rStyle w:val="HideTWBExt"/>
          <w:b w:val="0"/>
        </w:rPr>
        <w:t>&lt;/Members&gt;</w:t>
      </w:r>
    </w:p>
    <w:p w14:paraId="6D35D2ED" w14:textId="77777777" w:rsidR="00085FDC" w:rsidRPr="006A55BB" w:rsidRDefault="0071326C">
      <w:pPr>
        <w:pStyle w:val="NormalBold"/>
      </w:pPr>
      <w:r w:rsidRPr="0071326C">
        <w:rPr>
          <w:rStyle w:val="HideTWBExt"/>
          <w:b w:val="0"/>
        </w:rPr>
        <w:t>&lt;/RepeatBlock-By&gt;</w:t>
      </w:r>
    </w:p>
    <w:p w14:paraId="44E9B4E6" w14:textId="77777777" w:rsidR="00085FDC" w:rsidRPr="006A55BB" w:rsidRDefault="0071326C">
      <w:pPr>
        <w:pStyle w:val="NormalBold"/>
      </w:pPr>
      <w:r w:rsidRPr="0071326C">
        <w:rPr>
          <w:rStyle w:val="HideTWBExt"/>
          <w:b w:val="0"/>
        </w:rPr>
        <w:t>&lt;DocAmend&gt;</w:t>
      </w:r>
      <w:r w:rsidRPr="006A55BB">
        <w:t>Proposta di risoluzione</w:t>
      </w:r>
      <w:r w:rsidRPr="0071326C">
        <w:rPr>
          <w:rStyle w:val="HideTWBExt"/>
          <w:b w:val="0"/>
        </w:rPr>
        <w:t>&lt;/DocAmend&gt;</w:t>
      </w:r>
    </w:p>
    <w:p w14:paraId="54CDBD7C" w14:textId="77777777" w:rsidR="00085FDC" w:rsidRPr="006A55BB" w:rsidRDefault="0071326C">
      <w:pPr>
        <w:pStyle w:val="NormalBold"/>
      </w:pPr>
      <w:r w:rsidRPr="0071326C">
        <w:rPr>
          <w:rStyle w:val="HideTWBExt"/>
          <w:b w:val="0"/>
        </w:rPr>
        <w:t>&lt;Article&gt;</w:t>
      </w:r>
      <w:r w:rsidRPr="006A55BB">
        <w:t>Paragrafo 19</w:t>
      </w:r>
      <w:r w:rsidRPr="007132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FDC" w:rsidRPr="006A55BB" w14:paraId="1F53365E" w14:textId="77777777">
        <w:trPr>
          <w:trHeight w:hRule="exact" w:val="240"/>
          <w:jc w:val="center"/>
        </w:trPr>
        <w:tc>
          <w:tcPr>
            <w:tcW w:w="9752" w:type="dxa"/>
            <w:gridSpan w:val="2"/>
            <w:tcBorders>
              <w:top w:val="nil"/>
              <w:left w:val="nil"/>
              <w:bottom w:val="nil"/>
              <w:right w:val="nil"/>
            </w:tcBorders>
          </w:tcPr>
          <w:p w14:paraId="73EB2765" w14:textId="77777777" w:rsidR="00085FDC" w:rsidRPr="006A55BB" w:rsidRDefault="00085FDC"/>
        </w:tc>
      </w:tr>
      <w:tr w:rsidR="00085FDC" w:rsidRPr="006A55BB" w14:paraId="5A13B34B" w14:textId="77777777">
        <w:trPr>
          <w:trHeight w:val="240"/>
          <w:jc w:val="center"/>
        </w:trPr>
        <w:tc>
          <w:tcPr>
            <w:tcW w:w="4876" w:type="dxa"/>
            <w:tcBorders>
              <w:top w:val="nil"/>
              <w:left w:val="nil"/>
              <w:bottom w:val="nil"/>
              <w:right w:val="nil"/>
            </w:tcBorders>
          </w:tcPr>
          <w:p w14:paraId="5659848C" w14:textId="77777777" w:rsidR="00085FDC" w:rsidRPr="006A55BB" w:rsidRDefault="0071326C">
            <w:pPr>
              <w:pStyle w:val="AmColumnHeading"/>
            </w:pPr>
            <w:r w:rsidRPr="006A55BB">
              <w:t>Proposta di risoluzione</w:t>
            </w:r>
          </w:p>
        </w:tc>
        <w:tc>
          <w:tcPr>
            <w:tcW w:w="4876" w:type="dxa"/>
            <w:tcBorders>
              <w:top w:val="nil"/>
              <w:left w:val="nil"/>
              <w:bottom w:val="nil"/>
              <w:right w:val="nil"/>
            </w:tcBorders>
          </w:tcPr>
          <w:p w14:paraId="433EC4E1" w14:textId="77777777" w:rsidR="00085FDC" w:rsidRPr="006A55BB" w:rsidRDefault="0071326C">
            <w:pPr>
              <w:pStyle w:val="AmColumnHeading"/>
            </w:pPr>
            <w:r w:rsidRPr="006A55BB">
              <w:t>Emendamento</w:t>
            </w:r>
          </w:p>
        </w:tc>
      </w:tr>
      <w:tr w:rsidR="00085FDC" w:rsidRPr="006A55BB" w14:paraId="2F2B4604" w14:textId="77777777">
        <w:trPr>
          <w:jc w:val="center"/>
        </w:trPr>
        <w:tc>
          <w:tcPr>
            <w:tcW w:w="4876" w:type="dxa"/>
            <w:tcBorders>
              <w:top w:val="nil"/>
              <w:left w:val="nil"/>
              <w:bottom w:val="nil"/>
              <w:right w:val="nil"/>
            </w:tcBorders>
          </w:tcPr>
          <w:p w14:paraId="40D22FFE" w14:textId="77777777" w:rsidR="00085FDC" w:rsidRPr="006A55BB" w:rsidRDefault="0071326C">
            <w:pPr>
              <w:pStyle w:val="Normal6a"/>
            </w:pPr>
            <w:r w:rsidRPr="006A55BB">
              <w:t>19.</w:t>
            </w:r>
            <w:r w:rsidRPr="006A55BB">
              <w:tab/>
              <w:t xml:space="preserve">prende </w:t>
            </w:r>
            <w:r w:rsidRPr="006A55BB">
              <w:t xml:space="preserve">atto, per quanto riguarda l'esercizio di conformità 2024, di un elevato livello di conformità con un tasso medio dell'85 % (87 % nel 2023); si rammarica che l'efficacia del sistema di controllo interno sia scesa dal 78 % al 66 %; rileva, in tale contesto, un divario tra la conformità formale e l'efficacia pratica nelle operazioni quotidiane; </w:t>
            </w:r>
            <w:r w:rsidRPr="006A55BB">
              <w:rPr>
                <w:b/>
                <w:i/>
              </w:rPr>
              <w:t>osserva che occorre adoperarsi, tra l'altro, per quanto riguarda la</w:t>
            </w:r>
            <w:r w:rsidRPr="006A55BB">
              <w:t xml:space="preserve"> comunicazione interna, </w:t>
            </w:r>
            <w:r w:rsidRPr="006A55BB">
              <w:rPr>
                <w:b/>
                <w:i/>
              </w:rPr>
              <w:t>la sensibilizzazione al rischio</w:t>
            </w:r>
            <w:r w:rsidRPr="006A55BB">
              <w:t xml:space="preserve"> e l'aggiornamento dei sistemi di gestione dei</w:t>
            </w:r>
            <w:r w:rsidRPr="006A55BB">
              <w:t xml:space="preserve"> documenti e delle informazioni; osserva inoltre che nel 2024 il Comitato ha adottato una decisione riveduta per la semplificazione di 23 tipi di verifiche, applicabile a partire dal gennaio 2025; accoglie con favore il fatto che, secondo il questionario, i controlli ex post già effettuati in relazione a tali verifiche abbiano confermato che la semplificazione non ha introdotto rischi aggiuntivi;</w:t>
            </w:r>
          </w:p>
        </w:tc>
        <w:tc>
          <w:tcPr>
            <w:tcW w:w="4876" w:type="dxa"/>
            <w:tcBorders>
              <w:top w:val="nil"/>
              <w:left w:val="nil"/>
              <w:bottom w:val="nil"/>
              <w:right w:val="nil"/>
            </w:tcBorders>
          </w:tcPr>
          <w:p w14:paraId="5A8804C1" w14:textId="77777777" w:rsidR="00085FDC" w:rsidRPr="006A55BB" w:rsidRDefault="0071326C">
            <w:pPr>
              <w:pStyle w:val="Normal6a"/>
            </w:pPr>
            <w:r w:rsidRPr="006A55BB">
              <w:t>19.</w:t>
            </w:r>
            <w:r w:rsidRPr="006A55BB">
              <w:tab/>
              <w:t xml:space="preserve">prende atto, per quanto riguarda l'esercizio di conformità 2024, di un elevato livello di conformità con un tasso medio dell'85 % (87 % nel 2023); si rammarica che l'efficacia del sistema di controllo interno sia scesa dal 78 % al 66 %; rileva, in tale contesto, un divario tra la conformità formale e l'efficacia pratica nelle operazioni quotidiane; </w:t>
            </w:r>
            <w:r w:rsidRPr="006A55BB">
              <w:rPr>
                <w:b/>
                <w:i/>
              </w:rPr>
              <w:t>invita il Comitato ad affrontare le cause strutturali del declino dell'efficacia del controllo interno, segnatamente rafforzando la cultura della sensibilizzazi</w:t>
            </w:r>
            <w:r w:rsidRPr="006A55BB">
              <w:rPr>
                <w:b/>
                <w:i/>
              </w:rPr>
              <w:t>one al rischio, migliorando i canali di</w:t>
            </w:r>
            <w:r w:rsidRPr="006A55BB">
              <w:t xml:space="preserve"> comunicazione interna, e </w:t>
            </w:r>
            <w:r w:rsidRPr="006A55BB">
              <w:rPr>
                <w:b/>
                <w:i/>
              </w:rPr>
              <w:t>accelerando</w:t>
            </w:r>
            <w:r w:rsidRPr="006A55BB">
              <w:t xml:space="preserve"> l'aggiornamento dei sistemi di gestione dei documenti e delle informazioni; osserva inoltre che nel 2024 il Comitato ha adottato una decisione riveduta per la semplificazione di 23 tipi di verifiche, applicabile a partire dal gennaio 2025; accoglie con favore il fatto che, secondo il questionario, i controlli ex post già effettuati in relazione a tali verifiche abbiano confermato che la semplificazione non ha introdotto rischi aggi</w:t>
            </w:r>
            <w:r w:rsidRPr="006A55BB">
              <w:t>untivi;</w:t>
            </w:r>
          </w:p>
        </w:tc>
      </w:tr>
    </w:tbl>
    <w:p w14:paraId="2A29E27E" w14:textId="77777777" w:rsidR="00085FDC" w:rsidRPr="006A55BB" w:rsidRDefault="0071326C">
      <w:pPr>
        <w:pStyle w:val="AmOrLang"/>
      </w:pPr>
      <w:r w:rsidRPr="006A55BB">
        <w:t xml:space="preserve">Or. </w:t>
      </w:r>
      <w:r w:rsidRPr="0071326C">
        <w:rPr>
          <w:rStyle w:val="HideTWBExt"/>
        </w:rPr>
        <w:t>&lt;Original&gt;</w:t>
      </w:r>
      <w:r w:rsidRPr="0071326C">
        <w:rPr>
          <w:rStyle w:val="HideTWBInt"/>
        </w:rPr>
        <w:t>{EN}</w:t>
      </w:r>
      <w:r w:rsidRPr="006A55BB">
        <w:t>en</w:t>
      </w:r>
      <w:r w:rsidRPr="0071326C">
        <w:rPr>
          <w:rStyle w:val="HideTWBExt"/>
        </w:rPr>
        <w:t>&lt;/Original&gt;</w:t>
      </w:r>
    </w:p>
    <w:p w14:paraId="23E2C9DA" w14:textId="77777777" w:rsidR="00085FDC" w:rsidRPr="006A55BB" w:rsidRDefault="0071326C">
      <w:r w:rsidRPr="0071326C">
        <w:rPr>
          <w:rStyle w:val="HideTWBExt"/>
        </w:rPr>
        <w:t>&lt;/Amend&gt;</w:t>
      </w:r>
    </w:p>
    <w:p w14:paraId="4E666E03" w14:textId="77777777" w:rsidR="00085FDC" w:rsidRPr="006A55BB" w:rsidRDefault="0071326C">
      <w:pPr>
        <w:pStyle w:val="AmNumberTabs"/>
      </w:pPr>
      <w:r w:rsidRPr="0071326C">
        <w:rPr>
          <w:rStyle w:val="HideTWBExt"/>
          <w:b w:val="0"/>
        </w:rPr>
        <w:lastRenderedPageBreak/>
        <w:t>&lt;Amend&gt;</w:t>
      </w:r>
      <w:r w:rsidRPr="006A55BB">
        <w:t>Emendamento</w:t>
      </w:r>
      <w:r w:rsidRPr="006A55BB">
        <w:tab/>
      </w:r>
      <w:r w:rsidRPr="006A55BB">
        <w:tab/>
      </w:r>
      <w:r w:rsidRPr="0071326C">
        <w:rPr>
          <w:rStyle w:val="HideTWBExt"/>
          <w:b w:val="0"/>
        </w:rPr>
        <w:t>&lt;NumAm&gt;</w:t>
      </w:r>
      <w:r w:rsidRPr="006A55BB">
        <w:t>22</w:t>
      </w:r>
      <w:r w:rsidRPr="0071326C">
        <w:rPr>
          <w:rStyle w:val="HideTWBExt"/>
          <w:b w:val="0"/>
        </w:rPr>
        <w:t>&lt;/NumAm&gt;</w:t>
      </w:r>
    </w:p>
    <w:p w14:paraId="4A973D4F" w14:textId="77777777" w:rsidR="00085FDC" w:rsidRPr="006A55BB" w:rsidRDefault="0071326C">
      <w:pPr>
        <w:pStyle w:val="NormalBold"/>
      </w:pPr>
      <w:r w:rsidRPr="0071326C">
        <w:rPr>
          <w:rStyle w:val="HideTWBExt"/>
          <w:b w:val="0"/>
        </w:rPr>
        <w:t>&lt;RepeatBlock-By&gt;&lt;Members&gt;</w:t>
      </w:r>
      <w:r w:rsidRPr="006A55BB">
        <w:t>Csaba Molnár</w:t>
      </w:r>
      <w:r w:rsidRPr="0071326C">
        <w:rPr>
          <w:rStyle w:val="HideTWBExt"/>
          <w:b w:val="0"/>
        </w:rPr>
        <w:t>&lt;/Members&gt;</w:t>
      </w:r>
    </w:p>
    <w:p w14:paraId="2717DFD6" w14:textId="77777777" w:rsidR="00085FDC" w:rsidRPr="006A55BB" w:rsidRDefault="0071326C">
      <w:pPr>
        <w:pStyle w:val="NormalBold"/>
      </w:pPr>
      <w:r w:rsidRPr="0071326C">
        <w:rPr>
          <w:rStyle w:val="HideTWBExt"/>
          <w:b w:val="0"/>
        </w:rPr>
        <w:t>&lt;/RepeatBlock-By&gt;</w:t>
      </w:r>
    </w:p>
    <w:p w14:paraId="59F2C9F1" w14:textId="77777777" w:rsidR="00085FDC" w:rsidRPr="006A55BB" w:rsidRDefault="0071326C">
      <w:pPr>
        <w:pStyle w:val="NormalBold"/>
      </w:pPr>
      <w:r w:rsidRPr="0071326C">
        <w:rPr>
          <w:rStyle w:val="HideTWBExt"/>
          <w:b w:val="0"/>
        </w:rPr>
        <w:t>&lt;DocAmend&gt;</w:t>
      </w:r>
      <w:r w:rsidRPr="006A55BB">
        <w:t>Proposta di risoluzione</w:t>
      </w:r>
      <w:r w:rsidRPr="0071326C">
        <w:rPr>
          <w:rStyle w:val="HideTWBExt"/>
          <w:b w:val="0"/>
        </w:rPr>
        <w:t>&lt;/DocAmend&gt;</w:t>
      </w:r>
    </w:p>
    <w:p w14:paraId="5239FB0A" w14:textId="77777777" w:rsidR="00085FDC" w:rsidRPr="006A55BB" w:rsidRDefault="0071326C">
      <w:pPr>
        <w:pStyle w:val="NormalBold"/>
      </w:pPr>
      <w:r w:rsidRPr="0071326C">
        <w:rPr>
          <w:rStyle w:val="HideTWBExt"/>
          <w:b w:val="0"/>
        </w:rPr>
        <w:t>&lt;Article&gt;</w:t>
      </w:r>
      <w:r w:rsidRPr="006A55BB">
        <w:t>Paragrafo 19</w:t>
      </w:r>
      <w:r w:rsidRPr="007132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FDC" w:rsidRPr="006A55BB" w14:paraId="365A195C" w14:textId="77777777">
        <w:trPr>
          <w:trHeight w:hRule="exact" w:val="240"/>
          <w:jc w:val="center"/>
        </w:trPr>
        <w:tc>
          <w:tcPr>
            <w:tcW w:w="9752" w:type="dxa"/>
            <w:gridSpan w:val="2"/>
            <w:tcBorders>
              <w:top w:val="nil"/>
              <w:left w:val="nil"/>
              <w:bottom w:val="nil"/>
              <w:right w:val="nil"/>
            </w:tcBorders>
          </w:tcPr>
          <w:p w14:paraId="15609C55" w14:textId="77777777" w:rsidR="00085FDC" w:rsidRPr="006A55BB" w:rsidRDefault="00085FDC"/>
        </w:tc>
      </w:tr>
      <w:tr w:rsidR="00085FDC" w:rsidRPr="006A55BB" w14:paraId="6B2B5944" w14:textId="77777777">
        <w:trPr>
          <w:trHeight w:val="240"/>
          <w:jc w:val="center"/>
        </w:trPr>
        <w:tc>
          <w:tcPr>
            <w:tcW w:w="4876" w:type="dxa"/>
            <w:tcBorders>
              <w:top w:val="nil"/>
              <w:left w:val="nil"/>
              <w:bottom w:val="nil"/>
              <w:right w:val="nil"/>
            </w:tcBorders>
          </w:tcPr>
          <w:p w14:paraId="398BA5E7" w14:textId="77777777" w:rsidR="00085FDC" w:rsidRPr="006A55BB" w:rsidRDefault="0071326C">
            <w:pPr>
              <w:pStyle w:val="AmColumnHeading"/>
            </w:pPr>
            <w:r w:rsidRPr="006A55BB">
              <w:t>Proposta di risoluzione</w:t>
            </w:r>
          </w:p>
        </w:tc>
        <w:tc>
          <w:tcPr>
            <w:tcW w:w="4876" w:type="dxa"/>
            <w:tcBorders>
              <w:top w:val="nil"/>
              <w:left w:val="nil"/>
              <w:bottom w:val="nil"/>
              <w:right w:val="nil"/>
            </w:tcBorders>
          </w:tcPr>
          <w:p w14:paraId="3D6873B2" w14:textId="77777777" w:rsidR="00085FDC" w:rsidRPr="006A55BB" w:rsidRDefault="0071326C">
            <w:pPr>
              <w:pStyle w:val="AmColumnHeading"/>
            </w:pPr>
            <w:r w:rsidRPr="006A55BB">
              <w:t>Emendamento</w:t>
            </w:r>
          </w:p>
        </w:tc>
      </w:tr>
      <w:tr w:rsidR="00085FDC" w:rsidRPr="006A55BB" w14:paraId="35B596E7" w14:textId="77777777">
        <w:trPr>
          <w:jc w:val="center"/>
        </w:trPr>
        <w:tc>
          <w:tcPr>
            <w:tcW w:w="4876" w:type="dxa"/>
            <w:tcBorders>
              <w:top w:val="nil"/>
              <w:left w:val="nil"/>
              <w:bottom w:val="nil"/>
              <w:right w:val="nil"/>
            </w:tcBorders>
          </w:tcPr>
          <w:p w14:paraId="790C6B3A" w14:textId="77777777" w:rsidR="00085FDC" w:rsidRPr="006A55BB" w:rsidRDefault="0071326C">
            <w:pPr>
              <w:pStyle w:val="Normal6a"/>
            </w:pPr>
            <w:r w:rsidRPr="006A55BB">
              <w:t>19.</w:t>
            </w:r>
            <w:r w:rsidRPr="006A55BB">
              <w:tab/>
              <w:t xml:space="preserve">prende atto, per quanto riguarda l'esercizio di conformità 2024, di un elevato </w:t>
            </w:r>
            <w:r w:rsidRPr="006A55BB">
              <w:t>livello di conformità con un tasso medio dell'85 % (87 % nel 2023); si rammarica che l'efficacia del sistema di controllo interno sia scesa dal 78 % al 66 %; rileva, in tale contesto, un divario tra la conformità formale e l'efficacia pratica nelle operazioni quotidiane; osserva che occorre adoperarsi, tra l'altro, per quanto riguarda la comunicazione interna, la sensibilizzazione al rischio e l'aggiornamento dei sistemi di gestione dei documenti e delle informazioni; osserva inoltre che nel 2024 il Comitat</w:t>
            </w:r>
            <w:r w:rsidRPr="006A55BB">
              <w:t>o ha adottato una decisione riveduta per la semplificazione di 23 tipi di verifiche, applicabile a partire dal gennaio 2025; accoglie con favore il fatto che, secondo il questionario, i controlli ex post già effettuati in relazione a tali verifiche abbiano confermato che la semplificazione non ha introdotto rischi aggiuntivi;</w:t>
            </w:r>
          </w:p>
        </w:tc>
        <w:tc>
          <w:tcPr>
            <w:tcW w:w="4876" w:type="dxa"/>
            <w:tcBorders>
              <w:top w:val="nil"/>
              <w:left w:val="nil"/>
              <w:bottom w:val="nil"/>
              <w:right w:val="nil"/>
            </w:tcBorders>
          </w:tcPr>
          <w:p w14:paraId="6C7A9511" w14:textId="77777777" w:rsidR="00085FDC" w:rsidRPr="006A55BB" w:rsidRDefault="0071326C">
            <w:pPr>
              <w:pStyle w:val="Normal6a"/>
            </w:pPr>
            <w:r w:rsidRPr="006A55BB">
              <w:rPr>
                <w:i/>
                <w:iCs/>
              </w:rPr>
              <w:t>(Non concerne la versione italiana)</w:t>
            </w:r>
            <w:r w:rsidRPr="006A55BB">
              <w:tab/>
              <w:t xml:space="preserve">     </w:t>
            </w:r>
          </w:p>
        </w:tc>
      </w:tr>
    </w:tbl>
    <w:p w14:paraId="126ADAC9" w14:textId="77777777" w:rsidR="00085FDC" w:rsidRPr="006A55BB" w:rsidRDefault="0071326C">
      <w:pPr>
        <w:pStyle w:val="AmOrLang"/>
      </w:pPr>
      <w:r w:rsidRPr="006A55BB">
        <w:t xml:space="preserve">Or. </w:t>
      </w:r>
      <w:r w:rsidRPr="0071326C">
        <w:rPr>
          <w:rStyle w:val="HideTWBExt"/>
        </w:rPr>
        <w:t>&lt;Original&gt;</w:t>
      </w:r>
      <w:r w:rsidRPr="0071326C">
        <w:rPr>
          <w:rStyle w:val="HideTWBInt"/>
        </w:rPr>
        <w:t>{EN}</w:t>
      </w:r>
      <w:r w:rsidRPr="006A55BB">
        <w:t>en</w:t>
      </w:r>
      <w:r w:rsidRPr="0071326C">
        <w:rPr>
          <w:rStyle w:val="HideTWBExt"/>
        </w:rPr>
        <w:t>&lt;/Original&gt;</w:t>
      </w:r>
    </w:p>
    <w:p w14:paraId="285813B5" w14:textId="77777777" w:rsidR="00085FDC" w:rsidRPr="006A55BB" w:rsidRDefault="0071326C">
      <w:r w:rsidRPr="0071326C">
        <w:rPr>
          <w:rStyle w:val="HideTWBExt"/>
        </w:rPr>
        <w:t>&lt;/Amend&gt;</w:t>
      </w:r>
    </w:p>
    <w:p w14:paraId="55F8D38E" w14:textId="77777777" w:rsidR="00085FDC" w:rsidRPr="006A55BB" w:rsidRDefault="0071326C">
      <w:pPr>
        <w:pStyle w:val="AmNumberTabs"/>
      </w:pPr>
      <w:r w:rsidRPr="0071326C">
        <w:rPr>
          <w:rStyle w:val="HideTWBExt"/>
          <w:b w:val="0"/>
        </w:rPr>
        <w:t>&lt;Amend&gt;</w:t>
      </w:r>
      <w:r w:rsidRPr="006A55BB">
        <w:t>Emendamento</w:t>
      </w:r>
      <w:r w:rsidRPr="006A55BB">
        <w:tab/>
      </w:r>
      <w:r w:rsidRPr="006A55BB">
        <w:tab/>
      </w:r>
      <w:r w:rsidRPr="0071326C">
        <w:rPr>
          <w:rStyle w:val="HideTWBExt"/>
          <w:b w:val="0"/>
        </w:rPr>
        <w:t>&lt;NumAm&gt;</w:t>
      </w:r>
      <w:r w:rsidRPr="006A55BB">
        <w:t>23</w:t>
      </w:r>
      <w:r w:rsidRPr="0071326C">
        <w:rPr>
          <w:rStyle w:val="HideTWBExt"/>
          <w:b w:val="0"/>
        </w:rPr>
        <w:t>&lt;/NumAm&gt;</w:t>
      </w:r>
    </w:p>
    <w:p w14:paraId="45D8CF65" w14:textId="77777777" w:rsidR="00085FDC" w:rsidRPr="006A55BB" w:rsidRDefault="0071326C">
      <w:pPr>
        <w:pStyle w:val="NormalBold"/>
      </w:pPr>
      <w:r w:rsidRPr="0071326C">
        <w:rPr>
          <w:rStyle w:val="HideTWBExt"/>
          <w:b w:val="0"/>
        </w:rPr>
        <w:t>&lt;RepeatBlock-By&gt;&lt;Members&gt;</w:t>
      </w:r>
      <w:r w:rsidRPr="006A55BB">
        <w:t>Şerban Dimitrie Sturdza</w:t>
      </w:r>
      <w:r w:rsidRPr="0071326C">
        <w:rPr>
          <w:rStyle w:val="HideTWBExt"/>
          <w:b w:val="0"/>
        </w:rPr>
        <w:t>&lt;/Members&gt;</w:t>
      </w:r>
    </w:p>
    <w:p w14:paraId="2999233E" w14:textId="77777777" w:rsidR="00085FDC" w:rsidRPr="006A55BB" w:rsidRDefault="0071326C">
      <w:pPr>
        <w:pStyle w:val="NormalBold"/>
      </w:pPr>
      <w:r w:rsidRPr="0071326C">
        <w:rPr>
          <w:rStyle w:val="HideTWBExt"/>
          <w:b w:val="0"/>
        </w:rPr>
        <w:t>&lt;/RepeatBlock-By&gt;</w:t>
      </w:r>
    </w:p>
    <w:p w14:paraId="72E9DB49" w14:textId="77777777" w:rsidR="00085FDC" w:rsidRPr="006A55BB" w:rsidRDefault="0071326C">
      <w:pPr>
        <w:pStyle w:val="NormalBold"/>
      </w:pPr>
      <w:r w:rsidRPr="0071326C">
        <w:rPr>
          <w:rStyle w:val="HideTWBExt"/>
          <w:b w:val="0"/>
        </w:rPr>
        <w:t>&lt;DocAmend&gt;</w:t>
      </w:r>
      <w:r w:rsidRPr="006A55BB">
        <w:t>Proposta di risoluzione</w:t>
      </w:r>
      <w:r w:rsidRPr="0071326C">
        <w:rPr>
          <w:rStyle w:val="HideTWBExt"/>
          <w:b w:val="0"/>
        </w:rPr>
        <w:t>&lt;/DocAmend&gt;</w:t>
      </w:r>
    </w:p>
    <w:p w14:paraId="108E7097" w14:textId="77777777" w:rsidR="00085FDC" w:rsidRPr="006A55BB" w:rsidRDefault="0071326C">
      <w:pPr>
        <w:pStyle w:val="NormalBold"/>
      </w:pPr>
      <w:r w:rsidRPr="0071326C">
        <w:rPr>
          <w:rStyle w:val="HideTWBExt"/>
          <w:b w:val="0"/>
        </w:rPr>
        <w:t>&lt;Article&gt;</w:t>
      </w:r>
      <w:r w:rsidRPr="006A55BB">
        <w:t>Paragrafo 20</w:t>
      </w:r>
      <w:r w:rsidRPr="007132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FDC" w:rsidRPr="006A55BB" w14:paraId="6E7CBC15" w14:textId="77777777">
        <w:trPr>
          <w:trHeight w:hRule="exact" w:val="240"/>
          <w:jc w:val="center"/>
        </w:trPr>
        <w:tc>
          <w:tcPr>
            <w:tcW w:w="9752" w:type="dxa"/>
            <w:gridSpan w:val="2"/>
            <w:tcBorders>
              <w:top w:val="nil"/>
              <w:left w:val="nil"/>
              <w:bottom w:val="nil"/>
              <w:right w:val="nil"/>
            </w:tcBorders>
          </w:tcPr>
          <w:p w14:paraId="43820814" w14:textId="77777777" w:rsidR="00085FDC" w:rsidRPr="006A55BB" w:rsidRDefault="00085FDC"/>
        </w:tc>
      </w:tr>
      <w:tr w:rsidR="00085FDC" w:rsidRPr="006A55BB" w14:paraId="05C4FB6B" w14:textId="77777777">
        <w:trPr>
          <w:trHeight w:val="240"/>
          <w:jc w:val="center"/>
        </w:trPr>
        <w:tc>
          <w:tcPr>
            <w:tcW w:w="4876" w:type="dxa"/>
            <w:tcBorders>
              <w:top w:val="nil"/>
              <w:left w:val="nil"/>
              <w:bottom w:val="nil"/>
              <w:right w:val="nil"/>
            </w:tcBorders>
          </w:tcPr>
          <w:p w14:paraId="42486325" w14:textId="77777777" w:rsidR="00085FDC" w:rsidRPr="006A55BB" w:rsidRDefault="0071326C">
            <w:pPr>
              <w:pStyle w:val="AmColumnHeading"/>
            </w:pPr>
            <w:r w:rsidRPr="006A55BB">
              <w:t>Proposta di risoluzione</w:t>
            </w:r>
          </w:p>
        </w:tc>
        <w:tc>
          <w:tcPr>
            <w:tcW w:w="4876" w:type="dxa"/>
            <w:tcBorders>
              <w:top w:val="nil"/>
              <w:left w:val="nil"/>
              <w:bottom w:val="nil"/>
              <w:right w:val="nil"/>
            </w:tcBorders>
          </w:tcPr>
          <w:p w14:paraId="6E106379" w14:textId="77777777" w:rsidR="00085FDC" w:rsidRPr="006A55BB" w:rsidRDefault="0071326C">
            <w:pPr>
              <w:pStyle w:val="AmColumnHeading"/>
            </w:pPr>
            <w:r w:rsidRPr="006A55BB">
              <w:t>Emendamento</w:t>
            </w:r>
          </w:p>
        </w:tc>
      </w:tr>
      <w:tr w:rsidR="00085FDC" w:rsidRPr="006A55BB" w14:paraId="56AE34D5" w14:textId="77777777">
        <w:trPr>
          <w:jc w:val="center"/>
        </w:trPr>
        <w:tc>
          <w:tcPr>
            <w:tcW w:w="4876" w:type="dxa"/>
            <w:tcBorders>
              <w:top w:val="nil"/>
              <w:left w:val="nil"/>
              <w:bottom w:val="nil"/>
              <w:right w:val="nil"/>
            </w:tcBorders>
          </w:tcPr>
          <w:p w14:paraId="70EDDF0E" w14:textId="77777777" w:rsidR="00085FDC" w:rsidRPr="006A55BB" w:rsidRDefault="0071326C">
            <w:pPr>
              <w:pStyle w:val="Normal6a"/>
            </w:pPr>
            <w:r w:rsidRPr="006A55BB">
              <w:t>20.</w:t>
            </w:r>
            <w:r w:rsidRPr="006A55BB">
              <w:tab/>
              <w:t xml:space="preserve">prende atto della relazione annuale di attività del Comitato per il 2024 (la "relazione del </w:t>
            </w:r>
            <w:r w:rsidRPr="006A55BB">
              <w:t xml:space="preserve">Comitato") secondo cui nel 2024 sono stati effettuati cinque nuovi audit sull'indennità di durata e distanza, </w:t>
            </w:r>
            <w:r w:rsidRPr="006A55BB">
              <w:lastRenderedPageBreak/>
              <w:t>sulla gestione del rischio, sulle segnalazioni, sugli indicatori chiave di attività e di performance e sulle spese di viaggio, il che ha portato a un totale di 14 raccomandazioni; prende atto in particolare delle conclusioni del revisore interno per quanto riguarda le indennità di durata e distanza, come la mancanza di una chiara definizione di "luogo di residenza abituale" e la mancanza di requisit</w:t>
            </w:r>
            <w:r w:rsidRPr="006A55BB">
              <w:t>i per la documentazione giustificativa; osserva inoltre che a fine gennaio 2025 erano ancora in sospeso 13 delle raccomandazioni; rileva altresì che sono ancora in sospeso sette raccomandazioni da audit precedenti, in particolare per quanto riguarda l'etica e l'integrità, i tempi di pagamento, le autorizzazioni delle riunioni, i delegati della commissione consultiva per le trasformazioni industriali (CCMI) e il ciclo strategico; accoglie con favore, a tal proposito, il fatto che il Comitato abbia adottato n</w:t>
            </w:r>
            <w:r w:rsidRPr="006A55BB">
              <w:t>uove norme in materia di autorizzazioni, indennità e rimborsi per le riunioni; invita il Comitato a continuare a tenere informata l'autorità di discarico riguardo ai progressi compiuti nell'attuazione di tutte le raccomandazioni in corso;</w:t>
            </w:r>
          </w:p>
        </w:tc>
        <w:tc>
          <w:tcPr>
            <w:tcW w:w="4876" w:type="dxa"/>
            <w:tcBorders>
              <w:top w:val="nil"/>
              <w:left w:val="nil"/>
              <w:bottom w:val="nil"/>
              <w:right w:val="nil"/>
            </w:tcBorders>
          </w:tcPr>
          <w:p w14:paraId="70931C36" w14:textId="77777777" w:rsidR="00085FDC" w:rsidRPr="006A55BB" w:rsidRDefault="0071326C">
            <w:pPr>
              <w:pStyle w:val="Normal6a"/>
            </w:pPr>
            <w:r w:rsidRPr="006A55BB">
              <w:lastRenderedPageBreak/>
              <w:t>20.</w:t>
            </w:r>
            <w:r w:rsidRPr="006A55BB">
              <w:tab/>
              <w:t xml:space="preserve">prende atto della relazione annuale di attività del Comitato per il 2024 (la "relazione del Comitato") secondo cui nel 2024 sono stati effettuati cinque nuovi audit sull'indennità di durata e distanza, </w:t>
            </w:r>
            <w:r w:rsidRPr="006A55BB">
              <w:lastRenderedPageBreak/>
              <w:t xml:space="preserve">sulla gestione del rischio, sulle segnalazioni, sugli indicatori chiave di attività e di performance e sulle spese di viaggio, il che ha portato a un totale di 14 raccomandazioni; prende atto in particolare delle conclusioni del revisore interno per quanto riguarda le indennità di durata e distanza, come la </w:t>
            </w:r>
            <w:r w:rsidRPr="006A55BB">
              <w:t>mancanza di una chiara definizione di "luogo di residenza abituale" e la mancanza di requisiti per la documentazione giustificativa; osserva inoltre che a fine gennaio 2025 erano ancora in sospeso 13 delle raccomandazioni; rileva altresì che sono ancora in sospeso sette raccomandazioni da audit precedenti, in particolare per quanto riguarda l'etica e l'integrità, i tempi di pagamento, le autorizzazioni delle riunioni, i delegati della commissione consultiva per le trasformazioni industriali (CCMI) e il cicl</w:t>
            </w:r>
            <w:r w:rsidRPr="006A55BB">
              <w:t xml:space="preserve">o strategico; accoglie con favore, a tal proposito, il fatto che il Comitato abbia adottato nuove norme in materia di autorizzazioni, indennità e rimborsi per le riunioni; invita il Comitato </w:t>
            </w:r>
            <w:r w:rsidRPr="006A55BB">
              <w:rPr>
                <w:b/>
                <w:i/>
              </w:rPr>
              <w:t>a garantire la rapida chiusura di tutte le raccomandazioni pendenti in materia di audit, in particolare quelle legate alle indennità, all'etica e all'integrità, e</w:t>
            </w:r>
            <w:r w:rsidRPr="006A55BB">
              <w:t xml:space="preserve"> a continuare a tenere informata l'autorità di discarico riguardo ai progressi compiuti nell'attuazione di tutte le raccomandazioni in corso;</w:t>
            </w:r>
          </w:p>
        </w:tc>
      </w:tr>
    </w:tbl>
    <w:p w14:paraId="742DBAE6" w14:textId="77777777" w:rsidR="00085FDC" w:rsidRPr="006A55BB" w:rsidRDefault="0071326C">
      <w:pPr>
        <w:pStyle w:val="AmOrLang"/>
      </w:pPr>
      <w:r w:rsidRPr="006A55BB">
        <w:lastRenderedPageBreak/>
        <w:t xml:space="preserve">Or. </w:t>
      </w:r>
      <w:r w:rsidRPr="0071326C">
        <w:rPr>
          <w:rStyle w:val="HideTWBExt"/>
        </w:rPr>
        <w:t>&lt;Original&gt;</w:t>
      </w:r>
      <w:r w:rsidRPr="0071326C">
        <w:rPr>
          <w:rStyle w:val="HideTWBInt"/>
        </w:rPr>
        <w:t>{EN}</w:t>
      </w:r>
      <w:r w:rsidRPr="006A55BB">
        <w:t>en</w:t>
      </w:r>
      <w:r w:rsidRPr="0071326C">
        <w:rPr>
          <w:rStyle w:val="HideTWBExt"/>
        </w:rPr>
        <w:t>&lt;/Original&gt;</w:t>
      </w:r>
    </w:p>
    <w:p w14:paraId="1967FC7F" w14:textId="77777777" w:rsidR="00085FDC" w:rsidRPr="006A55BB" w:rsidRDefault="0071326C">
      <w:r w:rsidRPr="0071326C">
        <w:rPr>
          <w:rStyle w:val="HideTWBExt"/>
        </w:rPr>
        <w:t>&lt;/Amend&gt;</w:t>
      </w:r>
    </w:p>
    <w:p w14:paraId="454E6030" w14:textId="77777777" w:rsidR="00085FDC" w:rsidRPr="006A55BB" w:rsidRDefault="0071326C">
      <w:pPr>
        <w:pStyle w:val="AmNumberTabs"/>
      </w:pPr>
      <w:r w:rsidRPr="0071326C">
        <w:rPr>
          <w:rStyle w:val="HideTWBExt"/>
          <w:b w:val="0"/>
        </w:rPr>
        <w:t>&lt;Amend&gt;</w:t>
      </w:r>
      <w:r w:rsidRPr="006A55BB">
        <w:t>Emendamento</w:t>
      </w:r>
      <w:r w:rsidRPr="006A55BB">
        <w:tab/>
      </w:r>
      <w:r w:rsidRPr="006A55BB">
        <w:tab/>
      </w:r>
      <w:r w:rsidRPr="0071326C">
        <w:rPr>
          <w:rStyle w:val="HideTWBExt"/>
          <w:b w:val="0"/>
        </w:rPr>
        <w:t>&lt;NumAm&gt;</w:t>
      </w:r>
      <w:r w:rsidRPr="006A55BB">
        <w:t>24</w:t>
      </w:r>
      <w:r w:rsidRPr="0071326C">
        <w:rPr>
          <w:rStyle w:val="HideTWBExt"/>
          <w:b w:val="0"/>
        </w:rPr>
        <w:t>&lt;/NumAm&gt;</w:t>
      </w:r>
    </w:p>
    <w:p w14:paraId="6ACCF949" w14:textId="77777777" w:rsidR="00085FDC" w:rsidRPr="006A55BB" w:rsidRDefault="0071326C">
      <w:pPr>
        <w:pStyle w:val="NormalBold"/>
      </w:pPr>
      <w:r w:rsidRPr="0071326C">
        <w:rPr>
          <w:rStyle w:val="HideTWBExt"/>
          <w:b w:val="0"/>
        </w:rPr>
        <w:t>&lt;RepeatBlock-By&gt;&lt;Members&gt;</w:t>
      </w:r>
      <w:r w:rsidRPr="006A55BB">
        <w:t>Csaba Molnár</w:t>
      </w:r>
      <w:r w:rsidRPr="0071326C">
        <w:rPr>
          <w:rStyle w:val="HideTWBExt"/>
          <w:b w:val="0"/>
        </w:rPr>
        <w:t>&lt;/Members&gt;</w:t>
      </w:r>
    </w:p>
    <w:p w14:paraId="54845C48" w14:textId="77777777" w:rsidR="00085FDC" w:rsidRPr="006A55BB" w:rsidRDefault="0071326C">
      <w:pPr>
        <w:pStyle w:val="NormalBold"/>
      </w:pPr>
      <w:r w:rsidRPr="0071326C">
        <w:rPr>
          <w:rStyle w:val="HideTWBExt"/>
          <w:b w:val="0"/>
        </w:rPr>
        <w:t>&lt;/RepeatBlock-By&gt;</w:t>
      </w:r>
    </w:p>
    <w:p w14:paraId="74D50C3F" w14:textId="77777777" w:rsidR="00085FDC" w:rsidRPr="006A55BB" w:rsidRDefault="0071326C">
      <w:pPr>
        <w:pStyle w:val="NormalBold"/>
      </w:pPr>
      <w:r w:rsidRPr="0071326C">
        <w:rPr>
          <w:rStyle w:val="HideTWBExt"/>
          <w:b w:val="0"/>
        </w:rPr>
        <w:t>&lt;DocAmend&gt;</w:t>
      </w:r>
      <w:r w:rsidRPr="006A55BB">
        <w:t>Proposta di risoluzione</w:t>
      </w:r>
      <w:r w:rsidRPr="0071326C">
        <w:rPr>
          <w:rStyle w:val="HideTWBExt"/>
          <w:b w:val="0"/>
        </w:rPr>
        <w:t>&lt;/DocAmend&gt;</w:t>
      </w:r>
    </w:p>
    <w:p w14:paraId="2C43C1C7" w14:textId="77777777" w:rsidR="00085FDC" w:rsidRPr="006A55BB" w:rsidRDefault="0071326C">
      <w:pPr>
        <w:pStyle w:val="NormalBold"/>
      </w:pPr>
      <w:r w:rsidRPr="0071326C">
        <w:rPr>
          <w:rStyle w:val="HideTWBExt"/>
          <w:b w:val="0"/>
        </w:rPr>
        <w:t>&lt;Article&gt;</w:t>
      </w:r>
      <w:r w:rsidRPr="006A55BB">
        <w:t>Paragrafo 20 bis (nuovo)</w:t>
      </w:r>
      <w:r w:rsidRPr="007132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FDC" w:rsidRPr="006A55BB" w14:paraId="111B1972" w14:textId="77777777">
        <w:trPr>
          <w:trHeight w:hRule="exact" w:val="240"/>
          <w:jc w:val="center"/>
        </w:trPr>
        <w:tc>
          <w:tcPr>
            <w:tcW w:w="9752" w:type="dxa"/>
            <w:gridSpan w:val="2"/>
            <w:tcBorders>
              <w:top w:val="nil"/>
              <w:left w:val="nil"/>
              <w:bottom w:val="nil"/>
              <w:right w:val="nil"/>
            </w:tcBorders>
          </w:tcPr>
          <w:p w14:paraId="3E6DB08E" w14:textId="77777777" w:rsidR="00085FDC" w:rsidRPr="006A55BB" w:rsidRDefault="00085FDC"/>
        </w:tc>
      </w:tr>
      <w:tr w:rsidR="00085FDC" w:rsidRPr="006A55BB" w14:paraId="2B0E406D" w14:textId="77777777">
        <w:trPr>
          <w:trHeight w:val="240"/>
          <w:jc w:val="center"/>
        </w:trPr>
        <w:tc>
          <w:tcPr>
            <w:tcW w:w="4876" w:type="dxa"/>
            <w:tcBorders>
              <w:top w:val="nil"/>
              <w:left w:val="nil"/>
              <w:bottom w:val="nil"/>
              <w:right w:val="nil"/>
            </w:tcBorders>
          </w:tcPr>
          <w:p w14:paraId="57ABE66E" w14:textId="77777777" w:rsidR="00085FDC" w:rsidRPr="006A55BB" w:rsidRDefault="0071326C">
            <w:pPr>
              <w:pStyle w:val="AmColumnHeading"/>
            </w:pPr>
            <w:r w:rsidRPr="006A55BB">
              <w:t>Proposta di risoluzione</w:t>
            </w:r>
          </w:p>
        </w:tc>
        <w:tc>
          <w:tcPr>
            <w:tcW w:w="4876" w:type="dxa"/>
            <w:tcBorders>
              <w:top w:val="nil"/>
              <w:left w:val="nil"/>
              <w:bottom w:val="nil"/>
              <w:right w:val="nil"/>
            </w:tcBorders>
          </w:tcPr>
          <w:p w14:paraId="78B3F6C1" w14:textId="77777777" w:rsidR="00085FDC" w:rsidRPr="006A55BB" w:rsidRDefault="0071326C">
            <w:pPr>
              <w:pStyle w:val="AmColumnHeading"/>
            </w:pPr>
            <w:r w:rsidRPr="006A55BB">
              <w:t>Emendamento</w:t>
            </w:r>
          </w:p>
        </w:tc>
      </w:tr>
      <w:tr w:rsidR="00085FDC" w:rsidRPr="006A55BB" w14:paraId="1F34064F" w14:textId="77777777">
        <w:trPr>
          <w:jc w:val="center"/>
        </w:trPr>
        <w:tc>
          <w:tcPr>
            <w:tcW w:w="4876" w:type="dxa"/>
            <w:tcBorders>
              <w:top w:val="nil"/>
              <w:left w:val="nil"/>
              <w:bottom w:val="nil"/>
              <w:right w:val="nil"/>
            </w:tcBorders>
          </w:tcPr>
          <w:p w14:paraId="5CCA683E" w14:textId="77777777" w:rsidR="00085FDC" w:rsidRPr="006A55BB" w:rsidRDefault="00085FDC">
            <w:pPr>
              <w:pStyle w:val="Normal6a"/>
            </w:pPr>
          </w:p>
        </w:tc>
        <w:tc>
          <w:tcPr>
            <w:tcW w:w="4876" w:type="dxa"/>
            <w:tcBorders>
              <w:top w:val="nil"/>
              <w:left w:val="nil"/>
              <w:bottom w:val="nil"/>
              <w:right w:val="nil"/>
            </w:tcBorders>
          </w:tcPr>
          <w:p w14:paraId="5C0DF9C6" w14:textId="77777777" w:rsidR="00085FDC" w:rsidRPr="006A55BB" w:rsidRDefault="0071326C">
            <w:pPr>
              <w:pStyle w:val="Normal6a"/>
            </w:pPr>
            <w:r w:rsidRPr="006A55BB">
              <w:rPr>
                <w:b/>
                <w:i/>
              </w:rPr>
              <w:t>20 bis.</w:t>
            </w:r>
            <w:r w:rsidRPr="006A55BB">
              <w:tab/>
            </w:r>
            <w:r w:rsidRPr="006A55BB">
              <w:rPr>
                <w:b/>
                <w:i/>
              </w:rPr>
              <w:t xml:space="preserve">sottolinea l'importanza degli appalti quale strumento per promuovere </w:t>
            </w:r>
            <w:r w:rsidRPr="006A55BB">
              <w:rPr>
                <w:b/>
                <w:i/>
              </w:rPr>
              <w:lastRenderedPageBreak/>
              <w:t>gli obiettivi politici, compresi gli obiettivi sociali e ambientali; invita il Comitato a rafforzare l'inclusione di criteri strategici in materia di responsabilità sociale e sostenibilità ambientale nelle sue procedure di appalto;</w:t>
            </w:r>
          </w:p>
        </w:tc>
      </w:tr>
    </w:tbl>
    <w:p w14:paraId="29E2D553" w14:textId="77777777" w:rsidR="00085FDC" w:rsidRPr="006A55BB" w:rsidRDefault="0071326C">
      <w:pPr>
        <w:pStyle w:val="AmOrLang"/>
      </w:pPr>
      <w:r w:rsidRPr="006A55BB">
        <w:lastRenderedPageBreak/>
        <w:t xml:space="preserve">Or. </w:t>
      </w:r>
      <w:r w:rsidRPr="0071326C">
        <w:rPr>
          <w:rStyle w:val="HideTWBExt"/>
        </w:rPr>
        <w:t>&lt;Original&gt;</w:t>
      </w:r>
      <w:r w:rsidRPr="0071326C">
        <w:rPr>
          <w:rStyle w:val="HideTWBInt"/>
        </w:rPr>
        <w:t>{EN}</w:t>
      </w:r>
      <w:r w:rsidRPr="006A55BB">
        <w:t>en</w:t>
      </w:r>
      <w:r w:rsidRPr="0071326C">
        <w:rPr>
          <w:rStyle w:val="HideTWBExt"/>
        </w:rPr>
        <w:t>&lt;/Original&gt;</w:t>
      </w:r>
    </w:p>
    <w:p w14:paraId="7E1E95B5" w14:textId="77777777" w:rsidR="00085FDC" w:rsidRPr="006A55BB" w:rsidRDefault="0071326C">
      <w:r w:rsidRPr="0071326C">
        <w:rPr>
          <w:rStyle w:val="HideTWBExt"/>
        </w:rPr>
        <w:t>&lt;/Amend&gt;</w:t>
      </w:r>
    </w:p>
    <w:p w14:paraId="766248AC" w14:textId="77777777" w:rsidR="00085FDC" w:rsidRPr="006A55BB" w:rsidRDefault="0071326C">
      <w:pPr>
        <w:pStyle w:val="AmNumberTabs"/>
      </w:pPr>
      <w:r w:rsidRPr="0071326C">
        <w:rPr>
          <w:rStyle w:val="HideTWBExt"/>
          <w:b w:val="0"/>
        </w:rPr>
        <w:t>&lt;Amend&gt;</w:t>
      </w:r>
      <w:r w:rsidRPr="006A55BB">
        <w:t>Emendamento</w:t>
      </w:r>
      <w:r w:rsidRPr="006A55BB">
        <w:tab/>
      </w:r>
      <w:r w:rsidRPr="006A55BB">
        <w:tab/>
      </w:r>
      <w:r w:rsidRPr="0071326C">
        <w:rPr>
          <w:rStyle w:val="HideTWBExt"/>
          <w:b w:val="0"/>
        </w:rPr>
        <w:t>&lt;NumAm&gt;</w:t>
      </w:r>
      <w:r w:rsidRPr="006A55BB">
        <w:t>25</w:t>
      </w:r>
      <w:r w:rsidRPr="0071326C">
        <w:rPr>
          <w:rStyle w:val="HideTWBExt"/>
          <w:b w:val="0"/>
        </w:rPr>
        <w:t>&lt;/NumAm&gt;</w:t>
      </w:r>
    </w:p>
    <w:p w14:paraId="338ADB82" w14:textId="77777777" w:rsidR="00085FDC" w:rsidRPr="006A55BB" w:rsidRDefault="0071326C">
      <w:pPr>
        <w:pStyle w:val="NormalBold"/>
      </w:pPr>
      <w:r w:rsidRPr="0071326C">
        <w:rPr>
          <w:rStyle w:val="HideTWBExt"/>
          <w:b w:val="0"/>
        </w:rPr>
        <w:t>&lt;RepeatBlock-By&gt;&lt;Members&gt;</w:t>
      </w:r>
      <w:r w:rsidRPr="006A55BB">
        <w:t>Csaba Molnár</w:t>
      </w:r>
      <w:r w:rsidRPr="0071326C">
        <w:rPr>
          <w:rStyle w:val="HideTWBExt"/>
          <w:b w:val="0"/>
        </w:rPr>
        <w:t>&lt;/Members&gt;</w:t>
      </w:r>
    </w:p>
    <w:p w14:paraId="7113C8CA" w14:textId="77777777" w:rsidR="00085FDC" w:rsidRPr="006A55BB" w:rsidRDefault="0071326C">
      <w:pPr>
        <w:pStyle w:val="NormalBold"/>
      </w:pPr>
      <w:r w:rsidRPr="0071326C">
        <w:rPr>
          <w:rStyle w:val="HideTWBExt"/>
          <w:b w:val="0"/>
        </w:rPr>
        <w:t>&lt;/RepeatBlock-By&gt;</w:t>
      </w:r>
    </w:p>
    <w:p w14:paraId="1F0AE0ED" w14:textId="77777777" w:rsidR="00085FDC" w:rsidRPr="006A55BB" w:rsidRDefault="0071326C">
      <w:pPr>
        <w:pStyle w:val="NormalBold"/>
      </w:pPr>
      <w:r w:rsidRPr="0071326C">
        <w:rPr>
          <w:rStyle w:val="HideTWBExt"/>
          <w:b w:val="0"/>
        </w:rPr>
        <w:t>&lt;DocAmend&gt;</w:t>
      </w:r>
      <w:r w:rsidRPr="006A55BB">
        <w:t xml:space="preserve">Proposta di </w:t>
      </w:r>
      <w:r w:rsidRPr="006A55BB">
        <w:t>risoluzione</w:t>
      </w:r>
      <w:r w:rsidRPr="0071326C">
        <w:rPr>
          <w:rStyle w:val="HideTWBExt"/>
          <w:b w:val="0"/>
        </w:rPr>
        <w:t>&lt;/DocAmend&gt;</w:t>
      </w:r>
    </w:p>
    <w:p w14:paraId="7F639B2B" w14:textId="77777777" w:rsidR="00085FDC" w:rsidRPr="006A55BB" w:rsidRDefault="0071326C">
      <w:pPr>
        <w:pStyle w:val="NormalBold"/>
      </w:pPr>
      <w:r w:rsidRPr="0071326C">
        <w:rPr>
          <w:rStyle w:val="HideTWBExt"/>
          <w:b w:val="0"/>
        </w:rPr>
        <w:t>&lt;Article&gt;</w:t>
      </w:r>
      <w:r w:rsidRPr="006A55BB">
        <w:t>Paragrafo 21</w:t>
      </w:r>
      <w:r w:rsidRPr="007132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FDC" w:rsidRPr="006A55BB" w14:paraId="04CEF133" w14:textId="77777777">
        <w:trPr>
          <w:trHeight w:hRule="exact" w:val="240"/>
          <w:jc w:val="center"/>
        </w:trPr>
        <w:tc>
          <w:tcPr>
            <w:tcW w:w="9752" w:type="dxa"/>
            <w:gridSpan w:val="2"/>
            <w:tcBorders>
              <w:top w:val="nil"/>
              <w:left w:val="nil"/>
              <w:bottom w:val="nil"/>
              <w:right w:val="nil"/>
            </w:tcBorders>
          </w:tcPr>
          <w:p w14:paraId="2B44ADDE" w14:textId="77777777" w:rsidR="00085FDC" w:rsidRPr="006A55BB" w:rsidRDefault="00085FDC"/>
        </w:tc>
      </w:tr>
      <w:tr w:rsidR="00085FDC" w:rsidRPr="006A55BB" w14:paraId="628E6802" w14:textId="77777777">
        <w:trPr>
          <w:trHeight w:val="240"/>
          <w:jc w:val="center"/>
        </w:trPr>
        <w:tc>
          <w:tcPr>
            <w:tcW w:w="4876" w:type="dxa"/>
            <w:tcBorders>
              <w:top w:val="nil"/>
              <w:left w:val="nil"/>
              <w:bottom w:val="nil"/>
              <w:right w:val="nil"/>
            </w:tcBorders>
          </w:tcPr>
          <w:p w14:paraId="1207D2F3" w14:textId="77777777" w:rsidR="00085FDC" w:rsidRPr="006A55BB" w:rsidRDefault="0071326C">
            <w:pPr>
              <w:pStyle w:val="AmColumnHeading"/>
            </w:pPr>
            <w:r w:rsidRPr="006A55BB">
              <w:t>Proposta di risoluzione</w:t>
            </w:r>
          </w:p>
        </w:tc>
        <w:tc>
          <w:tcPr>
            <w:tcW w:w="4876" w:type="dxa"/>
            <w:tcBorders>
              <w:top w:val="nil"/>
              <w:left w:val="nil"/>
              <w:bottom w:val="nil"/>
              <w:right w:val="nil"/>
            </w:tcBorders>
          </w:tcPr>
          <w:p w14:paraId="51346834" w14:textId="77777777" w:rsidR="00085FDC" w:rsidRPr="006A55BB" w:rsidRDefault="0071326C">
            <w:pPr>
              <w:pStyle w:val="AmColumnHeading"/>
            </w:pPr>
            <w:r w:rsidRPr="006A55BB">
              <w:t>Emendamento</w:t>
            </w:r>
          </w:p>
        </w:tc>
      </w:tr>
      <w:tr w:rsidR="00085FDC" w:rsidRPr="006A55BB" w14:paraId="1A40B67B" w14:textId="77777777">
        <w:trPr>
          <w:jc w:val="center"/>
        </w:trPr>
        <w:tc>
          <w:tcPr>
            <w:tcW w:w="4876" w:type="dxa"/>
            <w:tcBorders>
              <w:top w:val="nil"/>
              <w:left w:val="nil"/>
              <w:bottom w:val="nil"/>
              <w:right w:val="nil"/>
            </w:tcBorders>
          </w:tcPr>
          <w:p w14:paraId="0C38FBC2" w14:textId="77777777" w:rsidR="00085FDC" w:rsidRPr="006A55BB" w:rsidRDefault="0071326C">
            <w:pPr>
              <w:pStyle w:val="Normal6a"/>
            </w:pPr>
            <w:r w:rsidRPr="006A55BB">
              <w:t>21.</w:t>
            </w:r>
            <w:r w:rsidRPr="006A55BB">
              <w:tab/>
              <w:t>rileva che, alla fine del 2024, il Comitato contava 713 membri del personale, rispetto ai 707 del 2023; osserva inoltre che nel 2024 erano impiegati 48 agenti contrattuali e 144 agenti temporanei, di cui 42 assunti nel 2024 (rispetto ai 49 agenti contrattuali e ai 130 agenti temporanei del 2023); sottolinea l'importanza di fornire contratti a tempo indeterminato al fine di mantenere le competenze, la continuità e un ambiente di lavoro produttivo; osserva, inoltre, che il Comitato impiegava 10 prestatori di</w:t>
            </w:r>
            <w:r w:rsidRPr="006A55BB">
              <w:t xml:space="preserve"> servizi e 14 membri del personale esterni che lavoravano all'interno dei suoi locali, esclusi quelli nei settori della ristorazione, della manutenzione, della sicurezza e della protezione; osserva che nel 2024 il tasso di occupazione è stato del 96 % (95,50 % nel 2023) e che il tasso di avvicendamento del personale è stato del 5,60 % (in calo rispetto al 7 % nel 2023);</w:t>
            </w:r>
          </w:p>
        </w:tc>
        <w:tc>
          <w:tcPr>
            <w:tcW w:w="4876" w:type="dxa"/>
            <w:tcBorders>
              <w:top w:val="nil"/>
              <w:left w:val="nil"/>
              <w:bottom w:val="nil"/>
              <w:right w:val="nil"/>
            </w:tcBorders>
          </w:tcPr>
          <w:p w14:paraId="011EEB97" w14:textId="77777777" w:rsidR="00085FDC" w:rsidRPr="006A55BB" w:rsidRDefault="0071326C">
            <w:pPr>
              <w:pStyle w:val="Normal6a"/>
            </w:pPr>
            <w:r w:rsidRPr="006A55BB">
              <w:t>21.</w:t>
            </w:r>
            <w:r w:rsidRPr="006A55BB">
              <w:tab/>
              <w:t xml:space="preserve">rileva che, alla fine del 2024, il </w:t>
            </w:r>
            <w:r w:rsidRPr="006A55BB">
              <w:t>Comitato contava 713 membri del personale, rispetto ai 707 del 2023; osserva inoltre che nel 2024 erano impiegati 48 agenti contrattuali e 144 agenti temporanei, di cui 42 assunti nel 2024 (rispetto ai 49 agenti contrattuali e ai 130 agenti temporanei del 2023); sottolinea l'importanza di fornire contratti a tempo indeterminato al fine di mantenere le competenze, la continuità e un ambiente di lavoro produttivo</w:t>
            </w:r>
            <w:r w:rsidRPr="006A55BB">
              <w:rPr>
                <w:b/>
                <w:i/>
              </w:rPr>
              <w:t>, e mette in guardia da un eccessivo affidamento a prestatori di servizi esterni</w:t>
            </w:r>
            <w:r w:rsidRPr="006A55BB">
              <w:t>; osserva, inoltre</w:t>
            </w:r>
            <w:r w:rsidRPr="006A55BB">
              <w:t>, che il Comitato impiegava 10 prestatori di servizi e 14 membri del personale esterni che lavoravano all'interno dei suoi locali, esclusi quelli nei settori della ristorazione, della manutenzione, della sicurezza e della protezione; osserva che nel 2024 il tasso di occupazione è stato del 96 % (95,50 % nel 2023) e che il tasso di avvicendamento del personale è stato del 5,60 % (in calo rispetto al 7 % nel 2023);</w:t>
            </w:r>
          </w:p>
        </w:tc>
      </w:tr>
    </w:tbl>
    <w:p w14:paraId="3FA5501F" w14:textId="77777777" w:rsidR="00085FDC" w:rsidRPr="006A55BB" w:rsidRDefault="0071326C">
      <w:pPr>
        <w:pStyle w:val="AmOrLang"/>
      </w:pPr>
      <w:r w:rsidRPr="006A55BB">
        <w:t xml:space="preserve">Or. </w:t>
      </w:r>
      <w:r w:rsidRPr="0071326C">
        <w:rPr>
          <w:rStyle w:val="HideTWBExt"/>
        </w:rPr>
        <w:t>&lt;Original&gt;</w:t>
      </w:r>
      <w:r w:rsidRPr="0071326C">
        <w:rPr>
          <w:rStyle w:val="HideTWBInt"/>
        </w:rPr>
        <w:t>{EN}</w:t>
      </w:r>
      <w:r w:rsidRPr="006A55BB">
        <w:t>en</w:t>
      </w:r>
      <w:r w:rsidRPr="0071326C">
        <w:rPr>
          <w:rStyle w:val="HideTWBExt"/>
        </w:rPr>
        <w:t>&lt;/Original&gt;</w:t>
      </w:r>
    </w:p>
    <w:p w14:paraId="43FF8686" w14:textId="77777777" w:rsidR="00085FDC" w:rsidRPr="006A55BB" w:rsidRDefault="0071326C">
      <w:r w:rsidRPr="0071326C">
        <w:rPr>
          <w:rStyle w:val="HideTWBExt"/>
        </w:rPr>
        <w:t>&lt;/Amend&gt;</w:t>
      </w:r>
    </w:p>
    <w:p w14:paraId="3CD888F7" w14:textId="77777777" w:rsidR="00085FDC" w:rsidRPr="006A55BB" w:rsidRDefault="0071326C">
      <w:pPr>
        <w:pStyle w:val="AmNumberTabs"/>
      </w:pPr>
      <w:r w:rsidRPr="0071326C">
        <w:rPr>
          <w:rStyle w:val="HideTWBExt"/>
          <w:b w:val="0"/>
        </w:rPr>
        <w:lastRenderedPageBreak/>
        <w:t>&lt;Amend&gt;</w:t>
      </w:r>
      <w:r w:rsidRPr="006A55BB">
        <w:t>Emendamento</w:t>
      </w:r>
      <w:r w:rsidRPr="006A55BB">
        <w:tab/>
      </w:r>
      <w:r w:rsidRPr="006A55BB">
        <w:tab/>
      </w:r>
      <w:r w:rsidRPr="0071326C">
        <w:rPr>
          <w:rStyle w:val="HideTWBExt"/>
          <w:b w:val="0"/>
        </w:rPr>
        <w:t>&lt;NumAm&gt;</w:t>
      </w:r>
      <w:r w:rsidRPr="006A55BB">
        <w:t>26</w:t>
      </w:r>
      <w:r w:rsidRPr="0071326C">
        <w:rPr>
          <w:rStyle w:val="HideTWBExt"/>
          <w:b w:val="0"/>
        </w:rPr>
        <w:t>&lt;/NumAm&gt;</w:t>
      </w:r>
    </w:p>
    <w:p w14:paraId="5A0B2DBE" w14:textId="77777777" w:rsidR="00085FDC" w:rsidRPr="006A55BB" w:rsidRDefault="0071326C">
      <w:pPr>
        <w:pStyle w:val="NormalBold"/>
      </w:pPr>
      <w:r w:rsidRPr="0071326C">
        <w:rPr>
          <w:rStyle w:val="HideTWBExt"/>
          <w:b w:val="0"/>
        </w:rPr>
        <w:t>&lt;RepeatBlock-By&gt;&lt;Members&gt;</w:t>
      </w:r>
      <w:r w:rsidRPr="006A55BB">
        <w:t>Dick Erixon, Joachim Stanisław Brudziński</w:t>
      </w:r>
      <w:r w:rsidRPr="0071326C">
        <w:rPr>
          <w:rStyle w:val="HideTWBExt"/>
          <w:b w:val="0"/>
        </w:rPr>
        <w:t>&lt;/Members&gt;</w:t>
      </w:r>
    </w:p>
    <w:p w14:paraId="79E6ACD5" w14:textId="77777777" w:rsidR="00085FDC" w:rsidRPr="006A55BB" w:rsidRDefault="0071326C">
      <w:pPr>
        <w:pStyle w:val="NormalBold"/>
      </w:pPr>
      <w:r w:rsidRPr="0071326C">
        <w:rPr>
          <w:rStyle w:val="HideTWBExt"/>
          <w:b w:val="0"/>
        </w:rPr>
        <w:t>&lt;/RepeatBlock-By&gt;</w:t>
      </w:r>
    </w:p>
    <w:p w14:paraId="21816D47" w14:textId="77777777" w:rsidR="00085FDC" w:rsidRPr="006A55BB" w:rsidRDefault="0071326C">
      <w:pPr>
        <w:pStyle w:val="NormalBold"/>
      </w:pPr>
      <w:r w:rsidRPr="0071326C">
        <w:rPr>
          <w:rStyle w:val="HideTWBExt"/>
          <w:b w:val="0"/>
        </w:rPr>
        <w:t>&lt;DocAmend&gt;</w:t>
      </w:r>
      <w:r w:rsidRPr="006A55BB">
        <w:t>Proposta di risoluzione</w:t>
      </w:r>
      <w:r w:rsidRPr="0071326C">
        <w:rPr>
          <w:rStyle w:val="HideTWBExt"/>
          <w:b w:val="0"/>
        </w:rPr>
        <w:t>&lt;/DocAmend&gt;</w:t>
      </w:r>
    </w:p>
    <w:p w14:paraId="7D4A070B" w14:textId="77777777" w:rsidR="00085FDC" w:rsidRPr="006A55BB" w:rsidRDefault="0071326C">
      <w:pPr>
        <w:pStyle w:val="NormalBold"/>
      </w:pPr>
      <w:r w:rsidRPr="0071326C">
        <w:rPr>
          <w:rStyle w:val="HideTWBExt"/>
          <w:b w:val="0"/>
        </w:rPr>
        <w:t>&lt;Article&gt;</w:t>
      </w:r>
      <w:r w:rsidRPr="006A55BB">
        <w:t>Paragrafo 24</w:t>
      </w:r>
      <w:r w:rsidRPr="007132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FDC" w:rsidRPr="006A55BB" w14:paraId="5B5DE2F6" w14:textId="77777777">
        <w:trPr>
          <w:trHeight w:hRule="exact" w:val="240"/>
          <w:jc w:val="center"/>
        </w:trPr>
        <w:tc>
          <w:tcPr>
            <w:tcW w:w="9752" w:type="dxa"/>
            <w:gridSpan w:val="2"/>
            <w:tcBorders>
              <w:top w:val="nil"/>
              <w:left w:val="nil"/>
              <w:bottom w:val="nil"/>
              <w:right w:val="nil"/>
            </w:tcBorders>
          </w:tcPr>
          <w:p w14:paraId="1BFD316D" w14:textId="77777777" w:rsidR="00085FDC" w:rsidRPr="006A55BB" w:rsidRDefault="00085FDC"/>
        </w:tc>
      </w:tr>
      <w:tr w:rsidR="00085FDC" w:rsidRPr="006A55BB" w14:paraId="7B3024D8" w14:textId="77777777">
        <w:trPr>
          <w:trHeight w:val="240"/>
          <w:jc w:val="center"/>
        </w:trPr>
        <w:tc>
          <w:tcPr>
            <w:tcW w:w="4876" w:type="dxa"/>
            <w:tcBorders>
              <w:top w:val="nil"/>
              <w:left w:val="nil"/>
              <w:bottom w:val="nil"/>
              <w:right w:val="nil"/>
            </w:tcBorders>
          </w:tcPr>
          <w:p w14:paraId="3BD8D255" w14:textId="77777777" w:rsidR="00085FDC" w:rsidRPr="006A55BB" w:rsidRDefault="0071326C">
            <w:pPr>
              <w:pStyle w:val="AmColumnHeading"/>
            </w:pPr>
            <w:r w:rsidRPr="006A55BB">
              <w:t>Proposta di risoluzione</w:t>
            </w:r>
          </w:p>
        </w:tc>
        <w:tc>
          <w:tcPr>
            <w:tcW w:w="4876" w:type="dxa"/>
            <w:tcBorders>
              <w:top w:val="nil"/>
              <w:left w:val="nil"/>
              <w:bottom w:val="nil"/>
              <w:right w:val="nil"/>
            </w:tcBorders>
          </w:tcPr>
          <w:p w14:paraId="0809CDFD" w14:textId="77777777" w:rsidR="00085FDC" w:rsidRPr="006A55BB" w:rsidRDefault="0071326C">
            <w:pPr>
              <w:pStyle w:val="AmColumnHeading"/>
            </w:pPr>
            <w:r w:rsidRPr="006A55BB">
              <w:t>Emendamento</w:t>
            </w:r>
          </w:p>
        </w:tc>
      </w:tr>
      <w:tr w:rsidR="00085FDC" w:rsidRPr="006A55BB" w14:paraId="63BF5A8A" w14:textId="77777777">
        <w:trPr>
          <w:jc w:val="center"/>
        </w:trPr>
        <w:tc>
          <w:tcPr>
            <w:tcW w:w="4876" w:type="dxa"/>
            <w:tcBorders>
              <w:top w:val="nil"/>
              <w:left w:val="nil"/>
              <w:bottom w:val="nil"/>
              <w:right w:val="nil"/>
            </w:tcBorders>
          </w:tcPr>
          <w:p w14:paraId="01026CAE" w14:textId="77777777" w:rsidR="00085FDC" w:rsidRPr="006A55BB" w:rsidRDefault="0071326C">
            <w:pPr>
              <w:pStyle w:val="Normal6a"/>
            </w:pPr>
            <w:r w:rsidRPr="006A55BB">
              <w:t>24.</w:t>
            </w:r>
            <w:r w:rsidRPr="006A55BB">
              <w:tab/>
              <w:t xml:space="preserve">osserva che nel 2024 il Comitato impiegava </w:t>
            </w:r>
            <w:r w:rsidRPr="006A55BB">
              <w:t>personale in rappresentanza di tutte le nazionalità dell'UE, alcune delle quali risultavano sovrarappresentate; osserva che il 62,70 % del personale era costituito da donne e il 37,30 % da uomini; apprende dalla relazione di follow-up che le donne occupano il 52 % delle posizioni dirigenziali, il che rende il Comitato all'avanguardia sotto tale aspetto; deplora tuttavia che nel 2024 la percentuale di donne nei quadri di alto livello sia rimasta bassa, con solo due dei sette posti di alto livello attualmente</w:t>
            </w:r>
            <w:r w:rsidRPr="006A55BB">
              <w:t xml:space="preserve"> occupati da donne, ovvero lo stesso numero rispetto al 2023; </w:t>
            </w:r>
            <w:r w:rsidRPr="006A55BB">
              <w:rPr>
                <w:b/>
                <w:i/>
              </w:rPr>
              <w:t xml:space="preserve">riconosce che il basso tasso di avvicendamento inerente alle dimensioni del Comitato è uno dei motivi della bassa percentuale di donne in tali posizioni; accoglie con favore l'impegno del Comitato a sensibilizzare le autorità che hanno il potere di nomina in merito a tale questione, a promuovere nomine equilibrate sotto il profilo del genere e a intraprendere azioni mirate attraverso il Forum delle donne e il Forum di gestione, che sostengono lo </w:t>
            </w:r>
            <w:r w:rsidRPr="006A55BB">
              <w:rPr>
                <w:b/>
                <w:i/>
              </w:rPr>
              <w:t>sviluppo della leadership e l'avanzamento di carriera delle donne nella fascia dei quadri intermedi;</w:t>
            </w:r>
          </w:p>
        </w:tc>
        <w:tc>
          <w:tcPr>
            <w:tcW w:w="4876" w:type="dxa"/>
            <w:tcBorders>
              <w:top w:val="nil"/>
              <w:left w:val="nil"/>
              <w:bottom w:val="nil"/>
              <w:right w:val="nil"/>
            </w:tcBorders>
          </w:tcPr>
          <w:p w14:paraId="55100C94" w14:textId="77777777" w:rsidR="00085FDC" w:rsidRPr="006A55BB" w:rsidRDefault="0071326C">
            <w:pPr>
              <w:pStyle w:val="Normal6a"/>
            </w:pPr>
            <w:r w:rsidRPr="006A55BB">
              <w:t>24.</w:t>
            </w:r>
            <w:r w:rsidRPr="006A55BB">
              <w:tab/>
              <w:t>osserva che nel 2024 il Comitato impiegava personale in rappresentanza di tutte le nazionalità dell'UE, alcune delle quali risultavano sovrarappresentate; osserva che il 62,70 % del personale era costituito da donne e il 37,30 % da uomini; apprende dalla relazione di follow-up che le donne occupano il 52 % delle posizioni dirigenziali, il che rende il Comitato all'avanguardia sotto tale aspetto; deplora tuttavia che nel 2024 la percentuale di donne nei quadri di alto livello sia rimasta bassa, con solo due</w:t>
            </w:r>
            <w:r w:rsidRPr="006A55BB">
              <w:t xml:space="preserve"> dei sette posti di alto livello attualmente occupati da donne, ovvero lo stesso numero rispetto al 2023;</w:t>
            </w:r>
          </w:p>
        </w:tc>
      </w:tr>
    </w:tbl>
    <w:p w14:paraId="3F013E18" w14:textId="77777777" w:rsidR="00085FDC" w:rsidRPr="006A55BB" w:rsidRDefault="0071326C">
      <w:pPr>
        <w:pStyle w:val="AmOrLang"/>
      </w:pPr>
      <w:r w:rsidRPr="006A55BB">
        <w:t xml:space="preserve">Or. </w:t>
      </w:r>
      <w:r w:rsidRPr="0071326C">
        <w:rPr>
          <w:rStyle w:val="HideTWBExt"/>
        </w:rPr>
        <w:t>&lt;Original&gt;</w:t>
      </w:r>
      <w:r w:rsidRPr="0071326C">
        <w:rPr>
          <w:rStyle w:val="HideTWBInt"/>
        </w:rPr>
        <w:t>{EN}</w:t>
      </w:r>
      <w:r w:rsidRPr="006A55BB">
        <w:t>en</w:t>
      </w:r>
      <w:r w:rsidRPr="0071326C">
        <w:rPr>
          <w:rStyle w:val="HideTWBExt"/>
        </w:rPr>
        <w:t>&lt;/Original&gt;</w:t>
      </w:r>
    </w:p>
    <w:p w14:paraId="2DB7F004" w14:textId="77777777" w:rsidR="00085FDC" w:rsidRPr="006A55BB" w:rsidRDefault="0071326C">
      <w:r w:rsidRPr="0071326C">
        <w:rPr>
          <w:rStyle w:val="HideTWBExt"/>
        </w:rPr>
        <w:t>&lt;/Amend&gt;</w:t>
      </w:r>
    </w:p>
    <w:p w14:paraId="047FA65E" w14:textId="77777777" w:rsidR="00085FDC" w:rsidRPr="006A55BB" w:rsidRDefault="0071326C">
      <w:pPr>
        <w:pStyle w:val="AmNumberTabs"/>
      </w:pPr>
      <w:r w:rsidRPr="0071326C">
        <w:rPr>
          <w:rStyle w:val="HideTWBExt"/>
          <w:b w:val="0"/>
        </w:rPr>
        <w:t>&lt;Amend&gt;</w:t>
      </w:r>
      <w:r w:rsidRPr="006A55BB">
        <w:t>Emendamento</w:t>
      </w:r>
      <w:r w:rsidRPr="006A55BB">
        <w:tab/>
      </w:r>
      <w:r w:rsidRPr="006A55BB">
        <w:tab/>
      </w:r>
      <w:r w:rsidRPr="0071326C">
        <w:rPr>
          <w:rStyle w:val="HideTWBExt"/>
          <w:b w:val="0"/>
        </w:rPr>
        <w:t>&lt;NumAm&gt;</w:t>
      </w:r>
      <w:r w:rsidRPr="006A55BB">
        <w:t>27</w:t>
      </w:r>
      <w:r w:rsidRPr="0071326C">
        <w:rPr>
          <w:rStyle w:val="HideTWBExt"/>
          <w:b w:val="0"/>
        </w:rPr>
        <w:t>&lt;/NumAm&gt;</w:t>
      </w:r>
    </w:p>
    <w:p w14:paraId="301E209E" w14:textId="77777777" w:rsidR="00085FDC" w:rsidRPr="006A55BB" w:rsidRDefault="0071326C">
      <w:pPr>
        <w:pStyle w:val="NormalBold"/>
      </w:pPr>
      <w:r w:rsidRPr="0071326C">
        <w:rPr>
          <w:rStyle w:val="HideTWBExt"/>
          <w:b w:val="0"/>
        </w:rPr>
        <w:t>&lt;RepeatBlock-By&gt;&lt;Members&gt;</w:t>
      </w:r>
      <w:r w:rsidRPr="006A55BB">
        <w:t>Andrey Kovatchev</w:t>
      </w:r>
      <w:r w:rsidRPr="0071326C">
        <w:rPr>
          <w:rStyle w:val="HideTWBExt"/>
          <w:b w:val="0"/>
        </w:rPr>
        <w:t>&lt;/Members&gt;</w:t>
      </w:r>
    </w:p>
    <w:p w14:paraId="0ED61748" w14:textId="77777777" w:rsidR="00085FDC" w:rsidRPr="006A55BB" w:rsidRDefault="0071326C">
      <w:pPr>
        <w:pStyle w:val="NormalBold"/>
      </w:pPr>
      <w:r w:rsidRPr="0071326C">
        <w:rPr>
          <w:rStyle w:val="HideTWBExt"/>
          <w:b w:val="0"/>
        </w:rPr>
        <w:t>&lt;/RepeatBlock-By&gt;</w:t>
      </w:r>
    </w:p>
    <w:p w14:paraId="4647DC61" w14:textId="77777777" w:rsidR="00085FDC" w:rsidRPr="006A55BB" w:rsidRDefault="0071326C">
      <w:pPr>
        <w:pStyle w:val="NormalBold"/>
      </w:pPr>
      <w:r w:rsidRPr="0071326C">
        <w:rPr>
          <w:rStyle w:val="HideTWBExt"/>
          <w:b w:val="0"/>
        </w:rPr>
        <w:t>&lt;DocAmend&gt;</w:t>
      </w:r>
      <w:r w:rsidRPr="006A55BB">
        <w:t>Proposta di risoluzione</w:t>
      </w:r>
      <w:r w:rsidRPr="0071326C">
        <w:rPr>
          <w:rStyle w:val="HideTWBExt"/>
          <w:b w:val="0"/>
        </w:rPr>
        <w:t>&lt;/DocAmend&gt;</w:t>
      </w:r>
    </w:p>
    <w:p w14:paraId="4DDE4A0E" w14:textId="77777777" w:rsidR="00085FDC" w:rsidRPr="006A55BB" w:rsidRDefault="0071326C">
      <w:pPr>
        <w:pStyle w:val="NormalBold"/>
      </w:pPr>
      <w:r w:rsidRPr="0071326C">
        <w:rPr>
          <w:rStyle w:val="HideTWBExt"/>
          <w:b w:val="0"/>
        </w:rPr>
        <w:t>&lt;Article&gt;</w:t>
      </w:r>
      <w:r w:rsidRPr="006A55BB">
        <w:t>Paragrafo 24</w:t>
      </w:r>
      <w:r w:rsidRPr="007132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FDC" w:rsidRPr="006A55BB" w14:paraId="2140B0E8" w14:textId="77777777">
        <w:trPr>
          <w:trHeight w:hRule="exact" w:val="240"/>
          <w:jc w:val="center"/>
        </w:trPr>
        <w:tc>
          <w:tcPr>
            <w:tcW w:w="9752" w:type="dxa"/>
            <w:gridSpan w:val="2"/>
            <w:tcBorders>
              <w:top w:val="nil"/>
              <w:left w:val="nil"/>
              <w:bottom w:val="nil"/>
              <w:right w:val="nil"/>
            </w:tcBorders>
          </w:tcPr>
          <w:p w14:paraId="63CBEC9A" w14:textId="77777777" w:rsidR="00085FDC" w:rsidRPr="006A55BB" w:rsidRDefault="00085FDC"/>
        </w:tc>
      </w:tr>
      <w:tr w:rsidR="00085FDC" w:rsidRPr="006A55BB" w14:paraId="171257CB" w14:textId="77777777">
        <w:trPr>
          <w:trHeight w:val="240"/>
          <w:jc w:val="center"/>
        </w:trPr>
        <w:tc>
          <w:tcPr>
            <w:tcW w:w="4876" w:type="dxa"/>
            <w:tcBorders>
              <w:top w:val="nil"/>
              <w:left w:val="nil"/>
              <w:bottom w:val="nil"/>
              <w:right w:val="nil"/>
            </w:tcBorders>
          </w:tcPr>
          <w:p w14:paraId="49CF6968" w14:textId="77777777" w:rsidR="00085FDC" w:rsidRPr="006A55BB" w:rsidRDefault="0071326C">
            <w:pPr>
              <w:pStyle w:val="AmColumnHeading"/>
            </w:pPr>
            <w:r w:rsidRPr="006A55BB">
              <w:lastRenderedPageBreak/>
              <w:t>Proposta di risoluzione</w:t>
            </w:r>
          </w:p>
        </w:tc>
        <w:tc>
          <w:tcPr>
            <w:tcW w:w="4876" w:type="dxa"/>
            <w:tcBorders>
              <w:top w:val="nil"/>
              <w:left w:val="nil"/>
              <w:bottom w:val="nil"/>
              <w:right w:val="nil"/>
            </w:tcBorders>
          </w:tcPr>
          <w:p w14:paraId="350B8C4E" w14:textId="77777777" w:rsidR="00085FDC" w:rsidRPr="006A55BB" w:rsidRDefault="0071326C">
            <w:pPr>
              <w:pStyle w:val="AmColumnHeading"/>
            </w:pPr>
            <w:r w:rsidRPr="006A55BB">
              <w:t>Emendamento</w:t>
            </w:r>
          </w:p>
        </w:tc>
      </w:tr>
      <w:tr w:rsidR="00085FDC" w:rsidRPr="006A55BB" w14:paraId="03373B8D" w14:textId="77777777">
        <w:trPr>
          <w:jc w:val="center"/>
        </w:trPr>
        <w:tc>
          <w:tcPr>
            <w:tcW w:w="4876" w:type="dxa"/>
            <w:tcBorders>
              <w:top w:val="nil"/>
              <w:left w:val="nil"/>
              <w:bottom w:val="nil"/>
              <w:right w:val="nil"/>
            </w:tcBorders>
          </w:tcPr>
          <w:p w14:paraId="35BEB6DA" w14:textId="77777777" w:rsidR="00085FDC" w:rsidRPr="006A55BB" w:rsidRDefault="0071326C">
            <w:pPr>
              <w:pStyle w:val="Normal6a"/>
            </w:pPr>
            <w:r w:rsidRPr="006A55BB">
              <w:t>24.</w:t>
            </w:r>
            <w:r w:rsidRPr="006A55BB">
              <w:tab/>
              <w:t xml:space="preserve">osserva che nel </w:t>
            </w:r>
            <w:r w:rsidRPr="006A55BB">
              <w:t xml:space="preserve">2024 il Comitato impiegava personale in rappresentanza di tutte le nazionalità dell'UE, alcune delle quali risultavano sovrarappresentate; osserva che il 62,70 % del personale era costituito da donne e il 37,30 % da uomini; apprende dalla relazione di follow-up che le donne occupano il 52 % delle posizioni dirigenziali, il che rende il Comitato all'avanguardia sotto tale aspetto; deplora tuttavia che nel 2024 la percentuale di donne nei quadri di alto livello sia rimasta bassa, con solo due dei sette posti </w:t>
            </w:r>
            <w:r w:rsidRPr="006A55BB">
              <w:t>di alto livello attualmente occupati da donne, ovvero lo stesso numero rispetto al 2023; riconosce che il basso tasso di avvicendamento inerente alle dimensioni del Comitato è uno dei motivi della bassa percentuale di donne in tali posizioni; accoglie con favore l'impegno del Comitato a sensibilizzare le autorità che hanno il potere di nomina in merito a tale questione, a promuovere nomine equilibrate sotto il profilo del genere e a intraprendere azioni mirate attraverso il Forum delle donne e il Forum di g</w:t>
            </w:r>
            <w:r w:rsidRPr="006A55BB">
              <w:t>estione, che sostengono lo sviluppo della leadership e l'avanzamento di carriera delle donne nella fascia dei quadri intermedi;</w:t>
            </w:r>
          </w:p>
        </w:tc>
        <w:tc>
          <w:tcPr>
            <w:tcW w:w="4876" w:type="dxa"/>
            <w:tcBorders>
              <w:top w:val="nil"/>
              <w:left w:val="nil"/>
              <w:bottom w:val="nil"/>
              <w:right w:val="nil"/>
            </w:tcBorders>
          </w:tcPr>
          <w:p w14:paraId="70799432" w14:textId="77777777" w:rsidR="00085FDC" w:rsidRPr="006A55BB" w:rsidRDefault="0071326C">
            <w:pPr>
              <w:pStyle w:val="Normal6a"/>
            </w:pPr>
            <w:r w:rsidRPr="006A55BB">
              <w:t>24.</w:t>
            </w:r>
            <w:r w:rsidRPr="006A55BB">
              <w:tab/>
              <w:t>osserva che nel 2024 il Comitato impiegava personale in rappresentanza di tutte le nazionalità dell'UE, alcune delle quali risultavano sovrarappresentate; osserva che il 62,70 % del personale era costituito da donne e il 37,30 % da uomini; apprende dalla relazione di follow-up che le donne occupano il 52 % delle posizioni dirigenziali, il che rende il Comitato all'avanguardia sotto tale aspetto; deplora tuttavia che nel 2024 la percentuale di donne nei quadri di alto livello sia rimasta bassa, con solo due</w:t>
            </w:r>
            <w:r w:rsidRPr="006A55BB">
              <w:t xml:space="preserve"> dei sette posti di alto livello attualmente occupati da donne, ovvero lo stesso numero rispetto al 2023; riconosce </w:t>
            </w:r>
            <w:r w:rsidRPr="006A55BB">
              <w:rPr>
                <w:b/>
                <w:i/>
              </w:rPr>
              <w:t>i recenti progressi nell'integrazione dell'uguaglianza di genere e della diversità quali priorità strategiche per promuovere una cultura del luogo di lavoro inclusiva e rispettosa; accoglie con favore l'attuazione della strategia e del piano d'azione per la diversità e l'inclusione, unitamente a programmi mirati di tutoraggio e sviluppo della leadership per le donne e i gruppi sottorappresenta</w:t>
            </w:r>
            <w:r w:rsidRPr="006A55BB">
              <w:rPr>
                <w:b/>
                <w:i/>
              </w:rPr>
              <w:t>ti; riconosce</w:t>
            </w:r>
            <w:r w:rsidRPr="006A55BB">
              <w:t xml:space="preserve"> che il basso tasso di avvicendamento inerente alle dimensioni del Comitato è uno dei motivi della bassa percentuale di donne in tali posizioni; accoglie con favore l'impegno del Comitato a sensibilizzare le autorità che hanno il potere di nomina in merito a tale questione, a promuovere nomine equilibrate sotto il profilo del genere e a intraprendere azioni mirate attraverso il Forum delle donne e il Forum di gestione, che sostengono lo sviluppo della leadership e l'avanzamento di carriera dell</w:t>
            </w:r>
            <w:r w:rsidRPr="006A55BB">
              <w:t>e donne nella fascia dei quadri intermedi;</w:t>
            </w:r>
          </w:p>
        </w:tc>
      </w:tr>
    </w:tbl>
    <w:p w14:paraId="78F44D96" w14:textId="77777777" w:rsidR="00085FDC" w:rsidRPr="006A55BB" w:rsidRDefault="0071326C">
      <w:pPr>
        <w:pStyle w:val="AmOrLang"/>
      </w:pPr>
      <w:r w:rsidRPr="006A55BB">
        <w:t xml:space="preserve">Or. </w:t>
      </w:r>
      <w:r w:rsidRPr="0071326C">
        <w:rPr>
          <w:rStyle w:val="HideTWBExt"/>
        </w:rPr>
        <w:t>&lt;Original&gt;</w:t>
      </w:r>
      <w:r w:rsidRPr="0071326C">
        <w:rPr>
          <w:rStyle w:val="HideTWBInt"/>
        </w:rPr>
        <w:t>{EN}</w:t>
      </w:r>
      <w:r w:rsidRPr="006A55BB">
        <w:t>en</w:t>
      </w:r>
      <w:r w:rsidRPr="0071326C">
        <w:rPr>
          <w:rStyle w:val="HideTWBExt"/>
        </w:rPr>
        <w:t>&lt;/Original&gt;</w:t>
      </w:r>
    </w:p>
    <w:p w14:paraId="4F516AA1" w14:textId="77777777" w:rsidR="00085FDC" w:rsidRPr="006A55BB" w:rsidRDefault="0071326C">
      <w:r w:rsidRPr="0071326C">
        <w:rPr>
          <w:rStyle w:val="HideTWBExt"/>
        </w:rPr>
        <w:t>&lt;/Amend&gt;</w:t>
      </w:r>
    </w:p>
    <w:p w14:paraId="01748C11" w14:textId="77777777" w:rsidR="00085FDC" w:rsidRPr="006A55BB" w:rsidRDefault="0071326C">
      <w:pPr>
        <w:pStyle w:val="AmNumberTabs"/>
      </w:pPr>
      <w:r w:rsidRPr="0071326C">
        <w:rPr>
          <w:rStyle w:val="HideTWBExt"/>
          <w:b w:val="0"/>
        </w:rPr>
        <w:t>&lt;Amend&gt;</w:t>
      </w:r>
      <w:r w:rsidRPr="006A55BB">
        <w:t>Emendamento</w:t>
      </w:r>
      <w:r w:rsidRPr="006A55BB">
        <w:tab/>
      </w:r>
      <w:r w:rsidRPr="006A55BB">
        <w:tab/>
      </w:r>
      <w:r w:rsidRPr="0071326C">
        <w:rPr>
          <w:rStyle w:val="HideTWBExt"/>
          <w:b w:val="0"/>
        </w:rPr>
        <w:t>&lt;NumAm&gt;</w:t>
      </w:r>
      <w:r w:rsidRPr="006A55BB">
        <w:t>28</w:t>
      </w:r>
      <w:r w:rsidRPr="0071326C">
        <w:rPr>
          <w:rStyle w:val="HideTWBExt"/>
          <w:b w:val="0"/>
        </w:rPr>
        <w:t>&lt;/NumAm&gt;</w:t>
      </w:r>
    </w:p>
    <w:p w14:paraId="6F2E1907" w14:textId="77777777" w:rsidR="00085FDC" w:rsidRPr="006A55BB" w:rsidRDefault="0071326C">
      <w:pPr>
        <w:pStyle w:val="NormalBold"/>
      </w:pPr>
      <w:r w:rsidRPr="0071326C">
        <w:rPr>
          <w:rStyle w:val="HideTWBExt"/>
          <w:b w:val="0"/>
        </w:rPr>
        <w:t>&lt;RepeatBlock-By&gt;&lt;Members&gt;</w:t>
      </w:r>
      <w:r w:rsidRPr="006A55BB">
        <w:t>Csaba Molnár</w:t>
      </w:r>
      <w:r w:rsidRPr="0071326C">
        <w:rPr>
          <w:rStyle w:val="HideTWBExt"/>
          <w:b w:val="0"/>
        </w:rPr>
        <w:t>&lt;/Members&gt;</w:t>
      </w:r>
    </w:p>
    <w:p w14:paraId="56830BDE" w14:textId="77777777" w:rsidR="00085FDC" w:rsidRPr="006A55BB" w:rsidRDefault="0071326C">
      <w:pPr>
        <w:pStyle w:val="NormalBold"/>
      </w:pPr>
      <w:r w:rsidRPr="0071326C">
        <w:rPr>
          <w:rStyle w:val="HideTWBExt"/>
          <w:b w:val="0"/>
        </w:rPr>
        <w:lastRenderedPageBreak/>
        <w:t>&lt;/RepeatBlock-By&gt;</w:t>
      </w:r>
    </w:p>
    <w:p w14:paraId="7C6B1F6F" w14:textId="77777777" w:rsidR="00085FDC" w:rsidRPr="006A55BB" w:rsidRDefault="0071326C">
      <w:pPr>
        <w:pStyle w:val="NormalBold"/>
      </w:pPr>
      <w:r w:rsidRPr="0071326C">
        <w:rPr>
          <w:rStyle w:val="HideTWBExt"/>
          <w:b w:val="0"/>
        </w:rPr>
        <w:t>&lt;DocAmend&gt;</w:t>
      </w:r>
      <w:r w:rsidRPr="006A55BB">
        <w:t>Proposta di risoluzione</w:t>
      </w:r>
      <w:r w:rsidRPr="0071326C">
        <w:rPr>
          <w:rStyle w:val="HideTWBExt"/>
          <w:b w:val="0"/>
        </w:rPr>
        <w:t>&lt;/DocAmend&gt;</w:t>
      </w:r>
    </w:p>
    <w:p w14:paraId="34A1D2B8" w14:textId="77777777" w:rsidR="00085FDC" w:rsidRPr="006A55BB" w:rsidRDefault="0071326C">
      <w:pPr>
        <w:pStyle w:val="NormalBold"/>
      </w:pPr>
      <w:r w:rsidRPr="0071326C">
        <w:rPr>
          <w:rStyle w:val="HideTWBExt"/>
          <w:b w:val="0"/>
        </w:rPr>
        <w:t>&lt;Article&gt;</w:t>
      </w:r>
      <w:r w:rsidRPr="006A55BB">
        <w:t>Paragrafo 24</w:t>
      </w:r>
      <w:r w:rsidRPr="007132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FDC" w:rsidRPr="006A55BB" w14:paraId="73159C50" w14:textId="77777777">
        <w:trPr>
          <w:trHeight w:hRule="exact" w:val="240"/>
          <w:jc w:val="center"/>
        </w:trPr>
        <w:tc>
          <w:tcPr>
            <w:tcW w:w="9752" w:type="dxa"/>
            <w:gridSpan w:val="2"/>
            <w:tcBorders>
              <w:top w:val="nil"/>
              <w:left w:val="nil"/>
              <w:bottom w:val="nil"/>
              <w:right w:val="nil"/>
            </w:tcBorders>
          </w:tcPr>
          <w:p w14:paraId="3F1DBE2D" w14:textId="77777777" w:rsidR="00085FDC" w:rsidRPr="006A55BB" w:rsidRDefault="00085FDC"/>
        </w:tc>
      </w:tr>
      <w:tr w:rsidR="00085FDC" w:rsidRPr="006A55BB" w14:paraId="484DDD57" w14:textId="77777777">
        <w:trPr>
          <w:trHeight w:val="240"/>
          <w:jc w:val="center"/>
        </w:trPr>
        <w:tc>
          <w:tcPr>
            <w:tcW w:w="4876" w:type="dxa"/>
            <w:tcBorders>
              <w:top w:val="nil"/>
              <w:left w:val="nil"/>
              <w:bottom w:val="nil"/>
              <w:right w:val="nil"/>
            </w:tcBorders>
          </w:tcPr>
          <w:p w14:paraId="1F1A8C58" w14:textId="77777777" w:rsidR="00085FDC" w:rsidRPr="006A55BB" w:rsidRDefault="0071326C">
            <w:pPr>
              <w:pStyle w:val="AmColumnHeading"/>
            </w:pPr>
            <w:r w:rsidRPr="006A55BB">
              <w:t>Proposta di risoluzione</w:t>
            </w:r>
          </w:p>
        </w:tc>
        <w:tc>
          <w:tcPr>
            <w:tcW w:w="4876" w:type="dxa"/>
            <w:tcBorders>
              <w:top w:val="nil"/>
              <w:left w:val="nil"/>
              <w:bottom w:val="nil"/>
              <w:right w:val="nil"/>
            </w:tcBorders>
          </w:tcPr>
          <w:p w14:paraId="5886D95E" w14:textId="77777777" w:rsidR="00085FDC" w:rsidRPr="006A55BB" w:rsidRDefault="0071326C">
            <w:pPr>
              <w:pStyle w:val="AmColumnHeading"/>
            </w:pPr>
            <w:r w:rsidRPr="006A55BB">
              <w:t>Emendamento</w:t>
            </w:r>
          </w:p>
        </w:tc>
      </w:tr>
      <w:tr w:rsidR="00085FDC" w:rsidRPr="006A55BB" w14:paraId="6A008E97" w14:textId="77777777">
        <w:trPr>
          <w:jc w:val="center"/>
        </w:trPr>
        <w:tc>
          <w:tcPr>
            <w:tcW w:w="4876" w:type="dxa"/>
            <w:tcBorders>
              <w:top w:val="nil"/>
              <w:left w:val="nil"/>
              <w:bottom w:val="nil"/>
              <w:right w:val="nil"/>
            </w:tcBorders>
          </w:tcPr>
          <w:p w14:paraId="6E31258C" w14:textId="77777777" w:rsidR="00085FDC" w:rsidRPr="006A55BB" w:rsidRDefault="0071326C">
            <w:pPr>
              <w:pStyle w:val="Normal6a"/>
            </w:pPr>
            <w:r w:rsidRPr="006A55BB">
              <w:t>24.</w:t>
            </w:r>
            <w:r w:rsidRPr="006A55BB">
              <w:tab/>
              <w:t xml:space="preserve">osserva che nel 2024 il Comitato impiegava personale in </w:t>
            </w:r>
            <w:r w:rsidRPr="006A55BB">
              <w:t xml:space="preserve">rappresentanza di tutte le nazionalità dell'UE, alcune delle quali risultavano sovrarappresentate; osserva che il 62,70 % del personale era costituito da donne e il 37,30 % da uomini; apprende dalla relazione di follow-up che le donne occupano il 52 % delle posizioni dirigenziali, il che rende il Comitato all'avanguardia sotto tale aspetto; deplora tuttavia che nel 2024 la percentuale di donne nei quadri di alto livello sia rimasta bassa, con solo due dei sette posti di alto livello attualmente occupati da </w:t>
            </w:r>
            <w:r w:rsidRPr="006A55BB">
              <w:t>donne, ovvero lo stesso numero rispetto al 2023; riconosce che il basso tasso di avvicendamento inerente alle dimensioni del Comitato è uno dei motivi della bassa percentuale di donne in tali posizioni; accoglie con favore l'impegno del Comitato a sensibilizzare le autorità che hanno il potere di nomina in merito a tale questione, a promuovere nomine equilibrate sotto il profilo del genere e a intraprendere azioni mirate attraverso il Forum delle donne e il Forum di gestione, che sostengono lo sviluppo dell</w:t>
            </w:r>
            <w:r w:rsidRPr="006A55BB">
              <w:t>a leadership e l'avanzamento di carriera delle donne nella fascia dei quadri intermedi;</w:t>
            </w:r>
          </w:p>
        </w:tc>
        <w:tc>
          <w:tcPr>
            <w:tcW w:w="4876" w:type="dxa"/>
            <w:tcBorders>
              <w:top w:val="nil"/>
              <w:left w:val="nil"/>
              <w:bottom w:val="nil"/>
              <w:right w:val="nil"/>
            </w:tcBorders>
          </w:tcPr>
          <w:p w14:paraId="6E7A6EFB" w14:textId="77777777" w:rsidR="00085FDC" w:rsidRPr="006A55BB" w:rsidRDefault="0071326C">
            <w:pPr>
              <w:pStyle w:val="Normal6a"/>
            </w:pPr>
            <w:r w:rsidRPr="006A55BB">
              <w:t>24.</w:t>
            </w:r>
            <w:r w:rsidRPr="006A55BB">
              <w:tab/>
              <w:t xml:space="preserve">osserva che nel 2024 il Comitato impiegava personale in rappresentanza di tutte le nazionalità dell'UE, alcune delle quali risultavano </w:t>
            </w:r>
            <w:r w:rsidRPr="006A55BB">
              <w:t xml:space="preserve">sovrarappresentate; osserva che il 62,70 % del personale era costituito da donne e il 37,30 % da uomini; apprende </w:t>
            </w:r>
            <w:r w:rsidRPr="006A55BB">
              <w:rPr>
                <w:b/>
                <w:i/>
              </w:rPr>
              <w:t>con soddisfazione</w:t>
            </w:r>
            <w:r w:rsidRPr="006A55BB">
              <w:t xml:space="preserve"> dalla relazione di follow-up che le donne occupano il 52 % delle posizioni dirigenziali, il che rende il Comitato all'avanguardia sotto tale aspetto</w:t>
            </w:r>
            <w:r w:rsidRPr="006A55BB">
              <w:rPr>
                <w:b/>
                <w:i/>
              </w:rPr>
              <w:t>; ribadisce il suo appoggio alla nomina di una donna alla carica di Segretario generale nel gennaio 2024, che rappresenta un passo positivo verso il conseguimento dell'equilibrio di genere</w:t>
            </w:r>
            <w:r w:rsidRPr="006A55BB">
              <w:t>; deplora tuttavia che nel 2024 la percentua</w:t>
            </w:r>
            <w:r w:rsidRPr="006A55BB">
              <w:t>le di donne nei quadri di alto livello sia rimasta bassa, con solo due dei sette posti di alto livello attualmente occupati da donne, ovvero lo stesso numero rispetto al 2023; riconosce che il basso tasso di avvicendamento inerente alle dimensioni del Comitato è uno dei motivi della bassa percentuale di donne in tali posizioni; accoglie con favore l'impegno del Comitato a sensibilizzare le autorità che hanno il potere di nomina in merito a tale questione, a promuovere nomine equilibrate sotto il profilo del</w:t>
            </w:r>
            <w:r w:rsidRPr="006A55BB">
              <w:t xml:space="preserve"> genere e a intraprendere azioni mirate attraverso il Forum delle donne e il Forum di gestione, che sostengono lo sviluppo della leadership e l'avanzamento di carriera delle donne nella fascia dei quadri intermedi;</w:t>
            </w:r>
          </w:p>
        </w:tc>
      </w:tr>
    </w:tbl>
    <w:p w14:paraId="326B16FD" w14:textId="77777777" w:rsidR="00085FDC" w:rsidRPr="006A55BB" w:rsidRDefault="0071326C">
      <w:pPr>
        <w:pStyle w:val="AmOrLang"/>
      </w:pPr>
      <w:r w:rsidRPr="006A55BB">
        <w:t xml:space="preserve">Or. </w:t>
      </w:r>
      <w:r w:rsidRPr="0071326C">
        <w:rPr>
          <w:rStyle w:val="HideTWBExt"/>
        </w:rPr>
        <w:t>&lt;Original&gt;</w:t>
      </w:r>
      <w:r w:rsidRPr="0071326C">
        <w:rPr>
          <w:rStyle w:val="HideTWBInt"/>
        </w:rPr>
        <w:t>{EN}</w:t>
      </w:r>
      <w:r w:rsidRPr="006A55BB">
        <w:t>en</w:t>
      </w:r>
      <w:r w:rsidRPr="0071326C">
        <w:rPr>
          <w:rStyle w:val="HideTWBExt"/>
        </w:rPr>
        <w:t>&lt;/Original&gt;</w:t>
      </w:r>
    </w:p>
    <w:p w14:paraId="515DC379" w14:textId="77777777" w:rsidR="00085FDC" w:rsidRPr="006A55BB" w:rsidRDefault="0071326C">
      <w:r w:rsidRPr="0071326C">
        <w:rPr>
          <w:rStyle w:val="HideTWBExt"/>
        </w:rPr>
        <w:t>&lt;/Amend&gt;</w:t>
      </w:r>
    </w:p>
    <w:p w14:paraId="1520D173" w14:textId="77777777" w:rsidR="00085FDC" w:rsidRPr="006A55BB" w:rsidRDefault="0071326C">
      <w:pPr>
        <w:pStyle w:val="AmNumberTabs"/>
      </w:pPr>
      <w:r w:rsidRPr="0071326C">
        <w:rPr>
          <w:rStyle w:val="HideTWBExt"/>
          <w:b w:val="0"/>
        </w:rPr>
        <w:t>&lt;Amend&gt;</w:t>
      </w:r>
      <w:r w:rsidRPr="006A55BB">
        <w:t>Emendamento</w:t>
      </w:r>
      <w:r w:rsidRPr="006A55BB">
        <w:tab/>
      </w:r>
      <w:r w:rsidRPr="006A55BB">
        <w:tab/>
      </w:r>
      <w:r w:rsidRPr="0071326C">
        <w:rPr>
          <w:rStyle w:val="HideTWBExt"/>
          <w:b w:val="0"/>
        </w:rPr>
        <w:t>&lt;NumAm&gt;</w:t>
      </w:r>
      <w:r w:rsidRPr="006A55BB">
        <w:t>29</w:t>
      </w:r>
      <w:r w:rsidRPr="0071326C">
        <w:rPr>
          <w:rStyle w:val="HideTWBExt"/>
          <w:b w:val="0"/>
        </w:rPr>
        <w:t>&lt;/NumAm&gt;</w:t>
      </w:r>
    </w:p>
    <w:p w14:paraId="270FF01C" w14:textId="77777777" w:rsidR="00085FDC" w:rsidRPr="006A55BB" w:rsidRDefault="0071326C">
      <w:pPr>
        <w:pStyle w:val="NormalBold"/>
      </w:pPr>
      <w:r w:rsidRPr="0071326C">
        <w:rPr>
          <w:rStyle w:val="HideTWBExt"/>
          <w:b w:val="0"/>
        </w:rPr>
        <w:t>&lt;RepeatBlock-By&gt;&lt;Members&gt;</w:t>
      </w:r>
      <w:r w:rsidRPr="006A55BB">
        <w:t>Csaba Molnár</w:t>
      </w:r>
      <w:r w:rsidRPr="0071326C">
        <w:rPr>
          <w:rStyle w:val="HideTWBExt"/>
          <w:b w:val="0"/>
        </w:rPr>
        <w:t>&lt;/Members&gt;</w:t>
      </w:r>
    </w:p>
    <w:p w14:paraId="297B3904" w14:textId="77777777" w:rsidR="00085FDC" w:rsidRPr="006A55BB" w:rsidRDefault="0071326C">
      <w:pPr>
        <w:pStyle w:val="NormalBold"/>
      </w:pPr>
      <w:r w:rsidRPr="0071326C">
        <w:rPr>
          <w:rStyle w:val="HideTWBExt"/>
          <w:b w:val="0"/>
        </w:rPr>
        <w:t>&lt;/RepeatBlock-By&gt;</w:t>
      </w:r>
    </w:p>
    <w:p w14:paraId="774715EF" w14:textId="77777777" w:rsidR="00085FDC" w:rsidRPr="006A55BB" w:rsidRDefault="0071326C">
      <w:pPr>
        <w:pStyle w:val="NormalBold"/>
      </w:pPr>
      <w:r w:rsidRPr="0071326C">
        <w:rPr>
          <w:rStyle w:val="HideTWBExt"/>
          <w:b w:val="0"/>
        </w:rPr>
        <w:lastRenderedPageBreak/>
        <w:t>&lt;DocAmend&gt;</w:t>
      </w:r>
      <w:r w:rsidRPr="006A55BB">
        <w:t>Proposta di risoluzione</w:t>
      </w:r>
      <w:r w:rsidRPr="0071326C">
        <w:rPr>
          <w:rStyle w:val="HideTWBExt"/>
          <w:b w:val="0"/>
        </w:rPr>
        <w:t>&lt;/DocAmend&gt;</w:t>
      </w:r>
    </w:p>
    <w:p w14:paraId="7D215699" w14:textId="77777777" w:rsidR="00085FDC" w:rsidRPr="006A55BB" w:rsidRDefault="0071326C">
      <w:pPr>
        <w:pStyle w:val="NormalBold"/>
      </w:pPr>
      <w:r w:rsidRPr="0071326C">
        <w:rPr>
          <w:rStyle w:val="HideTWBExt"/>
          <w:b w:val="0"/>
        </w:rPr>
        <w:t>&lt;Article&gt;</w:t>
      </w:r>
      <w:r w:rsidRPr="006A55BB">
        <w:t>Paragrafo 25</w:t>
      </w:r>
      <w:r w:rsidRPr="007132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FDC" w:rsidRPr="006A55BB" w14:paraId="53D6BB55" w14:textId="77777777">
        <w:trPr>
          <w:trHeight w:hRule="exact" w:val="240"/>
          <w:jc w:val="center"/>
        </w:trPr>
        <w:tc>
          <w:tcPr>
            <w:tcW w:w="9752" w:type="dxa"/>
            <w:gridSpan w:val="2"/>
            <w:tcBorders>
              <w:top w:val="nil"/>
              <w:left w:val="nil"/>
              <w:bottom w:val="nil"/>
              <w:right w:val="nil"/>
            </w:tcBorders>
          </w:tcPr>
          <w:p w14:paraId="030437A1" w14:textId="77777777" w:rsidR="00085FDC" w:rsidRPr="006A55BB" w:rsidRDefault="00085FDC"/>
        </w:tc>
      </w:tr>
      <w:tr w:rsidR="00085FDC" w:rsidRPr="006A55BB" w14:paraId="17FDA1C0" w14:textId="77777777">
        <w:trPr>
          <w:trHeight w:val="240"/>
          <w:jc w:val="center"/>
        </w:trPr>
        <w:tc>
          <w:tcPr>
            <w:tcW w:w="4876" w:type="dxa"/>
            <w:tcBorders>
              <w:top w:val="nil"/>
              <w:left w:val="nil"/>
              <w:bottom w:val="nil"/>
              <w:right w:val="nil"/>
            </w:tcBorders>
          </w:tcPr>
          <w:p w14:paraId="6FDD8D49" w14:textId="77777777" w:rsidR="00085FDC" w:rsidRPr="006A55BB" w:rsidRDefault="0071326C">
            <w:pPr>
              <w:pStyle w:val="AmColumnHeading"/>
            </w:pPr>
            <w:r w:rsidRPr="006A55BB">
              <w:t>Proposta di risoluzione</w:t>
            </w:r>
          </w:p>
        </w:tc>
        <w:tc>
          <w:tcPr>
            <w:tcW w:w="4876" w:type="dxa"/>
            <w:tcBorders>
              <w:top w:val="nil"/>
              <w:left w:val="nil"/>
              <w:bottom w:val="nil"/>
              <w:right w:val="nil"/>
            </w:tcBorders>
          </w:tcPr>
          <w:p w14:paraId="21821F75" w14:textId="77777777" w:rsidR="00085FDC" w:rsidRPr="006A55BB" w:rsidRDefault="0071326C">
            <w:pPr>
              <w:pStyle w:val="AmColumnHeading"/>
            </w:pPr>
            <w:r w:rsidRPr="006A55BB">
              <w:t>Emendamento</w:t>
            </w:r>
          </w:p>
        </w:tc>
      </w:tr>
      <w:tr w:rsidR="00085FDC" w:rsidRPr="006A55BB" w14:paraId="40872CA9" w14:textId="77777777">
        <w:trPr>
          <w:jc w:val="center"/>
        </w:trPr>
        <w:tc>
          <w:tcPr>
            <w:tcW w:w="4876" w:type="dxa"/>
            <w:tcBorders>
              <w:top w:val="nil"/>
              <w:left w:val="nil"/>
              <w:bottom w:val="nil"/>
              <w:right w:val="nil"/>
            </w:tcBorders>
          </w:tcPr>
          <w:p w14:paraId="7832F8D8" w14:textId="77777777" w:rsidR="00085FDC" w:rsidRPr="006A55BB" w:rsidRDefault="0071326C">
            <w:pPr>
              <w:pStyle w:val="Normal6a"/>
            </w:pPr>
            <w:r w:rsidRPr="006A55BB">
              <w:t>25.</w:t>
            </w:r>
            <w:r w:rsidRPr="006A55BB">
              <w:tab/>
              <w:t xml:space="preserve">ricorda </w:t>
            </w:r>
            <w:r w:rsidRPr="006A55BB">
              <w:t xml:space="preserve">l'iniziativa del Comitato volta a introdurre un nuovo approccio alla pianificazione strategica della forza lavoro e all'assegnazione del personale, sfruttando la raccolta di dati sulle competenze del personale, l'ascolto attivo in tutta l'organizzazione e le riflessioni sulle priorità strategiche da parte degli organi politici del Comitato; apprende dalla relazione di follow-up che questo nuovo tipo di pianificazione sarà avviato attraverso un progetto pilota in un numero limitato di servizi selezionati in </w:t>
            </w:r>
            <w:r w:rsidRPr="006A55BB">
              <w:t>base alle priorità strategiche; invita il Comitato a tenere informata l'autorità di discarico sui progressi compiuti e sui relativi sviluppi;</w:t>
            </w:r>
          </w:p>
        </w:tc>
        <w:tc>
          <w:tcPr>
            <w:tcW w:w="4876" w:type="dxa"/>
            <w:tcBorders>
              <w:top w:val="nil"/>
              <w:left w:val="nil"/>
              <w:bottom w:val="nil"/>
              <w:right w:val="nil"/>
            </w:tcBorders>
          </w:tcPr>
          <w:p w14:paraId="56817C37" w14:textId="77777777" w:rsidR="00085FDC" w:rsidRPr="006A55BB" w:rsidRDefault="0071326C">
            <w:pPr>
              <w:pStyle w:val="Normal6a"/>
            </w:pPr>
            <w:r w:rsidRPr="006A55BB">
              <w:t>25.</w:t>
            </w:r>
            <w:r w:rsidRPr="006A55BB">
              <w:tab/>
              <w:t>ricorda l'iniziativa del Comitato volta a introdurre un nuovo approccio alla pianificazione strategica della forza lavoro e all'assegnazione del personale, sfruttando la raccolta di dati sulle competenze del personale, l'ascolto attivo in tutta l'organizzazione e le riflessioni sulle priorità strategiche da parte degli organi politici del Comitato; apprende dalla relazione di follow-up che questo nuovo tipo di pianificazione sarà avviato attraverso un progetto pilota in un numero limitato di servizi selezi</w:t>
            </w:r>
            <w:r w:rsidRPr="006A55BB">
              <w:t>onati in base alle priorità strategiche; invita il Comitato a tenere informata l'autorità di discarico sui progressi compiuti e sui relativi sviluppi;</w:t>
            </w:r>
            <w:r w:rsidRPr="006A55BB">
              <w:rPr>
                <w:b/>
                <w:i/>
              </w:rPr>
              <w:t> sottolinea l'importanza della pianificazione strategica della forza lavoro per ottimizzare l'allocazione delle risorse e garantire l'allineamento con le priorità di alto livello;</w:t>
            </w:r>
          </w:p>
        </w:tc>
      </w:tr>
    </w:tbl>
    <w:p w14:paraId="1CC931B4" w14:textId="77777777" w:rsidR="00085FDC" w:rsidRPr="006A55BB" w:rsidRDefault="0071326C">
      <w:pPr>
        <w:pStyle w:val="AmOrLang"/>
      </w:pPr>
      <w:r w:rsidRPr="006A55BB">
        <w:t xml:space="preserve">Or. </w:t>
      </w:r>
      <w:r w:rsidRPr="0071326C">
        <w:rPr>
          <w:rStyle w:val="HideTWBExt"/>
        </w:rPr>
        <w:t>&lt;Original&gt;</w:t>
      </w:r>
      <w:r w:rsidRPr="0071326C">
        <w:rPr>
          <w:rStyle w:val="HideTWBInt"/>
        </w:rPr>
        <w:t>{EN}</w:t>
      </w:r>
      <w:r w:rsidRPr="006A55BB">
        <w:t>en</w:t>
      </w:r>
      <w:r w:rsidRPr="0071326C">
        <w:rPr>
          <w:rStyle w:val="HideTWBExt"/>
        </w:rPr>
        <w:t>&lt;/Original&gt;</w:t>
      </w:r>
    </w:p>
    <w:p w14:paraId="6D8485DA" w14:textId="77777777" w:rsidR="00085FDC" w:rsidRPr="006A55BB" w:rsidRDefault="0071326C">
      <w:r w:rsidRPr="0071326C">
        <w:rPr>
          <w:rStyle w:val="HideTWBExt"/>
        </w:rPr>
        <w:t>&lt;/Amend&gt;</w:t>
      </w:r>
    </w:p>
    <w:p w14:paraId="100FF6A2" w14:textId="77777777" w:rsidR="00085FDC" w:rsidRPr="006A55BB" w:rsidRDefault="0071326C">
      <w:pPr>
        <w:pStyle w:val="AmNumberTabs"/>
      </w:pPr>
      <w:r w:rsidRPr="0071326C">
        <w:rPr>
          <w:rStyle w:val="HideTWBExt"/>
          <w:b w:val="0"/>
        </w:rPr>
        <w:t>&lt;Amend&gt;</w:t>
      </w:r>
      <w:r w:rsidRPr="006A55BB">
        <w:t>Emendamento</w:t>
      </w:r>
      <w:r w:rsidRPr="006A55BB">
        <w:tab/>
      </w:r>
      <w:r w:rsidRPr="006A55BB">
        <w:tab/>
      </w:r>
      <w:r w:rsidRPr="0071326C">
        <w:rPr>
          <w:rStyle w:val="HideTWBExt"/>
          <w:b w:val="0"/>
        </w:rPr>
        <w:t>&lt;NumAm&gt;</w:t>
      </w:r>
      <w:r w:rsidRPr="006A55BB">
        <w:t>30</w:t>
      </w:r>
      <w:r w:rsidRPr="0071326C">
        <w:rPr>
          <w:rStyle w:val="HideTWBExt"/>
          <w:b w:val="0"/>
        </w:rPr>
        <w:t>&lt;/NumAm&gt;</w:t>
      </w:r>
    </w:p>
    <w:p w14:paraId="4F7550D5" w14:textId="77777777" w:rsidR="00085FDC" w:rsidRPr="006A55BB" w:rsidRDefault="0071326C">
      <w:pPr>
        <w:pStyle w:val="NormalBold"/>
      </w:pPr>
      <w:r w:rsidRPr="0071326C">
        <w:rPr>
          <w:rStyle w:val="HideTWBExt"/>
          <w:b w:val="0"/>
        </w:rPr>
        <w:t>&lt;RepeatBlock-By&gt;&lt;Members&gt;</w:t>
      </w:r>
      <w:r w:rsidRPr="006A55BB">
        <w:t>Csaba Molnár</w:t>
      </w:r>
      <w:r w:rsidRPr="0071326C">
        <w:rPr>
          <w:rStyle w:val="HideTWBExt"/>
          <w:b w:val="0"/>
        </w:rPr>
        <w:t>&lt;/Members&gt;</w:t>
      </w:r>
    </w:p>
    <w:p w14:paraId="62AAED1E" w14:textId="77777777" w:rsidR="00085FDC" w:rsidRPr="006A55BB" w:rsidRDefault="0071326C">
      <w:pPr>
        <w:pStyle w:val="NormalBold"/>
      </w:pPr>
      <w:r w:rsidRPr="0071326C">
        <w:rPr>
          <w:rStyle w:val="HideTWBExt"/>
          <w:b w:val="0"/>
        </w:rPr>
        <w:t>&lt;/RepeatBlock-By&gt;</w:t>
      </w:r>
    </w:p>
    <w:p w14:paraId="52578DC3" w14:textId="77777777" w:rsidR="00085FDC" w:rsidRPr="006A55BB" w:rsidRDefault="0071326C">
      <w:pPr>
        <w:pStyle w:val="NormalBold"/>
      </w:pPr>
      <w:r w:rsidRPr="0071326C">
        <w:rPr>
          <w:rStyle w:val="HideTWBExt"/>
          <w:b w:val="0"/>
        </w:rPr>
        <w:t>&lt;DocAmend&gt;</w:t>
      </w:r>
      <w:r w:rsidRPr="006A55BB">
        <w:t>Proposta di risoluzione</w:t>
      </w:r>
      <w:r w:rsidRPr="0071326C">
        <w:rPr>
          <w:rStyle w:val="HideTWBExt"/>
          <w:b w:val="0"/>
        </w:rPr>
        <w:t>&lt;/DocAmend&gt;</w:t>
      </w:r>
    </w:p>
    <w:p w14:paraId="03E640F8" w14:textId="77777777" w:rsidR="00085FDC" w:rsidRPr="006A55BB" w:rsidRDefault="0071326C">
      <w:pPr>
        <w:pStyle w:val="NormalBold"/>
      </w:pPr>
      <w:r w:rsidRPr="0071326C">
        <w:rPr>
          <w:rStyle w:val="HideTWBExt"/>
          <w:b w:val="0"/>
        </w:rPr>
        <w:t>&lt;Article&gt;</w:t>
      </w:r>
      <w:r w:rsidRPr="006A55BB">
        <w:t>Paragrafo 26</w:t>
      </w:r>
      <w:r w:rsidRPr="007132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FDC" w:rsidRPr="006A55BB" w14:paraId="2F024821" w14:textId="77777777">
        <w:trPr>
          <w:trHeight w:hRule="exact" w:val="240"/>
          <w:jc w:val="center"/>
        </w:trPr>
        <w:tc>
          <w:tcPr>
            <w:tcW w:w="9752" w:type="dxa"/>
            <w:gridSpan w:val="2"/>
            <w:tcBorders>
              <w:top w:val="nil"/>
              <w:left w:val="nil"/>
              <w:bottom w:val="nil"/>
              <w:right w:val="nil"/>
            </w:tcBorders>
          </w:tcPr>
          <w:p w14:paraId="33571661" w14:textId="77777777" w:rsidR="00085FDC" w:rsidRPr="006A55BB" w:rsidRDefault="00085FDC"/>
        </w:tc>
      </w:tr>
      <w:tr w:rsidR="00085FDC" w:rsidRPr="006A55BB" w14:paraId="46486D78" w14:textId="77777777">
        <w:trPr>
          <w:trHeight w:val="240"/>
          <w:jc w:val="center"/>
        </w:trPr>
        <w:tc>
          <w:tcPr>
            <w:tcW w:w="4876" w:type="dxa"/>
            <w:tcBorders>
              <w:top w:val="nil"/>
              <w:left w:val="nil"/>
              <w:bottom w:val="nil"/>
              <w:right w:val="nil"/>
            </w:tcBorders>
          </w:tcPr>
          <w:p w14:paraId="0595D902" w14:textId="77777777" w:rsidR="00085FDC" w:rsidRPr="006A55BB" w:rsidRDefault="0071326C">
            <w:pPr>
              <w:pStyle w:val="AmColumnHeading"/>
            </w:pPr>
            <w:r w:rsidRPr="006A55BB">
              <w:t>Proposta di risoluzione</w:t>
            </w:r>
          </w:p>
        </w:tc>
        <w:tc>
          <w:tcPr>
            <w:tcW w:w="4876" w:type="dxa"/>
            <w:tcBorders>
              <w:top w:val="nil"/>
              <w:left w:val="nil"/>
              <w:bottom w:val="nil"/>
              <w:right w:val="nil"/>
            </w:tcBorders>
          </w:tcPr>
          <w:p w14:paraId="60B2CBFC" w14:textId="77777777" w:rsidR="00085FDC" w:rsidRPr="006A55BB" w:rsidRDefault="0071326C">
            <w:pPr>
              <w:pStyle w:val="AmColumnHeading"/>
            </w:pPr>
            <w:r w:rsidRPr="006A55BB">
              <w:t>Emendamento</w:t>
            </w:r>
          </w:p>
        </w:tc>
      </w:tr>
      <w:tr w:rsidR="00085FDC" w:rsidRPr="006A55BB" w14:paraId="7754CFC3" w14:textId="77777777">
        <w:trPr>
          <w:jc w:val="center"/>
        </w:trPr>
        <w:tc>
          <w:tcPr>
            <w:tcW w:w="4876" w:type="dxa"/>
            <w:tcBorders>
              <w:top w:val="nil"/>
              <w:left w:val="nil"/>
              <w:bottom w:val="nil"/>
              <w:right w:val="nil"/>
            </w:tcBorders>
          </w:tcPr>
          <w:p w14:paraId="639C7626" w14:textId="77777777" w:rsidR="00085FDC" w:rsidRPr="006A55BB" w:rsidRDefault="0071326C">
            <w:pPr>
              <w:pStyle w:val="Normal6a"/>
            </w:pPr>
            <w:r w:rsidRPr="006A55BB">
              <w:t>26.</w:t>
            </w:r>
            <w:r w:rsidRPr="006A55BB">
              <w:tab/>
            </w:r>
            <w:r w:rsidRPr="006A55BB">
              <w:t xml:space="preserve">accoglie con favore gli sforzi compiuti dal Comitato per creare un ambiente di lavoro sano per il suo personale; elogia in particolare il Comitato per l'attenzione rivolta alla salute mentale e fisica del personale e per gli sforzi di sensibilizzazione in merito alle questioni relative alla salute; prende atto delle misure del Comitato in materia di gestione dei congedi di malattia, come il lavoro a tempo </w:t>
            </w:r>
            <w:r w:rsidRPr="006A55BB">
              <w:lastRenderedPageBreak/>
              <w:t>parziale per motivi medici e l'estensione del telelavoro, al fine di garantire che il personale assente</w:t>
            </w:r>
            <w:r w:rsidRPr="006A55BB">
              <w:t xml:space="preserve"> per malattia di lunga durata ritorni al lavoro tempestivamente; prende atto di una diminuzione del 7,50 % del numero totale di giorni di congedo per malattia registrati, che passano da 10 552 giorni nel 2023 a 9 763 nel 2024, nonché di una diminuzione del tasso di assenza dal 4,08 % nel 2023 al 3,75 % nel 2023 (il più basso dal 2021); deplora che il Comitato ancora una volta non sia stato in grado di fornire dati sui casi di burnout; prende atto delle argomentazioni del Comitato, tra cui l'assenza dell'obb</w:t>
            </w:r>
            <w:r w:rsidRPr="006A55BB">
              <w:t>ligo per il personale di condividere previamente i dati clinici, il fatto che il burnout non sia una diagnosi medica riconosciuta, il fatto che le sue cause possano non essere legate al lavoro, nonché il segreto medico; osserva che il Comitato raccoglie dati statistici anonimizzati sui casi di salute mentale, ma i dati disponibili non consentono di distinguere tra burnout legato al lavoro e altre problematiche non legate al lavoro; sottolinea tuttavia che il burnout può essere misurato anche senza dati clin</w:t>
            </w:r>
            <w:r w:rsidRPr="006A55BB">
              <w:t>ici, che esistono strumenti di valutazione del burnout legato al lavoro che possono essere utilizzati e che l'Agenzia europea per la sicurezza e la salute sul lavoro (EU-OSHA) prevede questionari anonimi per misurare i fattori di stress e di burnout legati al lavoro separatamente dai problemi di salute mentale non legati al lavoro; esorta il Comitato a consultare anche il Garante europeo della protezione dei dati (GEPD) in merito alla raccolta di dati sul burnout mediante strumenti medici o non medici e a t</w:t>
            </w:r>
            <w:r w:rsidRPr="006A55BB">
              <w:t>enere aggiornata l'autorità di discarico sui progressi;</w:t>
            </w:r>
          </w:p>
        </w:tc>
        <w:tc>
          <w:tcPr>
            <w:tcW w:w="4876" w:type="dxa"/>
            <w:tcBorders>
              <w:top w:val="nil"/>
              <w:left w:val="nil"/>
              <w:bottom w:val="nil"/>
              <w:right w:val="nil"/>
            </w:tcBorders>
          </w:tcPr>
          <w:p w14:paraId="046D7CAE" w14:textId="77777777" w:rsidR="00085FDC" w:rsidRPr="006A55BB" w:rsidRDefault="0071326C">
            <w:pPr>
              <w:pStyle w:val="Normal6a"/>
            </w:pPr>
            <w:r w:rsidRPr="006A55BB">
              <w:lastRenderedPageBreak/>
              <w:t>26.</w:t>
            </w:r>
            <w:r w:rsidRPr="006A55BB">
              <w:tab/>
              <w:t xml:space="preserve">accoglie con favore gli sforzi compiuti dal Comitato per creare un ambiente di lavoro sano per il suo personale; elogia in particolare il Comitato per l'attenzione rivolta alla salute mentale e fisica del personale e per gli sforzi di sensibilizzazione in merito alle questioni relative alla salute; prende atto delle misure del Comitato in materia di gestione dei congedi di malattia, come il lavoro a tempo </w:t>
            </w:r>
            <w:r w:rsidRPr="006A55BB">
              <w:lastRenderedPageBreak/>
              <w:t>parziale per motivi medici e l'estensione del telelavoro, al fine di garantire che il personale assent</w:t>
            </w:r>
            <w:r w:rsidRPr="006A55BB">
              <w:t>e per malattia di lunga durata ritorni al lavoro tempestivamente; prende atto di una diminuzione del 7,50 % del numero totale di giorni di congedo per malattia registrati, che passano da 10 552 giorni nel 2023 a 9 763 nel 2024, nonché di una diminuzione del tasso di assenza dal 4,08 % nel 2023 al 3,75 % nel 2023 (il più basso dal 2021); deplora che il Comitato ancora una volta non sia stato in grado di fornire dati sui casi di burnout; prende atto delle argomentazioni del Comitato, tra cui l'assenza dell'ob</w:t>
            </w:r>
            <w:r w:rsidRPr="006A55BB">
              <w:t>bligo per il personale di condividere previamente i dati clinici, il fatto che il burnout non sia una diagnosi medica riconosciuta, il fatto che le sue cause possano non essere legate al lavoro, nonché il segreto medico; osserva che il Comitato raccoglie dati statistici anonimizzati sui casi di salute mentale, ma i dati disponibili non consentono di distinguere tra burnout legato al lavoro e altre problematiche non legate al lavoro; sottolinea tuttavia che il burnout può essere misurato anche senza dati cli</w:t>
            </w:r>
            <w:r w:rsidRPr="006A55BB">
              <w:t>nici, che esistono strumenti di valutazione del burnout legato al lavoro che possono essere utilizzati e che l'Agenzia europea per la sicurezza e la salute sul lavoro (EU-OSHA) prevede questionari anonimi per misurare i fattori di stress e di burnout legati al lavoro separatamente dai problemi di salute mentale non legati al lavoro; esorta il Comitato a consultare anche il Garante europeo della protezione dei dati (GEPD) in merito alla raccolta di dati sul burnout mediante strumenti medici o non medici</w:t>
            </w:r>
            <w:r w:rsidRPr="006A55BB">
              <w:rPr>
                <w:b/>
                <w:i/>
              </w:rPr>
              <w:t>, a c</w:t>
            </w:r>
            <w:r w:rsidRPr="006A55BB">
              <w:rPr>
                <w:b/>
                <w:i/>
              </w:rPr>
              <w:t>ompiere progressi concreti e decisivi volti a garantire la pubblicazione sistematica dei dati sui casi di burnout</w:t>
            </w:r>
            <w:r w:rsidRPr="006A55BB">
              <w:t xml:space="preserve"> e a tenere aggiornata l'autorità di discarico sui progressi;</w:t>
            </w:r>
          </w:p>
        </w:tc>
      </w:tr>
    </w:tbl>
    <w:p w14:paraId="0BB360A8" w14:textId="77777777" w:rsidR="00085FDC" w:rsidRPr="006A55BB" w:rsidRDefault="0071326C">
      <w:pPr>
        <w:pStyle w:val="AmOrLang"/>
      </w:pPr>
      <w:r w:rsidRPr="006A55BB">
        <w:lastRenderedPageBreak/>
        <w:t xml:space="preserve">Or. </w:t>
      </w:r>
      <w:r w:rsidRPr="0071326C">
        <w:rPr>
          <w:rStyle w:val="HideTWBExt"/>
        </w:rPr>
        <w:t>&lt;Original&gt;</w:t>
      </w:r>
      <w:r w:rsidRPr="0071326C">
        <w:rPr>
          <w:rStyle w:val="HideTWBInt"/>
        </w:rPr>
        <w:t>{EN}</w:t>
      </w:r>
      <w:r w:rsidRPr="006A55BB">
        <w:t>en</w:t>
      </w:r>
      <w:r w:rsidRPr="0071326C">
        <w:rPr>
          <w:rStyle w:val="HideTWBExt"/>
        </w:rPr>
        <w:t>&lt;/Original&gt;</w:t>
      </w:r>
    </w:p>
    <w:p w14:paraId="7B8FC766" w14:textId="77777777" w:rsidR="00085FDC" w:rsidRPr="006A55BB" w:rsidRDefault="0071326C">
      <w:r w:rsidRPr="0071326C">
        <w:rPr>
          <w:rStyle w:val="HideTWBExt"/>
        </w:rPr>
        <w:t>&lt;/Amend&gt;</w:t>
      </w:r>
    </w:p>
    <w:p w14:paraId="55E18100" w14:textId="77777777" w:rsidR="00085FDC" w:rsidRPr="006A55BB" w:rsidRDefault="0071326C">
      <w:pPr>
        <w:pStyle w:val="AmNumberTabs"/>
      </w:pPr>
      <w:r w:rsidRPr="0071326C">
        <w:rPr>
          <w:rStyle w:val="HideTWBExt"/>
          <w:b w:val="0"/>
        </w:rPr>
        <w:lastRenderedPageBreak/>
        <w:t>&lt;Amend&gt;</w:t>
      </w:r>
      <w:r w:rsidRPr="006A55BB">
        <w:t>Emendamento</w:t>
      </w:r>
      <w:r w:rsidRPr="006A55BB">
        <w:tab/>
      </w:r>
      <w:r w:rsidRPr="006A55BB">
        <w:tab/>
      </w:r>
      <w:r w:rsidRPr="0071326C">
        <w:rPr>
          <w:rStyle w:val="HideTWBExt"/>
          <w:b w:val="0"/>
        </w:rPr>
        <w:t>&lt;NumAm&gt;</w:t>
      </w:r>
      <w:r w:rsidRPr="006A55BB">
        <w:t>31</w:t>
      </w:r>
      <w:r w:rsidRPr="0071326C">
        <w:rPr>
          <w:rStyle w:val="HideTWBExt"/>
          <w:b w:val="0"/>
        </w:rPr>
        <w:t>&lt;/NumAm&gt;</w:t>
      </w:r>
    </w:p>
    <w:p w14:paraId="471EBB09" w14:textId="77777777" w:rsidR="00085FDC" w:rsidRPr="006A55BB" w:rsidRDefault="0071326C">
      <w:pPr>
        <w:pStyle w:val="NormalBold"/>
      </w:pPr>
      <w:r w:rsidRPr="0071326C">
        <w:rPr>
          <w:rStyle w:val="HideTWBExt"/>
          <w:b w:val="0"/>
        </w:rPr>
        <w:t>&lt;RepeatBlock-By&gt;&lt;Members&gt;</w:t>
      </w:r>
      <w:r w:rsidRPr="006A55BB">
        <w:t>Csaba Molnár</w:t>
      </w:r>
      <w:r w:rsidRPr="0071326C">
        <w:rPr>
          <w:rStyle w:val="HideTWBExt"/>
          <w:b w:val="0"/>
        </w:rPr>
        <w:t>&lt;/Members&gt;</w:t>
      </w:r>
    </w:p>
    <w:p w14:paraId="00FA208A" w14:textId="77777777" w:rsidR="00085FDC" w:rsidRPr="006A55BB" w:rsidRDefault="0071326C">
      <w:pPr>
        <w:pStyle w:val="NormalBold"/>
      </w:pPr>
      <w:r w:rsidRPr="0071326C">
        <w:rPr>
          <w:rStyle w:val="HideTWBExt"/>
          <w:b w:val="0"/>
        </w:rPr>
        <w:t>&lt;/RepeatBlock-By&gt;</w:t>
      </w:r>
    </w:p>
    <w:p w14:paraId="16BF0090" w14:textId="77777777" w:rsidR="00085FDC" w:rsidRPr="006A55BB" w:rsidRDefault="0071326C">
      <w:pPr>
        <w:pStyle w:val="NormalBold"/>
      </w:pPr>
      <w:r w:rsidRPr="0071326C">
        <w:rPr>
          <w:rStyle w:val="HideTWBExt"/>
          <w:b w:val="0"/>
        </w:rPr>
        <w:t>&lt;DocAmend&gt;</w:t>
      </w:r>
      <w:r w:rsidRPr="006A55BB">
        <w:t>Proposta di risoluzione</w:t>
      </w:r>
      <w:r w:rsidRPr="0071326C">
        <w:rPr>
          <w:rStyle w:val="HideTWBExt"/>
          <w:b w:val="0"/>
        </w:rPr>
        <w:t>&lt;/DocAmend&gt;</w:t>
      </w:r>
    </w:p>
    <w:p w14:paraId="38855128" w14:textId="77777777" w:rsidR="00085FDC" w:rsidRPr="006A55BB" w:rsidRDefault="0071326C">
      <w:pPr>
        <w:pStyle w:val="NormalBold"/>
      </w:pPr>
      <w:r w:rsidRPr="0071326C">
        <w:rPr>
          <w:rStyle w:val="HideTWBExt"/>
          <w:b w:val="0"/>
        </w:rPr>
        <w:t>&lt;Article&gt;</w:t>
      </w:r>
      <w:r w:rsidRPr="006A55BB">
        <w:t>Paragrafo 28 bis (nuovo)</w:t>
      </w:r>
      <w:r w:rsidRPr="007132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FDC" w:rsidRPr="006A55BB" w14:paraId="784AFCFE" w14:textId="77777777">
        <w:trPr>
          <w:trHeight w:hRule="exact" w:val="240"/>
          <w:jc w:val="center"/>
        </w:trPr>
        <w:tc>
          <w:tcPr>
            <w:tcW w:w="9752" w:type="dxa"/>
            <w:gridSpan w:val="2"/>
            <w:tcBorders>
              <w:top w:val="nil"/>
              <w:left w:val="nil"/>
              <w:bottom w:val="nil"/>
              <w:right w:val="nil"/>
            </w:tcBorders>
          </w:tcPr>
          <w:p w14:paraId="6D873D63" w14:textId="77777777" w:rsidR="00085FDC" w:rsidRPr="006A55BB" w:rsidRDefault="00085FDC"/>
        </w:tc>
      </w:tr>
      <w:tr w:rsidR="00085FDC" w:rsidRPr="006A55BB" w14:paraId="18596D4A" w14:textId="77777777">
        <w:trPr>
          <w:trHeight w:val="240"/>
          <w:jc w:val="center"/>
        </w:trPr>
        <w:tc>
          <w:tcPr>
            <w:tcW w:w="4876" w:type="dxa"/>
            <w:tcBorders>
              <w:top w:val="nil"/>
              <w:left w:val="nil"/>
              <w:bottom w:val="nil"/>
              <w:right w:val="nil"/>
            </w:tcBorders>
          </w:tcPr>
          <w:p w14:paraId="6FD88A31" w14:textId="77777777" w:rsidR="00085FDC" w:rsidRPr="006A55BB" w:rsidRDefault="0071326C">
            <w:pPr>
              <w:pStyle w:val="AmColumnHeading"/>
            </w:pPr>
            <w:r w:rsidRPr="006A55BB">
              <w:t>Proposta di risoluzione</w:t>
            </w:r>
          </w:p>
        </w:tc>
        <w:tc>
          <w:tcPr>
            <w:tcW w:w="4876" w:type="dxa"/>
            <w:tcBorders>
              <w:top w:val="nil"/>
              <w:left w:val="nil"/>
              <w:bottom w:val="nil"/>
              <w:right w:val="nil"/>
            </w:tcBorders>
          </w:tcPr>
          <w:p w14:paraId="613A659F" w14:textId="77777777" w:rsidR="00085FDC" w:rsidRPr="006A55BB" w:rsidRDefault="0071326C">
            <w:pPr>
              <w:pStyle w:val="AmColumnHeading"/>
            </w:pPr>
            <w:r w:rsidRPr="006A55BB">
              <w:t>Emendamento</w:t>
            </w:r>
          </w:p>
        </w:tc>
      </w:tr>
      <w:tr w:rsidR="00085FDC" w:rsidRPr="006A55BB" w14:paraId="592FCC59" w14:textId="77777777">
        <w:trPr>
          <w:jc w:val="center"/>
        </w:trPr>
        <w:tc>
          <w:tcPr>
            <w:tcW w:w="4876" w:type="dxa"/>
            <w:tcBorders>
              <w:top w:val="nil"/>
              <w:left w:val="nil"/>
              <w:bottom w:val="nil"/>
              <w:right w:val="nil"/>
            </w:tcBorders>
          </w:tcPr>
          <w:p w14:paraId="39C27245" w14:textId="77777777" w:rsidR="00085FDC" w:rsidRPr="006A55BB" w:rsidRDefault="00085FDC">
            <w:pPr>
              <w:pStyle w:val="Normal6a"/>
            </w:pPr>
          </w:p>
        </w:tc>
        <w:tc>
          <w:tcPr>
            <w:tcW w:w="4876" w:type="dxa"/>
            <w:tcBorders>
              <w:top w:val="nil"/>
              <w:left w:val="nil"/>
              <w:bottom w:val="nil"/>
              <w:right w:val="nil"/>
            </w:tcBorders>
          </w:tcPr>
          <w:p w14:paraId="73A6985B" w14:textId="77777777" w:rsidR="00085FDC" w:rsidRPr="006A55BB" w:rsidRDefault="0071326C">
            <w:pPr>
              <w:pStyle w:val="Normal6a"/>
            </w:pPr>
            <w:r w:rsidRPr="006A55BB">
              <w:rPr>
                <w:b/>
                <w:i/>
              </w:rPr>
              <w:t>28 bis.</w:t>
            </w:r>
            <w:r w:rsidRPr="006A55BB">
              <w:tab/>
            </w:r>
            <w:r w:rsidRPr="006A55BB">
              <w:rPr>
                <w:b/>
                <w:i/>
              </w:rPr>
              <w:t xml:space="preserve">accoglie con favore il dialogo sociale forte e strutturato nei processi di cambiamento organizzativo durante tutto il 2024; incoraggia il Comitato a mantenere e rafforzare ulteriormente il coinvolgimento sistematico dei </w:t>
            </w:r>
            <w:r w:rsidRPr="006A55BB">
              <w:rPr>
                <w:b/>
                <w:i/>
              </w:rPr>
              <w:t>rappresentanti del personale nelle riforme relative, tra l'altro, alla digitalizzazione, alla riorganizzazione interna e ai nuovi metodi di lavoro;</w:t>
            </w:r>
          </w:p>
        </w:tc>
      </w:tr>
    </w:tbl>
    <w:p w14:paraId="19BF64C0" w14:textId="77777777" w:rsidR="00085FDC" w:rsidRPr="006A55BB" w:rsidRDefault="0071326C">
      <w:pPr>
        <w:pStyle w:val="AmOrLang"/>
      </w:pPr>
      <w:r w:rsidRPr="006A55BB">
        <w:t xml:space="preserve">Or. </w:t>
      </w:r>
      <w:r w:rsidRPr="0071326C">
        <w:rPr>
          <w:rStyle w:val="HideTWBExt"/>
        </w:rPr>
        <w:t>&lt;Original&gt;</w:t>
      </w:r>
      <w:r w:rsidRPr="0071326C">
        <w:rPr>
          <w:rStyle w:val="HideTWBInt"/>
        </w:rPr>
        <w:t>{EN}</w:t>
      </w:r>
      <w:r w:rsidRPr="006A55BB">
        <w:t>en</w:t>
      </w:r>
      <w:r w:rsidRPr="0071326C">
        <w:rPr>
          <w:rStyle w:val="HideTWBExt"/>
        </w:rPr>
        <w:t>&lt;/Original&gt;</w:t>
      </w:r>
    </w:p>
    <w:p w14:paraId="5E88DB3C" w14:textId="77777777" w:rsidR="00085FDC" w:rsidRPr="006A55BB" w:rsidRDefault="0071326C">
      <w:r w:rsidRPr="0071326C">
        <w:rPr>
          <w:rStyle w:val="HideTWBExt"/>
        </w:rPr>
        <w:t>&lt;/Amend&gt;</w:t>
      </w:r>
    </w:p>
    <w:p w14:paraId="434F838F" w14:textId="77777777" w:rsidR="00085FDC" w:rsidRPr="006A55BB" w:rsidRDefault="0071326C">
      <w:pPr>
        <w:pStyle w:val="AmNumberTabs"/>
      </w:pPr>
      <w:r w:rsidRPr="0071326C">
        <w:rPr>
          <w:rStyle w:val="HideTWBExt"/>
          <w:b w:val="0"/>
        </w:rPr>
        <w:t>&lt;Amend&gt;</w:t>
      </w:r>
      <w:r w:rsidRPr="006A55BB">
        <w:t>Emendamento</w:t>
      </w:r>
      <w:r w:rsidRPr="006A55BB">
        <w:tab/>
      </w:r>
      <w:r w:rsidRPr="006A55BB">
        <w:tab/>
      </w:r>
      <w:r w:rsidRPr="0071326C">
        <w:rPr>
          <w:rStyle w:val="HideTWBExt"/>
          <w:b w:val="0"/>
        </w:rPr>
        <w:t>&lt;NumAm&gt;</w:t>
      </w:r>
      <w:r w:rsidRPr="006A55BB">
        <w:t>32</w:t>
      </w:r>
      <w:r w:rsidRPr="0071326C">
        <w:rPr>
          <w:rStyle w:val="HideTWBExt"/>
          <w:b w:val="0"/>
        </w:rPr>
        <w:t>&lt;/NumAm&gt;</w:t>
      </w:r>
    </w:p>
    <w:p w14:paraId="5C76DAF7" w14:textId="77777777" w:rsidR="00085FDC" w:rsidRPr="006A55BB" w:rsidRDefault="0071326C">
      <w:pPr>
        <w:pStyle w:val="NormalBold"/>
      </w:pPr>
      <w:r w:rsidRPr="0071326C">
        <w:rPr>
          <w:rStyle w:val="HideTWBExt"/>
          <w:b w:val="0"/>
        </w:rPr>
        <w:t>&lt;RepeatBlock-By&gt;&lt;Members&gt;</w:t>
      </w:r>
      <w:r w:rsidRPr="006A55BB">
        <w:t>Csaba Molnár</w:t>
      </w:r>
      <w:r w:rsidRPr="0071326C">
        <w:rPr>
          <w:rStyle w:val="HideTWBExt"/>
          <w:b w:val="0"/>
        </w:rPr>
        <w:t>&lt;/Members&gt;</w:t>
      </w:r>
    </w:p>
    <w:p w14:paraId="56BB23A6" w14:textId="77777777" w:rsidR="00085FDC" w:rsidRPr="006A55BB" w:rsidRDefault="0071326C">
      <w:pPr>
        <w:pStyle w:val="NormalBold"/>
      </w:pPr>
      <w:r w:rsidRPr="0071326C">
        <w:rPr>
          <w:rStyle w:val="HideTWBExt"/>
          <w:b w:val="0"/>
        </w:rPr>
        <w:t>&lt;/RepeatBlock-By&gt;</w:t>
      </w:r>
    </w:p>
    <w:p w14:paraId="6453830D" w14:textId="77777777" w:rsidR="00085FDC" w:rsidRPr="006A55BB" w:rsidRDefault="0071326C">
      <w:pPr>
        <w:pStyle w:val="NormalBold"/>
      </w:pPr>
      <w:r w:rsidRPr="0071326C">
        <w:rPr>
          <w:rStyle w:val="HideTWBExt"/>
          <w:b w:val="0"/>
        </w:rPr>
        <w:t>&lt;DocAmend&gt;</w:t>
      </w:r>
      <w:r w:rsidRPr="006A55BB">
        <w:t>Proposta di risoluzione</w:t>
      </w:r>
      <w:r w:rsidRPr="0071326C">
        <w:rPr>
          <w:rStyle w:val="HideTWBExt"/>
          <w:b w:val="0"/>
        </w:rPr>
        <w:t>&lt;/DocAmend&gt;</w:t>
      </w:r>
    </w:p>
    <w:p w14:paraId="72D76B34" w14:textId="77777777" w:rsidR="00085FDC" w:rsidRPr="006A55BB" w:rsidRDefault="0071326C">
      <w:pPr>
        <w:pStyle w:val="NormalBold"/>
      </w:pPr>
      <w:r w:rsidRPr="0071326C">
        <w:rPr>
          <w:rStyle w:val="HideTWBExt"/>
          <w:b w:val="0"/>
        </w:rPr>
        <w:t>&lt;Article&gt;</w:t>
      </w:r>
      <w:r w:rsidRPr="006A55BB">
        <w:t>Paragrafo 31</w:t>
      </w:r>
      <w:r w:rsidRPr="007132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FDC" w:rsidRPr="006A55BB" w14:paraId="0DF139CA" w14:textId="77777777">
        <w:trPr>
          <w:trHeight w:hRule="exact" w:val="240"/>
          <w:jc w:val="center"/>
        </w:trPr>
        <w:tc>
          <w:tcPr>
            <w:tcW w:w="9752" w:type="dxa"/>
            <w:gridSpan w:val="2"/>
            <w:tcBorders>
              <w:top w:val="nil"/>
              <w:left w:val="nil"/>
              <w:bottom w:val="nil"/>
              <w:right w:val="nil"/>
            </w:tcBorders>
          </w:tcPr>
          <w:p w14:paraId="4D388FCB" w14:textId="77777777" w:rsidR="00085FDC" w:rsidRPr="006A55BB" w:rsidRDefault="00085FDC"/>
        </w:tc>
      </w:tr>
      <w:tr w:rsidR="00085FDC" w:rsidRPr="006A55BB" w14:paraId="707F89D9" w14:textId="77777777">
        <w:trPr>
          <w:trHeight w:val="240"/>
          <w:jc w:val="center"/>
        </w:trPr>
        <w:tc>
          <w:tcPr>
            <w:tcW w:w="4876" w:type="dxa"/>
            <w:tcBorders>
              <w:top w:val="nil"/>
              <w:left w:val="nil"/>
              <w:bottom w:val="nil"/>
              <w:right w:val="nil"/>
            </w:tcBorders>
          </w:tcPr>
          <w:p w14:paraId="7A42A217" w14:textId="77777777" w:rsidR="00085FDC" w:rsidRPr="006A55BB" w:rsidRDefault="0071326C">
            <w:pPr>
              <w:pStyle w:val="AmColumnHeading"/>
            </w:pPr>
            <w:r w:rsidRPr="006A55BB">
              <w:t>Proposta di risoluzione</w:t>
            </w:r>
          </w:p>
        </w:tc>
        <w:tc>
          <w:tcPr>
            <w:tcW w:w="4876" w:type="dxa"/>
            <w:tcBorders>
              <w:top w:val="nil"/>
              <w:left w:val="nil"/>
              <w:bottom w:val="nil"/>
              <w:right w:val="nil"/>
            </w:tcBorders>
          </w:tcPr>
          <w:p w14:paraId="695156E5" w14:textId="77777777" w:rsidR="00085FDC" w:rsidRPr="006A55BB" w:rsidRDefault="0071326C">
            <w:pPr>
              <w:pStyle w:val="AmColumnHeading"/>
            </w:pPr>
            <w:r w:rsidRPr="006A55BB">
              <w:t>Emendamento</w:t>
            </w:r>
          </w:p>
        </w:tc>
      </w:tr>
      <w:tr w:rsidR="00085FDC" w:rsidRPr="006A55BB" w14:paraId="28E1C192" w14:textId="77777777">
        <w:trPr>
          <w:jc w:val="center"/>
        </w:trPr>
        <w:tc>
          <w:tcPr>
            <w:tcW w:w="4876" w:type="dxa"/>
            <w:tcBorders>
              <w:top w:val="nil"/>
              <w:left w:val="nil"/>
              <w:bottom w:val="nil"/>
              <w:right w:val="nil"/>
            </w:tcBorders>
          </w:tcPr>
          <w:p w14:paraId="67D830EE" w14:textId="77777777" w:rsidR="00085FDC" w:rsidRPr="006A55BB" w:rsidRDefault="0071326C">
            <w:pPr>
              <w:pStyle w:val="Normal6a"/>
            </w:pPr>
            <w:r w:rsidRPr="006A55BB">
              <w:t>31.</w:t>
            </w:r>
            <w:r w:rsidRPr="006A55BB">
              <w:tab/>
              <w:t xml:space="preserve">apprende dal questionario che nel 2024 sono stati segnalati due casi di presunte </w:t>
            </w:r>
            <w:r w:rsidRPr="006A55BB">
              <w:t>molestie, che sono stati oggetto di indagini e chiusi nel 2025, laddove in un caso non sono state riscontrate molestie e nell'altro sono state accettate scuse formali per il comportamento inappropriato della persona interessata; osserva inoltre che è stata adottata una decisione su un altro caso, presentato prima del 2024, relativo alle molestie connesse a un procedimento disciplinare; osserva che nel 2024 non sono stati segnalati ulteriori casi di molestie sessuali;</w:t>
            </w:r>
          </w:p>
        </w:tc>
        <w:tc>
          <w:tcPr>
            <w:tcW w:w="4876" w:type="dxa"/>
            <w:tcBorders>
              <w:top w:val="nil"/>
              <w:left w:val="nil"/>
              <w:bottom w:val="nil"/>
              <w:right w:val="nil"/>
            </w:tcBorders>
          </w:tcPr>
          <w:p w14:paraId="6BDA1843" w14:textId="77777777" w:rsidR="00085FDC" w:rsidRPr="006A55BB" w:rsidRDefault="0071326C">
            <w:pPr>
              <w:pStyle w:val="Normal6a"/>
            </w:pPr>
            <w:r w:rsidRPr="006A55BB">
              <w:t>31.</w:t>
            </w:r>
            <w:r w:rsidRPr="006A55BB">
              <w:tab/>
              <w:t>apprende dal questionario che nel 2024 sono stati segnalati due casi di presunte molestie, che sono stati oggetto di indagini e chiusi nel 2025, laddove in un caso non sono state riscontrate molestie e nell'altro sono state accettate scuse formali per il comportamento inappropriato della persona interessata; osserva inoltre che è stata adottata una decisione su un altro caso, presentato prima del 2024, relativo alle molestie connesse a un procedimento disciplinare; osserva che nel 2024 non sono stati segna</w:t>
            </w:r>
            <w:r w:rsidRPr="006A55BB">
              <w:t>lati ulteriori casi di molestie sessuali;</w:t>
            </w:r>
            <w:r w:rsidRPr="006A55BB">
              <w:rPr>
                <w:b/>
                <w:i/>
              </w:rPr>
              <w:t xml:space="preserve"> ribadisce la necessità di una politica di tolleranza zero nei confronti delle molestie per garantire la protezione del benessere del personale e ricorda che si tratta di un obbligo che incombe a </w:t>
            </w:r>
            <w:r w:rsidRPr="006A55BB">
              <w:rPr>
                <w:b/>
                <w:i/>
              </w:rPr>
              <w:lastRenderedPageBreak/>
              <w:t>qualsiasi datore di lavoro;</w:t>
            </w:r>
          </w:p>
        </w:tc>
      </w:tr>
    </w:tbl>
    <w:p w14:paraId="77CBC1FF" w14:textId="77777777" w:rsidR="00085FDC" w:rsidRPr="006A55BB" w:rsidRDefault="0071326C">
      <w:pPr>
        <w:pStyle w:val="AmOrLang"/>
      </w:pPr>
      <w:r w:rsidRPr="006A55BB">
        <w:lastRenderedPageBreak/>
        <w:t xml:space="preserve">Or. </w:t>
      </w:r>
      <w:r w:rsidRPr="0071326C">
        <w:rPr>
          <w:rStyle w:val="HideTWBExt"/>
        </w:rPr>
        <w:t>&lt;Original&gt;</w:t>
      </w:r>
      <w:r w:rsidRPr="0071326C">
        <w:rPr>
          <w:rStyle w:val="HideTWBInt"/>
        </w:rPr>
        <w:t>{EN}</w:t>
      </w:r>
      <w:r w:rsidRPr="006A55BB">
        <w:t>en</w:t>
      </w:r>
      <w:r w:rsidRPr="0071326C">
        <w:rPr>
          <w:rStyle w:val="HideTWBExt"/>
        </w:rPr>
        <w:t>&lt;/Original&gt;</w:t>
      </w:r>
    </w:p>
    <w:p w14:paraId="5EDE4A2C" w14:textId="77777777" w:rsidR="00085FDC" w:rsidRPr="006A55BB" w:rsidRDefault="0071326C">
      <w:r w:rsidRPr="0071326C">
        <w:rPr>
          <w:rStyle w:val="HideTWBExt"/>
        </w:rPr>
        <w:t>&lt;/Amend&gt;</w:t>
      </w:r>
    </w:p>
    <w:p w14:paraId="10D0619D" w14:textId="77777777" w:rsidR="00085FDC" w:rsidRPr="006A55BB" w:rsidRDefault="0071326C">
      <w:pPr>
        <w:pStyle w:val="AmNumberTabs"/>
      </w:pPr>
      <w:r w:rsidRPr="0071326C">
        <w:rPr>
          <w:rStyle w:val="HideTWBExt"/>
          <w:b w:val="0"/>
        </w:rPr>
        <w:t>&lt;Amend&gt;</w:t>
      </w:r>
      <w:r w:rsidRPr="006A55BB">
        <w:t>Emendamento</w:t>
      </w:r>
      <w:r w:rsidRPr="006A55BB">
        <w:tab/>
      </w:r>
      <w:r w:rsidRPr="006A55BB">
        <w:tab/>
      </w:r>
      <w:r w:rsidRPr="0071326C">
        <w:rPr>
          <w:rStyle w:val="HideTWBExt"/>
          <w:b w:val="0"/>
        </w:rPr>
        <w:t>&lt;NumAm&gt;</w:t>
      </w:r>
      <w:r w:rsidRPr="006A55BB">
        <w:t>33</w:t>
      </w:r>
      <w:r w:rsidRPr="0071326C">
        <w:rPr>
          <w:rStyle w:val="HideTWBExt"/>
          <w:b w:val="0"/>
        </w:rPr>
        <w:t>&lt;/NumAm&gt;</w:t>
      </w:r>
    </w:p>
    <w:p w14:paraId="253D7F88" w14:textId="77777777" w:rsidR="00085FDC" w:rsidRPr="006A55BB" w:rsidRDefault="0071326C">
      <w:pPr>
        <w:pStyle w:val="NormalBold"/>
      </w:pPr>
      <w:r w:rsidRPr="0071326C">
        <w:rPr>
          <w:rStyle w:val="HideTWBExt"/>
          <w:b w:val="0"/>
        </w:rPr>
        <w:t>&lt;RepeatBlock-By&gt;&lt;Members&gt;</w:t>
      </w:r>
      <w:r w:rsidRPr="006A55BB">
        <w:t>Csaba Molnár</w:t>
      </w:r>
      <w:r w:rsidRPr="0071326C">
        <w:rPr>
          <w:rStyle w:val="HideTWBExt"/>
          <w:b w:val="0"/>
        </w:rPr>
        <w:t>&lt;/Members&gt;</w:t>
      </w:r>
    </w:p>
    <w:p w14:paraId="4352406D" w14:textId="77777777" w:rsidR="00085FDC" w:rsidRPr="006A55BB" w:rsidRDefault="0071326C">
      <w:pPr>
        <w:pStyle w:val="NormalBold"/>
      </w:pPr>
      <w:r w:rsidRPr="0071326C">
        <w:rPr>
          <w:rStyle w:val="HideTWBExt"/>
          <w:b w:val="0"/>
        </w:rPr>
        <w:t>&lt;/RepeatBlock-By&gt;</w:t>
      </w:r>
    </w:p>
    <w:p w14:paraId="457E5C08" w14:textId="77777777" w:rsidR="00085FDC" w:rsidRPr="006A55BB" w:rsidRDefault="0071326C">
      <w:pPr>
        <w:pStyle w:val="NormalBold"/>
      </w:pPr>
      <w:r w:rsidRPr="0071326C">
        <w:rPr>
          <w:rStyle w:val="HideTWBExt"/>
          <w:b w:val="0"/>
        </w:rPr>
        <w:t>&lt;DocAmend&gt;</w:t>
      </w:r>
      <w:r w:rsidRPr="006A55BB">
        <w:t>Proposta di risoluzione</w:t>
      </w:r>
      <w:r w:rsidRPr="0071326C">
        <w:rPr>
          <w:rStyle w:val="HideTWBExt"/>
          <w:b w:val="0"/>
        </w:rPr>
        <w:t>&lt;/DocAmend&gt;</w:t>
      </w:r>
    </w:p>
    <w:p w14:paraId="1B9D6EDB" w14:textId="77777777" w:rsidR="00085FDC" w:rsidRPr="006A55BB" w:rsidRDefault="0071326C">
      <w:pPr>
        <w:pStyle w:val="NormalBold"/>
      </w:pPr>
      <w:r w:rsidRPr="0071326C">
        <w:rPr>
          <w:rStyle w:val="HideTWBExt"/>
          <w:b w:val="0"/>
        </w:rPr>
        <w:t>&lt;Article&gt;</w:t>
      </w:r>
      <w:r w:rsidRPr="006A55BB">
        <w:t>Paragrafo 33</w:t>
      </w:r>
      <w:r w:rsidRPr="007132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FDC" w:rsidRPr="006A55BB" w14:paraId="3BCFC446" w14:textId="77777777">
        <w:trPr>
          <w:trHeight w:hRule="exact" w:val="240"/>
          <w:jc w:val="center"/>
        </w:trPr>
        <w:tc>
          <w:tcPr>
            <w:tcW w:w="9752" w:type="dxa"/>
            <w:gridSpan w:val="2"/>
            <w:tcBorders>
              <w:top w:val="nil"/>
              <w:left w:val="nil"/>
              <w:bottom w:val="nil"/>
              <w:right w:val="nil"/>
            </w:tcBorders>
          </w:tcPr>
          <w:p w14:paraId="01B29A22" w14:textId="77777777" w:rsidR="00085FDC" w:rsidRPr="006A55BB" w:rsidRDefault="00085FDC"/>
        </w:tc>
      </w:tr>
      <w:tr w:rsidR="00085FDC" w:rsidRPr="006A55BB" w14:paraId="525AFA7A" w14:textId="77777777">
        <w:trPr>
          <w:trHeight w:val="240"/>
          <w:jc w:val="center"/>
        </w:trPr>
        <w:tc>
          <w:tcPr>
            <w:tcW w:w="4876" w:type="dxa"/>
            <w:tcBorders>
              <w:top w:val="nil"/>
              <w:left w:val="nil"/>
              <w:bottom w:val="nil"/>
              <w:right w:val="nil"/>
            </w:tcBorders>
          </w:tcPr>
          <w:p w14:paraId="2CA97492" w14:textId="77777777" w:rsidR="00085FDC" w:rsidRPr="006A55BB" w:rsidRDefault="0071326C">
            <w:pPr>
              <w:pStyle w:val="AmColumnHeading"/>
            </w:pPr>
            <w:r w:rsidRPr="006A55BB">
              <w:t>Proposta di risoluzione</w:t>
            </w:r>
          </w:p>
        </w:tc>
        <w:tc>
          <w:tcPr>
            <w:tcW w:w="4876" w:type="dxa"/>
            <w:tcBorders>
              <w:top w:val="nil"/>
              <w:left w:val="nil"/>
              <w:bottom w:val="nil"/>
              <w:right w:val="nil"/>
            </w:tcBorders>
          </w:tcPr>
          <w:p w14:paraId="7BE9C5EC" w14:textId="77777777" w:rsidR="00085FDC" w:rsidRPr="006A55BB" w:rsidRDefault="0071326C">
            <w:pPr>
              <w:pStyle w:val="AmColumnHeading"/>
            </w:pPr>
            <w:r w:rsidRPr="006A55BB">
              <w:t>Emendamento</w:t>
            </w:r>
          </w:p>
        </w:tc>
      </w:tr>
      <w:tr w:rsidR="00085FDC" w:rsidRPr="006A55BB" w14:paraId="169E0F68" w14:textId="77777777">
        <w:trPr>
          <w:jc w:val="center"/>
        </w:trPr>
        <w:tc>
          <w:tcPr>
            <w:tcW w:w="4876" w:type="dxa"/>
            <w:tcBorders>
              <w:top w:val="nil"/>
              <w:left w:val="nil"/>
              <w:bottom w:val="nil"/>
              <w:right w:val="nil"/>
            </w:tcBorders>
          </w:tcPr>
          <w:p w14:paraId="0747EB06" w14:textId="77777777" w:rsidR="00085FDC" w:rsidRPr="006A55BB" w:rsidRDefault="0071326C">
            <w:pPr>
              <w:pStyle w:val="Normal6a"/>
            </w:pPr>
            <w:r w:rsidRPr="006A55BB">
              <w:t>33.</w:t>
            </w:r>
            <w:r w:rsidRPr="006A55BB">
              <w:tab/>
            </w:r>
            <w:r w:rsidRPr="006A55BB">
              <w:t>osserva che il Comitato è all'avanguardia per quanto riguarda la trasparenza, in quanto primo organo, al di là dei firmatari iniziali, ad aver aderito al registro per la trasparenza dell'Unione; accoglie con favore le misure di trasparenza adottate dal Comitato, tra cui la raccomandazione ai membri del Comitato di incontrarsi solo con le parti interessate registrate, l'obbligo per i suoi membri di pubblicare le loro riunioni online e la possibilità per i relatori del Comitato, anche attraverso un progetto p</w:t>
            </w:r>
            <w:r w:rsidRPr="006A55BB">
              <w:t>ilota avviato nel 2025, di attribuire una "impronta legislativa" ai loro pareri; osserva che i pareri del Comitato sono ormai visibili come tappe fondamentali nei fascicoli legislativi della commissione EULT; prende inoltre atto con soddisfazione dal questionario delle azioni di trasparenza del Comitato per quanto riguarda le sue attività amministrative fondamentali in settori quali la finanza, gli appalti, le risorse umane e l'accesso ai documenti;</w:t>
            </w:r>
          </w:p>
        </w:tc>
        <w:tc>
          <w:tcPr>
            <w:tcW w:w="4876" w:type="dxa"/>
            <w:tcBorders>
              <w:top w:val="nil"/>
              <w:left w:val="nil"/>
              <w:bottom w:val="nil"/>
              <w:right w:val="nil"/>
            </w:tcBorders>
          </w:tcPr>
          <w:p w14:paraId="6D0FEA57" w14:textId="77777777" w:rsidR="00085FDC" w:rsidRPr="006A55BB" w:rsidRDefault="0071326C">
            <w:pPr>
              <w:pStyle w:val="Normal6a"/>
            </w:pPr>
            <w:r w:rsidRPr="006A55BB">
              <w:t>33.</w:t>
            </w:r>
            <w:r w:rsidRPr="006A55BB">
              <w:tab/>
              <w:t xml:space="preserve">osserva </w:t>
            </w:r>
            <w:r w:rsidRPr="006A55BB">
              <w:rPr>
                <w:b/>
                <w:i/>
              </w:rPr>
              <w:t>con soddisfazione</w:t>
            </w:r>
            <w:r w:rsidRPr="006A55BB">
              <w:t xml:space="preserve"> che il Comitato è all'avanguardia per quanto riguarda la trasparenza, in quanto primo organo, al di là dei firmatari iniziali, ad aver aderito al registro per la trasparenza dell'Unione; accoglie con favore le misure di trasparenza adottate dal Comitato, tra cui la raccomandazione ai membri del Comitato di incontrarsi solo con le parti interessate registrate, l'obbligo per i suoi membri di pubblicare le loro riunioni online e la possibilità per i relatori del Comitato, anche attra</w:t>
            </w:r>
            <w:r w:rsidRPr="006A55BB">
              <w:t>verso un progetto pilota avviato nel 2025, di attribuire una "impronta legislativa" ai loro pareri; osserva che i pareri del Comitato sono ormai visibili come tappe fondamentali nei fascicoli legislativi della commissione EULT; prende inoltre atto con soddisfazione dal questionario delle azioni di trasparenza del Comitato per quanto riguarda le sue attività amministrative fondamentali in settori quali la finanza, gli appalti, le risorse umane e l'accesso ai documenti;</w:t>
            </w:r>
          </w:p>
        </w:tc>
      </w:tr>
    </w:tbl>
    <w:p w14:paraId="48C1CFBD" w14:textId="77777777" w:rsidR="00085FDC" w:rsidRPr="006A55BB" w:rsidRDefault="0071326C">
      <w:pPr>
        <w:pStyle w:val="AmOrLang"/>
      </w:pPr>
      <w:r w:rsidRPr="006A55BB">
        <w:t xml:space="preserve">Or. </w:t>
      </w:r>
      <w:r w:rsidRPr="0071326C">
        <w:rPr>
          <w:rStyle w:val="HideTWBExt"/>
        </w:rPr>
        <w:t>&lt;Original&gt;</w:t>
      </w:r>
      <w:r w:rsidRPr="0071326C">
        <w:rPr>
          <w:rStyle w:val="HideTWBInt"/>
        </w:rPr>
        <w:t>{EN}</w:t>
      </w:r>
      <w:r w:rsidRPr="006A55BB">
        <w:t>en</w:t>
      </w:r>
      <w:r w:rsidRPr="0071326C">
        <w:rPr>
          <w:rStyle w:val="HideTWBExt"/>
        </w:rPr>
        <w:t>&lt;/Original&gt;</w:t>
      </w:r>
    </w:p>
    <w:p w14:paraId="4E4B6006" w14:textId="77777777" w:rsidR="00085FDC" w:rsidRPr="006A55BB" w:rsidRDefault="0071326C">
      <w:r w:rsidRPr="0071326C">
        <w:rPr>
          <w:rStyle w:val="HideTWBExt"/>
        </w:rPr>
        <w:t>&lt;/Amend&gt;</w:t>
      </w:r>
    </w:p>
    <w:p w14:paraId="3CAFA244" w14:textId="77777777" w:rsidR="00085FDC" w:rsidRPr="006A55BB" w:rsidRDefault="0071326C">
      <w:pPr>
        <w:pStyle w:val="AmNumberTabs"/>
      </w:pPr>
      <w:r w:rsidRPr="0071326C">
        <w:rPr>
          <w:rStyle w:val="HideTWBExt"/>
          <w:b w:val="0"/>
        </w:rPr>
        <w:t>&lt;Amend&gt;</w:t>
      </w:r>
      <w:r w:rsidRPr="006A55BB">
        <w:t>Emendamento</w:t>
      </w:r>
      <w:r w:rsidRPr="006A55BB">
        <w:tab/>
      </w:r>
      <w:r w:rsidRPr="006A55BB">
        <w:tab/>
      </w:r>
      <w:r w:rsidRPr="0071326C">
        <w:rPr>
          <w:rStyle w:val="HideTWBExt"/>
          <w:b w:val="0"/>
        </w:rPr>
        <w:t>&lt;NumAm&gt;</w:t>
      </w:r>
      <w:r w:rsidRPr="006A55BB">
        <w:t>34</w:t>
      </w:r>
      <w:r w:rsidRPr="0071326C">
        <w:rPr>
          <w:rStyle w:val="HideTWBExt"/>
          <w:b w:val="0"/>
        </w:rPr>
        <w:t>&lt;/NumAm&gt;</w:t>
      </w:r>
    </w:p>
    <w:p w14:paraId="38F0ED9C" w14:textId="77777777" w:rsidR="00085FDC" w:rsidRPr="006A55BB" w:rsidRDefault="0071326C">
      <w:pPr>
        <w:pStyle w:val="NormalBold"/>
      </w:pPr>
      <w:r w:rsidRPr="0071326C">
        <w:rPr>
          <w:rStyle w:val="HideTWBExt"/>
          <w:b w:val="0"/>
        </w:rPr>
        <w:t>&lt;RepeatBlock-By&gt;&lt;Members&gt;</w:t>
      </w:r>
      <w:r w:rsidRPr="006A55BB">
        <w:t>Andrey Kovatchev</w:t>
      </w:r>
      <w:r w:rsidRPr="0071326C">
        <w:rPr>
          <w:rStyle w:val="HideTWBExt"/>
          <w:b w:val="0"/>
        </w:rPr>
        <w:t>&lt;/Members&gt;</w:t>
      </w:r>
    </w:p>
    <w:p w14:paraId="0DD84A86" w14:textId="77777777" w:rsidR="00085FDC" w:rsidRPr="006A55BB" w:rsidRDefault="0071326C">
      <w:pPr>
        <w:pStyle w:val="NormalBold"/>
      </w:pPr>
      <w:r w:rsidRPr="0071326C">
        <w:rPr>
          <w:rStyle w:val="HideTWBExt"/>
          <w:b w:val="0"/>
        </w:rPr>
        <w:t>&lt;/RepeatBlock-By&gt;</w:t>
      </w:r>
    </w:p>
    <w:p w14:paraId="3DAFA9C8" w14:textId="77777777" w:rsidR="00085FDC" w:rsidRPr="006A55BB" w:rsidRDefault="0071326C">
      <w:pPr>
        <w:pStyle w:val="NormalBold"/>
      </w:pPr>
      <w:r w:rsidRPr="0071326C">
        <w:rPr>
          <w:rStyle w:val="HideTWBExt"/>
          <w:b w:val="0"/>
        </w:rPr>
        <w:t>&lt;DocAmend&gt;</w:t>
      </w:r>
      <w:r w:rsidRPr="006A55BB">
        <w:t>Proposta di risoluzione</w:t>
      </w:r>
      <w:r w:rsidRPr="0071326C">
        <w:rPr>
          <w:rStyle w:val="HideTWBExt"/>
          <w:b w:val="0"/>
        </w:rPr>
        <w:t>&lt;/DocAmend&gt;</w:t>
      </w:r>
    </w:p>
    <w:p w14:paraId="171132DA" w14:textId="77777777" w:rsidR="00085FDC" w:rsidRPr="006A55BB" w:rsidRDefault="0071326C">
      <w:pPr>
        <w:pStyle w:val="NormalBold"/>
      </w:pPr>
      <w:r w:rsidRPr="0071326C">
        <w:rPr>
          <w:rStyle w:val="HideTWBExt"/>
          <w:b w:val="0"/>
        </w:rPr>
        <w:t>&lt;Article&gt;</w:t>
      </w:r>
      <w:r w:rsidRPr="006A55BB">
        <w:t>Paragrafo 36</w:t>
      </w:r>
      <w:r w:rsidRPr="007132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FDC" w:rsidRPr="006A55BB" w14:paraId="56053D5E" w14:textId="77777777">
        <w:trPr>
          <w:trHeight w:hRule="exact" w:val="240"/>
          <w:jc w:val="center"/>
        </w:trPr>
        <w:tc>
          <w:tcPr>
            <w:tcW w:w="9752" w:type="dxa"/>
            <w:gridSpan w:val="2"/>
            <w:tcBorders>
              <w:top w:val="nil"/>
              <w:left w:val="nil"/>
              <w:bottom w:val="nil"/>
              <w:right w:val="nil"/>
            </w:tcBorders>
          </w:tcPr>
          <w:p w14:paraId="09D89CD5" w14:textId="77777777" w:rsidR="00085FDC" w:rsidRPr="006A55BB" w:rsidRDefault="00085FDC"/>
        </w:tc>
      </w:tr>
      <w:tr w:rsidR="00085FDC" w:rsidRPr="006A55BB" w14:paraId="4B9B6561" w14:textId="77777777">
        <w:trPr>
          <w:trHeight w:val="240"/>
          <w:jc w:val="center"/>
        </w:trPr>
        <w:tc>
          <w:tcPr>
            <w:tcW w:w="4876" w:type="dxa"/>
            <w:tcBorders>
              <w:top w:val="nil"/>
              <w:left w:val="nil"/>
              <w:bottom w:val="nil"/>
              <w:right w:val="nil"/>
            </w:tcBorders>
          </w:tcPr>
          <w:p w14:paraId="22101C83" w14:textId="77777777" w:rsidR="00085FDC" w:rsidRPr="006A55BB" w:rsidRDefault="0071326C">
            <w:pPr>
              <w:pStyle w:val="AmColumnHeading"/>
            </w:pPr>
            <w:r w:rsidRPr="006A55BB">
              <w:t>Proposta di risoluzione</w:t>
            </w:r>
          </w:p>
        </w:tc>
        <w:tc>
          <w:tcPr>
            <w:tcW w:w="4876" w:type="dxa"/>
            <w:tcBorders>
              <w:top w:val="nil"/>
              <w:left w:val="nil"/>
              <w:bottom w:val="nil"/>
              <w:right w:val="nil"/>
            </w:tcBorders>
          </w:tcPr>
          <w:p w14:paraId="5F228D81" w14:textId="77777777" w:rsidR="00085FDC" w:rsidRPr="006A55BB" w:rsidRDefault="0071326C">
            <w:pPr>
              <w:pStyle w:val="AmColumnHeading"/>
            </w:pPr>
            <w:r w:rsidRPr="006A55BB">
              <w:t>Emendamento</w:t>
            </w:r>
          </w:p>
        </w:tc>
      </w:tr>
      <w:tr w:rsidR="00085FDC" w:rsidRPr="006A55BB" w14:paraId="3C592BD5" w14:textId="77777777">
        <w:trPr>
          <w:jc w:val="center"/>
        </w:trPr>
        <w:tc>
          <w:tcPr>
            <w:tcW w:w="4876" w:type="dxa"/>
            <w:tcBorders>
              <w:top w:val="nil"/>
              <w:left w:val="nil"/>
              <w:bottom w:val="nil"/>
              <w:right w:val="nil"/>
            </w:tcBorders>
          </w:tcPr>
          <w:p w14:paraId="238D1A13" w14:textId="77777777" w:rsidR="00085FDC" w:rsidRPr="006A55BB" w:rsidRDefault="0071326C">
            <w:pPr>
              <w:pStyle w:val="Normal6a"/>
            </w:pPr>
            <w:r w:rsidRPr="006A55BB">
              <w:t>36.</w:t>
            </w:r>
            <w:r w:rsidRPr="006A55BB">
              <w:tab/>
              <w:t xml:space="preserve">apprende dal questionario che il Comitato ha elaborato una strategia </w:t>
            </w:r>
            <w:r w:rsidRPr="006A55BB">
              <w:t>antifrode che è stata sottoposta al processo di consultazione e adozione interservizi; invita il Comitato a informare l'autorità di discarico sui progressi compiuti a tale riguardo; accoglie con favore il fatto che il Comitato abbia organizzato due sessioni di formazione tenute dal personale dell'OLAF sulla sensibilizzazione e la prevenzione delle frodi negli appalti pubblici cui hanno partecipato 21 membri e una sessione di sensibilizzazione organizzata insieme all'EPPO per far conoscere al personale del C</w:t>
            </w:r>
            <w:r w:rsidRPr="006A55BB">
              <w:t>omitato il mandato dell'EPPO e fornire orientamenti su come segnalare potenziali casi all'EPPO;</w:t>
            </w:r>
          </w:p>
        </w:tc>
        <w:tc>
          <w:tcPr>
            <w:tcW w:w="4876" w:type="dxa"/>
            <w:tcBorders>
              <w:top w:val="nil"/>
              <w:left w:val="nil"/>
              <w:bottom w:val="nil"/>
              <w:right w:val="nil"/>
            </w:tcBorders>
          </w:tcPr>
          <w:p w14:paraId="772E0A97" w14:textId="77777777" w:rsidR="00085FDC" w:rsidRPr="006A55BB" w:rsidRDefault="0071326C">
            <w:pPr>
              <w:pStyle w:val="Normal6a"/>
            </w:pPr>
            <w:r w:rsidRPr="006A55BB">
              <w:t>36.</w:t>
            </w:r>
            <w:r w:rsidRPr="006A55BB">
              <w:tab/>
              <w:t xml:space="preserve">apprende dal questionario che il Comitato ha elaborato una strategia antifrode che è stata sottoposta al processo di consultazione e adozione </w:t>
            </w:r>
            <w:r w:rsidRPr="006A55BB">
              <w:t>interservizi</w:t>
            </w:r>
            <w:r w:rsidRPr="006A55BB">
              <w:rPr>
                <w:b/>
                <w:i/>
              </w:rPr>
              <w:t>; accoglie con favore il relativo piano d'azione che elenca 12 misure concrete da attuare dal quarto trimestre 2025 al quarto trimestre 2027, che comprende campagne di sensibilizzazione, politiche di formazione, rafforzamento delle metodologie di rischio e controllo interno, integrazione di strumenti di rilevazione della frode automatizzati, accordi di cooperazione rivisti con l'OLAF e l'EPPO, e norme aggiornate che disciplinano le indagini interne</w:t>
            </w:r>
            <w:r w:rsidRPr="006A55BB">
              <w:t xml:space="preserve">; invita il Comitato a informare </w:t>
            </w:r>
            <w:r w:rsidRPr="006A55BB">
              <w:t>l'autorità di discarico sui progressi compiuti a tale riguardo; accoglie con favore il fatto che il Comitato abbia organizzato due sessioni di formazione tenute dal personale dell'OLAF sulla sensibilizzazione e la prevenzione delle frodi negli appalti pubblici cui hanno partecipato 21 membri e una sessione di sensibilizzazione organizzata insieme all'EPPO per far conoscere al personale del Comitato il mandato dell'EPPO e fornire orientamenti su come segnalare potenziali casi all'EPPO;</w:t>
            </w:r>
          </w:p>
        </w:tc>
      </w:tr>
    </w:tbl>
    <w:p w14:paraId="43F35049" w14:textId="77777777" w:rsidR="00085FDC" w:rsidRPr="006A55BB" w:rsidRDefault="0071326C">
      <w:pPr>
        <w:pStyle w:val="AmOrLang"/>
      </w:pPr>
      <w:r w:rsidRPr="006A55BB">
        <w:t xml:space="preserve">Or. </w:t>
      </w:r>
      <w:r w:rsidRPr="0071326C">
        <w:rPr>
          <w:rStyle w:val="HideTWBExt"/>
        </w:rPr>
        <w:t>&lt;Original&gt;</w:t>
      </w:r>
      <w:r w:rsidRPr="0071326C">
        <w:rPr>
          <w:rStyle w:val="HideTWBInt"/>
        </w:rPr>
        <w:t>{EN}</w:t>
      </w:r>
      <w:r w:rsidRPr="006A55BB">
        <w:t>en</w:t>
      </w:r>
      <w:r w:rsidRPr="0071326C">
        <w:rPr>
          <w:rStyle w:val="HideTWBExt"/>
        </w:rPr>
        <w:t>&lt;/Original&gt;</w:t>
      </w:r>
    </w:p>
    <w:p w14:paraId="685BEC6A" w14:textId="77777777" w:rsidR="00085FDC" w:rsidRPr="006A55BB" w:rsidRDefault="0071326C">
      <w:r w:rsidRPr="0071326C">
        <w:rPr>
          <w:rStyle w:val="HideTWBExt"/>
        </w:rPr>
        <w:t>&lt;/Amend&gt;</w:t>
      </w:r>
    </w:p>
    <w:p w14:paraId="29898DEE" w14:textId="77777777" w:rsidR="00085FDC" w:rsidRPr="006A55BB" w:rsidRDefault="0071326C">
      <w:pPr>
        <w:pStyle w:val="AmNumberTabs"/>
      </w:pPr>
      <w:r w:rsidRPr="0071326C">
        <w:rPr>
          <w:rStyle w:val="HideTWBExt"/>
          <w:b w:val="0"/>
        </w:rPr>
        <w:t>&lt;Amend&gt;</w:t>
      </w:r>
      <w:r w:rsidRPr="006A55BB">
        <w:t>Emendamento</w:t>
      </w:r>
      <w:r w:rsidRPr="006A55BB">
        <w:tab/>
      </w:r>
      <w:r w:rsidRPr="006A55BB">
        <w:tab/>
      </w:r>
      <w:r w:rsidRPr="0071326C">
        <w:rPr>
          <w:rStyle w:val="HideTWBExt"/>
          <w:b w:val="0"/>
        </w:rPr>
        <w:t>&lt;NumAm&gt;</w:t>
      </w:r>
      <w:r w:rsidRPr="006A55BB">
        <w:t>35</w:t>
      </w:r>
      <w:r w:rsidRPr="0071326C">
        <w:rPr>
          <w:rStyle w:val="HideTWBExt"/>
          <w:b w:val="0"/>
        </w:rPr>
        <w:t>&lt;/NumAm&gt;</w:t>
      </w:r>
    </w:p>
    <w:p w14:paraId="1D169AC3" w14:textId="77777777" w:rsidR="00085FDC" w:rsidRPr="006A55BB" w:rsidRDefault="0071326C">
      <w:pPr>
        <w:pStyle w:val="NormalBold"/>
      </w:pPr>
      <w:r w:rsidRPr="0071326C">
        <w:rPr>
          <w:rStyle w:val="HideTWBExt"/>
          <w:b w:val="0"/>
        </w:rPr>
        <w:t>&lt;RepeatBlock-By&gt;&lt;Members&gt;</w:t>
      </w:r>
      <w:r w:rsidRPr="006A55BB">
        <w:t>Csaba Molnár</w:t>
      </w:r>
      <w:r w:rsidRPr="0071326C">
        <w:rPr>
          <w:rStyle w:val="HideTWBExt"/>
          <w:b w:val="0"/>
        </w:rPr>
        <w:t>&lt;/Members&gt;</w:t>
      </w:r>
    </w:p>
    <w:p w14:paraId="073BE044" w14:textId="77777777" w:rsidR="00085FDC" w:rsidRPr="006A55BB" w:rsidRDefault="0071326C">
      <w:pPr>
        <w:pStyle w:val="NormalBold"/>
      </w:pPr>
      <w:r w:rsidRPr="0071326C">
        <w:rPr>
          <w:rStyle w:val="HideTWBExt"/>
          <w:b w:val="0"/>
        </w:rPr>
        <w:t>&lt;/RepeatBlock-By&gt;</w:t>
      </w:r>
    </w:p>
    <w:p w14:paraId="1F1757BD" w14:textId="77777777" w:rsidR="00085FDC" w:rsidRPr="006A55BB" w:rsidRDefault="0071326C">
      <w:pPr>
        <w:pStyle w:val="NormalBold"/>
      </w:pPr>
      <w:r w:rsidRPr="0071326C">
        <w:rPr>
          <w:rStyle w:val="HideTWBExt"/>
          <w:b w:val="0"/>
        </w:rPr>
        <w:t>&lt;DocAmend&gt;</w:t>
      </w:r>
      <w:r w:rsidRPr="006A55BB">
        <w:t>Proposta di risoluzione</w:t>
      </w:r>
      <w:r w:rsidRPr="0071326C">
        <w:rPr>
          <w:rStyle w:val="HideTWBExt"/>
          <w:b w:val="0"/>
        </w:rPr>
        <w:t>&lt;/DocAmend&gt;</w:t>
      </w:r>
    </w:p>
    <w:p w14:paraId="5D8DA8A1" w14:textId="77777777" w:rsidR="00085FDC" w:rsidRPr="006A55BB" w:rsidRDefault="0071326C">
      <w:pPr>
        <w:pStyle w:val="NormalBold"/>
      </w:pPr>
      <w:r w:rsidRPr="0071326C">
        <w:rPr>
          <w:rStyle w:val="HideTWBExt"/>
          <w:b w:val="0"/>
        </w:rPr>
        <w:t>&lt;Article&gt;</w:t>
      </w:r>
      <w:r w:rsidRPr="006A55BB">
        <w:t>Paragrafo 36</w:t>
      </w:r>
      <w:r w:rsidRPr="007132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FDC" w:rsidRPr="006A55BB" w14:paraId="559D456B" w14:textId="77777777">
        <w:trPr>
          <w:trHeight w:hRule="exact" w:val="240"/>
          <w:jc w:val="center"/>
        </w:trPr>
        <w:tc>
          <w:tcPr>
            <w:tcW w:w="9752" w:type="dxa"/>
            <w:gridSpan w:val="2"/>
            <w:tcBorders>
              <w:top w:val="nil"/>
              <w:left w:val="nil"/>
              <w:bottom w:val="nil"/>
              <w:right w:val="nil"/>
            </w:tcBorders>
          </w:tcPr>
          <w:p w14:paraId="1E8B0075" w14:textId="77777777" w:rsidR="00085FDC" w:rsidRPr="006A55BB" w:rsidRDefault="00085FDC"/>
        </w:tc>
      </w:tr>
      <w:tr w:rsidR="00085FDC" w:rsidRPr="006A55BB" w14:paraId="2C8BF90D" w14:textId="77777777">
        <w:trPr>
          <w:trHeight w:val="240"/>
          <w:jc w:val="center"/>
        </w:trPr>
        <w:tc>
          <w:tcPr>
            <w:tcW w:w="4876" w:type="dxa"/>
            <w:tcBorders>
              <w:top w:val="nil"/>
              <w:left w:val="nil"/>
              <w:bottom w:val="nil"/>
              <w:right w:val="nil"/>
            </w:tcBorders>
          </w:tcPr>
          <w:p w14:paraId="0D7D0D90" w14:textId="77777777" w:rsidR="00085FDC" w:rsidRPr="006A55BB" w:rsidRDefault="0071326C">
            <w:pPr>
              <w:pStyle w:val="AmColumnHeading"/>
            </w:pPr>
            <w:r w:rsidRPr="006A55BB">
              <w:t>Proposta di risoluzione</w:t>
            </w:r>
          </w:p>
        </w:tc>
        <w:tc>
          <w:tcPr>
            <w:tcW w:w="4876" w:type="dxa"/>
            <w:tcBorders>
              <w:top w:val="nil"/>
              <w:left w:val="nil"/>
              <w:bottom w:val="nil"/>
              <w:right w:val="nil"/>
            </w:tcBorders>
          </w:tcPr>
          <w:p w14:paraId="117E122D" w14:textId="77777777" w:rsidR="00085FDC" w:rsidRPr="006A55BB" w:rsidRDefault="0071326C">
            <w:pPr>
              <w:pStyle w:val="AmColumnHeading"/>
            </w:pPr>
            <w:r w:rsidRPr="006A55BB">
              <w:t>Emendamento</w:t>
            </w:r>
          </w:p>
        </w:tc>
      </w:tr>
      <w:tr w:rsidR="00085FDC" w:rsidRPr="006A55BB" w14:paraId="0A876739" w14:textId="77777777">
        <w:trPr>
          <w:jc w:val="center"/>
        </w:trPr>
        <w:tc>
          <w:tcPr>
            <w:tcW w:w="4876" w:type="dxa"/>
            <w:tcBorders>
              <w:top w:val="nil"/>
              <w:left w:val="nil"/>
              <w:bottom w:val="nil"/>
              <w:right w:val="nil"/>
            </w:tcBorders>
          </w:tcPr>
          <w:p w14:paraId="10DE441D" w14:textId="77777777" w:rsidR="00085FDC" w:rsidRPr="006A55BB" w:rsidRDefault="0071326C">
            <w:pPr>
              <w:pStyle w:val="Normal6a"/>
            </w:pPr>
            <w:r w:rsidRPr="006A55BB">
              <w:t>36.</w:t>
            </w:r>
            <w:r w:rsidRPr="006A55BB">
              <w:tab/>
            </w:r>
            <w:r w:rsidRPr="006A55BB">
              <w:t xml:space="preserve">apprende dal questionario che il Comitato ha elaborato una strategia antifrode che è stata sottoposta al processo di consultazione e adozione interservizi; </w:t>
            </w:r>
            <w:r w:rsidRPr="006A55BB">
              <w:lastRenderedPageBreak/>
              <w:t>invita il Comitato a informare l'autorità di discarico sui progressi compiuti a tale riguardo; accoglie con favore il fatto che il Comitato abbia organizzato due sessioni di formazione tenute dal personale dell'OLAF sulla sensibilizzazione e la prevenzione delle frodi negli appalti pubblici cui hanno partecipato 21 membri e una sessione di sensibilizzazi</w:t>
            </w:r>
            <w:r w:rsidRPr="006A55BB">
              <w:t>one organizzata insieme all'EPPO per far conoscere al personale del Comitato il mandato dell'EPPO e fornire orientamenti su come segnalare potenziali casi all'EPPO;</w:t>
            </w:r>
          </w:p>
        </w:tc>
        <w:tc>
          <w:tcPr>
            <w:tcW w:w="4876" w:type="dxa"/>
            <w:tcBorders>
              <w:top w:val="nil"/>
              <w:left w:val="nil"/>
              <w:bottom w:val="nil"/>
              <w:right w:val="nil"/>
            </w:tcBorders>
          </w:tcPr>
          <w:p w14:paraId="39E7BE97" w14:textId="77777777" w:rsidR="00085FDC" w:rsidRPr="006A55BB" w:rsidRDefault="0071326C">
            <w:pPr>
              <w:pStyle w:val="Normal6a"/>
            </w:pPr>
            <w:r w:rsidRPr="006A55BB">
              <w:lastRenderedPageBreak/>
              <w:t>36.</w:t>
            </w:r>
            <w:r w:rsidRPr="006A55BB">
              <w:tab/>
              <w:t xml:space="preserve">apprende </w:t>
            </w:r>
            <w:r w:rsidRPr="006A55BB">
              <w:rPr>
                <w:b/>
                <w:i/>
              </w:rPr>
              <w:t>con soddisfazione</w:t>
            </w:r>
            <w:r w:rsidRPr="006A55BB">
              <w:t xml:space="preserve"> dal questionario che il Comitato ha elaborato una strategia antifrode </w:t>
            </w:r>
            <w:r w:rsidRPr="006A55BB">
              <w:rPr>
                <w:b/>
                <w:i/>
              </w:rPr>
              <w:t>in seguito ai precedenti inviti del Parlamento,</w:t>
            </w:r>
            <w:r w:rsidRPr="006A55BB">
              <w:t xml:space="preserve"> che è </w:t>
            </w:r>
            <w:r w:rsidRPr="006A55BB">
              <w:lastRenderedPageBreak/>
              <w:t>stata sottoposta al processo di consultazione e adozione interservizi</w:t>
            </w:r>
            <w:r w:rsidRPr="006A55BB">
              <w:rPr>
                <w:b/>
                <w:i/>
              </w:rPr>
              <w:t>; esorta il Comitato a privilegiare l'adozione e l'attuazione di tale strategia, compresa la valutazione, la prevenzione e l'individuazione del rischio e le misure di follow-up</w:t>
            </w:r>
            <w:r w:rsidRPr="006A55BB">
              <w:t>; invita il Comitato a informare l'autorità di discarico sui progressi compiuti a tale riguardo; accoglie con favor</w:t>
            </w:r>
            <w:r w:rsidRPr="006A55BB">
              <w:t>e il fatto che il Comitato abbia organizzato due sessioni di formazione tenute dal personale dell'OLAF sulla sensibilizzazione e la prevenzione delle frodi negli appalti pubblici cui hanno partecipato 21 membri e una sessione di sensibilizzazione organizzata insieme all'EPPO per far conoscere al personale del Comitato il mandato dell'EPPO e fornire orientamenti su come segnalare potenziali casi all'EPPO;</w:t>
            </w:r>
          </w:p>
        </w:tc>
      </w:tr>
    </w:tbl>
    <w:p w14:paraId="078FAA4F" w14:textId="77777777" w:rsidR="00085FDC" w:rsidRPr="006A55BB" w:rsidRDefault="0071326C">
      <w:pPr>
        <w:pStyle w:val="AmOrLang"/>
      </w:pPr>
      <w:r w:rsidRPr="006A55BB">
        <w:lastRenderedPageBreak/>
        <w:t xml:space="preserve">Or. </w:t>
      </w:r>
      <w:r w:rsidRPr="0071326C">
        <w:rPr>
          <w:rStyle w:val="HideTWBExt"/>
        </w:rPr>
        <w:t>&lt;Original&gt;</w:t>
      </w:r>
      <w:r w:rsidRPr="0071326C">
        <w:rPr>
          <w:rStyle w:val="HideTWBInt"/>
        </w:rPr>
        <w:t>{EN}</w:t>
      </w:r>
      <w:r w:rsidRPr="006A55BB">
        <w:t>en</w:t>
      </w:r>
      <w:r w:rsidRPr="0071326C">
        <w:rPr>
          <w:rStyle w:val="HideTWBExt"/>
        </w:rPr>
        <w:t>&lt;/Original&gt;</w:t>
      </w:r>
    </w:p>
    <w:p w14:paraId="2D855FCF" w14:textId="77777777" w:rsidR="00085FDC" w:rsidRPr="006A55BB" w:rsidRDefault="0071326C">
      <w:r w:rsidRPr="0071326C">
        <w:rPr>
          <w:rStyle w:val="HideTWBExt"/>
        </w:rPr>
        <w:t>&lt;/Amend&gt;</w:t>
      </w:r>
    </w:p>
    <w:p w14:paraId="70B94A22" w14:textId="77777777" w:rsidR="00085FDC" w:rsidRPr="006A55BB" w:rsidRDefault="0071326C">
      <w:pPr>
        <w:pStyle w:val="AmNumberTabs"/>
      </w:pPr>
      <w:r w:rsidRPr="0071326C">
        <w:rPr>
          <w:rStyle w:val="HideTWBExt"/>
          <w:b w:val="0"/>
        </w:rPr>
        <w:t>&lt;Amend&gt;</w:t>
      </w:r>
      <w:r w:rsidRPr="006A55BB">
        <w:t>Emendamento</w:t>
      </w:r>
      <w:r w:rsidRPr="006A55BB">
        <w:tab/>
      </w:r>
      <w:r w:rsidRPr="006A55BB">
        <w:tab/>
      </w:r>
      <w:r w:rsidRPr="0071326C">
        <w:rPr>
          <w:rStyle w:val="HideTWBExt"/>
          <w:b w:val="0"/>
        </w:rPr>
        <w:t>&lt;NumAm&gt;</w:t>
      </w:r>
      <w:r w:rsidRPr="006A55BB">
        <w:t>36</w:t>
      </w:r>
      <w:r w:rsidRPr="0071326C">
        <w:rPr>
          <w:rStyle w:val="HideTWBExt"/>
          <w:b w:val="0"/>
        </w:rPr>
        <w:t>&lt;/NumAm&gt;</w:t>
      </w:r>
    </w:p>
    <w:p w14:paraId="0F5DF490" w14:textId="77777777" w:rsidR="00085FDC" w:rsidRPr="006A55BB" w:rsidRDefault="0071326C">
      <w:pPr>
        <w:pStyle w:val="NormalBold"/>
      </w:pPr>
      <w:r w:rsidRPr="0071326C">
        <w:rPr>
          <w:rStyle w:val="HideTWBExt"/>
          <w:b w:val="0"/>
        </w:rPr>
        <w:t>&lt;RepeatBlock-By&gt;&lt;Members&gt;</w:t>
      </w:r>
      <w:r w:rsidRPr="006A55BB">
        <w:t>Michal Wiezik, Olivier Chastel, Vlad Vasile-Voiculescu, Gilles Boyer</w:t>
      </w:r>
      <w:r w:rsidRPr="0071326C">
        <w:rPr>
          <w:rStyle w:val="HideTWBExt"/>
          <w:b w:val="0"/>
        </w:rPr>
        <w:t>&lt;/Members&gt;</w:t>
      </w:r>
    </w:p>
    <w:p w14:paraId="227BF5AE" w14:textId="77777777" w:rsidR="00085FDC" w:rsidRPr="006A55BB" w:rsidRDefault="0071326C">
      <w:pPr>
        <w:pStyle w:val="NormalBold"/>
      </w:pPr>
      <w:r w:rsidRPr="0071326C">
        <w:rPr>
          <w:rStyle w:val="HideTWBExt"/>
          <w:b w:val="0"/>
        </w:rPr>
        <w:t>&lt;/RepeatBlock-By&gt;</w:t>
      </w:r>
    </w:p>
    <w:p w14:paraId="088CE4FD" w14:textId="77777777" w:rsidR="00085FDC" w:rsidRPr="006A55BB" w:rsidRDefault="0071326C">
      <w:pPr>
        <w:pStyle w:val="NormalBold"/>
      </w:pPr>
      <w:r w:rsidRPr="0071326C">
        <w:rPr>
          <w:rStyle w:val="HideTWBExt"/>
          <w:b w:val="0"/>
        </w:rPr>
        <w:t>&lt;DocAmend&gt;</w:t>
      </w:r>
      <w:r w:rsidRPr="006A55BB">
        <w:t>Proposta di risoluzione</w:t>
      </w:r>
      <w:r w:rsidRPr="0071326C">
        <w:rPr>
          <w:rStyle w:val="HideTWBExt"/>
          <w:b w:val="0"/>
        </w:rPr>
        <w:t>&lt;/DocAmend&gt;</w:t>
      </w:r>
    </w:p>
    <w:p w14:paraId="20396A0C" w14:textId="77777777" w:rsidR="00085FDC" w:rsidRPr="006A55BB" w:rsidRDefault="0071326C">
      <w:pPr>
        <w:pStyle w:val="NormalBold"/>
      </w:pPr>
      <w:r w:rsidRPr="0071326C">
        <w:rPr>
          <w:rStyle w:val="HideTWBExt"/>
          <w:b w:val="0"/>
        </w:rPr>
        <w:t>&lt;Article&gt;</w:t>
      </w:r>
      <w:r w:rsidRPr="006A55BB">
        <w:t>Paragrafo 36</w:t>
      </w:r>
      <w:r w:rsidRPr="007132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FDC" w:rsidRPr="006A55BB" w14:paraId="5C8D2151" w14:textId="77777777">
        <w:trPr>
          <w:trHeight w:hRule="exact" w:val="240"/>
          <w:jc w:val="center"/>
        </w:trPr>
        <w:tc>
          <w:tcPr>
            <w:tcW w:w="9752" w:type="dxa"/>
            <w:gridSpan w:val="2"/>
            <w:tcBorders>
              <w:top w:val="nil"/>
              <w:left w:val="nil"/>
              <w:bottom w:val="nil"/>
              <w:right w:val="nil"/>
            </w:tcBorders>
          </w:tcPr>
          <w:p w14:paraId="55A6014F" w14:textId="77777777" w:rsidR="00085FDC" w:rsidRPr="006A55BB" w:rsidRDefault="00085FDC"/>
        </w:tc>
      </w:tr>
      <w:tr w:rsidR="00085FDC" w:rsidRPr="006A55BB" w14:paraId="5EF304D3" w14:textId="77777777">
        <w:trPr>
          <w:trHeight w:val="240"/>
          <w:jc w:val="center"/>
        </w:trPr>
        <w:tc>
          <w:tcPr>
            <w:tcW w:w="4876" w:type="dxa"/>
            <w:tcBorders>
              <w:top w:val="nil"/>
              <w:left w:val="nil"/>
              <w:bottom w:val="nil"/>
              <w:right w:val="nil"/>
            </w:tcBorders>
          </w:tcPr>
          <w:p w14:paraId="2D4416AA" w14:textId="77777777" w:rsidR="00085FDC" w:rsidRPr="006A55BB" w:rsidRDefault="0071326C">
            <w:pPr>
              <w:pStyle w:val="AmColumnHeading"/>
            </w:pPr>
            <w:r w:rsidRPr="006A55BB">
              <w:t>Proposta di risoluzione</w:t>
            </w:r>
          </w:p>
        </w:tc>
        <w:tc>
          <w:tcPr>
            <w:tcW w:w="4876" w:type="dxa"/>
            <w:tcBorders>
              <w:top w:val="nil"/>
              <w:left w:val="nil"/>
              <w:bottom w:val="nil"/>
              <w:right w:val="nil"/>
            </w:tcBorders>
          </w:tcPr>
          <w:p w14:paraId="2826435D" w14:textId="77777777" w:rsidR="00085FDC" w:rsidRPr="006A55BB" w:rsidRDefault="0071326C">
            <w:pPr>
              <w:pStyle w:val="AmColumnHeading"/>
            </w:pPr>
            <w:r w:rsidRPr="006A55BB">
              <w:t>Emendamento</w:t>
            </w:r>
          </w:p>
        </w:tc>
      </w:tr>
      <w:tr w:rsidR="00085FDC" w:rsidRPr="006A55BB" w14:paraId="3EB1A380" w14:textId="77777777">
        <w:trPr>
          <w:jc w:val="center"/>
        </w:trPr>
        <w:tc>
          <w:tcPr>
            <w:tcW w:w="4876" w:type="dxa"/>
            <w:tcBorders>
              <w:top w:val="nil"/>
              <w:left w:val="nil"/>
              <w:bottom w:val="nil"/>
              <w:right w:val="nil"/>
            </w:tcBorders>
          </w:tcPr>
          <w:p w14:paraId="2C0CFBC7" w14:textId="77777777" w:rsidR="00085FDC" w:rsidRPr="006A55BB" w:rsidRDefault="0071326C">
            <w:pPr>
              <w:pStyle w:val="Normal6a"/>
            </w:pPr>
            <w:r w:rsidRPr="006A55BB">
              <w:t>36.</w:t>
            </w:r>
            <w:r w:rsidRPr="006A55BB">
              <w:tab/>
              <w:t xml:space="preserve">apprende dal questionario che il Comitato ha elaborato una strategia antifrode che è stata </w:t>
            </w:r>
            <w:r w:rsidRPr="006A55BB">
              <w:t xml:space="preserve">sottoposta al processo di consultazione e adozione interservizi; invita il Comitato a informare l'autorità di discarico sui progressi compiuti a tale riguardo; accoglie con favore il fatto che il Comitato abbia organizzato due sessioni di formazione tenute dal personale dell'OLAF sulla sensibilizzazione e la prevenzione delle frodi negli appalti pubblici cui hanno partecipato 21 membri e una sessione di sensibilizzazione organizzata insieme all'EPPO per far conoscere al personale del </w:t>
            </w:r>
            <w:r w:rsidRPr="006A55BB">
              <w:lastRenderedPageBreak/>
              <w:t>Comitato il mandato del</w:t>
            </w:r>
            <w:r w:rsidRPr="006A55BB">
              <w:t>l'EPPO e fornire orientamenti su come segnalare potenziali casi all'EPPO;</w:t>
            </w:r>
          </w:p>
        </w:tc>
        <w:tc>
          <w:tcPr>
            <w:tcW w:w="4876" w:type="dxa"/>
            <w:tcBorders>
              <w:top w:val="nil"/>
              <w:left w:val="nil"/>
              <w:bottom w:val="nil"/>
              <w:right w:val="nil"/>
            </w:tcBorders>
          </w:tcPr>
          <w:p w14:paraId="0923D511" w14:textId="77777777" w:rsidR="00085FDC" w:rsidRPr="006A55BB" w:rsidRDefault="0071326C">
            <w:pPr>
              <w:pStyle w:val="Normal6a"/>
            </w:pPr>
            <w:r w:rsidRPr="006A55BB">
              <w:lastRenderedPageBreak/>
              <w:t>36.</w:t>
            </w:r>
            <w:r w:rsidRPr="006A55BB">
              <w:tab/>
              <w:t>apprende dal questionario che il Comitato ha elaborato una strategia antifrode che è stata sottoposta al processo di consultazione e adozione interservizi; invita il Comitato a informare l'autorità di discarico sui progressi compiuti a tale riguardo; accoglie con favore il fatto che il Comitato abbia organizzato due sessioni di formazione tenute dal personale dell'OLAF sulla sensibilizzazione e la prevenzione delle frodi negli appalti pubblici cui hanno partecipato 21 membri e una sessione di sensibilizzaz</w:t>
            </w:r>
            <w:r w:rsidRPr="006A55BB">
              <w:t xml:space="preserve">ione organizzata insieme all'EPPO per far conoscere al personale del </w:t>
            </w:r>
            <w:r w:rsidRPr="006A55BB">
              <w:lastRenderedPageBreak/>
              <w:t>Comitato il mandato dell'EPPO e fornire orientamenti su come segnalare potenziali casi all'EPPO</w:t>
            </w:r>
            <w:r w:rsidRPr="006A55BB">
              <w:rPr>
                <w:b/>
                <w:i/>
              </w:rPr>
              <w:t>, e raccomanda la prosecuzione di questa attività</w:t>
            </w:r>
            <w:r w:rsidRPr="006A55BB">
              <w:t>;</w:t>
            </w:r>
          </w:p>
        </w:tc>
      </w:tr>
    </w:tbl>
    <w:p w14:paraId="3FDA336D" w14:textId="77777777" w:rsidR="00085FDC" w:rsidRPr="006A55BB" w:rsidRDefault="0071326C">
      <w:pPr>
        <w:pStyle w:val="AmOrLang"/>
      </w:pPr>
      <w:r w:rsidRPr="006A55BB">
        <w:lastRenderedPageBreak/>
        <w:t xml:space="preserve">Or. </w:t>
      </w:r>
      <w:r w:rsidRPr="0071326C">
        <w:rPr>
          <w:rStyle w:val="HideTWBExt"/>
        </w:rPr>
        <w:t>&lt;Original&gt;</w:t>
      </w:r>
      <w:r w:rsidRPr="0071326C">
        <w:rPr>
          <w:rStyle w:val="HideTWBInt"/>
        </w:rPr>
        <w:t>{EN}</w:t>
      </w:r>
      <w:r w:rsidRPr="006A55BB">
        <w:t>en</w:t>
      </w:r>
      <w:r w:rsidRPr="0071326C">
        <w:rPr>
          <w:rStyle w:val="HideTWBExt"/>
        </w:rPr>
        <w:t>&lt;/Original&gt;</w:t>
      </w:r>
    </w:p>
    <w:p w14:paraId="30F3B2D7" w14:textId="77777777" w:rsidR="00085FDC" w:rsidRPr="006A55BB" w:rsidRDefault="0071326C">
      <w:r w:rsidRPr="0071326C">
        <w:rPr>
          <w:rStyle w:val="HideTWBExt"/>
        </w:rPr>
        <w:t>&lt;/Amend&gt;</w:t>
      </w:r>
    </w:p>
    <w:p w14:paraId="1020BE92" w14:textId="77777777" w:rsidR="00085FDC" w:rsidRPr="006A55BB" w:rsidRDefault="0071326C">
      <w:pPr>
        <w:pStyle w:val="AmNumberTabs"/>
      </w:pPr>
      <w:r w:rsidRPr="0071326C">
        <w:rPr>
          <w:rStyle w:val="HideTWBExt"/>
          <w:b w:val="0"/>
        </w:rPr>
        <w:t>&lt;Amend&gt;</w:t>
      </w:r>
      <w:r w:rsidRPr="006A55BB">
        <w:t>Emendamento</w:t>
      </w:r>
      <w:r w:rsidRPr="006A55BB">
        <w:tab/>
      </w:r>
      <w:r w:rsidRPr="006A55BB">
        <w:tab/>
      </w:r>
      <w:r w:rsidRPr="0071326C">
        <w:rPr>
          <w:rStyle w:val="HideTWBExt"/>
          <w:b w:val="0"/>
        </w:rPr>
        <w:t>&lt;NumAm&gt;</w:t>
      </w:r>
      <w:r w:rsidRPr="006A55BB">
        <w:t>37</w:t>
      </w:r>
      <w:r w:rsidRPr="0071326C">
        <w:rPr>
          <w:rStyle w:val="HideTWBExt"/>
          <w:b w:val="0"/>
        </w:rPr>
        <w:t>&lt;/NumAm&gt;</w:t>
      </w:r>
    </w:p>
    <w:p w14:paraId="533BA00F" w14:textId="77777777" w:rsidR="00085FDC" w:rsidRPr="006A55BB" w:rsidRDefault="0071326C">
      <w:pPr>
        <w:pStyle w:val="NormalBold"/>
      </w:pPr>
      <w:r w:rsidRPr="0071326C">
        <w:rPr>
          <w:rStyle w:val="HideTWBExt"/>
          <w:b w:val="0"/>
        </w:rPr>
        <w:t>&lt;RepeatBlock-By&gt;&lt;Members&gt;</w:t>
      </w:r>
      <w:r w:rsidRPr="006A55BB">
        <w:t>Şerban Dimitrie Sturdza</w:t>
      </w:r>
      <w:r w:rsidRPr="0071326C">
        <w:rPr>
          <w:rStyle w:val="HideTWBExt"/>
          <w:b w:val="0"/>
        </w:rPr>
        <w:t>&lt;/Members&gt;</w:t>
      </w:r>
    </w:p>
    <w:p w14:paraId="3178420E" w14:textId="77777777" w:rsidR="00085FDC" w:rsidRPr="006A55BB" w:rsidRDefault="0071326C">
      <w:pPr>
        <w:pStyle w:val="NormalBold"/>
      </w:pPr>
      <w:r w:rsidRPr="0071326C">
        <w:rPr>
          <w:rStyle w:val="HideTWBExt"/>
          <w:b w:val="0"/>
        </w:rPr>
        <w:t>&lt;/RepeatBlock-By&gt;</w:t>
      </w:r>
    </w:p>
    <w:p w14:paraId="6D8AEE6C" w14:textId="77777777" w:rsidR="00085FDC" w:rsidRPr="006A55BB" w:rsidRDefault="0071326C">
      <w:pPr>
        <w:pStyle w:val="NormalBold"/>
      </w:pPr>
      <w:r w:rsidRPr="0071326C">
        <w:rPr>
          <w:rStyle w:val="HideTWBExt"/>
          <w:b w:val="0"/>
        </w:rPr>
        <w:t>&lt;DocAmend&gt;</w:t>
      </w:r>
      <w:r w:rsidRPr="006A55BB">
        <w:t>Proposta di risoluzione</w:t>
      </w:r>
      <w:r w:rsidRPr="0071326C">
        <w:rPr>
          <w:rStyle w:val="HideTWBExt"/>
          <w:b w:val="0"/>
        </w:rPr>
        <w:t>&lt;/DocAmend&gt;</w:t>
      </w:r>
    </w:p>
    <w:p w14:paraId="05E98F30" w14:textId="77777777" w:rsidR="00085FDC" w:rsidRPr="006A55BB" w:rsidRDefault="0071326C">
      <w:pPr>
        <w:pStyle w:val="NormalBold"/>
      </w:pPr>
      <w:r w:rsidRPr="0071326C">
        <w:rPr>
          <w:rStyle w:val="HideTWBExt"/>
          <w:b w:val="0"/>
        </w:rPr>
        <w:t>&lt;Article&gt;</w:t>
      </w:r>
      <w:r w:rsidRPr="006A55BB">
        <w:t>Paragrafo 37</w:t>
      </w:r>
      <w:r w:rsidRPr="007132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FDC" w:rsidRPr="006A55BB" w14:paraId="28500807" w14:textId="77777777">
        <w:trPr>
          <w:trHeight w:hRule="exact" w:val="240"/>
          <w:jc w:val="center"/>
        </w:trPr>
        <w:tc>
          <w:tcPr>
            <w:tcW w:w="9752" w:type="dxa"/>
            <w:gridSpan w:val="2"/>
            <w:tcBorders>
              <w:top w:val="nil"/>
              <w:left w:val="nil"/>
              <w:bottom w:val="nil"/>
              <w:right w:val="nil"/>
            </w:tcBorders>
          </w:tcPr>
          <w:p w14:paraId="6C26D1EB" w14:textId="77777777" w:rsidR="00085FDC" w:rsidRPr="006A55BB" w:rsidRDefault="00085FDC"/>
        </w:tc>
      </w:tr>
      <w:tr w:rsidR="00085FDC" w:rsidRPr="006A55BB" w14:paraId="39734100" w14:textId="77777777">
        <w:trPr>
          <w:trHeight w:val="240"/>
          <w:jc w:val="center"/>
        </w:trPr>
        <w:tc>
          <w:tcPr>
            <w:tcW w:w="4876" w:type="dxa"/>
            <w:tcBorders>
              <w:top w:val="nil"/>
              <w:left w:val="nil"/>
              <w:bottom w:val="nil"/>
              <w:right w:val="nil"/>
            </w:tcBorders>
          </w:tcPr>
          <w:p w14:paraId="2150BE80" w14:textId="77777777" w:rsidR="00085FDC" w:rsidRPr="006A55BB" w:rsidRDefault="0071326C">
            <w:pPr>
              <w:pStyle w:val="AmColumnHeading"/>
            </w:pPr>
            <w:r w:rsidRPr="006A55BB">
              <w:t>Proposta di risoluzione</w:t>
            </w:r>
          </w:p>
        </w:tc>
        <w:tc>
          <w:tcPr>
            <w:tcW w:w="4876" w:type="dxa"/>
            <w:tcBorders>
              <w:top w:val="nil"/>
              <w:left w:val="nil"/>
              <w:bottom w:val="nil"/>
              <w:right w:val="nil"/>
            </w:tcBorders>
          </w:tcPr>
          <w:p w14:paraId="31A8F2B1" w14:textId="77777777" w:rsidR="00085FDC" w:rsidRPr="006A55BB" w:rsidRDefault="0071326C">
            <w:pPr>
              <w:pStyle w:val="AmColumnHeading"/>
            </w:pPr>
            <w:r w:rsidRPr="006A55BB">
              <w:t>Emendamento</w:t>
            </w:r>
          </w:p>
        </w:tc>
      </w:tr>
      <w:tr w:rsidR="00085FDC" w:rsidRPr="006A55BB" w14:paraId="40A79591" w14:textId="77777777">
        <w:trPr>
          <w:jc w:val="center"/>
        </w:trPr>
        <w:tc>
          <w:tcPr>
            <w:tcW w:w="4876" w:type="dxa"/>
            <w:tcBorders>
              <w:top w:val="nil"/>
              <w:left w:val="nil"/>
              <w:bottom w:val="nil"/>
              <w:right w:val="nil"/>
            </w:tcBorders>
          </w:tcPr>
          <w:p w14:paraId="15916888" w14:textId="77777777" w:rsidR="00085FDC" w:rsidRPr="006A55BB" w:rsidRDefault="0071326C">
            <w:pPr>
              <w:pStyle w:val="Normal6a"/>
            </w:pPr>
            <w:r w:rsidRPr="006A55BB">
              <w:t>37.</w:t>
            </w:r>
            <w:r w:rsidRPr="006A55BB">
              <w:tab/>
              <w:t>prende atto che il bilancio combinato per il settore informatico del Comitato e del CdR ammontava a 13 700 000 EUR nel 2022, rispetto a 12 700 000 EUR nel 2023, registrando un aumento del 7,87 %, mentre 760 000 EUR di tale bilancio (pari al 6 %) sono stati destinati alla cibersicurezza nel 2024; rileva dal questionario che il finanziamento dei progetti informatici è aumentato di 109 000 EUR rispetto al 2023, il che rappresenta un aumento del 4 %, sostenendo principalmente il programma M365 sul luogo di lav</w:t>
            </w:r>
            <w:r w:rsidRPr="006A55BB">
              <w:t>oro e il programma di trasformazione della cibersicurezza; osserva inoltre che la spesa per le attrezzature è aumentata di 117 000 EUR (ossia un aumento del 20 %), principalmente a causa degli adeguamenti dei prezzi e degli investimenti strategici nelle infrastrutture di telefonia; riconosce la preoccupazione del Comitato di essere strutturalmente sottofinanziato nei settori della digitalizzazione e della cibersicurezza; si rammarica, in tale contesto, che l'autorità di bilancio non abbia incluso nel bilanc</w:t>
            </w:r>
            <w:r w:rsidRPr="006A55BB">
              <w:t xml:space="preserve">io dell'Unione per il 2026 l'importo di 1 176 000 EUR necessario affinché il Comitato (e il CdR) gestiscano un importante aggiornamento della cibersicurezza, rendendo in tal modo </w:t>
            </w:r>
            <w:r w:rsidRPr="006A55BB">
              <w:lastRenderedPageBreak/>
              <w:t>irraggiungibile l'obiettivo di cui al regolamento (UE, Euratom) 2023/2841</w:t>
            </w:r>
            <w:r w:rsidRPr="006A55BB">
              <w:rPr>
                <w:vertAlign w:val="superscript"/>
              </w:rPr>
              <w:t>1</w:t>
            </w:r>
            <w:r w:rsidRPr="006A55BB">
              <w:t xml:space="preserve"> di destinare circa il 10 % della sua spesa informatica totale alla cibersicurezza;</w:t>
            </w:r>
          </w:p>
        </w:tc>
        <w:tc>
          <w:tcPr>
            <w:tcW w:w="4876" w:type="dxa"/>
            <w:tcBorders>
              <w:top w:val="nil"/>
              <w:left w:val="nil"/>
              <w:bottom w:val="nil"/>
              <w:right w:val="nil"/>
            </w:tcBorders>
          </w:tcPr>
          <w:p w14:paraId="0663E07B" w14:textId="77777777" w:rsidR="00085FDC" w:rsidRPr="006A55BB" w:rsidRDefault="0071326C">
            <w:pPr>
              <w:pStyle w:val="Normal6a"/>
            </w:pPr>
            <w:r w:rsidRPr="006A55BB">
              <w:lastRenderedPageBreak/>
              <w:t>37.</w:t>
            </w:r>
            <w:r w:rsidRPr="006A55BB">
              <w:tab/>
              <w:t xml:space="preserve">prende atto che il bilancio combinato per il settore informatico del Comitato e del CdR ammontava a </w:t>
            </w:r>
            <w:r w:rsidRPr="006A55BB">
              <w:t>13 700 000 EUR nel 2022, rispetto a 12 700 000 EUR nel 2023, registrando un aumento del 7,87 %, mentre 760 000 EUR di tale bilancio (pari al 6 %) sono stati destinati alla cibersicurezza nel 2024; rileva dal questionario che il finanziamento dei progetti informatici è aumentato di 109 000 EUR rispetto al 2023, il che rappresenta un aumento del 4 %, sostenendo principalmente il programma M365 sul luogo di lavoro e il programma di trasformazione della cibersicurezza; osserva inoltre che la spesa per le attrez</w:t>
            </w:r>
            <w:r w:rsidRPr="006A55BB">
              <w:t xml:space="preserve">zature è aumentata di 117 000 EUR (ossia un aumento del 20 %), principalmente a causa degli adeguamenti dei prezzi e degli investimenti strategici nelle infrastrutture di telefonia; riconosce la preoccupazione del Comitato di essere strutturalmente sottofinanziato nei settori della digitalizzazione e della cibersicurezza </w:t>
            </w:r>
            <w:r w:rsidRPr="006A55BB">
              <w:rPr>
                <w:b/>
                <w:i/>
              </w:rPr>
              <w:t>e avverte che la persistenza del sottofinanziamento nella cibersicurezza rappresenta un rischio strutturale per l'integrità delle istituzioni dell'UE</w:t>
            </w:r>
            <w:r w:rsidRPr="006A55BB">
              <w:t>; si rammarica, in tale contesto, che l'</w:t>
            </w:r>
            <w:r w:rsidRPr="006A55BB">
              <w:t xml:space="preserve">autorità di bilancio non abbia incluso nel bilancio dell'Unione per il 2026 l'importo di </w:t>
            </w:r>
            <w:r w:rsidRPr="006A55BB">
              <w:lastRenderedPageBreak/>
              <w:t>1 176 000 EUR necessario affinché il Comitato (e il CdR) gestiscano un importante aggiornamento della cibersicurezza, rendendo in tal modo irraggiungibile l'obiettivo di cui al regolamento (UE, Euratom) 2023/2841</w:t>
            </w:r>
            <w:r w:rsidRPr="006A55BB">
              <w:rPr>
                <w:vertAlign w:val="superscript"/>
              </w:rPr>
              <w:t>1</w:t>
            </w:r>
            <w:r w:rsidRPr="006A55BB">
              <w:t xml:space="preserve"> di destinare circa il 10 % della sua spesa informatica totale alla cibersicurezza;</w:t>
            </w:r>
          </w:p>
        </w:tc>
      </w:tr>
      <w:tr w:rsidR="00085FDC" w:rsidRPr="006A55BB" w14:paraId="0122F2EC" w14:textId="77777777">
        <w:trPr>
          <w:jc w:val="center"/>
        </w:trPr>
        <w:tc>
          <w:tcPr>
            <w:tcW w:w="4876" w:type="dxa"/>
            <w:tcBorders>
              <w:top w:val="nil"/>
              <w:left w:val="nil"/>
              <w:bottom w:val="nil"/>
              <w:right w:val="nil"/>
            </w:tcBorders>
          </w:tcPr>
          <w:p w14:paraId="7821AF11" w14:textId="77777777" w:rsidR="00085FDC" w:rsidRPr="006A55BB" w:rsidRDefault="0071326C">
            <w:pPr>
              <w:pStyle w:val="Normal6a"/>
            </w:pPr>
            <w:r w:rsidRPr="006A55BB">
              <w:rPr>
                <w:b/>
                <w:i/>
              </w:rPr>
              <w:lastRenderedPageBreak/>
              <w:t>_________________</w:t>
            </w:r>
          </w:p>
        </w:tc>
        <w:tc>
          <w:tcPr>
            <w:tcW w:w="4876" w:type="dxa"/>
            <w:tcBorders>
              <w:top w:val="nil"/>
              <w:left w:val="nil"/>
              <w:bottom w:val="nil"/>
              <w:right w:val="nil"/>
            </w:tcBorders>
          </w:tcPr>
          <w:p w14:paraId="3F4625BF" w14:textId="77777777" w:rsidR="00085FDC" w:rsidRPr="006A55BB" w:rsidRDefault="0071326C">
            <w:pPr>
              <w:pStyle w:val="Normal6a"/>
            </w:pPr>
            <w:r w:rsidRPr="006A55BB">
              <w:rPr>
                <w:b/>
                <w:i/>
              </w:rPr>
              <w:t>_________________</w:t>
            </w:r>
          </w:p>
        </w:tc>
      </w:tr>
      <w:tr w:rsidR="00085FDC" w:rsidRPr="006A55BB" w14:paraId="673B81C1" w14:textId="77777777">
        <w:trPr>
          <w:jc w:val="center"/>
        </w:trPr>
        <w:tc>
          <w:tcPr>
            <w:tcW w:w="4876" w:type="dxa"/>
            <w:tcBorders>
              <w:top w:val="nil"/>
              <w:left w:val="nil"/>
              <w:bottom w:val="nil"/>
              <w:right w:val="nil"/>
            </w:tcBorders>
          </w:tcPr>
          <w:p w14:paraId="34CDF5BE" w14:textId="77777777" w:rsidR="00085FDC" w:rsidRPr="006A55BB" w:rsidRDefault="0071326C">
            <w:pPr>
              <w:pStyle w:val="Normal6a"/>
            </w:pPr>
            <w:r w:rsidRPr="006A55BB">
              <w:rPr>
                <w:vertAlign w:val="superscript"/>
              </w:rPr>
              <w:t>1</w:t>
            </w:r>
            <w:r w:rsidRPr="006A55BB">
              <w:t xml:space="preserve"> Regolamento (UE, Euratom) 2023/2841 del Parlamento europeo e del Consiglio, del 13 dicembre 2023, che stabilisce misure per un livello comune elevato di cibersicurezza nelle istituzioni, negli organi e negli organismi dell'Unione (GU L, 2023/2841, 18.12.2023, ELI: http://data.europa.eu/eli/reg/2023/2841/oj).</w:t>
            </w:r>
          </w:p>
        </w:tc>
        <w:tc>
          <w:tcPr>
            <w:tcW w:w="4876" w:type="dxa"/>
            <w:tcBorders>
              <w:top w:val="nil"/>
              <w:left w:val="nil"/>
              <w:bottom w:val="nil"/>
              <w:right w:val="nil"/>
            </w:tcBorders>
          </w:tcPr>
          <w:p w14:paraId="5C5941BB" w14:textId="77777777" w:rsidR="00085FDC" w:rsidRPr="006A55BB" w:rsidRDefault="0071326C">
            <w:pPr>
              <w:pStyle w:val="Normal6a"/>
            </w:pPr>
            <w:r w:rsidRPr="006A55BB">
              <w:rPr>
                <w:vertAlign w:val="superscript"/>
              </w:rPr>
              <w:t>1</w:t>
            </w:r>
            <w:r w:rsidRPr="006A55BB">
              <w:t xml:space="preserve"> Regolamento (UE, Euratom) 2023/2841 del Parlamento europeo e del Consiglio, del 13 dicembre 2023, che stabilisce misure per un livello comune elevato di cibersicurezza nelle istituzioni, negli organi e negli organismi dell'Unione (GU L, 2023/2841, 18.12.2023, ELI: http://data.europa.eu/eli/reg/2023/2841/oj).</w:t>
            </w:r>
          </w:p>
        </w:tc>
      </w:tr>
    </w:tbl>
    <w:p w14:paraId="70EDB0F6" w14:textId="77777777" w:rsidR="00085FDC" w:rsidRPr="006A55BB" w:rsidRDefault="0071326C">
      <w:pPr>
        <w:pStyle w:val="AmOrLang"/>
      </w:pPr>
      <w:r w:rsidRPr="006A55BB">
        <w:t xml:space="preserve">Or. </w:t>
      </w:r>
      <w:r w:rsidRPr="0071326C">
        <w:rPr>
          <w:rStyle w:val="HideTWBExt"/>
        </w:rPr>
        <w:t>&lt;Original&gt;</w:t>
      </w:r>
      <w:r w:rsidRPr="0071326C">
        <w:rPr>
          <w:rStyle w:val="HideTWBInt"/>
        </w:rPr>
        <w:t>{EN}</w:t>
      </w:r>
      <w:r w:rsidRPr="006A55BB">
        <w:t>en</w:t>
      </w:r>
      <w:r w:rsidRPr="0071326C">
        <w:rPr>
          <w:rStyle w:val="HideTWBExt"/>
        </w:rPr>
        <w:t>&lt;/Original&gt;</w:t>
      </w:r>
    </w:p>
    <w:p w14:paraId="69AAC420" w14:textId="77777777" w:rsidR="00085FDC" w:rsidRPr="006A55BB" w:rsidRDefault="0071326C">
      <w:r w:rsidRPr="0071326C">
        <w:rPr>
          <w:rStyle w:val="HideTWBExt"/>
        </w:rPr>
        <w:t>&lt;/Amend&gt;</w:t>
      </w:r>
    </w:p>
    <w:p w14:paraId="5732FC14" w14:textId="77777777" w:rsidR="00085FDC" w:rsidRPr="006A55BB" w:rsidRDefault="0071326C">
      <w:pPr>
        <w:pStyle w:val="AmNumberTabs"/>
      </w:pPr>
      <w:r w:rsidRPr="0071326C">
        <w:rPr>
          <w:rStyle w:val="HideTWBExt"/>
          <w:b w:val="0"/>
        </w:rPr>
        <w:t>&lt;Amend&gt;</w:t>
      </w:r>
      <w:r w:rsidRPr="006A55BB">
        <w:t>Emendamento</w:t>
      </w:r>
      <w:r w:rsidRPr="006A55BB">
        <w:tab/>
      </w:r>
      <w:r w:rsidRPr="006A55BB">
        <w:tab/>
      </w:r>
      <w:r w:rsidRPr="0071326C">
        <w:rPr>
          <w:rStyle w:val="HideTWBExt"/>
          <w:b w:val="0"/>
        </w:rPr>
        <w:t>&lt;NumAm&gt;</w:t>
      </w:r>
      <w:r w:rsidRPr="006A55BB">
        <w:t>38</w:t>
      </w:r>
      <w:r w:rsidRPr="0071326C">
        <w:rPr>
          <w:rStyle w:val="HideTWBExt"/>
          <w:b w:val="0"/>
        </w:rPr>
        <w:t>&lt;/NumAm&gt;</w:t>
      </w:r>
    </w:p>
    <w:p w14:paraId="59FD8027" w14:textId="77777777" w:rsidR="00085FDC" w:rsidRPr="006A55BB" w:rsidRDefault="0071326C">
      <w:pPr>
        <w:pStyle w:val="NormalBold"/>
      </w:pPr>
      <w:r w:rsidRPr="0071326C">
        <w:rPr>
          <w:rStyle w:val="HideTWBExt"/>
          <w:b w:val="0"/>
        </w:rPr>
        <w:t>&lt;RepeatBlock-By&gt;&lt;Members&gt;</w:t>
      </w:r>
      <w:r w:rsidRPr="006A55BB">
        <w:t>Michal Wiezik, Olivier Chastel, Vlad Vasile-Voiculescu, Gilles Boyer</w:t>
      </w:r>
      <w:r w:rsidRPr="0071326C">
        <w:rPr>
          <w:rStyle w:val="HideTWBExt"/>
          <w:b w:val="0"/>
        </w:rPr>
        <w:t>&lt;/Members&gt;</w:t>
      </w:r>
    </w:p>
    <w:p w14:paraId="6D2A3FCB" w14:textId="77777777" w:rsidR="00085FDC" w:rsidRPr="006A55BB" w:rsidRDefault="0071326C">
      <w:pPr>
        <w:pStyle w:val="NormalBold"/>
      </w:pPr>
      <w:r w:rsidRPr="0071326C">
        <w:rPr>
          <w:rStyle w:val="HideTWBExt"/>
          <w:b w:val="0"/>
        </w:rPr>
        <w:t>&lt;/RepeatBlock-By&gt;</w:t>
      </w:r>
    </w:p>
    <w:p w14:paraId="08DE309B" w14:textId="77777777" w:rsidR="00085FDC" w:rsidRPr="006A55BB" w:rsidRDefault="0071326C">
      <w:pPr>
        <w:pStyle w:val="NormalBold"/>
      </w:pPr>
      <w:r w:rsidRPr="0071326C">
        <w:rPr>
          <w:rStyle w:val="HideTWBExt"/>
          <w:b w:val="0"/>
        </w:rPr>
        <w:t>&lt;DocAmend&gt;</w:t>
      </w:r>
      <w:r w:rsidRPr="006A55BB">
        <w:t>Proposta di risoluzione</w:t>
      </w:r>
      <w:r w:rsidRPr="0071326C">
        <w:rPr>
          <w:rStyle w:val="HideTWBExt"/>
          <w:b w:val="0"/>
        </w:rPr>
        <w:t>&lt;/DocAmend&gt;</w:t>
      </w:r>
    </w:p>
    <w:p w14:paraId="4EFB667A" w14:textId="77777777" w:rsidR="00085FDC" w:rsidRPr="006A55BB" w:rsidRDefault="0071326C">
      <w:pPr>
        <w:pStyle w:val="NormalBold"/>
      </w:pPr>
      <w:r w:rsidRPr="0071326C">
        <w:rPr>
          <w:rStyle w:val="HideTWBExt"/>
          <w:b w:val="0"/>
        </w:rPr>
        <w:t>&lt;Article&gt;</w:t>
      </w:r>
      <w:r w:rsidRPr="006A55BB">
        <w:t>Paragrafo 37</w:t>
      </w:r>
      <w:r w:rsidRPr="007132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FDC" w:rsidRPr="006A55BB" w14:paraId="4B4D9002" w14:textId="77777777">
        <w:trPr>
          <w:trHeight w:hRule="exact" w:val="240"/>
          <w:jc w:val="center"/>
        </w:trPr>
        <w:tc>
          <w:tcPr>
            <w:tcW w:w="9752" w:type="dxa"/>
            <w:gridSpan w:val="2"/>
            <w:tcBorders>
              <w:top w:val="nil"/>
              <w:left w:val="nil"/>
              <w:bottom w:val="nil"/>
              <w:right w:val="nil"/>
            </w:tcBorders>
          </w:tcPr>
          <w:p w14:paraId="1D972AB1" w14:textId="77777777" w:rsidR="00085FDC" w:rsidRPr="006A55BB" w:rsidRDefault="00085FDC"/>
        </w:tc>
      </w:tr>
      <w:tr w:rsidR="00085FDC" w:rsidRPr="006A55BB" w14:paraId="2AE5B54F" w14:textId="77777777">
        <w:trPr>
          <w:trHeight w:val="240"/>
          <w:jc w:val="center"/>
        </w:trPr>
        <w:tc>
          <w:tcPr>
            <w:tcW w:w="4876" w:type="dxa"/>
            <w:tcBorders>
              <w:top w:val="nil"/>
              <w:left w:val="nil"/>
              <w:bottom w:val="nil"/>
              <w:right w:val="nil"/>
            </w:tcBorders>
          </w:tcPr>
          <w:p w14:paraId="799A700B" w14:textId="77777777" w:rsidR="00085FDC" w:rsidRPr="006A55BB" w:rsidRDefault="0071326C">
            <w:pPr>
              <w:pStyle w:val="AmColumnHeading"/>
            </w:pPr>
            <w:r w:rsidRPr="006A55BB">
              <w:t>Proposta di risoluzione</w:t>
            </w:r>
          </w:p>
        </w:tc>
        <w:tc>
          <w:tcPr>
            <w:tcW w:w="4876" w:type="dxa"/>
            <w:tcBorders>
              <w:top w:val="nil"/>
              <w:left w:val="nil"/>
              <w:bottom w:val="nil"/>
              <w:right w:val="nil"/>
            </w:tcBorders>
          </w:tcPr>
          <w:p w14:paraId="34C9559A" w14:textId="77777777" w:rsidR="00085FDC" w:rsidRPr="006A55BB" w:rsidRDefault="0071326C">
            <w:pPr>
              <w:pStyle w:val="AmColumnHeading"/>
            </w:pPr>
            <w:r w:rsidRPr="006A55BB">
              <w:t>Emendamento</w:t>
            </w:r>
          </w:p>
        </w:tc>
      </w:tr>
      <w:tr w:rsidR="00085FDC" w:rsidRPr="006A55BB" w14:paraId="3087C896" w14:textId="77777777">
        <w:trPr>
          <w:jc w:val="center"/>
        </w:trPr>
        <w:tc>
          <w:tcPr>
            <w:tcW w:w="4876" w:type="dxa"/>
            <w:tcBorders>
              <w:top w:val="nil"/>
              <w:left w:val="nil"/>
              <w:bottom w:val="nil"/>
              <w:right w:val="nil"/>
            </w:tcBorders>
          </w:tcPr>
          <w:p w14:paraId="496972A9" w14:textId="77777777" w:rsidR="00085FDC" w:rsidRPr="006A55BB" w:rsidRDefault="0071326C">
            <w:pPr>
              <w:pStyle w:val="Normal6a"/>
            </w:pPr>
            <w:r w:rsidRPr="006A55BB">
              <w:t>37.</w:t>
            </w:r>
            <w:r w:rsidRPr="006A55BB">
              <w:tab/>
            </w:r>
            <w:r w:rsidRPr="006A55BB">
              <w:t xml:space="preserve">prende atto che il bilancio combinato per il settore informatico del Comitato e del CdR ammontava a 13 700 000 EUR nel </w:t>
            </w:r>
            <w:r w:rsidRPr="006A55BB">
              <w:rPr>
                <w:b/>
                <w:i/>
              </w:rPr>
              <w:t>2022</w:t>
            </w:r>
            <w:r w:rsidRPr="006A55BB">
              <w:t>, rispetto a 12 700 000 EUR nel 2023, registrando un aumento del 7,87 %, mentre 760 000 EUR di tale bilancio (pari al 6 %) sono stati destinati alla cibersicurezza nel 2024; rileva dal questionario che il finanziamento dei progetti informatici è aumentato di 109 000 EUR rispetto al 2023, il che rappresenta un aumento del 4 %, sostenendo principalmente il programma M365 sul luogo di lavo</w:t>
            </w:r>
            <w:r w:rsidRPr="006A55BB">
              <w:t xml:space="preserve">ro e il programma di trasformazione della cibersicurezza; osserva inoltre che la spesa per le </w:t>
            </w:r>
            <w:r w:rsidRPr="006A55BB">
              <w:lastRenderedPageBreak/>
              <w:t>attrezzature è aumentata di 117 000 EUR (ossia un aumento del 20 %), principalmente a causa degli adeguamenti dei prezzi e degli investimenti strategici nelle infrastrutture di telefonia; riconosce la preoccupazione del Comitato di essere strutturalmente sottofinanziato nei settori della digitalizzazione e della cibersicurezza; si rammarica, in tale contesto, che l'autorità di bilancio non abbia incluso nel bilanci</w:t>
            </w:r>
            <w:r w:rsidRPr="006A55BB">
              <w:t>o dell'Unione per il 2026 l'importo di 1 176 000 EUR necessario affinché il Comitato (e il CdR) gestiscano un importante aggiornamento della cibersicurezza, rendendo in tal modo irraggiungibile l'obiettivo di cui al regolamento (UE, Euratom) 2023/2841</w:t>
            </w:r>
            <w:r w:rsidRPr="006A55BB">
              <w:rPr>
                <w:vertAlign w:val="superscript"/>
              </w:rPr>
              <w:t>1</w:t>
            </w:r>
            <w:r w:rsidRPr="006A55BB">
              <w:t xml:space="preserve"> di destinare circa il 10 % della sua spesa informatica totale alla cibersicurezza;</w:t>
            </w:r>
          </w:p>
        </w:tc>
        <w:tc>
          <w:tcPr>
            <w:tcW w:w="4876" w:type="dxa"/>
            <w:tcBorders>
              <w:top w:val="nil"/>
              <w:left w:val="nil"/>
              <w:bottom w:val="nil"/>
              <w:right w:val="nil"/>
            </w:tcBorders>
          </w:tcPr>
          <w:p w14:paraId="6D60AADD" w14:textId="77777777" w:rsidR="00085FDC" w:rsidRPr="006A55BB" w:rsidRDefault="0071326C">
            <w:pPr>
              <w:pStyle w:val="Normal6a"/>
            </w:pPr>
            <w:r w:rsidRPr="006A55BB">
              <w:lastRenderedPageBreak/>
              <w:t>37.</w:t>
            </w:r>
            <w:r w:rsidRPr="006A55BB">
              <w:tab/>
              <w:t xml:space="preserve">prende atto che il bilancio combinato per il settore informatico del Comitato e del CdR ammontava a 13 700 000 EUR nel </w:t>
            </w:r>
            <w:r w:rsidRPr="006A55BB">
              <w:rPr>
                <w:b/>
                <w:i/>
              </w:rPr>
              <w:t>2024</w:t>
            </w:r>
            <w:r w:rsidRPr="006A55BB">
              <w:t>, rispetto a 12 700 000 EUR nel 2023, registrando un aumento del 7,87 %, mentre 760 000 EUR di tale bilancio (pari al 6 %) sono stati destinati alla cibersicurezza nel 2024; rileva dal questionario che il finanziamento dei progetti informatici è aumentato di 109 000 EUR rispetto al 2023, il che rappresenta un aumento del 4 %, sostenendo principalmente il programma M365 sul luogo di lav</w:t>
            </w:r>
            <w:r w:rsidRPr="006A55BB">
              <w:t xml:space="preserve">oro e il programma di trasformazione della cibersicurezza; osserva inoltre che la spesa per le </w:t>
            </w:r>
            <w:r w:rsidRPr="006A55BB">
              <w:lastRenderedPageBreak/>
              <w:t>attrezzature è aumentata di 117 000 EUR (ossia un aumento del 20 %), principalmente a causa degli adeguamenti dei prezzi e degli investimenti strategici nelle infrastrutture di telefonia; riconosce la preoccupazione del Comitato di essere strutturalmente sottofinanziato nei settori della digitalizzazione e della cibersicurezza; si rammarica, in tale contesto, che l'autorità di bilancio non abbia incluso nel bilanc</w:t>
            </w:r>
            <w:r w:rsidRPr="006A55BB">
              <w:t>io dell'Unione per il 2026 l'importo di 1 176 000 EUR necessario affinché il Comitato (e il CdR) gestiscano un importante aggiornamento della cibersicurezza, rendendo in tal modo irraggiungibile l'obiettivo di cui al regolamento (UE, Euratom) 2023/2841</w:t>
            </w:r>
            <w:r w:rsidRPr="006A55BB">
              <w:rPr>
                <w:vertAlign w:val="superscript"/>
              </w:rPr>
              <w:t>1</w:t>
            </w:r>
            <w:r w:rsidRPr="006A55BB">
              <w:t xml:space="preserve"> di destinare circa il 10 % della sua spesa informatica totale alla cibersicurezza; </w:t>
            </w:r>
            <w:r w:rsidRPr="006A55BB">
              <w:rPr>
                <w:b/>
                <w:i/>
              </w:rPr>
              <w:t>chiede fondi adeguati per consentire al Comitato e al CdR di effettuare un importante rafforzamento della cibersicurezza;</w:t>
            </w:r>
          </w:p>
        </w:tc>
      </w:tr>
      <w:tr w:rsidR="00085FDC" w:rsidRPr="006A55BB" w14:paraId="3725555C" w14:textId="77777777">
        <w:trPr>
          <w:jc w:val="center"/>
        </w:trPr>
        <w:tc>
          <w:tcPr>
            <w:tcW w:w="4876" w:type="dxa"/>
            <w:tcBorders>
              <w:top w:val="nil"/>
              <w:left w:val="nil"/>
              <w:bottom w:val="nil"/>
              <w:right w:val="nil"/>
            </w:tcBorders>
          </w:tcPr>
          <w:p w14:paraId="6426F656" w14:textId="77777777" w:rsidR="00085FDC" w:rsidRPr="006A55BB" w:rsidRDefault="0071326C">
            <w:pPr>
              <w:pStyle w:val="Normal6a"/>
            </w:pPr>
            <w:r w:rsidRPr="006A55BB">
              <w:rPr>
                <w:b/>
                <w:i/>
              </w:rPr>
              <w:lastRenderedPageBreak/>
              <w:t>_________________</w:t>
            </w:r>
          </w:p>
        </w:tc>
        <w:tc>
          <w:tcPr>
            <w:tcW w:w="4876" w:type="dxa"/>
            <w:tcBorders>
              <w:top w:val="nil"/>
              <w:left w:val="nil"/>
              <w:bottom w:val="nil"/>
              <w:right w:val="nil"/>
            </w:tcBorders>
          </w:tcPr>
          <w:p w14:paraId="45C524E6" w14:textId="77777777" w:rsidR="00085FDC" w:rsidRPr="006A55BB" w:rsidRDefault="0071326C">
            <w:pPr>
              <w:pStyle w:val="Normal6a"/>
            </w:pPr>
            <w:r w:rsidRPr="006A55BB">
              <w:rPr>
                <w:b/>
                <w:i/>
              </w:rPr>
              <w:t>_________________</w:t>
            </w:r>
          </w:p>
        </w:tc>
      </w:tr>
      <w:tr w:rsidR="00085FDC" w:rsidRPr="006A55BB" w14:paraId="2D93132F" w14:textId="77777777">
        <w:trPr>
          <w:jc w:val="center"/>
        </w:trPr>
        <w:tc>
          <w:tcPr>
            <w:tcW w:w="4876" w:type="dxa"/>
            <w:tcBorders>
              <w:top w:val="nil"/>
              <w:left w:val="nil"/>
              <w:bottom w:val="nil"/>
              <w:right w:val="nil"/>
            </w:tcBorders>
          </w:tcPr>
          <w:p w14:paraId="2E48810A" w14:textId="77777777" w:rsidR="00085FDC" w:rsidRPr="006A55BB" w:rsidRDefault="0071326C">
            <w:pPr>
              <w:pStyle w:val="Normal6a"/>
            </w:pPr>
            <w:r w:rsidRPr="006A55BB">
              <w:rPr>
                <w:vertAlign w:val="superscript"/>
              </w:rPr>
              <w:t>1</w:t>
            </w:r>
            <w:r w:rsidRPr="006A55BB">
              <w:t xml:space="preserve"> Regolamento (UE, Euratom) 2023/2841 del Parlamento europeo e del Consiglio, del 13 dicembre 2023, che stabilisce misure per un livello comune elevato di cibersicurezza nelle istituzioni, negli organi e negli organismi dell'Unione (GU L, 2023/2841, 18.12.2023, ELI: http://data.europa.eu/eli/reg/2023/2841/oj).</w:t>
            </w:r>
          </w:p>
        </w:tc>
        <w:tc>
          <w:tcPr>
            <w:tcW w:w="4876" w:type="dxa"/>
            <w:tcBorders>
              <w:top w:val="nil"/>
              <w:left w:val="nil"/>
              <w:bottom w:val="nil"/>
              <w:right w:val="nil"/>
            </w:tcBorders>
          </w:tcPr>
          <w:p w14:paraId="2E8B3593" w14:textId="77777777" w:rsidR="00085FDC" w:rsidRPr="006A55BB" w:rsidRDefault="0071326C">
            <w:pPr>
              <w:pStyle w:val="Normal6a"/>
            </w:pPr>
            <w:r w:rsidRPr="006A55BB">
              <w:rPr>
                <w:vertAlign w:val="superscript"/>
              </w:rPr>
              <w:t>1</w:t>
            </w:r>
            <w:r w:rsidRPr="006A55BB">
              <w:t xml:space="preserve"> Regolamento (UE, Euratom) 2023/2841 del Parlamento europeo e del Consiglio, del 13 dicembre 2023, che stabilisce misure per un livello comune elevato di cibersicurezza nelle istituzioni, negli organi e negli organismi dell'Unione (GU L, 2023/2841, 18.12.2023, ELI: http://data.europa.eu/eli/reg/2023/2841/oj).</w:t>
            </w:r>
          </w:p>
        </w:tc>
      </w:tr>
    </w:tbl>
    <w:p w14:paraId="7E53B030" w14:textId="77777777" w:rsidR="00085FDC" w:rsidRPr="006A55BB" w:rsidRDefault="0071326C">
      <w:pPr>
        <w:pStyle w:val="AmOrLang"/>
      </w:pPr>
      <w:r w:rsidRPr="006A55BB">
        <w:t xml:space="preserve">Or. </w:t>
      </w:r>
      <w:r w:rsidRPr="0071326C">
        <w:rPr>
          <w:rStyle w:val="HideTWBExt"/>
        </w:rPr>
        <w:t>&lt;Original&gt;</w:t>
      </w:r>
      <w:r w:rsidRPr="0071326C">
        <w:rPr>
          <w:rStyle w:val="HideTWBInt"/>
        </w:rPr>
        <w:t>{EN}</w:t>
      </w:r>
      <w:r w:rsidRPr="006A55BB">
        <w:t>en</w:t>
      </w:r>
      <w:r w:rsidRPr="0071326C">
        <w:rPr>
          <w:rStyle w:val="HideTWBExt"/>
        </w:rPr>
        <w:t>&lt;/Original&gt;</w:t>
      </w:r>
    </w:p>
    <w:p w14:paraId="6B9B1187" w14:textId="77777777" w:rsidR="00085FDC" w:rsidRPr="006A55BB" w:rsidRDefault="0071326C">
      <w:r w:rsidRPr="0071326C">
        <w:rPr>
          <w:rStyle w:val="HideTWBExt"/>
        </w:rPr>
        <w:t>&lt;/Amend&gt;</w:t>
      </w:r>
    </w:p>
    <w:p w14:paraId="36FC5E0E" w14:textId="77777777" w:rsidR="00085FDC" w:rsidRPr="006A55BB" w:rsidRDefault="0071326C">
      <w:pPr>
        <w:pStyle w:val="AmNumberTabs"/>
      </w:pPr>
      <w:r w:rsidRPr="0071326C">
        <w:rPr>
          <w:rStyle w:val="HideTWBExt"/>
          <w:b w:val="0"/>
        </w:rPr>
        <w:t>&lt;Amend&gt;</w:t>
      </w:r>
      <w:r w:rsidRPr="006A55BB">
        <w:t>Emendamento</w:t>
      </w:r>
      <w:r w:rsidRPr="006A55BB">
        <w:tab/>
      </w:r>
      <w:r w:rsidRPr="006A55BB">
        <w:tab/>
      </w:r>
      <w:r w:rsidRPr="0071326C">
        <w:rPr>
          <w:rStyle w:val="HideTWBExt"/>
          <w:b w:val="0"/>
        </w:rPr>
        <w:t>&lt;NumAm&gt;</w:t>
      </w:r>
      <w:r w:rsidRPr="006A55BB">
        <w:t>39</w:t>
      </w:r>
      <w:r w:rsidRPr="0071326C">
        <w:rPr>
          <w:rStyle w:val="HideTWBExt"/>
          <w:b w:val="0"/>
        </w:rPr>
        <w:t>&lt;/NumAm&gt;</w:t>
      </w:r>
    </w:p>
    <w:p w14:paraId="0AB11C3A" w14:textId="77777777" w:rsidR="00085FDC" w:rsidRPr="006A55BB" w:rsidRDefault="0071326C">
      <w:pPr>
        <w:pStyle w:val="NormalBold"/>
      </w:pPr>
      <w:r w:rsidRPr="0071326C">
        <w:rPr>
          <w:rStyle w:val="HideTWBExt"/>
          <w:b w:val="0"/>
        </w:rPr>
        <w:t>&lt;RepeatBlock-By&gt;&lt;Members&gt;</w:t>
      </w:r>
      <w:r w:rsidRPr="006A55BB">
        <w:t>Csaba Molnár</w:t>
      </w:r>
      <w:r w:rsidRPr="0071326C">
        <w:rPr>
          <w:rStyle w:val="HideTWBExt"/>
          <w:b w:val="0"/>
        </w:rPr>
        <w:t>&lt;/Members&gt;</w:t>
      </w:r>
    </w:p>
    <w:p w14:paraId="47948814" w14:textId="77777777" w:rsidR="00085FDC" w:rsidRPr="006A55BB" w:rsidRDefault="0071326C">
      <w:pPr>
        <w:pStyle w:val="NormalBold"/>
      </w:pPr>
      <w:r w:rsidRPr="0071326C">
        <w:rPr>
          <w:rStyle w:val="HideTWBExt"/>
          <w:b w:val="0"/>
        </w:rPr>
        <w:t>&lt;/RepeatBlock-By&gt;</w:t>
      </w:r>
    </w:p>
    <w:p w14:paraId="28354B26" w14:textId="77777777" w:rsidR="00085FDC" w:rsidRPr="006A55BB" w:rsidRDefault="0071326C">
      <w:pPr>
        <w:pStyle w:val="NormalBold"/>
      </w:pPr>
      <w:r w:rsidRPr="0071326C">
        <w:rPr>
          <w:rStyle w:val="HideTWBExt"/>
          <w:b w:val="0"/>
        </w:rPr>
        <w:t>&lt;DocAmend&gt;</w:t>
      </w:r>
      <w:r w:rsidRPr="006A55BB">
        <w:t>Proposta di risoluzione</w:t>
      </w:r>
      <w:r w:rsidRPr="0071326C">
        <w:rPr>
          <w:rStyle w:val="HideTWBExt"/>
          <w:b w:val="0"/>
        </w:rPr>
        <w:t>&lt;/DocAmend&gt;</w:t>
      </w:r>
    </w:p>
    <w:p w14:paraId="1F90A927" w14:textId="77777777" w:rsidR="00085FDC" w:rsidRPr="006A55BB" w:rsidRDefault="0071326C">
      <w:pPr>
        <w:pStyle w:val="NormalBold"/>
      </w:pPr>
      <w:r w:rsidRPr="0071326C">
        <w:rPr>
          <w:rStyle w:val="HideTWBExt"/>
          <w:b w:val="0"/>
        </w:rPr>
        <w:t>&lt;Article&gt;</w:t>
      </w:r>
      <w:r w:rsidRPr="006A55BB">
        <w:t>Paragrafo 37</w:t>
      </w:r>
      <w:r w:rsidRPr="007132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FDC" w:rsidRPr="006A55BB" w14:paraId="6147944C" w14:textId="77777777">
        <w:trPr>
          <w:trHeight w:hRule="exact" w:val="240"/>
          <w:jc w:val="center"/>
        </w:trPr>
        <w:tc>
          <w:tcPr>
            <w:tcW w:w="9752" w:type="dxa"/>
            <w:gridSpan w:val="2"/>
            <w:tcBorders>
              <w:top w:val="nil"/>
              <w:left w:val="nil"/>
              <w:bottom w:val="nil"/>
              <w:right w:val="nil"/>
            </w:tcBorders>
          </w:tcPr>
          <w:p w14:paraId="0BB6076D" w14:textId="77777777" w:rsidR="00085FDC" w:rsidRPr="006A55BB" w:rsidRDefault="00085FDC"/>
        </w:tc>
      </w:tr>
      <w:tr w:rsidR="00085FDC" w:rsidRPr="006A55BB" w14:paraId="21CFE895" w14:textId="77777777">
        <w:trPr>
          <w:trHeight w:val="240"/>
          <w:jc w:val="center"/>
        </w:trPr>
        <w:tc>
          <w:tcPr>
            <w:tcW w:w="4876" w:type="dxa"/>
            <w:tcBorders>
              <w:top w:val="nil"/>
              <w:left w:val="nil"/>
              <w:bottom w:val="nil"/>
              <w:right w:val="nil"/>
            </w:tcBorders>
          </w:tcPr>
          <w:p w14:paraId="12110E30" w14:textId="77777777" w:rsidR="00085FDC" w:rsidRPr="006A55BB" w:rsidRDefault="0071326C">
            <w:pPr>
              <w:pStyle w:val="AmColumnHeading"/>
            </w:pPr>
            <w:r w:rsidRPr="006A55BB">
              <w:t>Proposta di risoluzione</w:t>
            </w:r>
          </w:p>
        </w:tc>
        <w:tc>
          <w:tcPr>
            <w:tcW w:w="4876" w:type="dxa"/>
            <w:tcBorders>
              <w:top w:val="nil"/>
              <w:left w:val="nil"/>
              <w:bottom w:val="nil"/>
              <w:right w:val="nil"/>
            </w:tcBorders>
          </w:tcPr>
          <w:p w14:paraId="335A1477" w14:textId="77777777" w:rsidR="00085FDC" w:rsidRPr="006A55BB" w:rsidRDefault="0071326C">
            <w:pPr>
              <w:pStyle w:val="AmColumnHeading"/>
            </w:pPr>
            <w:r w:rsidRPr="006A55BB">
              <w:t>Emendamento</w:t>
            </w:r>
          </w:p>
        </w:tc>
      </w:tr>
      <w:tr w:rsidR="00085FDC" w:rsidRPr="006A55BB" w14:paraId="573D2E90" w14:textId="77777777">
        <w:trPr>
          <w:jc w:val="center"/>
        </w:trPr>
        <w:tc>
          <w:tcPr>
            <w:tcW w:w="4876" w:type="dxa"/>
            <w:tcBorders>
              <w:top w:val="nil"/>
              <w:left w:val="nil"/>
              <w:bottom w:val="nil"/>
              <w:right w:val="nil"/>
            </w:tcBorders>
          </w:tcPr>
          <w:p w14:paraId="401A5D51" w14:textId="77777777" w:rsidR="00085FDC" w:rsidRPr="006A55BB" w:rsidRDefault="0071326C">
            <w:pPr>
              <w:pStyle w:val="Normal6a"/>
            </w:pPr>
            <w:r w:rsidRPr="006A55BB">
              <w:t>37.</w:t>
            </w:r>
            <w:r w:rsidRPr="006A55BB">
              <w:tab/>
            </w:r>
            <w:r w:rsidRPr="006A55BB">
              <w:t xml:space="preserve">prende atto che il bilancio combinato per il settore informatico del </w:t>
            </w:r>
            <w:r w:rsidRPr="006A55BB">
              <w:lastRenderedPageBreak/>
              <w:t xml:space="preserve">Comitato e del CdR ammontava a 13 700 000 EUR nel </w:t>
            </w:r>
            <w:r w:rsidRPr="006A55BB">
              <w:rPr>
                <w:b/>
                <w:i/>
              </w:rPr>
              <w:t>2022</w:t>
            </w:r>
            <w:r w:rsidRPr="006A55BB">
              <w:t>, rispetto a 12 700 000 EUR nel 2023, registrando un aumento del 7,87 %, mentre 760 000 EUR di tale bilancio (pari al 6 %) sono stati destinati alla cibersicurezza nel 2024; rileva dal questionario che il finanziamento dei progetti informatici è aumentato di 109 000 EUR rispetto al 2023, il che rappresenta un aumento del 4 %, sostenendo principalmente il programma M365 sul luogo di lavo</w:t>
            </w:r>
            <w:r w:rsidRPr="006A55BB">
              <w:t>ro e il programma di trasformazione della cibersicurezza; osserva inoltre che la spesa per le attrezzature è aumentata di 117 000 EUR (ossia un aumento del 20 %), principalmente a causa degli adeguamenti dei prezzi e degli investimenti strategici nelle infrastrutture di telefonia; riconosce la preoccupazione del Comitato di essere strutturalmente sottofinanziato nei settori della digitalizzazione e della cibersicurezza; si rammarica, in tale contesto, che l'autorità di bilancio non abbia incluso nel bilanci</w:t>
            </w:r>
            <w:r w:rsidRPr="006A55BB">
              <w:t>o dell'Unione per il 2026 l'importo di 1 176 000 EUR necessario affinché il Comitato (e il CdR) gestiscano un importante aggiornamento della cibersicurezza, rendendo in tal modo irraggiungibile l'obiettivo di cui al regolamento (UE, Euratom) 2023/2841</w:t>
            </w:r>
            <w:r w:rsidRPr="006A55BB">
              <w:rPr>
                <w:vertAlign w:val="superscript"/>
              </w:rPr>
              <w:t>1</w:t>
            </w:r>
            <w:r w:rsidRPr="006A55BB">
              <w:t xml:space="preserve"> di destinare circa il 10 % della sua spesa informatica totale alla cibersicurezza;</w:t>
            </w:r>
          </w:p>
        </w:tc>
        <w:tc>
          <w:tcPr>
            <w:tcW w:w="4876" w:type="dxa"/>
            <w:tcBorders>
              <w:top w:val="nil"/>
              <w:left w:val="nil"/>
              <w:bottom w:val="nil"/>
              <w:right w:val="nil"/>
            </w:tcBorders>
          </w:tcPr>
          <w:p w14:paraId="4E7AC750" w14:textId="77777777" w:rsidR="00085FDC" w:rsidRPr="006A55BB" w:rsidRDefault="0071326C">
            <w:pPr>
              <w:pStyle w:val="Normal6a"/>
            </w:pPr>
            <w:r w:rsidRPr="006A55BB">
              <w:lastRenderedPageBreak/>
              <w:t>37.</w:t>
            </w:r>
            <w:r w:rsidRPr="006A55BB">
              <w:tab/>
              <w:t xml:space="preserve">prende atto che il bilancio combinato per il settore informatico del </w:t>
            </w:r>
            <w:r w:rsidRPr="006A55BB">
              <w:lastRenderedPageBreak/>
              <w:t xml:space="preserve">Comitato e del CdR ammontava a 13 700 000 EUR nel </w:t>
            </w:r>
            <w:r w:rsidRPr="006A55BB">
              <w:rPr>
                <w:b/>
                <w:i/>
              </w:rPr>
              <w:t>2024</w:t>
            </w:r>
            <w:r w:rsidRPr="006A55BB">
              <w:t>, rispetto a 12 700 000 EUR nel 2023, registrando un aumento del 7,87 %, mentre 760 000 EUR di tale bilancio (pari al 6 %) sono stati destinati alla cibersicurezza nel 2024; rileva dal questionario che il finanziamento dei progetti informatici è aumentato di 109 000 EUR rispetto al 2023, il che rappresenta un aumento del 4 %, sostenendo principalmente il programma M365 sul luogo di lav</w:t>
            </w:r>
            <w:r w:rsidRPr="006A55BB">
              <w:t>oro e il programma di trasformazione della cibersicurezza; osserva inoltre che la spesa per le attrezzature è aumentata di 117 000 EUR (ossia un aumento del 20 %), principalmente a causa degli adeguamenti dei prezzi e degli investimenti strategici nelle infrastrutture di telefonia; riconosce la preoccupazione del Comitato di essere strutturalmente sottofinanziato nei settori della digitalizzazione e della cibersicurezza; si rammarica, in tale contesto, che l'autorità di bilancio non abbia incluso nel bilanc</w:t>
            </w:r>
            <w:r w:rsidRPr="006A55BB">
              <w:t>io dell'Unione per il 2026 l'importo di 1 176 000 EUR necessario affinché il Comitato (e il CdR) gestiscano un importante aggiornamento della cibersicurezza, rendendo in tal modo irraggiungibile l'obiettivo di cui al regolamento (UE, Euratom) 2023/2841</w:t>
            </w:r>
            <w:r w:rsidRPr="006A55BB">
              <w:rPr>
                <w:vertAlign w:val="superscript"/>
              </w:rPr>
              <w:t>1</w:t>
            </w:r>
            <w:r w:rsidRPr="006A55BB">
              <w:t xml:space="preserve"> di destinare circa il 10 % della sua spesa informatica totale alla cibersicurezza;</w:t>
            </w:r>
          </w:p>
        </w:tc>
      </w:tr>
      <w:tr w:rsidR="00085FDC" w:rsidRPr="006A55BB" w14:paraId="3FA14F61" w14:textId="77777777">
        <w:trPr>
          <w:jc w:val="center"/>
        </w:trPr>
        <w:tc>
          <w:tcPr>
            <w:tcW w:w="4876" w:type="dxa"/>
            <w:tcBorders>
              <w:top w:val="nil"/>
              <w:left w:val="nil"/>
              <w:bottom w:val="nil"/>
              <w:right w:val="nil"/>
            </w:tcBorders>
          </w:tcPr>
          <w:p w14:paraId="613036BB" w14:textId="77777777" w:rsidR="00085FDC" w:rsidRPr="006A55BB" w:rsidRDefault="0071326C">
            <w:pPr>
              <w:pStyle w:val="Normal6a"/>
            </w:pPr>
            <w:r w:rsidRPr="006A55BB">
              <w:rPr>
                <w:b/>
                <w:i/>
              </w:rPr>
              <w:lastRenderedPageBreak/>
              <w:t>_________________</w:t>
            </w:r>
          </w:p>
        </w:tc>
        <w:tc>
          <w:tcPr>
            <w:tcW w:w="4876" w:type="dxa"/>
            <w:tcBorders>
              <w:top w:val="nil"/>
              <w:left w:val="nil"/>
              <w:bottom w:val="nil"/>
              <w:right w:val="nil"/>
            </w:tcBorders>
          </w:tcPr>
          <w:p w14:paraId="11B09DC5" w14:textId="77777777" w:rsidR="00085FDC" w:rsidRPr="006A55BB" w:rsidRDefault="0071326C">
            <w:pPr>
              <w:pStyle w:val="Normal6a"/>
            </w:pPr>
            <w:r w:rsidRPr="006A55BB">
              <w:rPr>
                <w:b/>
                <w:i/>
              </w:rPr>
              <w:t>_________________</w:t>
            </w:r>
          </w:p>
        </w:tc>
      </w:tr>
      <w:tr w:rsidR="00085FDC" w:rsidRPr="006A55BB" w14:paraId="4E0CE1E8" w14:textId="77777777">
        <w:trPr>
          <w:jc w:val="center"/>
        </w:trPr>
        <w:tc>
          <w:tcPr>
            <w:tcW w:w="4876" w:type="dxa"/>
            <w:tcBorders>
              <w:top w:val="nil"/>
              <w:left w:val="nil"/>
              <w:bottom w:val="nil"/>
              <w:right w:val="nil"/>
            </w:tcBorders>
          </w:tcPr>
          <w:p w14:paraId="2A6F1AA6" w14:textId="77777777" w:rsidR="00085FDC" w:rsidRPr="006A55BB" w:rsidRDefault="0071326C">
            <w:pPr>
              <w:pStyle w:val="Normal6a"/>
            </w:pPr>
            <w:r w:rsidRPr="006A55BB">
              <w:rPr>
                <w:vertAlign w:val="superscript"/>
              </w:rPr>
              <w:t>1</w:t>
            </w:r>
            <w:r w:rsidRPr="006A55BB">
              <w:t xml:space="preserve"> Regolamento (UE, Euratom) 2023/2841 del Parlamento europeo e del Consiglio, del 13 dicembre 2023, che stabilisce misure per un livello comune elevato di cibersicurezza nelle istituzioni, negli organi e negli organismi dell'Unione (GU L, 2023/2841, 18.12.2023, ELI: http://data.europa.eu/eli/reg/2023/2841/oj).</w:t>
            </w:r>
          </w:p>
        </w:tc>
        <w:tc>
          <w:tcPr>
            <w:tcW w:w="4876" w:type="dxa"/>
            <w:tcBorders>
              <w:top w:val="nil"/>
              <w:left w:val="nil"/>
              <w:bottom w:val="nil"/>
              <w:right w:val="nil"/>
            </w:tcBorders>
          </w:tcPr>
          <w:p w14:paraId="035E270D" w14:textId="77777777" w:rsidR="00085FDC" w:rsidRPr="006A55BB" w:rsidRDefault="0071326C">
            <w:pPr>
              <w:pStyle w:val="Normal6a"/>
            </w:pPr>
            <w:r w:rsidRPr="006A55BB">
              <w:rPr>
                <w:vertAlign w:val="superscript"/>
              </w:rPr>
              <w:t>1</w:t>
            </w:r>
            <w:r w:rsidRPr="006A55BB">
              <w:t xml:space="preserve"> Regolamento (UE, Euratom) 2023/2841 del Parlamento europeo e del Consiglio, del 13 dicembre 2023, che stabilisce misure per un livello comune elevato di cibersicurezza nelle istituzioni, negli organi e negli organismi dell'Unione (GU L, 2023/2841, 18.12.2023, ELI: http://data.europa.eu/eli/reg/2023/2841/oj).</w:t>
            </w:r>
          </w:p>
        </w:tc>
      </w:tr>
    </w:tbl>
    <w:p w14:paraId="5F43665C" w14:textId="77777777" w:rsidR="00085FDC" w:rsidRPr="006A55BB" w:rsidRDefault="0071326C">
      <w:pPr>
        <w:pStyle w:val="AmOrLang"/>
      </w:pPr>
      <w:r w:rsidRPr="006A55BB">
        <w:t xml:space="preserve">Or. </w:t>
      </w:r>
      <w:r w:rsidRPr="0071326C">
        <w:rPr>
          <w:rStyle w:val="HideTWBExt"/>
        </w:rPr>
        <w:t>&lt;Original&gt;</w:t>
      </w:r>
      <w:r w:rsidRPr="0071326C">
        <w:rPr>
          <w:rStyle w:val="HideTWBInt"/>
        </w:rPr>
        <w:t>{EN}</w:t>
      </w:r>
      <w:r w:rsidRPr="006A55BB">
        <w:t>en</w:t>
      </w:r>
      <w:r w:rsidRPr="0071326C">
        <w:rPr>
          <w:rStyle w:val="HideTWBExt"/>
        </w:rPr>
        <w:t>&lt;/Original&gt;</w:t>
      </w:r>
    </w:p>
    <w:p w14:paraId="37BAB289" w14:textId="77777777" w:rsidR="00085FDC" w:rsidRPr="006A55BB" w:rsidRDefault="0071326C">
      <w:r w:rsidRPr="0071326C">
        <w:rPr>
          <w:rStyle w:val="HideTWBExt"/>
        </w:rPr>
        <w:t>&lt;/Amend&gt;</w:t>
      </w:r>
    </w:p>
    <w:p w14:paraId="106006D1" w14:textId="77777777" w:rsidR="00085FDC" w:rsidRPr="006A55BB" w:rsidRDefault="0071326C">
      <w:pPr>
        <w:pStyle w:val="AmNumberTabs"/>
      </w:pPr>
      <w:r w:rsidRPr="0071326C">
        <w:rPr>
          <w:rStyle w:val="HideTWBExt"/>
          <w:b w:val="0"/>
        </w:rPr>
        <w:lastRenderedPageBreak/>
        <w:t>&lt;Amend&gt;</w:t>
      </w:r>
      <w:r w:rsidRPr="006A55BB">
        <w:t>Emendamento</w:t>
      </w:r>
      <w:r w:rsidRPr="006A55BB">
        <w:tab/>
      </w:r>
      <w:r w:rsidRPr="006A55BB">
        <w:tab/>
      </w:r>
      <w:r w:rsidRPr="0071326C">
        <w:rPr>
          <w:rStyle w:val="HideTWBExt"/>
          <w:b w:val="0"/>
        </w:rPr>
        <w:t>&lt;NumAm&gt;</w:t>
      </w:r>
      <w:r w:rsidRPr="006A55BB">
        <w:t>40</w:t>
      </w:r>
      <w:r w:rsidRPr="0071326C">
        <w:rPr>
          <w:rStyle w:val="HideTWBExt"/>
          <w:b w:val="0"/>
        </w:rPr>
        <w:t>&lt;/NumAm&gt;</w:t>
      </w:r>
    </w:p>
    <w:p w14:paraId="4EF2399F" w14:textId="77777777" w:rsidR="00085FDC" w:rsidRPr="006A55BB" w:rsidRDefault="0071326C">
      <w:pPr>
        <w:pStyle w:val="NormalBold"/>
      </w:pPr>
      <w:r w:rsidRPr="0071326C">
        <w:rPr>
          <w:rStyle w:val="HideTWBExt"/>
          <w:b w:val="0"/>
        </w:rPr>
        <w:t>&lt;RepeatBlock-By&gt;&lt;Members&gt;</w:t>
      </w:r>
      <w:r w:rsidRPr="006A55BB">
        <w:t>Michal Wiezik, Olivier Chastel, Vlad Vasile-Voiculescu, Gilles Boyer</w:t>
      </w:r>
      <w:r w:rsidRPr="0071326C">
        <w:rPr>
          <w:rStyle w:val="HideTWBExt"/>
          <w:b w:val="0"/>
        </w:rPr>
        <w:t>&lt;/Members&gt;</w:t>
      </w:r>
    </w:p>
    <w:p w14:paraId="3D995D5B" w14:textId="77777777" w:rsidR="00085FDC" w:rsidRPr="006A55BB" w:rsidRDefault="0071326C">
      <w:pPr>
        <w:pStyle w:val="NormalBold"/>
      </w:pPr>
      <w:r w:rsidRPr="0071326C">
        <w:rPr>
          <w:rStyle w:val="HideTWBExt"/>
          <w:b w:val="0"/>
        </w:rPr>
        <w:t>&lt;/RepeatBlock-By&gt;</w:t>
      </w:r>
    </w:p>
    <w:p w14:paraId="3F9F48AC" w14:textId="77777777" w:rsidR="00085FDC" w:rsidRPr="006A55BB" w:rsidRDefault="0071326C">
      <w:pPr>
        <w:pStyle w:val="NormalBold"/>
      </w:pPr>
      <w:r w:rsidRPr="0071326C">
        <w:rPr>
          <w:rStyle w:val="HideTWBExt"/>
          <w:b w:val="0"/>
        </w:rPr>
        <w:t>&lt;DocAmend&gt;</w:t>
      </w:r>
      <w:r w:rsidRPr="006A55BB">
        <w:t>Proposta di risoluzione</w:t>
      </w:r>
      <w:r w:rsidRPr="0071326C">
        <w:rPr>
          <w:rStyle w:val="HideTWBExt"/>
          <w:b w:val="0"/>
        </w:rPr>
        <w:t>&lt;/DocAmend&gt;</w:t>
      </w:r>
    </w:p>
    <w:p w14:paraId="5CB3B571" w14:textId="77777777" w:rsidR="00085FDC" w:rsidRPr="006A55BB" w:rsidRDefault="0071326C">
      <w:pPr>
        <w:pStyle w:val="NormalBold"/>
      </w:pPr>
      <w:r w:rsidRPr="0071326C">
        <w:rPr>
          <w:rStyle w:val="HideTWBExt"/>
          <w:b w:val="0"/>
        </w:rPr>
        <w:t>&lt;Article&gt;</w:t>
      </w:r>
      <w:r w:rsidRPr="006A55BB">
        <w:t>Paragrafo 43</w:t>
      </w:r>
      <w:r w:rsidRPr="007132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FDC" w:rsidRPr="006A55BB" w14:paraId="617EE098" w14:textId="77777777">
        <w:trPr>
          <w:trHeight w:hRule="exact" w:val="240"/>
          <w:jc w:val="center"/>
        </w:trPr>
        <w:tc>
          <w:tcPr>
            <w:tcW w:w="9752" w:type="dxa"/>
            <w:gridSpan w:val="2"/>
            <w:tcBorders>
              <w:top w:val="nil"/>
              <w:left w:val="nil"/>
              <w:bottom w:val="nil"/>
              <w:right w:val="nil"/>
            </w:tcBorders>
          </w:tcPr>
          <w:p w14:paraId="75448A69" w14:textId="77777777" w:rsidR="00085FDC" w:rsidRPr="006A55BB" w:rsidRDefault="00085FDC"/>
        </w:tc>
      </w:tr>
      <w:tr w:rsidR="00085FDC" w:rsidRPr="006A55BB" w14:paraId="1BEFEB51" w14:textId="77777777">
        <w:trPr>
          <w:trHeight w:val="240"/>
          <w:jc w:val="center"/>
        </w:trPr>
        <w:tc>
          <w:tcPr>
            <w:tcW w:w="4876" w:type="dxa"/>
            <w:tcBorders>
              <w:top w:val="nil"/>
              <w:left w:val="nil"/>
              <w:bottom w:val="nil"/>
              <w:right w:val="nil"/>
            </w:tcBorders>
          </w:tcPr>
          <w:p w14:paraId="5B7B0A33" w14:textId="77777777" w:rsidR="00085FDC" w:rsidRPr="006A55BB" w:rsidRDefault="0071326C">
            <w:pPr>
              <w:pStyle w:val="AmColumnHeading"/>
            </w:pPr>
            <w:r w:rsidRPr="006A55BB">
              <w:t>Proposta di risoluzione</w:t>
            </w:r>
          </w:p>
        </w:tc>
        <w:tc>
          <w:tcPr>
            <w:tcW w:w="4876" w:type="dxa"/>
            <w:tcBorders>
              <w:top w:val="nil"/>
              <w:left w:val="nil"/>
              <w:bottom w:val="nil"/>
              <w:right w:val="nil"/>
            </w:tcBorders>
          </w:tcPr>
          <w:p w14:paraId="1A431E59" w14:textId="77777777" w:rsidR="00085FDC" w:rsidRPr="006A55BB" w:rsidRDefault="0071326C">
            <w:pPr>
              <w:pStyle w:val="AmColumnHeading"/>
            </w:pPr>
            <w:r w:rsidRPr="006A55BB">
              <w:t>Emendamento</w:t>
            </w:r>
          </w:p>
        </w:tc>
      </w:tr>
      <w:tr w:rsidR="00085FDC" w:rsidRPr="006A55BB" w14:paraId="6AF0D67A" w14:textId="77777777">
        <w:trPr>
          <w:jc w:val="center"/>
        </w:trPr>
        <w:tc>
          <w:tcPr>
            <w:tcW w:w="4876" w:type="dxa"/>
            <w:tcBorders>
              <w:top w:val="nil"/>
              <w:left w:val="nil"/>
              <w:bottom w:val="nil"/>
              <w:right w:val="nil"/>
            </w:tcBorders>
          </w:tcPr>
          <w:p w14:paraId="5E2331A1" w14:textId="77777777" w:rsidR="00085FDC" w:rsidRPr="006A55BB" w:rsidRDefault="0071326C">
            <w:pPr>
              <w:pStyle w:val="Normal6a"/>
            </w:pPr>
            <w:r w:rsidRPr="006A55BB">
              <w:t>43.</w:t>
            </w:r>
            <w:r w:rsidRPr="006A55BB">
              <w:tab/>
              <w:t xml:space="preserve">elogia gli sforzi compiuti dal Comitato nel 2024 per garantire che il </w:t>
            </w:r>
            <w:r w:rsidRPr="006A55BB">
              <w:t>personale acquisisca le competenze digitali necessarie per un ambiente di lavoro sempre più digitalizzato e per l'attuazione di campagne di informazione mirate, offrendo un programma completo di formazione e di coaching e mantenendo una base di conoscenze informatiche aggiornata con un'interfaccia basata sull'IA per sostenere lo sviluppo del personale;</w:t>
            </w:r>
          </w:p>
        </w:tc>
        <w:tc>
          <w:tcPr>
            <w:tcW w:w="4876" w:type="dxa"/>
            <w:tcBorders>
              <w:top w:val="nil"/>
              <w:left w:val="nil"/>
              <w:bottom w:val="nil"/>
              <w:right w:val="nil"/>
            </w:tcBorders>
          </w:tcPr>
          <w:p w14:paraId="0733D7F7" w14:textId="77777777" w:rsidR="00085FDC" w:rsidRPr="006A55BB" w:rsidRDefault="0071326C">
            <w:pPr>
              <w:pStyle w:val="Normal6a"/>
            </w:pPr>
            <w:r w:rsidRPr="006A55BB">
              <w:t>43.</w:t>
            </w:r>
            <w:r w:rsidRPr="006A55BB">
              <w:tab/>
              <w:t xml:space="preserve">elogia gli sforzi compiuti dal Comitato nel 2024 per garantire che il personale acquisisca le competenze digitali necessarie per un ambiente di lavoro sempre più digitalizzato e per l'attuazione di campagne di informazione mirate, offrendo un programma completo di formazione e di coaching e mantenendo una base di conoscenze informatiche aggiornata con un'interfaccia basata sull'IA per sostenere lo sviluppo del personale; </w:t>
            </w:r>
            <w:r w:rsidRPr="006A55BB">
              <w:rPr>
                <w:b/>
                <w:i/>
              </w:rPr>
              <w:t>incoraggia la formazione sulla cibersicurezza e sull'utilizzo sicuro, etico ed efficie</w:t>
            </w:r>
            <w:r w:rsidRPr="006A55BB">
              <w:rPr>
                <w:b/>
                <w:i/>
              </w:rPr>
              <w:t>nte dell'intelligenza artificiale;</w:t>
            </w:r>
          </w:p>
        </w:tc>
      </w:tr>
    </w:tbl>
    <w:p w14:paraId="3460E58E" w14:textId="77777777" w:rsidR="00085FDC" w:rsidRPr="006A55BB" w:rsidRDefault="0071326C">
      <w:pPr>
        <w:pStyle w:val="AmOrLang"/>
      </w:pPr>
      <w:r w:rsidRPr="006A55BB">
        <w:t xml:space="preserve">Or. </w:t>
      </w:r>
      <w:r w:rsidRPr="0071326C">
        <w:rPr>
          <w:rStyle w:val="HideTWBExt"/>
        </w:rPr>
        <w:t>&lt;Original&gt;</w:t>
      </w:r>
      <w:r w:rsidRPr="0071326C">
        <w:rPr>
          <w:rStyle w:val="HideTWBInt"/>
        </w:rPr>
        <w:t>{EN}</w:t>
      </w:r>
      <w:r w:rsidRPr="006A55BB">
        <w:t>en</w:t>
      </w:r>
      <w:r w:rsidRPr="0071326C">
        <w:rPr>
          <w:rStyle w:val="HideTWBExt"/>
        </w:rPr>
        <w:t>&lt;/Original&gt;</w:t>
      </w:r>
    </w:p>
    <w:p w14:paraId="04534D55" w14:textId="77777777" w:rsidR="00085FDC" w:rsidRPr="006A55BB" w:rsidRDefault="0071326C">
      <w:r w:rsidRPr="0071326C">
        <w:rPr>
          <w:rStyle w:val="HideTWBExt"/>
        </w:rPr>
        <w:t>&lt;/Amend&gt;</w:t>
      </w:r>
    </w:p>
    <w:p w14:paraId="0ACA7A11" w14:textId="77777777" w:rsidR="00085FDC" w:rsidRPr="006A55BB" w:rsidRDefault="0071326C">
      <w:pPr>
        <w:pStyle w:val="AmNumberTabs"/>
      </w:pPr>
      <w:r w:rsidRPr="0071326C">
        <w:rPr>
          <w:rStyle w:val="HideTWBExt"/>
          <w:b w:val="0"/>
        </w:rPr>
        <w:t>&lt;Amend&gt;</w:t>
      </w:r>
      <w:r w:rsidRPr="006A55BB">
        <w:t>Emendamento</w:t>
      </w:r>
      <w:r w:rsidRPr="006A55BB">
        <w:tab/>
      </w:r>
      <w:r w:rsidRPr="006A55BB">
        <w:tab/>
      </w:r>
      <w:r w:rsidRPr="0071326C">
        <w:rPr>
          <w:rStyle w:val="HideTWBExt"/>
          <w:b w:val="0"/>
        </w:rPr>
        <w:t>&lt;NumAm&gt;</w:t>
      </w:r>
      <w:r w:rsidRPr="006A55BB">
        <w:t>41</w:t>
      </w:r>
      <w:r w:rsidRPr="0071326C">
        <w:rPr>
          <w:rStyle w:val="HideTWBExt"/>
          <w:b w:val="0"/>
        </w:rPr>
        <w:t>&lt;/NumAm&gt;</w:t>
      </w:r>
    </w:p>
    <w:p w14:paraId="14B99CE5" w14:textId="77777777" w:rsidR="00085FDC" w:rsidRPr="006A55BB" w:rsidRDefault="0071326C">
      <w:pPr>
        <w:pStyle w:val="NormalBold"/>
      </w:pPr>
      <w:r w:rsidRPr="0071326C">
        <w:rPr>
          <w:rStyle w:val="HideTWBExt"/>
          <w:b w:val="0"/>
        </w:rPr>
        <w:t>&lt;RepeatBlock-By&gt;&lt;Members&gt;</w:t>
      </w:r>
      <w:r w:rsidRPr="006A55BB">
        <w:t>Csaba Molnár</w:t>
      </w:r>
      <w:r w:rsidRPr="0071326C">
        <w:rPr>
          <w:rStyle w:val="HideTWBExt"/>
          <w:b w:val="0"/>
        </w:rPr>
        <w:t>&lt;/Members&gt;</w:t>
      </w:r>
    </w:p>
    <w:p w14:paraId="2FC4B1F1" w14:textId="77777777" w:rsidR="00085FDC" w:rsidRPr="006A55BB" w:rsidRDefault="0071326C">
      <w:pPr>
        <w:pStyle w:val="NormalBold"/>
      </w:pPr>
      <w:r w:rsidRPr="0071326C">
        <w:rPr>
          <w:rStyle w:val="HideTWBExt"/>
          <w:b w:val="0"/>
        </w:rPr>
        <w:t>&lt;/RepeatBlock-By&gt;</w:t>
      </w:r>
    </w:p>
    <w:p w14:paraId="27EB3F99" w14:textId="77777777" w:rsidR="00085FDC" w:rsidRPr="006A55BB" w:rsidRDefault="0071326C">
      <w:pPr>
        <w:pStyle w:val="NormalBold"/>
      </w:pPr>
      <w:r w:rsidRPr="0071326C">
        <w:rPr>
          <w:rStyle w:val="HideTWBExt"/>
          <w:b w:val="0"/>
        </w:rPr>
        <w:t>&lt;DocAmend&gt;</w:t>
      </w:r>
      <w:r w:rsidRPr="006A55BB">
        <w:t>Proposta di risoluzione</w:t>
      </w:r>
      <w:r w:rsidRPr="0071326C">
        <w:rPr>
          <w:rStyle w:val="HideTWBExt"/>
          <w:b w:val="0"/>
        </w:rPr>
        <w:t>&lt;/DocAmend&gt;</w:t>
      </w:r>
    </w:p>
    <w:p w14:paraId="06F38A48" w14:textId="77777777" w:rsidR="00085FDC" w:rsidRPr="006A55BB" w:rsidRDefault="0071326C">
      <w:pPr>
        <w:pStyle w:val="NormalBold"/>
      </w:pPr>
      <w:r w:rsidRPr="0071326C">
        <w:rPr>
          <w:rStyle w:val="HideTWBExt"/>
          <w:b w:val="0"/>
        </w:rPr>
        <w:t>&lt;Article&gt;</w:t>
      </w:r>
      <w:r w:rsidRPr="006A55BB">
        <w:t>Paragrafo 49</w:t>
      </w:r>
      <w:r w:rsidRPr="007132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FDC" w:rsidRPr="006A55BB" w14:paraId="268BA494" w14:textId="77777777">
        <w:trPr>
          <w:trHeight w:hRule="exact" w:val="240"/>
          <w:jc w:val="center"/>
        </w:trPr>
        <w:tc>
          <w:tcPr>
            <w:tcW w:w="9752" w:type="dxa"/>
            <w:gridSpan w:val="2"/>
            <w:tcBorders>
              <w:top w:val="nil"/>
              <w:left w:val="nil"/>
              <w:bottom w:val="nil"/>
              <w:right w:val="nil"/>
            </w:tcBorders>
          </w:tcPr>
          <w:p w14:paraId="480C9A63" w14:textId="77777777" w:rsidR="00085FDC" w:rsidRPr="006A55BB" w:rsidRDefault="00085FDC"/>
        </w:tc>
      </w:tr>
      <w:tr w:rsidR="00085FDC" w:rsidRPr="006A55BB" w14:paraId="2C21EC21" w14:textId="77777777">
        <w:trPr>
          <w:trHeight w:val="240"/>
          <w:jc w:val="center"/>
        </w:trPr>
        <w:tc>
          <w:tcPr>
            <w:tcW w:w="4876" w:type="dxa"/>
            <w:tcBorders>
              <w:top w:val="nil"/>
              <w:left w:val="nil"/>
              <w:bottom w:val="nil"/>
              <w:right w:val="nil"/>
            </w:tcBorders>
          </w:tcPr>
          <w:p w14:paraId="563588B9" w14:textId="77777777" w:rsidR="00085FDC" w:rsidRPr="006A55BB" w:rsidRDefault="0071326C">
            <w:pPr>
              <w:pStyle w:val="AmColumnHeading"/>
            </w:pPr>
            <w:r w:rsidRPr="006A55BB">
              <w:t>Proposta di risoluzione</w:t>
            </w:r>
          </w:p>
        </w:tc>
        <w:tc>
          <w:tcPr>
            <w:tcW w:w="4876" w:type="dxa"/>
            <w:tcBorders>
              <w:top w:val="nil"/>
              <w:left w:val="nil"/>
              <w:bottom w:val="nil"/>
              <w:right w:val="nil"/>
            </w:tcBorders>
          </w:tcPr>
          <w:p w14:paraId="5ECAFB92" w14:textId="77777777" w:rsidR="00085FDC" w:rsidRPr="006A55BB" w:rsidRDefault="0071326C">
            <w:pPr>
              <w:pStyle w:val="AmColumnHeading"/>
            </w:pPr>
            <w:r w:rsidRPr="006A55BB">
              <w:t>Emendamento</w:t>
            </w:r>
          </w:p>
        </w:tc>
      </w:tr>
      <w:tr w:rsidR="00085FDC" w:rsidRPr="006A55BB" w14:paraId="64F2FB13" w14:textId="77777777">
        <w:trPr>
          <w:jc w:val="center"/>
        </w:trPr>
        <w:tc>
          <w:tcPr>
            <w:tcW w:w="4876" w:type="dxa"/>
            <w:tcBorders>
              <w:top w:val="nil"/>
              <w:left w:val="nil"/>
              <w:bottom w:val="nil"/>
              <w:right w:val="nil"/>
            </w:tcBorders>
          </w:tcPr>
          <w:p w14:paraId="2C6C6A88" w14:textId="77777777" w:rsidR="00085FDC" w:rsidRPr="006A55BB" w:rsidRDefault="0071326C">
            <w:pPr>
              <w:pStyle w:val="Normal6a"/>
            </w:pPr>
            <w:r w:rsidRPr="006A55BB">
              <w:t>49.</w:t>
            </w:r>
            <w:r w:rsidRPr="006A55BB">
              <w:tab/>
            </w:r>
            <w:r w:rsidRPr="006A55BB">
              <w:t xml:space="preserve">apprende dal questionario una diminuzione del consumo di energia elettrica (-19 %), di gas (-13 %) e di acqua (-12 %) e un aumento del consumo di carta (+1 %) </w:t>
            </w:r>
            <w:r w:rsidRPr="006A55BB">
              <w:rPr>
                <w:b/>
                <w:i/>
              </w:rPr>
              <w:t>e del volume dei rifiuti (-12 %)</w:t>
            </w:r>
            <w:r w:rsidRPr="006A55BB">
              <w:t xml:space="preserve"> nel 2024 rispetto al 2023; accoglie con favore un'ulteriore riduzione delle emissioni di carbonio per ETP del 4,30 % (escluse le emissioni derivanti dai viaggi dei membri del Comitato) nello stesso periodo; prende atto dal questionario delle azioni del Comitato volte a promuovere opzioni di viaggio più sostenibili tra </w:t>
            </w:r>
            <w:r w:rsidRPr="006A55BB">
              <w:t xml:space="preserve">il suo personale e </w:t>
            </w:r>
            <w:r w:rsidRPr="006A55BB">
              <w:lastRenderedPageBreak/>
              <w:t>i suoi membri e della revisione in corso della guida alle missioni per il personale, che includerà l'impronta ambientale come componente fondamentale; accoglie inoltre con favore l'attenzione rivolta dal Comitato alla gestione e al riciclaggio dei rifiuti per promuovere una cultura della riduzione dei rifiuti e dell'efficienza delle risorse;</w:t>
            </w:r>
          </w:p>
        </w:tc>
        <w:tc>
          <w:tcPr>
            <w:tcW w:w="4876" w:type="dxa"/>
            <w:tcBorders>
              <w:top w:val="nil"/>
              <w:left w:val="nil"/>
              <w:bottom w:val="nil"/>
              <w:right w:val="nil"/>
            </w:tcBorders>
          </w:tcPr>
          <w:p w14:paraId="563FB441" w14:textId="77777777" w:rsidR="00085FDC" w:rsidRPr="006A55BB" w:rsidRDefault="0071326C">
            <w:pPr>
              <w:pStyle w:val="Normal6a"/>
            </w:pPr>
            <w:r w:rsidRPr="006A55BB">
              <w:lastRenderedPageBreak/>
              <w:t>49.</w:t>
            </w:r>
            <w:r w:rsidRPr="006A55BB">
              <w:tab/>
              <w:t>apprende dal questionario una diminuzione del consumo di energia elettrica (-19 %), di gas (-13 %) e di acqua (-12 %)</w:t>
            </w:r>
            <w:r w:rsidRPr="006A55BB">
              <w:rPr>
                <w:b/>
                <w:i/>
              </w:rPr>
              <w:t>, nonché del volume dei rifiuti (-12 %),</w:t>
            </w:r>
            <w:r w:rsidRPr="006A55BB">
              <w:t xml:space="preserve"> e un aumento del consumo di carta (+1 %) nel 2024 rispetto al 2023; accoglie con favore un'ulteriore riduzione delle emissioni di carbonio per ETP del 4,30 % (escluse le emissioni derivanti dai viaggi dei membri del Comitato) nello stesso periodo; prende atto dal questionario delle azioni del Comitato volte a promuovere opzioni di viaggio più sostenib</w:t>
            </w:r>
            <w:r w:rsidRPr="006A55BB">
              <w:t xml:space="preserve">ili tra il suo </w:t>
            </w:r>
            <w:r w:rsidRPr="006A55BB">
              <w:lastRenderedPageBreak/>
              <w:t>personale e i suoi membri e della revisione in corso della guida alle missioni per il personale, che includerà l'impronta ambientale come componente fondamentale; accoglie inoltre con favore l'attenzione rivolta dal Comitato alla gestione e al riciclaggio dei rifiuti per promuovere una cultura della riduzione dei rifiuti e dell'efficienza delle risorse;</w:t>
            </w:r>
          </w:p>
        </w:tc>
      </w:tr>
    </w:tbl>
    <w:p w14:paraId="58970375" w14:textId="77777777" w:rsidR="00085FDC" w:rsidRPr="006A55BB" w:rsidRDefault="0071326C">
      <w:pPr>
        <w:pStyle w:val="AmOrLang"/>
      </w:pPr>
      <w:r w:rsidRPr="006A55BB">
        <w:lastRenderedPageBreak/>
        <w:t xml:space="preserve">Or. </w:t>
      </w:r>
      <w:r w:rsidRPr="0071326C">
        <w:rPr>
          <w:rStyle w:val="HideTWBExt"/>
        </w:rPr>
        <w:t>&lt;Original&gt;</w:t>
      </w:r>
      <w:r w:rsidRPr="0071326C">
        <w:rPr>
          <w:rStyle w:val="HideTWBInt"/>
        </w:rPr>
        <w:t>{EN}</w:t>
      </w:r>
      <w:r w:rsidRPr="006A55BB">
        <w:t>en</w:t>
      </w:r>
      <w:r w:rsidRPr="0071326C">
        <w:rPr>
          <w:rStyle w:val="HideTWBExt"/>
        </w:rPr>
        <w:t>&lt;/Original&gt;</w:t>
      </w:r>
    </w:p>
    <w:p w14:paraId="346C8D80" w14:textId="77777777" w:rsidR="00085FDC" w:rsidRPr="006A55BB" w:rsidRDefault="0071326C">
      <w:r w:rsidRPr="0071326C">
        <w:rPr>
          <w:rStyle w:val="HideTWBExt"/>
        </w:rPr>
        <w:t>&lt;/Amend&gt;</w:t>
      </w:r>
    </w:p>
    <w:p w14:paraId="437D33DA" w14:textId="77777777" w:rsidR="00085FDC" w:rsidRPr="006A55BB" w:rsidRDefault="0071326C">
      <w:pPr>
        <w:pStyle w:val="AmNumberTabs"/>
      </w:pPr>
      <w:r w:rsidRPr="0071326C">
        <w:rPr>
          <w:rStyle w:val="HideTWBExt"/>
          <w:b w:val="0"/>
        </w:rPr>
        <w:t>&lt;Amend&gt;</w:t>
      </w:r>
      <w:r w:rsidRPr="006A55BB">
        <w:t>Emendamento</w:t>
      </w:r>
      <w:r w:rsidRPr="006A55BB">
        <w:tab/>
      </w:r>
      <w:r w:rsidRPr="006A55BB">
        <w:tab/>
      </w:r>
      <w:r w:rsidRPr="0071326C">
        <w:rPr>
          <w:rStyle w:val="HideTWBExt"/>
          <w:b w:val="0"/>
        </w:rPr>
        <w:t>&lt;NumAm&gt;</w:t>
      </w:r>
      <w:r w:rsidRPr="006A55BB">
        <w:t>42</w:t>
      </w:r>
      <w:r w:rsidRPr="0071326C">
        <w:rPr>
          <w:rStyle w:val="HideTWBExt"/>
          <w:b w:val="0"/>
        </w:rPr>
        <w:t>&lt;/NumAm&gt;</w:t>
      </w:r>
    </w:p>
    <w:p w14:paraId="353B0F8F" w14:textId="77777777" w:rsidR="00085FDC" w:rsidRPr="006A55BB" w:rsidRDefault="0071326C">
      <w:pPr>
        <w:pStyle w:val="NormalBold"/>
      </w:pPr>
      <w:r w:rsidRPr="0071326C">
        <w:rPr>
          <w:rStyle w:val="HideTWBExt"/>
          <w:b w:val="0"/>
        </w:rPr>
        <w:t>&lt;RepeatBlock-By&gt;&lt;Members&gt;</w:t>
      </w:r>
      <w:r w:rsidRPr="006A55BB">
        <w:t>Dick Erixon, Şerban Dimitrie Sturdza, Joachim Stanisław Brudziński</w:t>
      </w:r>
      <w:r w:rsidRPr="0071326C">
        <w:rPr>
          <w:rStyle w:val="HideTWBExt"/>
          <w:b w:val="0"/>
        </w:rPr>
        <w:t>&lt;/Members&gt;</w:t>
      </w:r>
    </w:p>
    <w:p w14:paraId="35D0A0DD" w14:textId="77777777" w:rsidR="00085FDC" w:rsidRPr="006A55BB" w:rsidRDefault="0071326C">
      <w:pPr>
        <w:pStyle w:val="NormalBold"/>
      </w:pPr>
      <w:r w:rsidRPr="0071326C">
        <w:rPr>
          <w:rStyle w:val="HideTWBExt"/>
          <w:b w:val="0"/>
        </w:rPr>
        <w:t>&lt;/RepeatBlock-By&gt;</w:t>
      </w:r>
    </w:p>
    <w:p w14:paraId="1FB815CE" w14:textId="77777777" w:rsidR="00085FDC" w:rsidRPr="006A55BB" w:rsidRDefault="0071326C">
      <w:pPr>
        <w:pStyle w:val="NormalBold"/>
      </w:pPr>
      <w:r w:rsidRPr="0071326C">
        <w:rPr>
          <w:rStyle w:val="HideTWBExt"/>
          <w:b w:val="0"/>
        </w:rPr>
        <w:t>&lt;DocAmend&gt;</w:t>
      </w:r>
      <w:r w:rsidRPr="006A55BB">
        <w:t>Proposta di risoluzione</w:t>
      </w:r>
      <w:r w:rsidRPr="0071326C">
        <w:rPr>
          <w:rStyle w:val="HideTWBExt"/>
          <w:b w:val="0"/>
        </w:rPr>
        <w:t>&lt;/DocAmend&gt;</w:t>
      </w:r>
    </w:p>
    <w:p w14:paraId="7429394E" w14:textId="77777777" w:rsidR="00085FDC" w:rsidRPr="006A55BB" w:rsidRDefault="0071326C">
      <w:pPr>
        <w:pStyle w:val="NormalBold"/>
      </w:pPr>
      <w:r w:rsidRPr="0071326C">
        <w:rPr>
          <w:rStyle w:val="HideTWBExt"/>
          <w:b w:val="0"/>
        </w:rPr>
        <w:t>&lt;Article&gt;</w:t>
      </w:r>
      <w:r w:rsidRPr="006A55BB">
        <w:t>Paragrafo 50</w:t>
      </w:r>
      <w:r w:rsidRPr="007132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FDC" w:rsidRPr="006A55BB" w14:paraId="43C0FE17" w14:textId="77777777">
        <w:trPr>
          <w:trHeight w:hRule="exact" w:val="240"/>
          <w:jc w:val="center"/>
        </w:trPr>
        <w:tc>
          <w:tcPr>
            <w:tcW w:w="9752" w:type="dxa"/>
            <w:gridSpan w:val="2"/>
            <w:tcBorders>
              <w:top w:val="nil"/>
              <w:left w:val="nil"/>
              <w:bottom w:val="nil"/>
              <w:right w:val="nil"/>
            </w:tcBorders>
          </w:tcPr>
          <w:p w14:paraId="6C884B63" w14:textId="77777777" w:rsidR="00085FDC" w:rsidRPr="006A55BB" w:rsidRDefault="00085FDC"/>
        </w:tc>
      </w:tr>
      <w:tr w:rsidR="00085FDC" w:rsidRPr="006A55BB" w14:paraId="6E6328E0" w14:textId="77777777">
        <w:trPr>
          <w:trHeight w:val="240"/>
          <w:jc w:val="center"/>
        </w:trPr>
        <w:tc>
          <w:tcPr>
            <w:tcW w:w="4876" w:type="dxa"/>
            <w:tcBorders>
              <w:top w:val="nil"/>
              <w:left w:val="nil"/>
              <w:bottom w:val="nil"/>
              <w:right w:val="nil"/>
            </w:tcBorders>
          </w:tcPr>
          <w:p w14:paraId="5DE08C33" w14:textId="77777777" w:rsidR="00085FDC" w:rsidRPr="006A55BB" w:rsidRDefault="0071326C">
            <w:pPr>
              <w:pStyle w:val="AmColumnHeading"/>
            </w:pPr>
            <w:r w:rsidRPr="006A55BB">
              <w:t>Proposta di risoluzione</w:t>
            </w:r>
          </w:p>
        </w:tc>
        <w:tc>
          <w:tcPr>
            <w:tcW w:w="4876" w:type="dxa"/>
            <w:tcBorders>
              <w:top w:val="nil"/>
              <w:left w:val="nil"/>
              <w:bottom w:val="nil"/>
              <w:right w:val="nil"/>
            </w:tcBorders>
          </w:tcPr>
          <w:p w14:paraId="0A6F6430" w14:textId="77777777" w:rsidR="00085FDC" w:rsidRPr="006A55BB" w:rsidRDefault="0071326C">
            <w:pPr>
              <w:pStyle w:val="AmColumnHeading"/>
            </w:pPr>
            <w:r w:rsidRPr="006A55BB">
              <w:t>Emendamento</w:t>
            </w:r>
          </w:p>
        </w:tc>
      </w:tr>
      <w:tr w:rsidR="00085FDC" w:rsidRPr="006A55BB" w14:paraId="21A71CDB" w14:textId="77777777">
        <w:trPr>
          <w:jc w:val="center"/>
        </w:trPr>
        <w:tc>
          <w:tcPr>
            <w:tcW w:w="4876" w:type="dxa"/>
            <w:tcBorders>
              <w:top w:val="nil"/>
              <w:left w:val="nil"/>
              <w:bottom w:val="nil"/>
              <w:right w:val="nil"/>
            </w:tcBorders>
          </w:tcPr>
          <w:p w14:paraId="6D24165A" w14:textId="77777777" w:rsidR="00085FDC" w:rsidRPr="006A55BB" w:rsidRDefault="0071326C">
            <w:pPr>
              <w:pStyle w:val="Normal6a"/>
            </w:pPr>
            <w:r w:rsidRPr="006A55BB">
              <w:t>50.</w:t>
            </w:r>
            <w:r w:rsidRPr="006A55BB">
              <w:tab/>
              <w:t>osserva con soddisfazione che tutti i bandi di gara del Comitato superiori a 60 000 EUR e quelli superiori a 25 000 EUR gestiti congiuntamente con il CdR includono clausole di sostenibilità in linea con le norme dell'Unione dell'energia, il Green Deal europeo e i principi dell'economia circolare; prende atto che il nuovo contratto quadro del Comitato per il servizio di ristorazione, entrato in vigore nell'agosto 2024, prevede requisiti per i prodotti ecologici e di produzione locale, le donazioni alimentar</w:t>
            </w:r>
            <w:r w:rsidRPr="006A55BB">
              <w:t>i e gli ortofrutticoli di stagione;</w:t>
            </w:r>
          </w:p>
        </w:tc>
        <w:tc>
          <w:tcPr>
            <w:tcW w:w="4876" w:type="dxa"/>
            <w:tcBorders>
              <w:top w:val="nil"/>
              <w:left w:val="nil"/>
              <w:bottom w:val="nil"/>
              <w:right w:val="nil"/>
            </w:tcBorders>
          </w:tcPr>
          <w:p w14:paraId="1C7A7A00" w14:textId="77777777" w:rsidR="00085FDC" w:rsidRPr="006A55BB" w:rsidRDefault="0071326C">
            <w:pPr>
              <w:pStyle w:val="Normal6a"/>
            </w:pPr>
            <w:r w:rsidRPr="006A55BB">
              <w:t>50.</w:t>
            </w:r>
            <w:r w:rsidRPr="006A55BB">
              <w:tab/>
              <w:t xml:space="preserve">osserva con soddisfazione che tutti i bandi di gara del Comitato superiori a 60 000 EUR e quelli superiori a 25 000 EUR gestiti congiuntamente con il CdR includono </w:t>
            </w:r>
            <w:r w:rsidRPr="006A55BB">
              <w:t xml:space="preserve">clausole di sostenibilità in linea con le norme dell'Unione dell'energia, il Green Deal europeo e i principi dell'economia circolare; prende atto che il nuovo contratto quadro del Comitato per il servizio di ristorazione, entrato in vigore nell'agosto 2024, prevede requisiti per i prodotti ecologici e di produzione locale, le donazioni alimentari e gli ortofrutticoli di stagione; </w:t>
            </w:r>
            <w:r w:rsidRPr="006A55BB">
              <w:rPr>
                <w:b/>
                <w:i/>
              </w:rPr>
              <w:t xml:space="preserve">sottolinea, tuttavia, che gli standard più elevati delle cosiddette misure verdi aumentano i costi operativi </w:t>
            </w:r>
            <w:r w:rsidRPr="006A55BB">
              <w:rPr>
                <w:b/>
                <w:i/>
              </w:rPr>
              <w:t>dell'istituzione, riducendo in tal modo non solo il bilancio disponibile dell'istituzione, ma anche il costo del suo funzionamento per i contribuenti;</w:t>
            </w:r>
          </w:p>
        </w:tc>
      </w:tr>
    </w:tbl>
    <w:p w14:paraId="230AC2A5" w14:textId="77777777" w:rsidR="00085FDC" w:rsidRPr="006A55BB" w:rsidRDefault="0071326C">
      <w:pPr>
        <w:pStyle w:val="AmOrLang"/>
      </w:pPr>
      <w:r w:rsidRPr="006A55BB">
        <w:t xml:space="preserve">Or. </w:t>
      </w:r>
      <w:r w:rsidRPr="0071326C">
        <w:rPr>
          <w:rStyle w:val="HideTWBExt"/>
        </w:rPr>
        <w:t>&lt;Original&gt;</w:t>
      </w:r>
      <w:r w:rsidRPr="0071326C">
        <w:rPr>
          <w:rStyle w:val="HideTWBInt"/>
        </w:rPr>
        <w:t>{EN}</w:t>
      </w:r>
      <w:r w:rsidRPr="006A55BB">
        <w:t>en</w:t>
      </w:r>
      <w:r w:rsidRPr="0071326C">
        <w:rPr>
          <w:rStyle w:val="HideTWBExt"/>
        </w:rPr>
        <w:t>&lt;/Original&gt;</w:t>
      </w:r>
    </w:p>
    <w:p w14:paraId="6ED9F98C" w14:textId="77777777" w:rsidR="00085FDC" w:rsidRPr="006A55BB" w:rsidRDefault="0071326C">
      <w:r w:rsidRPr="0071326C">
        <w:rPr>
          <w:rStyle w:val="HideTWBExt"/>
        </w:rPr>
        <w:t>&lt;/Amend&gt;</w:t>
      </w:r>
    </w:p>
    <w:p w14:paraId="3B47663F" w14:textId="77777777" w:rsidR="00085FDC" w:rsidRPr="006A55BB" w:rsidRDefault="0071326C">
      <w:pPr>
        <w:pStyle w:val="AmNumberTabs"/>
      </w:pPr>
      <w:r w:rsidRPr="0071326C">
        <w:rPr>
          <w:rStyle w:val="HideTWBExt"/>
          <w:b w:val="0"/>
        </w:rPr>
        <w:lastRenderedPageBreak/>
        <w:t>&lt;Amend&gt;</w:t>
      </w:r>
      <w:r w:rsidRPr="006A55BB">
        <w:t>Emendamento</w:t>
      </w:r>
      <w:r w:rsidRPr="006A55BB">
        <w:tab/>
      </w:r>
      <w:r w:rsidRPr="006A55BB">
        <w:tab/>
      </w:r>
      <w:r w:rsidRPr="0071326C">
        <w:rPr>
          <w:rStyle w:val="HideTWBExt"/>
          <w:b w:val="0"/>
        </w:rPr>
        <w:t>&lt;NumAm&gt;</w:t>
      </w:r>
      <w:r w:rsidRPr="006A55BB">
        <w:t>43</w:t>
      </w:r>
      <w:r w:rsidRPr="0071326C">
        <w:rPr>
          <w:rStyle w:val="HideTWBExt"/>
          <w:b w:val="0"/>
        </w:rPr>
        <w:t>&lt;/NumAm&gt;</w:t>
      </w:r>
    </w:p>
    <w:p w14:paraId="3D2A586D" w14:textId="77777777" w:rsidR="00085FDC" w:rsidRPr="006A55BB" w:rsidRDefault="0071326C">
      <w:pPr>
        <w:pStyle w:val="NormalBold"/>
      </w:pPr>
      <w:r w:rsidRPr="0071326C">
        <w:rPr>
          <w:rStyle w:val="HideTWBExt"/>
          <w:b w:val="0"/>
        </w:rPr>
        <w:t>&lt;RepeatBlock-By&gt;&lt;Members&gt;</w:t>
      </w:r>
      <w:r w:rsidRPr="006A55BB">
        <w:t>Ondřej Knotek, Julien Sanchez, Virginie Joron, Tamás Deutsch</w:t>
      </w:r>
      <w:r w:rsidRPr="0071326C">
        <w:rPr>
          <w:rStyle w:val="HideTWBExt"/>
          <w:b w:val="0"/>
        </w:rPr>
        <w:t>&lt;/Members&gt;</w:t>
      </w:r>
    </w:p>
    <w:p w14:paraId="1C8F29C3" w14:textId="77777777" w:rsidR="00085FDC" w:rsidRPr="006A55BB" w:rsidRDefault="0071326C">
      <w:pPr>
        <w:pStyle w:val="NormalBold"/>
      </w:pPr>
      <w:r w:rsidRPr="0071326C">
        <w:rPr>
          <w:rStyle w:val="HideTWBExt"/>
          <w:b w:val="0"/>
        </w:rPr>
        <w:t>&lt;/RepeatBlock-By&gt;</w:t>
      </w:r>
    </w:p>
    <w:p w14:paraId="3B41E15A" w14:textId="77777777" w:rsidR="00085FDC" w:rsidRPr="006A55BB" w:rsidRDefault="0071326C">
      <w:pPr>
        <w:pStyle w:val="NormalBold"/>
      </w:pPr>
      <w:r w:rsidRPr="0071326C">
        <w:rPr>
          <w:rStyle w:val="HideTWBExt"/>
          <w:b w:val="0"/>
        </w:rPr>
        <w:t>&lt;DocAmend&gt;</w:t>
      </w:r>
      <w:r w:rsidRPr="006A55BB">
        <w:t>Proposta di risoluzione</w:t>
      </w:r>
      <w:r w:rsidRPr="0071326C">
        <w:rPr>
          <w:rStyle w:val="HideTWBExt"/>
          <w:b w:val="0"/>
        </w:rPr>
        <w:t>&lt;/DocAmend&gt;</w:t>
      </w:r>
    </w:p>
    <w:p w14:paraId="696F066B" w14:textId="77777777" w:rsidR="00085FDC" w:rsidRPr="006A55BB" w:rsidRDefault="0071326C">
      <w:pPr>
        <w:pStyle w:val="NormalBold"/>
      </w:pPr>
      <w:r w:rsidRPr="0071326C">
        <w:rPr>
          <w:rStyle w:val="HideTWBExt"/>
          <w:b w:val="0"/>
        </w:rPr>
        <w:t>&lt;Article&gt;</w:t>
      </w:r>
      <w:r w:rsidRPr="006A55BB">
        <w:t>Paragrafo 51 bis (nuovo)</w:t>
      </w:r>
      <w:r w:rsidRPr="007132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FDC" w:rsidRPr="006A55BB" w14:paraId="7D8BA592" w14:textId="77777777">
        <w:trPr>
          <w:trHeight w:hRule="exact" w:val="240"/>
          <w:jc w:val="center"/>
        </w:trPr>
        <w:tc>
          <w:tcPr>
            <w:tcW w:w="9752" w:type="dxa"/>
            <w:gridSpan w:val="2"/>
            <w:tcBorders>
              <w:top w:val="nil"/>
              <w:left w:val="nil"/>
              <w:bottom w:val="nil"/>
              <w:right w:val="nil"/>
            </w:tcBorders>
          </w:tcPr>
          <w:p w14:paraId="63563712" w14:textId="77777777" w:rsidR="00085FDC" w:rsidRPr="006A55BB" w:rsidRDefault="00085FDC"/>
        </w:tc>
      </w:tr>
      <w:tr w:rsidR="00085FDC" w:rsidRPr="006A55BB" w14:paraId="1DC2CA28" w14:textId="77777777">
        <w:trPr>
          <w:trHeight w:val="240"/>
          <w:jc w:val="center"/>
        </w:trPr>
        <w:tc>
          <w:tcPr>
            <w:tcW w:w="4876" w:type="dxa"/>
            <w:tcBorders>
              <w:top w:val="nil"/>
              <w:left w:val="nil"/>
              <w:bottom w:val="nil"/>
              <w:right w:val="nil"/>
            </w:tcBorders>
          </w:tcPr>
          <w:p w14:paraId="715BD1CA" w14:textId="77777777" w:rsidR="00085FDC" w:rsidRPr="006A55BB" w:rsidRDefault="0071326C">
            <w:pPr>
              <w:pStyle w:val="AmColumnHeading"/>
            </w:pPr>
            <w:r w:rsidRPr="006A55BB">
              <w:t>Proposta di risoluzione</w:t>
            </w:r>
          </w:p>
        </w:tc>
        <w:tc>
          <w:tcPr>
            <w:tcW w:w="4876" w:type="dxa"/>
            <w:tcBorders>
              <w:top w:val="nil"/>
              <w:left w:val="nil"/>
              <w:bottom w:val="nil"/>
              <w:right w:val="nil"/>
            </w:tcBorders>
          </w:tcPr>
          <w:p w14:paraId="6A8C270B" w14:textId="77777777" w:rsidR="00085FDC" w:rsidRPr="006A55BB" w:rsidRDefault="0071326C">
            <w:pPr>
              <w:pStyle w:val="AmColumnHeading"/>
            </w:pPr>
            <w:r w:rsidRPr="006A55BB">
              <w:t>Emendamento</w:t>
            </w:r>
          </w:p>
        </w:tc>
      </w:tr>
      <w:tr w:rsidR="00085FDC" w:rsidRPr="006A55BB" w14:paraId="396EB689" w14:textId="77777777">
        <w:trPr>
          <w:jc w:val="center"/>
        </w:trPr>
        <w:tc>
          <w:tcPr>
            <w:tcW w:w="4876" w:type="dxa"/>
            <w:tcBorders>
              <w:top w:val="nil"/>
              <w:left w:val="nil"/>
              <w:bottom w:val="nil"/>
              <w:right w:val="nil"/>
            </w:tcBorders>
          </w:tcPr>
          <w:p w14:paraId="54D22F5B" w14:textId="77777777" w:rsidR="00085FDC" w:rsidRPr="006A55BB" w:rsidRDefault="00085FDC">
            <w:pPr>
              <w:pStyle w:val="Normal6a"/>
            </w:pPr>
          </w:p>
        </w:tc>
        <w:tc>
          <w:tcPr>
            <w:tcW w:w="4876" w:type="dxa"/>
            <w:tcBorders>
              <w:top w:val="nil"/>
              <w:left w:val="nil"/>
              <w:bottom w:val="nil"/>
              <w:right w:val="nil"/>
            </w:tcBorders>
          </w:tcPr>
          <w:p w14:paraId="1E6F9332" w14:textId="77777777" w:rsidR="00085FDC" w:rsidRPr="006A55BB" w:rsidRDefault="0071326C">
            <w:pPr>
              <w:pStyle w:val="Normal6a"/>
            </w:pPr>
            <w:r w:rsidRPr="006A55BB">
              <w:rPr>
                <w:b/>
                <w:i/>
              </w:rPr>
              <w:t>51 bis.</w:t>
            </w:r>
            <w:r w:rsidRPr="006A55BB">
              <w:tab/>
            </w:r>
            <w:r w:rsidRPr="006A55BB">
              <w:rPr>
                <w:b/>
                <w:i/>
              </w:rPr>
              <w:t xml:space="preserve">sottolinea che le </w:t>
            </w:r>
            <w:r w:rsidRPr="006A55BB">
              <w:rPr>
                <w:b/>
                <w:i/>
              </w:rPr>
              <w:t>iniziative ambientali all'interno delle istituzioni dell'Unione devono rimanere efficaci in termini di costi e tecnologicamente neutre; invita il Comitato a fornire un'analisi costi-benefici trasparente dei suoi investimenti verdi e delle sue pratiche in materia di appalti e a garantire che le considerazioni ambientali non prevalgano sull'efficienza o sulla disciplina di bilancio;</w:t>
            </w:r>
          </w:p>
        </w:tc>
      </w:tr>
    </w:tbl>
    <w:p w14:paraId="675D89A6" w14:textId="77777777" w:rsidR="00085FDC" w:rsidRPr="006A55BB" w:rsidRDefault="0071326C">
      <w:pPr>
        <w:pStyle w:val="AmOrLang"/>
      </w:pPr>
      <w:r w:rsidRPr="006A55BB">
        <w:t xml:space="preserve">Or. </w:t>
      </w:r>
      <w:r w:rsidRPr="0071326C">
        <w:rPr>
          <w:rStyle w:val="HideTWBExt"/>
        </w:rPr>
        <w:t>&lt;Original&gt;</w:t>
      </w:r>
      <w:r w:rsidRPr="0071326C">
        <w:rPr>
          <w:rStyle w:val="HideTWBInt"/>
        </w:rPr>
        <w:t>{EN}</w:t>
      </w:r>
      <w:r w:rsidRPr="006A55BB">
        <w:t>en</w:t>
      </w:r>
      <w:r w:rsidRPr="0071326C">
        <w:rPr>
          <w:rStyle w:val="HideTWBExt"/>
        </w:rPr>
        <w:t>&lt;/Original&gt;</w:t>
      </w:r>
    </w:p>
    <w:p w14:paraId="0A768405" w14:textId="77777777" w:rsidR="00085FDC" w:rsidRPr="006A55BB" w:rsidRDefault="0071326C">
      <w:r w:rsidRPr="0071326C">
        <w:rPr>
          <w:rStyle w:val="HideTWBExt"/>
        </w:rPr>
        <w:t>&lt;/Amend&gt;</w:t>
      </w:r>
    </w:p>
    <w:p w14:paraId="7FB357B4" w14:textId="77777777" w:rsidR="00085FDC" w:rsidRPr="006A55BB" w:rsidRDefault="0071326C">
      <w:pPr>
        <w:pStyle w:val="AmNumberTabs"/>
      </w:pPr>
      <w:r w:rsidRPr="0071326C">
        <w:rPr>
          <w:rStyle w:val="HideTWBExt"/>
          <w:b w:val="0"/>
        </w:rPr>
        <w:t>&lt;Amend&gt;</w:t>
      </w:r>
      <w:r w:rsidRPr="006A55BB">
        <w:t>Emendamento</w:t>
      </w:r>
      <w:r w:rsidRPr="006A55BB">
        <w:tab/>
      </w:r>
      <w:r w:rsidRPr="006A55BB">
        <w:tab/>
      </w:r>
      <w:r w:rsidRPr="0071326C">
        <w:rPr>
          <w:rStyle w:val="HideTWBExt"/>
          <w:b w:val="0"/>
        </w:rPr>
        <w:t>&lt;NumAm&gt;</w:t>
      </w:r>
      <w:r w:rsidRPr="006A55BB">
        <w:t>44</w:t>
      </w:r>
      <w:r w:rsidRPr="0071326C">
        <w:rPr>
          <w:rStyle w:val="HideTWBExt"/>
          <w:b w:val="0"/>
        </w:rPr>
        <w:t>&lt;/NumAm&gt;</w:t>
      </w:r>
    </w:p>
    <w:p w14:paraId="1E3894D2" w14:textId="77777777" w:rsidR="00085FDC" w:rsidRPr="006A55BB" w:rsidRDefault="0071326C">
      <w:pPr>
        <w:pStyle w:val="NormalBold"/>
      </w:pPr>
      <w:r w:rsidRPr="0071326C">
        <w:rPr>
          <w:rStyle w:val="HideTWBExt"/>
          <w:b w:val="0"/>
        </w:rPr>
        <w:t>&lt;RepeatBlock-By&gt;&lt;Members&gt;</w:t>
      </w:r>
      <w:r w:rsidRPr="006A55BB">
        <w:t>Csaba Molnár</w:t>
      </w:r>
      <w:r w:rsidRPr="0071326C">
        <w:rPr>
          <w:rStyle w:val="HideTWBExt"/>
          <w:b w:val="0"/>
        </w:rPr>
        <w:t>&lt;/Members&gt;</w:t>
      </w:r>
    </w:p>
    <w:p w14:paraId="7BB1FCA6" w14:textId="77777777" w:rsidR="00085FDC" w:rsidRPr="006A55BB" w:rsidRDefault="0071326C">
      <w:pPr>
        <w:pStyle w:val="NormalBold"/>
      </w:pPr>
      <w:r w:rsidRPr="0071326C">
        <w:rPr>
          <w:rStyle w:val="HideTWBExt"/>
          <w:b w:val="0"/>
        </w:rPr>
        <w:t>&lt;/RepeatBlock-By&gt;</w:t>
      </w:r>
    </w:p>
    <w:p w14:paraId="76366DA1" w14:textId="77777777" w:rsidR="00085FDC" w:rsidRPr="006A55BB" w:rsidRDefault="0071326C">
      <w:pPr>
        <w:pStyle w:val="NormalBold"/>
      </w:pPr>
      <w:r w:rsidRPr="0071326C">
        <w:rPr>
          <w:rStyle w:val="HideTWBExt"/>
          <w:b w:val="0"/>
        </w:rPr>
        <w:t>&lt;DocAmend&gt;</w:t>
      </w:r>
      <w:r w:rsidRPr="006A55BB">
        <w:t>Proposta di risoluzione</w:t>
      </w:r>
      <w:r w:rsidRPr="0071326C">
        <w:rPr>
          <w:rStyle w:val="HideTWBExt"/>
          <w:b w:val="0"/>
        </w:rPr>
        <w:t>&lt;/DocAmend&gt;</w:t>
      </w:r>
    </w:p>
    <w:p w14:paraId="2118A71C" w14:textId="77777777" w:rsidR="00085FDC" w:rsidRPr="006A55BB" w:rsidRDefault="0071326C">
      <w:pPr>
        <w:pStyle w:val="NormalBold"/>
      </w:pPr>
      <w:r w:rsidRPr="0071326C">
        <w:rPr>
          <w:rStyle w:val="HideTWBExt"/>
          <w:b w:val="0"/>
        </w:rPr>
        <w:t>&lt;Article&gt;</w:t>
      </w:r>
      <w:r w:rsidRPr="006A55BB">
        <w:t>Paragrafo 60</w:t>
      </w:r>
      <w:r w:rsidRPr="007132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FDC" w:rsidRPr="006A55BB" w14:paraId="3F3150D5" w14:textId="77777777">
        <w:trPr>
          <w:trHeight w:hRule="exact" w:val="240"/>
          <w:jc w:val="center"/>
        </w:trPr>
        <w:tc>
          <w:tcPr>
            <w:tcW w:w="9752" w:type="dxa"/>
            <w:gridSpan w:val="2"/>
            <w:tcBorders>
              <w:top w:val="nil"/>
              <w:left w:val="nil"/>
              <w:bottom w:val="nil"/>
              <w:right w:val="nil"/>
            </w:tcBorders>
          </w:tcPr>
          <w:p w14:paraId="49CFAD1F" w14:textId="77777777" w:rsidR="00085FDC" w:rsidRPr="006A55BB" w:rsidRDefault="00085FDC"/>
        </w:tc>
      </w:tr>
      <w:tr w:rsidR="00085FDC" w:rsidRPr="006A55BB" w14:paraId="347BE071" w14:textId="77777777">
        <w:trPr>
          <w:trHeight w:val="240"/>
          <w:jc w:val="center"/>
        </w:trPr>
        <w:tc>
          <w:tcPr>
            <w:tcW w:w="4876" w:type="dxa"/>
            <w:tcBorders>
              <w:top w:val="nil"/>
              <w:left w:val="nil"/>
              <w:bottom w:val="nil"/>
              <w:right w:val="nil"/>
            </w:tcBorders>
          </w:tcPr>
          <w:p w14:paraId="61F6DBA9" w14:textId="77777777" w:rsidR="00085FDC" w:rsidRPr="006A55BB" w:rsidRDefault="0071326C">
            <w:pPr>
              <w:pStyle w:val="AmColumnHeading"/>
            </w:pPr>
            <w:r w:rsidRPr="006A55BB">
              <w:t>Proposta di risoluzione</w:t>
            </w:r>
          </w:p>
        </w:tc>
        <w:tc>
          <w:tcPr>
            <w:tcW w:w="4876" w:type="dxa"/>
            <w:tcBorders>
              <w:top w:val="nil"/>
              <w:left w:val="nil"/>
              <w:bottom w:val="nil"/>
              <w:right w:val="nil"/>
            </w:tcBorders>
          </w:tcPr>
          <w:p w14:paraId="5655CBE4" w14:textId="77777777" w:rsidR="00085FDC" w:rsidRPr="006A55BB" w:rsidRDefault="0071326C">
            <w:pPr>
              <w:pStyle w:val="AmColumnHeading"/>
            </w:pPr>
            <w:r w:rsidRPr="006A55BB">
              <w:t>Emendamento</w:t>
            </w:r>
          </w:p>
        </w:tc>
      </w:tr>
      <w:tr w:rsidR="00085FDC" w:rsidRPr="006A55BB" w14:paraId="49DEF3CD" w14:textId="77777777">
        <w:trPr>
          <w:jc w:val="center"/>
        </w:trPr>
        <w:tc>
          <w:tcPr>
            <w:tcW w:w="4876" w:type="dxa"/>
            <w:tcBorders>
              <w:top w:val="nil"/>
              <w:left w:val="nil"/>
              <w:bottom w:val="nil"/>
              <w:right w:val="nil"/>
            </w:tcBorders>
          </w:tcPr>
          <w:p w14:paraId="0F5E1723" w14:textId="77777777" w:rsidR="00085FDC" w:rsidRPr="006A55BB" w:rsidRDefault="0071326C">
            <w:pPr>
              <w:pStyle w:val="Normal6a"/>
            </w:pPr>
            <w:r w:rsidRPr="006A55BB">
              <w:t>60.</w:t>
            </w:r>
            <w:r w:rsidRPr="006A55BB">
              <w:tab/>
              <w:t xml:space="preserve">rileva che il Comitato svolge un ruolo fondamentale nel </w:t>
            </w:r>
            <w:r w:rsidRPr="006A55BB">
              <w:t>rafforzamento dei legami con i consigli economici e sociali nazionali degli Stati membri e fra di essi; prende atto, in tale contesto, dell'avvio di un nuovo gruppo di lavoro tematico composto da 13 consigli economici e sociali nazionali, della pubblicazione di 32 articoli di cronaca e di 26 sintesi delle relazioni adottate dai consigli economici e sociali nazionali, dell'organizzazione della riunione annuale dei presidenti e dei segretari generali di detti consigli a Bruxelles e di un seminario organizzato</w:t>
            </w:r>
            <w:r w:rsidRPr="006A55BB">
              <w:t xml:space="preserve"> congiuntamente con 100 partecipanti delle parti sociali europee, delle organizzazioni </w:t>
            </w:r>
            <w:r w:rsidRPr="006A55BB">
              <w:lastRenderedPageBreak/>
              <w:t>della società civile, dei rappresentanti delle istituzioni dell'Unione e del mondo accademico nel 2024;</w:t>
            </w:r>
          </w:p>
        </w:tc>
        <w:tc>
          <w:tcPr>
            <w:tcW w:w="4876" w:type="dxa"/>
            <w:tcBorders>
              <w:top w:val="nil"/>
              <w:left w:val="nil"/>
              <w:bottom w:val="nil"/>
              <w:right w:val="nil"/>
            </w:tcBorders>
          </w:tcPr>
          <w:p w14:paraId="27AA4327" w14:textId="77777777" w:rsidR="00085FDC" w:rsidRPr="006A55BB" w:rsidRDefault="0071326C">
            <w:pPr>
              <w:pStyle w:val="Normal6a"/>
            </w:pPr>
            <w:r w:rsidRPr="006A55BB">
              <w:lastRenderedPageBreak/>
              <w:t>60.</w:t>
            </w:r>
            <w:r w:rsidRPr="006A55BB">
              <w:tab/>
              <w:t>rileva che il Comitato svolge un ruolo fondamentale nel rafforzamento dei legami con i consigli economici e sociali nazionali degli Stati membri e fra di essi; prende atto, in tale contesto, dell'avvio di un nuovo gruppo di lavoro tematico composto da 13 consigli economici e sociali nazionali, della pubblicazione di 32 articoli di cronaca e di 26 sintesi delle relazioni adottate dai consigli economici e sociali nazionali, dell'organizzazione della riunione annuale dei presidenti e dei segretari generali di</w:t>
            </w:r>
            <w:r w:rsidRPr="006A55BB">
              <w:t xml:space="preserve"> detti consigli a Bruxelles e di un seminario organizzato congiuntamente con 100 partecipanti delle parti sociali europee, delle organizzazioni </w:t>
            </w:r>
            <w:r w:rsidRPr="006A55BB">
              <w:lastRenderedPageBreak/>
              <w:t xml:space="preserve">della società civile, dei rappresentanti delle istituzioni dell'Unione e del mondo accademico nel 2024; </w:t>
            </w:r>
            <w:r w:rsidRPr="006A55BB">
              <w:rPr>
                <w:b/>
                <w:i/>
              </w:rPr>
              <w:t>chiede una cooperazione costante su temi di interesse comune e lo scambio di buone pratiche, sottolineando il ruolo fondamentale della società civile nell'affrontare le attuali sfide dell'Unione;</w:t>
            </w:r>
          </w:p>
        </w:tc>
      </w:tr>
    </w:tbl>
    <w:p w14:paraId="093BE800" w14:textId="77777777" w:rsidR="00085FDC" w:rsidRPr="006A55BB" w:rsidRDefault="0071326C">
      <w:pPr>
        <w:pStyle w:val="AmOrLang"/>
      </w:pPr>
      <w:r w:rsidRPr="006A55BB">
        <w:lastRenderedPageBreak/>
        <w:t xml:space="preserve">Or. </w:t>
      </w:r>
      <w:r w:rsidRPr="0071326C">
        <w:rPr>
          <w:rStyle w:val="HideTWBExt"/>
        </w:rPr>
        <w:t>&lt;Original&gt;</w:t>
      </w:r>
      <w:r w:rsidRPr="0071326C">
        <w:rPr>
          <w:rStyle w:val="HideTWBInt"/>
        </w:rPr>
        <w:t>{EN}</w:t>
      </w:r>
      <w:r w:rsidRPr="006A55BB">
        <w:t>en</w:t>
      </w:r>
      <w:r w:rsidRPr="0071326C">
        <w:rPr>
          <w:rStyle w:val="HideTWBExt"/>
        </w:rPr>
        <w:t>&lt;/Original&gt;</w:t>
      </w:r>
    </w:p>
    <w:p w14:paraId="5A400A63" w14:textId="77777777" w:rsidR="00085FDC" w:rsidRPr="006A55BB" w:rsidRDefault="0071326C">
      <w:r w:rsidRPr="0071326C">
        <w:rPr>
          <w:rStyle w:val="HideTWBExt"/>
        </w:rPr>
        <w:t>&lt;/Amend&gt;</w:t>
      </w:r>
    </w:p>
    <w:p w14:paraId="65DB4F41" w14:textId="77777777" w:rsidR="00085FDC" w:rsidRPr="006A55BB" w:rsidRDefault="0071326C">
      <w:pPr>
        <w:pStyle w:val="AmNumberTabs"/>
      </w:pPr>
      <w:r w:rsidRPr="0071326C">
        <w:rPr>
          <w:rStyle w:val="HideTWBExt"/>
          <w:b w:val="0"/>
        </w:rPr>
        <w:t>&lt;Amend&gt;</w:t>
      </w:r>
      <w:r w:rsidRPr="006A55BB">
        <w:t>Emendamento</w:t>
      </w:r>
      <w:r w:rsidRPr="006A55BB">
        <w:tab/>
      </w:r>
      <w:r w:rsidRPr="006A55BB">
        <w:tab/>
      </w:r>
      <w:r w:rsidRPr="0071326C">
        <w:rPr>
          <w:rStyle w:val="HideTWBExt"/>
          <w:b w:val="0"/>
        </w:rPr>
        <w:t>&lt;NumAm&gt;</w:t>
      </w:r>
      <w:r w:rsidRPr="006A55BB">
        <w:t>45</w:t>
      </w:r>
      <w:r w:rsidRPr="0071326C">
        <w:rPr>
          <w:rStyle w:val="HideTWBExt"/>
          <w:b w:val="0"/>
        </w:rPr>
        <w:t>&lt;/NumAm&gt;</w:t>
      </w:r>
    </w:p>
    <w:p w14:paraId="297C61E8" w14:textId="77777777" w:rsidR="00085FDC" w:rsidRPr="006A55BB" w:rsidRDefault="0071326C">
      <w:pPr>
        <w:pStyle w:val="NormalBold"/>
      </w:pPr>
      <w:r w:rsidRPr="0071326C">
        <w:rPr>
          <w:rStyle w:val="HideTWBExt"/>
          <w:b w:val="0"/>
        </w:rPr>
        <w:t>&lt;RepeatBlock-By&gt;&lt;Members&gt;</w:t>
      </w:r>
      <w:r w:rsidRPr="006A55BB">
        <w:t xml:space="preserve">Şerban Dimitrie </w:t>
      </w:r>
      <w:r w:rsidRPr="006A55BB">
        <w:t>Sturdza</w:t>
      </w:r>
      <w:r w:rsidRPr="0071326C">
        <w:rPr>
          <w:rStyle w:val="HideTWBExt"/>
          <w:b w:val="0"/>
        </w:rPr>
        <w:t>&lt;/Members&gt;</w:t>
      </w:r>
    </w:p>
    <w:p w14:paraId="23C4CD56" w14:textId="77777777" w:rsidR="00085FDC" w:rsidRPr="006A55BB" w:rsidRDefault="0071326C">
      <w:pPr>
        <w:pStyle w:val="NormalBold"/>
      </w:pPr>
      <w:r w:rsidRPr="0071326C">
        <w:rPr>
          <w:rStyle w:val="HideTWBExt"/>
          <w:b w:val="0"/>
        </w:rPr>
        <w:t>&lt;/RepeatBlock-By&gt;</w:t>
      </w:r>
    </w:p>
    <w:p w14:paraId="50061DBB" w14:textId="77777777" w:rsidR="00085FDC" w:rsidRPr="006A55BB" w:rsidRDefault="0071326C">
      <w:pPr>
        <w:pStyle w:val="NormalBold"/>
      </w:pPr>
      <w:r w:rsidRPr="0071326C">
        <w:rPr>
          <w:rStyle w:val="HideTWBExt"/>
          <w:b w:val="0"/>
        </w:rPr>
        <w:t>&lt;DocAmend&gt;</w:t>
      </w:r>
      <w:r w:rsidRPr="006A55BB">
        <w:t>Proposta di risoluzione</w:t>
      </w:r>
      <w:r w:rsidRPr="0071326C">
        <w:rPr>
          <w:rStyle w:val="HideTWBExt"/>
          <w:b w:val="0"/>
        </w:rPr>
        <w:t>&lt;/DocAmend&gt;</w:t>
      </w:r>
    </w:p>
    <w:p w14:paraId="15AF5F56" w14:textId="77777777" w:rsidR="00085FDC" w:rsidRPr="006A55BB" w:rsidRDefault="0071326C">
      <w:pPr>
        <w:pStyle w:val="NormalBold"/>
      </w:pPr>
      <w:r w:rsidRPr="0071326C">
        <w:rPr>
          <w:rStyle w:val="HideTWBExt"/>
          <w:b w:val="0"/>
        </w:rPr>
        <w:t>&lt;Article&gt;</w:t>
      </w:r>
      <w:r w:rsidRPr="006A55BB">
        <w:t>Paragrafo 63</w:t>
      </w:r>
      <w:r w:rsidRPr="007132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5FDC" w:rsidRPr="006A55BB" w14:paraId="1FF9E01D" w14:textId="77777777">
        <w:trPr>
          <w:trHeight w:hRule="exact" w:val="240"/>
          <w:jc w:val="center"/>
        </w:trPr>
        <w:tc>
          <w:tcPr>
            <w:tcW w:w="9752" w:type="dxa"/>
            <w:gridSpan w:val="2"/>
            <w:tcBorders>
              <w:top w:val="nil"/>
              <w:left w:val="nil"/>
              <w:bottom w:val="nil"/>
              <w:right w:val="nil"/>
            </w:tcBorders>
          </w:tcPr>
          <w:p w14:paraId="03E915E7" w14:textId="77777777" w:rsidR="00085FDC" w:rsidRPr="006A55BB" w:rsidRDefault="00085FDC"/>
        </w:tc>
      </w:tr>
      <w:tr w:rsidR="00085FDC" w:rsidRPr="006A55BB" w14:paraId="1BF06E1A" w14:textId="77777777">
        <w:trPr>
          <w:trHeight w:val="240"/>
          <w:jc w:val="center"/>
        </w:trPr>
        <w:tc>
          <w:tcPr>
            <w:tcW w:w="4876" w:type="dxa"/>
            <w:tcBorders>
              <w:top w:val="nil"/>
              <w:left w:val="nil"/>
              <w:bottom w:val="nil"/>
              <w:right w:val="nil"/>
            </w:tcBorders>
          </w:tcPr>
          <w:p w14:paraId="50177DEB" w14:textId="77777777" w:rsidR="00085FDC" w:rsidRPr="006A55BB" w:rsidRDefault="0071326C">
            <w:pPr>
              <w:pStyle w:val="AmColumnHeading"/>
            </w:pPr>
            <w:r w:rsidRPr="006A55BB">
              <w:t>Proposta di risoluzione</w:t>
            </w:r>
          </w:p>
        </w:tc>
        <w:tc>
          <w:tcPr>
            <w:tcW w:w="4876" w:type="dxa"/>
            <w:tcBorders>
              <w:top w:val="nil"/>
              <w:left w:val="nil"/>
              <w:bottom w:val="nil"/>
              <w:right w:val="nil"/>
            </w:tcBorders>
          </w:tcPr>
          <w:p w14:paraId="304681DB" w14:textId="77777777" w:rsidR="00085FDC" w:rsidRPr="006A55BB" w:rsidRDefault="0071326C">
            <w:pPr>
              <w:pStyle w:val="AmColumnHeading"/>
            </w:pPr>
            <w:r w:rsidRPr="006A55BB">
              <w:t>Emendamento</w:t>
            </w:r>
          </w:p>
        </w:tc>
      </w:tr>
      <w:tr w:rsidR="00085FDC" w:rsidRPr="006A55BB" w14:paraId="7ADF9E91" w14:textId="77777777">
        <w:trPr>
          <w:jc w:val="center"/>
        </w:trPr>
        <w:tc>
          <w:tcPr>
            <w:tcW w:w="4876" w:type="dxa"/>
            <w:tcBorders>
              <w:top w:val="nil"/>
              <w:left w:val="nil"/>
              <w:bottom w:val="nil"/>
              <w:right w:val="nil"/>
            </w:tcBorders>
          </w:tcPr>
          <w:p w14:paraId="71BC901E" w14:textId="77777777" w:rsidR="00085FDC" w:rsidRPr="006A55BB" w:rsidRDefault="0071326C">
            <w:pPr>
              <w:pStyle w:val="Normal6a"/>
            </w:pPr>
            <w:r w:rsidRPr="006A55BB">
              <w:t>63.</w:t>
            </w:r>
            <w:r w:rsidRPr="006A55BB">
              <w:tab/>
              <w:t xml:space="preserve">apprezza il lancio della piattaforma NaviGate nel maggio 2024; osserva che tale </w:t>
            </w:r>
            <w:r w:rsidRPr="006A55BB">
              <w:t>piattaforma, che alimenta con collegamenti web l'EULT dell'Ufficio delle pubblicazioni dell'Unione, ha notevolmente aumentato la visibilità del lavoro del Comitato e migliorato l'esperienza degli utenti per i membri, il personale, i visitatori di altre istituzioni e il pubblico, raggiungendo 4 600 visitatori unici nel 2024;</w:t>
            </w:r>
          </w:p>
        </w:tc>
        <w:tc>
          <w:tcPr>
            <w:tcW w:w="4876" w:type="dxa"/>
            <w:tcBorders>
              <w:top w:val="nil"/>
              <w:left w:val="nil"/>
              <w:bottom w:val="nil"/>
              <w:right w:val="nil"/>
            </w:tcBorders>
          </w:tcPr>
          <w:p w14:paraId="69F1C356" w14:textId="77777777" w:rsidR="00085FDC" w:rsidRPr="006A55BB" w:rsidRDefault="0071326C">
            <w:pPr>
              <w:pStyle w:val="Normal6a"/>
            </w:pPr>
            <w:r w:rsidRPr="006A55BB">
              <w:t>63.</w:t>
            </w:r>
            <w:r w:rsidRPr="006A55BB">
              <w:tab/>
            </w:r>
            <w:r w:rsidRPr="006A55BB">
              <w:rPr>
                <w:b/>
                <w:i/>
              </w:rPr>
              <w:t xml:space="preserve">accoglie con favore gli sforzi compiuti dal Comitato per aumentare la visibilità del suo lavoro; ritiene tuttavia che siano necessari ulteriori sforzi per garantire che le </w:t>
            </w:r>
            <w:r w:rsidRPr="006A55BB">
              <w:rPr>
                <w:b/>
                <w:i/>
              </w:rPr>
              <w:t>attività di comunicazione spieghino chiaramente il ruolo del Comitato e i contributi concreti alla presenza dell'UE sul campo, in modo accessibile e significativo per i cittadini;</w:t>
            </w:r>
            <w:r w:rsidRPr="006A55BB">
              <w:t xml:space="preserve"> apprezza il lancio della piattaforma NaviGate nel maggio 2024; osserva che tale piattaforma, che alimenta con collegamenti web l'EULT dell'Ufficio delle pubblicazioni dell'Unione, ha notevolmente aumentato la visibilità del lavoro del Comitato e migliorato l'esperienza degli utenti per i membri, il personale, i visitatori di altre</w:t>
            </w:r>
            <w:r w:rsidRPr="006A55BB">
              <w:t xml:space="preserve"> istituzioni e il pubblico, raggiungendo 4 600 visitatori unici nel 2024;</w:t>
            </w:r>
          </w:p>
        </w:tc>
      </w:tr>
    </w:tbl>
    <w:p w14:paraId="6FD32931" w14:textId="77777777" w:rsidR="00085FDC" w:rsidRPr="006A55BB" w:rsidRDefault="0071326C">
      <w:pPr>
        <w:pStyle w:val="AmOrLang"/>
      </w:pPr>
      <w:r w:rsidRPr="006A55BB">
        <w:t xml:space="preserve">Or. </w:t>
      </w:r>
      <w:r w:rsidRPr="0071326C">
        <w:rPr>
          <w:rStyle w:val="HideTWBExt"/>
        </w:rPr>
        <w:t>&lt;Original&gt;</w:t>
      </w:r>
      <w:r w:rsidRPr="0071326C">
        <w:rPr>
          <w:rStyle w:val="HideTWBInt"/>
        </w:rPr>
        <w:t>{EN}</w:t>
      </w:r>
      <w:r w:rsidRPr="006A55BB">
        <w:t>en</w:t>
      </w:r>
      <w:r w:rsidRPr="0071326C">
        <w:rPr>
          <w:rStyle w:val="HideTWBExt"/>
        </w:rPr>
        <w:t>&lt;/Original&gt;</w:t>
      </w:r>
    </w:p>
    <w:p w14:paraId="12E03B35" w14:textId="77777777" w:rsidR="00085FDC" w:rsidRPr="006A55BB" w:rsidRDefault="0071326C">
      <w:r w:rsidRPr="0071326C">
        <w:rPr>
          <w:rStyle w:val="HideTWBExt"/>
        </w:rPr>
        <w:t>&lt;/Amend&gt;</w:t>
      </w:r>
    </w:p>
    <w:p w14:paraId="3F4C2437" w14:textId="77777777" w:rsidR="00085FDC" w:rsidRPr="006A55BB" w:rsidRDefault="0071326C">
      <w:r w:rsidRPr="0071326C">
        <w:rPr>
          <w:rStyle w:val="HideTWBExt"/>
        </w:rPr>
        <w:t>&lt;/RepeatBlock-Amend&gt;</w:t>
      </w:r>
    </w:p>
    <w:sectPr w:rsidR="00085FDC" w:rsidRPr="006A55BB" w:rsidSect="0088565B">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42DBA5" w14:textId="77777777" w:rsidR="0071326C" w:rsidRPr="006A55BB" w:rsidRDefault="0071326C">
      <w:r w:rsidRPr="006A55BB">
        <w:separator/>
      </w:r>
    </w:p>
  </w:endnote>
  <w:endnote w:type="continuationSeparator" w:id="0">
    <w:p w14:paraId="5006C1DF" w14:textId="77777777" w:rsidR="0071326C" w:rsidRPr="006A55BB" w:rsidRDefault="0071326C">
      <w:r w:rsidRPr="006A55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ECADF" w14:textId="77777777" w:rsidR="0088565B" w:rsidRPr="006A55BB" w:rsidRDefault="0088565B" w:rsidP="0088565B">
    <w:pPr>
      <w:pStyle w:val="EPFooter"/>
    </w:pPr>
    <w:r w:rsidRPr="006A55BB">
      <w:t>PE</w:t>
    </w:r>
    <w:r w:rsidRPr="0071326C">
      <w:rPr>
        <w:rStyle w:val="HideTWBExt"/>
      </w:rPr>
      <w:t>&lt;NoPE&gt;</w:t>
    </w:r>
    <w:r w:rsidRPr="006A55BB">
      <w:t>784.136</w:t>
    </w:r>
    <w:r w:rsidRPr="0071326C">
      <w:rPr>
        <w:rStyle w:val="HideTWBExt"/>
      </w:rPr>
      <w:t>&lt;/NoPE&gt;&lt;Version&gt;</w:t>
    </w:r>
    <w:r w:rsidRPr="006A55BB">
      <w:t>v01-00</w:t>
    </w:r>
    <w:r w:rsidRPr="0071326C">
      <w:rPr>
        <w:rStyle w:val="HideTWBExt"/>
      </w:rPr>
      <w:t>&lt;/Version&gt;</w:t>
    </w:r>
    <w:r w:rsidRPr="006A55BB">
      <w:tab/>
    </w:r>
    <w:r w:rsidRPr="006A55BB">
      <w:fldChar w:fldCharType="begin"/>
    </w:r>
    <w:r w:rsidRPr="006A55BB">
      <w:instrText xml:space="preserve"> PAGE  \* MERGEFORMAT </w:instrText>
    </w:r>
    <w:r w:rsidRPr="006A55BB">
      <w:fldChar w:fldCharType="separate"/>
    </w:r>
    <w:r w:rsidRPr="006A55BB">
      <w:rPr>
        <w:noProof/>
      </w:rPr>
      <w:t>2</w:t>
    </w:r>
    <w:r w:rsidRPr="006A55BB">
      <w:fldChar w:fldCharType="end"/>
    </w:r>
    <w:r w:rsidRPr="006A55BB">
      <w:t>/</w:t>
    </w:r>
    <w:fldSimple w:instr=" NUMPAGES  \* MERGEFORMAT ">
      <w:r w:rsidRPr="006A55BB">
        <w:rPr>
          <w:noProof/>
        </w:rPr>
        <w:t>38</w:t>
      </w:r>
    </w:fldSimple>
    <w:r w:rsidRPr="006A55BB">
      <w:tab/>
    </w:r>
    <w:r w:rsidRPr="0071326C">
      <w:rPr>
        <w:rStyle w:val="HideTWBExt"/>
      </w:rPr>
      <w:t>&lt;PathFdR&gt;</w:t>
    </w:r>
    <w:r w:rsidRPr="006A55BB">
      <w:t>AM\1336221IT.docx</w:t>
    </w:r>
    <w:r w:rsidRPr="0071326C">
      <w:rPr>
        <w:rStyle w:val="HideTWBExt"/>
      </w:rPr>
      <w:t>&lt;/PathFdR&gt;</w:t>
    </w:r>
  </w:p>
  <w:p w14:paraId="13777271" w14:textId="40E810C7" w:rsidR="00085FDC" w:rsidRPr="006A55BB" w:rsidRDefault="0088565B" w:rsidP="0088565B">
    <w:pPr>
      <w:pStyle w:val="EPFooter2"/>
    </w:pPr>
    <w:r w:rsidRPr="006A55BB">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A6D34" w14:textId="77777777" w:rsidR="0088565B" w:rsidRPr="006A55BB" w:rsidRDefault="0088565B" w:rsidP="0088565B">
    <w:pPr>
      <w:pStyle w:val="EPFooter"/>
    </w:pPr>
    <w:r w:rsidRPr="0071326C">
      <w:rPr>
        <w:rStyle w:val="HideTWBExt"/>
      </w:rPr>
      <w:t>&lt;PathFdR&gt;</w:t>
    </w:r>
    <w:r w:rsidRPr="006A55BB">
      <w:t>AM\1336221IT.docx</w:t>
    </w:r>
    <w:r w:rsidRPr="0071326C">
      <w:rPr>
        <w:rStyle w:val="HideTWBExt"/>
      </w:rPr>
      <w:t>&lt;/PathFdR&gt;</w:t>
    </w:r>
    <w:r w:rsidRPr="006A55BB">
      <w:tab/>
    </w:r>
    <w:r w:rsidRPr="006A55BB">
      <w:fldChar w:fldCharType="begin"/>
    </w:r>
    <w:r w:rsidRPr="006A55BB">
      <w:instrText xml:space="preserve"> PAGE  \* MERGEFORMAT </w:instrText>
    </w:r>
    <w:r w:rsidRPr="006A55BB">
      <w:fldChar w:fldCharType="separate"/>
    </w:r>
    <w:r w:rsidRPr="006A55BB">
      <w:rPr>
        <w:noProof/>
      </w:rPr>
      <w:t>37</w:t>
    </w:r>
    <w:r w:rsidRPr="006A55BB">
      <w:fldChar w:fldCharType="end"/>
    </w:r>
    <w:r w:rsidRPr="006A55BB">
      <w:t>/</w:t>
    </w:r>
    <w:fldSimple w:instr=" NUMPAGES  \* MERGEFORMAT ">
      <w:r w:rsidRPr="006A55BB">
        <w:rPr>
          <w:noProof/>
        </w:rPr>
        <w:t>38</w:t>
      </w:r>
    </w:fldSimple>
    <w:r w:rsidRPr="006A55BB">
      <w:tab/>
      <w:t>PE</w:t>
    </w:r>
    <w:r w:rsidRPr="0071326C">
      <w:rPr>
        <w:rStyle w:val="HideTWBExt"/>
      </w:rPr>
      <w:t>&lt;NoPE&gt;</w:t>
    </w:r>
    <w:r w:rsidRPr="006A55BB">
      <w:t>784.136</w:t>
    </w:r>
    <w:r w:rsidRPr="0071326C">
      <w:rPr>
        <w:rStyle w:val="HideTWBExt"/>
      </w:rPr>
      <w:t>&lt;/NoPE&gt;&lt;Version&gt;</w:t>
    </w:r>
    <w:r w:rsidRPr="006A55BB">
      <w:t>v01-00</w:t>
    </w:r>
    <w:r w:rsidRPr="0071326C">
      <w:rPr>
        <w:rStyle w:val="HideTWBExt"/>
      </w:rPr>
      <w:t>&lt;/Version&gt;</w:t>
    </w:r>
  </w:p>
  <w:p w14:paraId="1E8B4B7D" w14:textId="54AFEC24" w:rsidR="00085FDC" w:rsidRPr="006A55BB" w:rsidRDefault="0088565B" w:rsidP="0088565B">
    <w:pPr>
      <w:pStyle w:val="EPFooter2"/>
    </w:pPr>
    <w:r w:rsidRPr="006A55BB">
      <w:tab/>
    </w:r>
    <w:r w:rsidRPr="006A55BB">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30545" w14:textId="77777777" w:rsidR="0088565B" w:rsidRPr="006A55BB" w:rsidRDefault="0088565B" w:rsidP="0088565B">
    <w:pPr>
      <w:pStyle w:val="EPFooter"/>
    </w:pPr>
    <w:r w:rsidRPr="0071326C">
      <w:rPr>
        <w:rStyle w:val="HideTWBExt"/>
      </w:rPr>
      <w:t>&lt;PathFdR&gt;</w:t>
    </w:r>
    <w:r w:rsidRPr="006A55BB">
      <w:t>AM\1336221IT.docx</w:t>
    </w:r>
    <w:r w:rsidRPr="0071326C">
      <w:rPr>
        <w:rStyle w:val="HideTWBExt"/>
      </w:rPr>
      <w:t>&lt;/PathFdR&gt;</w:t>
    </w:r>
    <w:r w:rsidRPr="006A55BB">
      <w:tab/>
    </w:r>
    <w:r w:rsidRPr="006A55BB">
      <w:tab/>
      <w:t>PE</w:t>
    </w:r>
    <w:r w:rsidRPr="0071326C">
      <w:rPr>
        <w:rStyle w:val="HideTWBExt"/>
      </w:rPr>
      <w:t>&lt;NoPE&gt;</w:t>
    </w:r>
    <w:r w:rsidRPr="006A55BB">
      <w:t>784.136</w:t>
    </w:r>
    <w:r w:rsidRPr="0071326C">
      <w:rPr>
        <w:rStyle w:val="HideTWBExt"/>
      </w:rPr>
      <w:t>&lt;/NoPE&gt;&lt;Version&gt;</w:t>
    </w:r>
    <w:r w:rsidRPr="006A55BB">
      <w:t>v01-00</w:t>
    </w:r>
    <w:r w:rsidRPr="0071326C">
      <w:rPr>
        <w:rStyle w:val="HideTWBExt"/>
      </w:rPr>
      <w:t>&lt;/Version&gt;</w:t>
    </w:r>
  </w:p>
  <w:p w14:paraId="25FF5F34" w14:textId="779FACD1" w:rsidR="00085FDC" w:rsidRPr="006A55BB" w:rsidRDefault="0088565B" w:rsidP="0088565B">
    <w:pPr>
      <w:pStyle w:val="EPFooter2"/>
    </w:pPr>
    <w:r w:rsidRPr="006A55BB">
      <w:t>IT</w:t>
    </w:r>
    <w:r w:rsidRPr="006A55BB">
      <w:tab/>
    </w:r>
    <w:r w:rsidRPr="006A55BB">
      <w:rPr>
        <w:b w:val="0"/>
        <w:i/>
        <w:color w:val="C0C0C0"/>
        <w:sz w:val="22"/>
      </w:rPr>
      <w:t>Unita nella diversità</w:t>
    </w:r>
    <w:r w:rsidRPr="006A55BB">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C9A2DC" w14:textId="77777777" w:rsidR="0071326C" w:rsidRPr="006A55BB" w:rsidRDefault="0071326C">
      <w:r w:rsidRPr="006A55BB">
        <w:separator/>
      </w:r>
    </w:p>
  </w:footnote>
  <w:footnote w:type="continuationSeparator" w:id="0">
    <w:p w14:paraId="71430C8A" w14:textId="77777777" w:rsidR="0071326C" w:rsidRPr="006A55BB" w:rsidRDefault="0071326C">
      <w:r w:rsidRPr="006A55B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FEEA4" w14:textId="77777777" w:rsidR="0071326C" w:rsidRDefault="007132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C444D" w14:textId="77777777" w:rsidR="0071326C" w:rsidRDefault="007132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70FA5" w14:textId="77777777" w:rsidR="0071326C" w:rsidRDefault="0071326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6"/>
    <w:docVar w:name="TXTLANGUE" w:val="IT"/>
    <w:docVar w:name="TXTLANGUEMIN" w:val="it"/>
    <w:docVar w:name="TXTNRPE" w:val="784.136"/>
    <w:docVar w:name="TXTPEorAP" w:val="PE"/>
    <w:docVar w:name="TXTROUTE" w:val="AM\1336221IT.docx"/>
    <w:docVar w:name="TXTVERSION" w:val="01-00"/>
  </w:docVars>
  <w:rsids>
    <w:rsidRoot w:val="00A77B3E"/>
    <w:rsid w:val="00085FDC"/>
    <w:rsid w:val="00480A17"/>
    <w:rsid w:val="006A55BB"/>
    <w:rsid w:val="0071326C"/>
    <w:rsid w:val="0088565B"/>
    <w:rsid w:val="00A77B3E"/>
    <w:rsid w:val="00CA2A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ECE1086"/>
  <w15:docId w15:val="{31F5CE65-A143-4140-9B13-CD13C2B47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88565B"/>
    <w:pPr>
      <w:tabs>
        <w:tab w:val="center" w:pos="4513"/>
        <w:tab w:val="right" w:pos="9026"/>
      </w:tabs>
    </w:pPr>
  </w:style>
  <w:style w:type="character" w:customStyle="1" w:styleId="HeaderChar">
    <w:name w:val="Header Char"/>
    <w:basedOn w:val="DefaultParagraphFont"/>
    <w:link w:val="Header"/>
    <w:rsid w:val="0088565B"/>
    <w:rPr>
      <w:sz w:val="24"/>
      <w:szCs w:val="24"/>
    </w:rPr>
  </w:style>
  <w:style w:type="paragraph" w:styleId="Footer">
    <w:name w:val="footer"/>
    <w:basedOn w:val="Normal"/>
    <w:link w:val="FooterChar"/>
    <w:rsid w:val="0071326C"/>
    <w:pPr>
      <w:tabs>
        <w:tab w:val="center" w:pos="4513"/>
        <w:tab w:val="right" w:pos="9026"/>
      </w:tabs>
    </w:pPr>
  </w:style>
  <w:style w:type="character" w:customStyle="1" w:styleId="FooterChar">
    <w:name w:val="Footer Char"/>
    <w:basedOn w:val="DefaultParagraphFont"/>
    <w:link w:val="Footer"/>
    <w:rsid w:val="0071326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38</Pages>
  <Words>12416</Words>
  <Characters>71679</Characters>
  <Application>Microsoft Office Word</Application>
  <DocSecurity>0</DocSecurity>
  <Lines>2435</Lines>
  <Paragraphs>418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2026-02-09T16:40:00Z</dcterms:created>
  <dcterms:modified xsi:type="dcterms:W3CDTF">2026-02-09T16:40:00Z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1336221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355398</vt:lpwstr>
  </property>
  <property fmtid="{D5CDD505-2E9C-101B-9397-08002B2CF9AE}" pid="7" name="dmxml.render.traceId">
    <vt:lpwstr>6979f0b5641960a0c3039ad96fa78a21</vt:lpwstr>
  </property>
  <property fmtid="{D5CDD505-2E9C-101B-9397-08002B2CF9AE}" pid="8" name="FooterPath">
    <vt:lpwstr>AM\1336221IT.docx</vt:lpwstr>
  </property>
  <property fmtid="{D5CDD505-2E9C-101B-9397-08002B2CF9AE}" pid="9" name="PE Number">
    <vt:lpwstr>784.136</vt:lpwstr>
  </property>
  <property fmtid="{D5CDD505-2E9C-101B-9397-08002B2CF9AE}" pid="10" name="SDLStudio">
    <vt:lpwstr/>
  </property>
  <property fmtid="{D5CDD505-2E9C-101B-9397-08002B2CF9AE}" pid="11" name="UID">
    <vt:lpwstr>eu.europa.europarl-DIN1-2026-0000016192_01.00-en-01.00_text-xml</vt:lpwstr>
  </property>
  <property fmtid="{D5CDD505-2E9C-101B-9397-08002B2CF9AE}" pid="12" name="LastEdited with">
    <vt:lpwstr>10.2.1 Build [20260110]</vt:lpwstr>
  </property>
  <property fmtid="{D5CDD505-2E9C-101B-9397-08002B2CF9AE}" pid="13" name="Bookout">
    <vt:lpwstr>OK - 2026/02/09 17:40</vt:lpwstr>
  </property>
</Properties>
</file>