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Commissie begrotingscontrole</w:t>
      </w:r>
      <w:r>
        <w:rPr>
          <w:rStyle w:val="HideTWBExt"/>
        </w:rPr>
        <w:t>&lt;/Commission&gt;</w:t>
      </w:r>
    </w:p>
    <w:p>
      <w:pPr>
        <w:pStyle w:val="LineBottom"/>
      </w:pPr>
      <w:r>
        <w:t xml:space="preserve"> </w:t>
      </w:r>
    </w:p>
    <w:p>
      <w:pPr>
        <w:pStyle w:val="CoverReference"/>
      </w:pPr>
      <w:r>
        <w:rPr>
          <w:rStyle w:val="HideTWBExt"/>
        </w:rPr>
        <w:t>&lt;RefProc&gt;</w:t>
      </w:r>
      <w:r>
        <w:t>2025/2151</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1</w:t>
      </w:r>
      <w:r>
        <w:t xml:space="preserve"> - </w:t>
      </w:r>
      <w:r>
        <w:t>45</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(PE778.063v01-00)</w:t>
      </w:r>
      <w:r>
        <w:rPr>
          <w:rStyle w:val="HideTWBExt"/>
        </w:rPr>
        <w:t>&lt;/DocRefPE&gt;</w:t>
      </w:r>
    </w:p>
    <w:p>
      <w:pPr>
        <w:pStyle w:val="CoverNormal"/>
      </w:pPr>
      <w:r>
        <w:rPr>
          <w:rStyle w:val="HideTWBExt"/>
        </w:rPr>
        <w:t>&lt;Titre&gt;</w:t>
      </w:r>
      <w:r>
        <w:t>Kwijting 2024: algemene begroting van de EU – Europees Economisch en Sociaal Comité</w:t>
      </w:r>
      <w:r>
        <w:rPr>
          <w:rStyle w:val="HideTWBExt"/>
        </w:rPr>
        <w:t>&lt;/Titre&gt;</w:t>
      </w:r>
    </w:p>
    <w:p>
      <w:pPr>
        <w:pStyle w:val="CoverNormal24a"/>
      </w:pPr>
      <w:r>
        <w:rPr>
          <w:rStyle w:val="HideTWBExt"/>
        </w:rPr>
        <w:t>&lt;DocRef&gt;</w:t>
      </w:r>
      <w:r>
        <w:t>(2025/2151(DEC))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overwegende dat het Europees Economisch en Sociaal Comité overeenkomstig de artikelen 300 en 304 van het Verdrag betreffende de werking van de Europese Unie een adviesorgaan is dat in de eerste plaats tot taak heeft adviezen uit te brengen;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constateert bij het Comité een verschuiving van een uitgavengerichte aanpak naar het beheer en de prioritering van middelen, zoals blijkt uit het door het bureau van het EESC goedgekeurde strategisch financieel pakket en de invoering van prioritering als vaste praktijk;</w:t>
            </w:r>
            <w:r>
              <w:t xml:space="preserve"> </w:t>
            </w:r>
            <w:r>
              <w:rPr>
                <w:b/>
                <w:i/>
              </w:rPr>
              <w:t>merkt op dat deze maatregelen tot doel hebben de financiële governance te verbeteren en begrotingsbesluiten af te stemmen op strategische doelstellingen;</w:t>
            </w:r>
            <w:r>
              <w:t xml:space="preserve"> </w:t>
            </w:r>
            <w:r>
              <w:rPr>
                <w:b/>
                <w:i/>
              </w:rPr>
              <w:t>neemt kennis van de inspanningen om de administratieve rompslomp te verminderen en de processen te stroomlijnen met het oog op kosteneffectiviteit;</w:t>
            </w:r>
            <w:r>
              <w:t xml:space="preserve"> </w:t>
            </w:r>
            <w:r>
              <w:rPr>
                <w:b/>
                <w:i/>
              </w:rPr>
              <w:t>verzoekt het Comité deze aanpak verder te bestendigen door prestatie-indicatoren en prognoseplanning op te nemen in zijn jaarlijkse financiële cyclus;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prijst het Comité voor </w:t>
            </w:r>
            <w:r>
              <w:rPr>
                <w:b/>
                <w:i/>
              </w:rPr>
              <w:t>het feit dat</w:t>
            </w:r>
            <w:r>
              <w:t xml:space="preserve"> zijn begrotingsuitvoering van de vastleggingskredieten voor het lopende jaar verder is gestegen van 98,70 % in 2023 tot 99,21 % in 2024, dankzij het succesvolle toezicht op zijn begrotingsuitvoering, maar ook vanwege een hoge inflatie die van invloed is op de salarissen van het personeel en de kosten van gebouwen; neemt in dit verband kennis van de herschikkingsinspanningen van het Comité door middel van begrotingsoverschrijvingen voor een totaalbedrag van 2 487 139 EUR (ofwel 1,51 % van zijn begroting voor 2024) over verschillende begrotingslijnen, waarbij de belangrijkste stijgingen verband houden met de exploitatie en het onderhoud van softwaresystemen (+519 682 EUR) en gebouwen (+421 880 EUR); stelt voorts met tevredenheid vast dat het uitvoeringspercentage van de betalingskredieten van het lopende jaar is gestegen van 88,12 % in 2022 en 90,67 % in 2023 tot 92,85 % in 2024 en dat de gemiddelde betalingstermijn is gedaald van 20,14 dagen in 2023 tot 16,06 dagen in 2024, hetgeen de beste prestatie van het Comité is sinds 2021;</w:t>
            </w:r>
          </w:p>
        </w:tc>
        <w:tc>
          <w:tcPr>
            <w:tcW w:w="4876" w:type="dxa"/>
            <w:tcBorders>
              <w:top w:val="nil"/>
              <w:left w:val="nil"/>
              <w:bottom w:val="nil"/>
              <w:right w:val="nil"/>
            </w:tcBorders>
          </w:tcPr>
          <w:p>
            <w:pPr>
              <w:pStyle w:val="Normal6a"/>
            </w:pPr>
            <w:r>
              <w:t>5.</w:t>
            </w:r>
            <w:r>
              <w:tab/>
            </w:r>
            <w:r>
              <w:t xml:space="preserve">prijst het Comité voor zijn </w:t>
            </w:r>
            <w:r>
              <w:rPr>
                <w:b/>
                <w:i/>
              </w:rPr>
              <w:t>hoge niveau van</w:t>
            </w:r>
            <w:r>
              <w:t xml:space="preserve"> begrotingsuitvoering van de vastleggingskredieten voor het lopende jaar</w:t>
            </w:r>
            <w:r>
              <w:rPr>
                <w:b/>
                <w:i/>
              </w:rPr>
              <w:t>, dat</w:t>
            </w:r>
            <w:r>
              <w:t xml:space="preserve"> verder is gestegen van 98,70 % in 2023 tot 99,21 % in 2024, dankzij het succesvolle toezicht op zijn begrotingsuitvoering, maar ook vanwege een hoge inflatie die van invloed is op de salarissen van het personeel en de kosten van gebouwen; neemt in dit verband kennis van de herschikkingsinspanningen van het Comité door middel van begrotingsoverschrijvingen voor een totaalbedrag van 2 487 139 EUR (ofwel 1,51 % van zijn begroting voor 2024) over verschillende begrotingslijnen, waarbij de belangrijkste stijgingen verband houden met de exploitatie en het onderhoud van softwaresystemen (+519 682 EUR) en gebouwen (+421 880 EUR); stelt voorts met tevredenheid vast dat het uitvoeringspercentage van de betalingskredieten van het lopende jaar is gestegen van 88,12 % in 2022 en 90,67 % in 2023 tot 92,85 % in 2024 en dat de gemiddelde betalingstermijn is gedaald van 20,14 dagen in 2023 tot 16,06 dagen in 2024, hetgeen de beste prestatie van het Comité is sinds 2021; </w:t>
            </w:r>
            <w:r>
              <w:rPr>
                <w:b/>
                <w:i/>
              </w:rPr>
              <w:t>pleit voor de voortzetting van efficiënte monitoring, kostenbeheersing en strategische herverdeling om kosteneffectiviteit en transparantie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merkt op dat de Raad op 21 september 2024 een nieuw besluit heeft vastgesteld betreffende de toekenning van dagvergoedingen en de vergoeding van reiskosten aan leden van het Comité en hun plaatsvervangers, waarbij de dagvergoeding voor begunstigden die fysieke vergaderingen bijwonen, is vastgesteld op 367 EUR (ten opzichte van 290 EUR) en de dagvergoeding voor begunstigden die vergaderingen elektronisch op afstand bijwonen, is vastgesteld op 149 EUR (ten opzichte van 145 EUR); maakt uit de vragenlijst op dat het Comité in 2024 een vergoeding van 259 669 EUR heeft betaald voor deelname op afstand (294 930 EUR in 2023), hetgeen overeenkomt met 1 744 vergaderdagen (2 006 vergaderdagen in 2023), terwijl het totale bedrag van de forfaitaire vergoedingen voor deelname aan vergaderingen met fysieke aanwezigheid 6 579 196 EUR bedroeg in 2024 (tegenover 5 902 963 EUR in 2023); merkt voorts op dat het Comité over een systeem beschikt om de daadwerkelijke deelname op afstand aan vergaderingen langs elektronische weg te bevestigen; is van mening dat</w:t>
            </w:r>
            <w:r>
              <w:rPr>
                <w:b/>
                <w:i/>
              </w:rPr>
              <w:t>, hoewel</w:t>
            </w:r>
            <w:r>
              <w:t xml:space="preserve"> deelname op afstand een belangrijk instrument is voor moderne instellingen </w:t>
            </w:r>
            <w:r>
              <w:rPr>
                <w:b/>
                <w:i/>
              </w:rPr>
              <w:t>–</w:t>
            </w:r>
            <w:r>
              <w:t xml:space="preserve"> het verlagen van de vergaderkosten en het mogelijk maken van een bredere deelname </w:t>
            </w:r>
            <w:r>
              <w:rPr>
                <w:b/>
                <w:i/>
              </w:rPr>
              <w:t>– de toekenning van een vergoeding</w:t>
            </w:r>
            <w:r>
              <w:t xml:space="preserve"> voor deelname op afstand </w:t>
            </w:r>
            <w:r>
              <w:rPr>
                <w:b/>
                <w:i/>
              </w:rPr>
              <w:t>aan vergaderingen, ook al is deze</w:t>
            </w:r>
            <w:r>
              <w:t xml:space="preserve"> beperkt </w:t>
            </w:r>
            <w:r>
              <w:rPr>
                <w:b/>
                <w:i/>
              </w:rPr>
              <w:t>tot bepaalde soorten</w:t>
            </w:r>
            <w:r>
              <w:t xml:space="preserve"> evenementen, </w:t>
            </w:r>
            <w:r>
              <w:rPr>
                <w:b/>
                <w:i/>
              </w:rPr>
              <w:t>moeilijk te begrijpen is voor het publiek</w:t>
            </w:r>
            <w:r>
              <w:t>;</w:t>
            </w:r>
          </w:p>
        </w:tc>
        <w:tc>
          <w:tcPr>
            <w:tcW w:w="4876" w:type="dxa"/>
            <w:tcBorders>
              <w:top w:val="nil"/>
              <w:left w:val="nil"/>
              <w:bottom w:val="nil"/>
              <w:right w:val="nil"/>
            </w:tcBorders>
          </w:tcPr>
          <w:p>
            <w:pPr>
              <w:pStyle w:val="Normal6a"/>
            </w:pPr>
            <w:r>
              <w:t>7.</w:t>
            </w:r>
            <w:r>
              <w:tab/>
            </w:r>
            <w:r>
              <w:t xml:space="preserve">merkt op dat de Raad op 21 september 2024 een nieuw besluit heeft vastgesteld betreffende de toekenning van dagvergoedingen en de vergoeding van reiskosten aan leden van het Comité en hun plaatsvervangers, waarbij de dagvergoeding voor begunstigden die fysieke vergaderingen bijwonen, is vastgesteld op 367 EUR (ten opzichte van 290 EUR) en de dagvergoeding voor begunstigden die vergaderingen elektronisch op afstand bijwonen, is vastgesteld op 149 EUR (ten opzichte van 145 EUR); maakt uit de vragenlijst op dat het Comité in 2024 een vergoeding van 259 669 EUR heeft betaald voor deelname op afstand (294 930 EUR in 2023), hetgeen overeenkomt met 1 744 vergaderdagen (2 006 vergaderdagen in 2023), terwijl het totale bedrag van de forfaitaire vergoedingen voor deelname aan vergaderingen met fysieke aanwezigheid 6 579 196 EUR bedroeg in 2024 (tegenover 5 902 963 EUR in 2023); merkt voorts op dat het Comité over een systeem beschikt om de daadwerkelijke deelname op afstand aan vergaderingen langs elektronische weg te bevestigen; is van mening dat </w:t>
            </w:r>
            <w:r>
              <w:rPr>
                <w:b/>
                <w:i/>
              </w:rPr>
              <w:t>de</w:t>
            </w:r>
            <w:r>
              <w:t xml:space="preserve"> deelname op afstand een belangrijk </w:t>
            </w:r>
            <w:r>
              <w:rPr>
                <w:b/>
                <w:i/>
              </w:rPr>
              <w:t>en waardevol</w:t>
            </w:r>
            <w:r>
              <w:t xml:space="preserve"> instrument is voor moderne instellingen </w:t>
            </w:r>
            <w:r>
              <w:rPr>
                <w:b/>
                <w:i/>
              </w:rPr>
              <w:t>waarmee kan worden gezorgd voor</w:t>
            </w:r>
            <w:r>
              <w:t xml:space="preserve"> het verlagen van de vergaderkosten en het mogelijk maken van een bredere deelname</w:t>
            </w:r>
            <w:r>
              <w:rPr>
                <w:b/>
                <w:i/>
              </w:rPr>
              <w:t>; </w:t>
            </w:r>
            <w:r>
              <w:t xml:space="preserve"> </w:t>
            </w:r>
            <w:r>
              <w:rPr>
                <w:b/>
                <w:i/>
              </w:rPr>
              <w:t>is ingenomen met de aanpak van het Comité om vergoedingen</w:t>
            </w:r>
            <w:r>
              <w:t xml:space="preserve"> voor deelname op afstand </w:t>
            </w:r>
            <w:r>
              <w:rPr>
                <w:b/>
                <w:i/>
              </w:rPr>
              <w:t>op een eerlijke en evenredige manier toe te wijzen voor een</w:t>
            </w:r>
            <w:r>
              <w:t xml:space="preserve"> beperkt </w:t>
            </w:r>
            <w:r>
              <w:rPr>
                <w:b/>
                <w:i/>
              </w:rPr>
              <w:t>aantal en type</w:t>
            </w:r>
            <w:r>
              <w:t xml:space="preserve"> evenementen, </w:t>
            </w:r>
            <w:r>
              <w:rPr>
                <w:b/>
                <w:i/>
              </w:rPr>
              <w:t>rekening houdend met de verantwoordelijkheden en voorbereidingseisen van de leden, en tegelijkertijd transparantie en kostenefficiëntie te waarborgen en te monitoren;</w:t>
            </w:r>
            <w:r>
              <w:t xml:space="preserve"> </w:t>
            </w:r>
            <w:r>
              <w:rPr>
                <w:b/>
                <w:i/>
              </w:rPr>
              <w:t>herinnert eraan dat de leden van het Europees Economisch en Sociaal Comité geen salaris ontvangen voor hun mandaat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verzoekt het Comité het systeem van vergoedingen voor deelname op afstand opnieuw te beoordelen om volledige transparantie, evenredigheid en publiek vertrouwen te waarborgen;</w:t>
            </w:r>
            <w:r>
              <w:t xml:space="preserve"> </w:t>
            </w:r>
            <w:r>
              <w:rPr>
                <w:b/>
                <w:i/>
              </w:rPr>
              <w:t>benadrukt dat financiële vergoedingen voor deelname op afstand strikt gerechtvaardigd moeten zijn, slechts beperkt mogen worden ingezet en in overeenstemming moeten zijn met de beginselen van kosteneffectiviteit en verantwoordingsplicht;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uit zijn diepe bezorgdheid over de toenemende schuldenlast en financieringskosten van de EU;</w:t>
            </w:r>
            <w:r>
              <w:t xml:space="preserve"> </w:t>
            </w:r>
            <w:r>
              <w:rPr>
                <w:b/>
                <w:i/>
              </w:rPr>
              <w:t>merkt op dat, volgens het jaarverslag van de Europese Rekenkamer, uitstaande leningen die door de EU zijn afgesloten mogelijk meer dan 900 miljard EUR zullen bedragen in 2027, d.w.z. bijna tien keer het niveau van 2020 vóór de invoering van het NGEU-herstelpakket;</w:t>
            </w:r>
            <w:r>
              <w:t xml:space="preserve"> </w:t>
            </w:r>
            <w:r>
              <w:rPr>
                <w:b/>
                <w:i/>
              </w:rPr>
              <w:t>waarschuwt ervoor dat stijgende financieringskosten een risico vormen voor toekomstige begrotingen en de begrotingsruimte voor nieuwe prioriteiten beperken;</w:t>
            </w:r>
            <w:r>
              <w:t xml:space="preserve"> </w:t>
            </w:r>
            <w:r>
              <w:rPr>
                <w:b/>
                <w:i/>
              </w:rPr>
              <w:t>dringt er daarom op aan dat er vanwege deze ongekende begrotingsdruk dringend op zoek moet worden gegaan naar besparingen binnen de eigen administratieve begroting van het Comité;</w:t>
            </w:r>
            <w:r>
              <w:t xml:space="preserve"> </w:t>
            </w:r>
            <w:r>
              <w:rPr>
                <w:b/>
                <w:i/>
              </w:rPr>
              <w:t>verzoekt de secretaris-generaal te komen met een plan voor structurele kostenverlagingen om blijk te geven van institutionele verantwoordelijkheid in tijden van hoge overheidsschuld;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verzoekt de administratie van het Comité actief kostenbesparende maatregelen in kaart te brengen en uit te voeren, onder andere door meer gebruik te maken van hybride vergadertechnologieën, het gebruik van gebouwen te optimaliseren, parlementaire activiteiten te consolideren en onnodige logistieke kosten te verminderen;</w:t>
            </w:r>
            <w:r>
              <w:t xml:space="preserve"> </w:t>
            </w:r>
            <w:r>
              <w:rPr>
                <w:b/>
                <w:i/>
              </w:rPr>
              <w:t>verzoekt om regelmatige voortgangsverslagen over de uitgevoerde maatregelen en de bereikte besparingen;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verzoekt het Comité een gestructureerde routekaart vast te stellen om geleidelijk de benchmark van 10 % voor uitgaven op het vlak van cyberbeveiliging te halen, met inbegrip van jaarlijkse mijlpalen, risicogebaseerde prioritering en regelmatige verslaglegging aan de kwijtingsautoriteit;</w:t>
            </w:r>
            <w:r>
              <w:t xml:space="preserve"> </w:t>
            </w:r>
            <w:r>
              <w:rPr>
                <w:b/>
                <w:i/>
              </w:rPr>
              <w:t>wijst op de noodzaak van nauwere samenwerking met CERT-EU en andere instellingen van de Unie om een coherente en veerkrachtige cyberbeveiligingsstrategie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erkent dat het Comité een fundamentele rol speelt door bij te dragen aan de beleidsontwikkeling en de besluitvormingsprocessen van de Unie door de stem van alle geledingen van het maatschappelijk middenveld in de Unie te vertegenwoordigen en zo Europa dichter bij de burgers te brengen en de democratische legitimiteit van de wetgeving van de Unie te vergroten; herinnert eraan dat het Comité in het kader van zijn jaarlijkse werkprogramma beschikt over een systeem voor prestatiemonitoring met indicatoren op verschillende gebieden, zoals IT, HR, vertaling en communicatie, gestructureerd rond vijf kernwaarden en vijf belangrijke strategische doelstellingen, in het kader van de strategie van het secretariaat-generaal voor 2021-2025; maakt met tevredenheid uit de follow-up door het Comité van de opmerkingen in de kwijtingsresolutie van het Parlement voor 2023 (het “follow-upverslag”) en de vragenlijst op dat het Comité na een controle een gestructureerd proces is gestart om zijn prestatiemonitoring te verbeteren door zijn prestatiekader af te stemmen op strategische doelstellingen door middel van kernprestatie-indicatoren en impactindicatoren die moeten worden afgestemd op de toekomstige strategische doelstellingen van het Comité, terwijl het hoger management een sleutelrol zal spelen bij het gebruik van die indicatoren; verwacht op de hoogte te worden gehouden van de resultaten van de uitvoering van dit nieuwe kader door middel van toekomstige verslagen van het Comité aan de kwijtingsautoriteit;</w:t>
            </w:r>
          </w:p>
        </w:tc>
        <w:tc>
          <w:tcPr>
            <w:tcW w:w="4876" w:type="dxa"/>
            <w:tcBorders>
              <w:top w:val="nil"/>
              <w:left w:val="nil"/>
              <w:bottom w:val="nil"/>
              <w:right w:val="nil"/>
            </w:tcBorders>
          </w:tcPr>
          <w:p>
            <w:pPr>
              <w:pStyle w:val="Normal6a"/>
            </w:pPr>
            <w:r>
              <w:t>12.</w:t>
            </w:r>
            <w:r>
              <w:tab/>
            </w:r>
            <w:r>
              <w:t>erkent dat het Comité een fundamentele rol speelt door bij te dragen aan de beleidsontwikkeling en de besluitvormingsprocessen van de Unie door de stem van alle geledingen van het maatschappelijk middenveld in de Unie te vertegenwoordigen en zo Europa dichter bij de burgers te brengen en de democratische legitimiteit van de wetgeving van de Unie te vergroten; herinnert eraan dat het Comité in het kader van zijn jaarlijkse werkprogramma beschikt over een systeem voor prestatiemonitoring met indicatoren op verschillende gebieden, zoals IT, HR, vertaling en communicatie, gestructureerd rond vijf kernwaarden en vijf belangrijke strategische doelstellingen, in het kader van de strategie van het secretariaat-generaal voor 2021-2025</w:t>
            </w:r>
            <w:r>
              <w:rPr>
                <w:b/>
                <w:i/>
              </w:rPr>
              <w:t>;</w:t>
            </w:r>
            <w:r>
              <w:t xml:space="preserve"> </w:t>
            </w:r>
            <w:r>
              <w:rPr>
                <w:b/>
                <w:i/>
              </w:rPr>
              <w:t>is echter van mening dat de meerwaarde van zijn activiteiten voor de Europese burgers nog steeds veel te weinig belicht wordt;</w:t>
            </w:r>
            <w:r>
              <w:t xml:space="preserve"> </w:t>
            </w:r>
            <w:r>
              <w:rPr>
                <w:b/>
                <w:i/>
              </w:rPr>
              <w:t>verzoekt het Comité zijn kader voor effectbeoordelingen verder te versterken door beter voor het voetlicht te brengen hoe zijn adviezen en initiatieven zich vertalen in concrete beleidsresultaten en tastbare voordelen voor de burgers</w:t>
            </w:r>
            <w:r>
              <w:t>; maakt met tevredenheid uit de follow-up door het Comité van de opmerkingen in de kwijtingsresolutie van het Parlement voor 2023 (het “follow-upverslag”) en de vragenlijst op dat het Comité na een controle een gestructureerd proces is gestart om zijn prestatiemonitoring te verbeteren door zijn prestatiekader af te stemmen op strategische doelstellingen door middel van kernprestatie-indicatoren en impactindicatoren die moeten worden afgestemd op de toekomstige strategische doelstellingen van het Comité, terwijl het hoger management een sleutelrol zal spelen bij het gebruik van die indicatoren; verwacht op de hoogte te worden gehouden van de resultaten van de uitvoering van dit nieuwe kader door middel van toekomstige verslagen van het Comité aan de kwijtingsautoriteit;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erkent dat het Comité een fundamentele rol speelt door bij te dragen aan de beleidsontwikkeling en de besluitvormingsprocessen van de Unie door de stem van alle geledingen van het maatschappelijk middenveld in de Unie te vertegenwoordigen en zo Europa dichter bij de burgers te brengen en de democratische legitimiteit van de wetgeving van de Unie te vergroten; herinnert eraan dat het Comité in het kader van zijn jaarlijkse werkprogramma beschikt over een systeem voor prestatiemonitoring met indicatoren op verschillende gebieden, zoals IT, HR, vertaling en communicatie, gestructureerd rond vijf kernwaarden en vijf belangrijke strategische doelstellingen, in het kader van de strategie van het secretariaat-generaal voor 2021-2025; maakt met tevredenheid uit de follow-up door het Comité van de opmerkingen in de kwijtingsresolutie van het Parlement voor 2023 (het “follow-upverslag”) en de vragenlijst op dat het Comité na een controle een gestructureerd proces is gestart om zijn prestatiemonitoring te verbeteren door zijn prestatiekader af te stemmen op strategische doelstellingen door middel van kernprestatie-indicatoren en impactindicatoren die moeten worden afgestemd op de toekomstige strategische doelstellingen van het Comité, terwijl het hoger management een sleutelrol zal spelen bij het gebruik van die indicatoren; verwacht op de hoogte te worden gehouden van de resultaten van de uitvoering van dit nieuwe kader door middel van toekomstige verslagen van het Comité aan de kwijtingsautoriteit;</w:t>
            </w:r>
          </w:p>
        </w:tc>
        <w:tc>
          <w:tcPr>
            <w:tcW w:w="4876" w:type="dxa"/>
            <w:tcBorders>
              <w:top w:val="nil"/>
              <w:left w:val="nil"/>
              <w:bottom w:val="nil"/>
              <w:right w:val="nil"/>
            </w:tcBorders>
          </w:tcPr>
          <w:p>
            <w:pPr>
              <w:pStyle w:val="Normal6a"/>
            </w:pPr>
            <w:r>
              <w:t>12.</w:t>
            </w:r>
            <w:r>
              <w:tab/>
            </w:r>
            <w:r>
              <w:t xml:space="preserve">erkent dat het Comité een fundamentele rol speelt door bij te dragen aan de beleidsontwikkeling en de besluitvormingsprocessen van de Unie door de stem van alle geledingen van het maatschappelijk middenveld in de Unie te vertegenwoordigen en zo Europa dichter bij de burgers te brengen en de democratische legitimiteit van de wetgeving van de Unie te vergroten; herinnert eraan dat het Comité in het kader van zijn jaarlijkse werkprogramma beschikt over een systeem voor prestatiemonitoring met indicatoren op verschillende gebieden, zoals IT, HR, vertaling en communicatie, gestructureerd rond vijf kernwaarden en vijf belangrijke strategische doelstellingen, in het kader van de strategie van het secretariaat-generaal voor 2021-2025; maakt met tevredenheid uit de follow-up door het Comité van de opmerkingen in de kwijtingsresolutie van het Parlement voor 2023 (het “follow-upverslag”) en de vragenlijst op dat het Comité na een controle een gestructureerd proces is gestart om zijn prestatiemonitoring te verbeteren door zijn prestatiekader af te stemmen op strategische doelstellingen door middel van kernprestatie-indicatoren en impactindicatoren die moeten worden afgestemd op de toekomstige strategische doelstellingen van het Comité, terwijl het hoger management een sleutelrol zal spelen bij het gebruik van die indicatoren; verwacht op de hoogte te worden gehouden van de resultaten van de uitvoering van dit nieuwe kader door middel van toekomstige verslagen van het Comité aan de kwijtingsautoriteit; </w:t>
            </w:r>
            <w:r>
              <w:rPr>
                <w:b/>
                <w:i/>
              </w:rPr>
              <w:t>is ingenomen met de inspanningen van het Comité om het meten van impact te integreren in zijn besluitvorming en dringt aan op duidelijke, kwantificeerbare kernprestatie-indicatoren en regelmatige verslaglegging om meetbare resultaten en verantwoordingsplicht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stelt vast dat het Comité zijn taak uitvoert door middel van adviezen over wetgevingsvoorstellen van de Commissie (verwijzingen), initiatiefadviezen waarin de instellingen van de Unie worden opgeroepen actie te ondernemen, en verkennende adviezen, die input leveren voor de werkzaamheden van de Commissie ten behoeve van haar geplande initiatieven, en dat de standpunten van het Comité kunnen worden verwoord in resoluties of kunnen worden opgenomen in evaluatie- en informatieverslagen; prijst het Comité voor zijn prestaties in 2024 in het kader van het bijstaan van het Parlement, de Raad en de Commissie in de wetgevingscyclus; merkt in dit verband op dat het Comité in 2024 142 adviezen en verslagen heeft aangenomen, een daling ten opzichte van 2023 (213), en 148 hoorzittingen en 26 conferenties heeft georganiseerd, ten opzichte van respectievelijk 146 en 24 in 2023; erkent dat de vernieuwing van de zittingsperiode in 2024 heeft geleid tot een vermindering van het aantal adviesaanvragen en bijgevolg van het aantal adviezen dat het Comité dat jaar heeft goedgekeurd; merkt op dat leden van het Comité in 2024 hebben deelgenomen aan 518 bijeenkomsten op hoog niveau, toppen en conferenties, tegenover 429 in 2023;</w:t>
            </w:r>
          </w:p>
        </w:tc>
        <w:tc>
          <w:tcPr>
            <w:tcW w:w="4876" w:type="dxa"/>
            <w:tcBorders>
              <w:top w:val="nil"/>
              <w:left w:val="nil"/>
              <w:bottom w:val="nil"/>
              <w:right w:val="nil"/>
            </w:tcBorders>
          </w:tcPr>
          <w:p>
            <w:pPr>
              <w:pStyle w:val="Normal6a"/>
            </w:pPr>
            <w:r>
              <w:t>13.</w:t>
            </w:r>
            <w:r>
              <w:tab/>
            </w:r>
            <w:r>
              <w:t xml:space="preserve">stelt vast dat het Comité zijn taak uitvoert door middel van adviezen over wetgevingsvoorstellen van de Commissie (verwijzingen), initiatiefadviezen waarin de instellingen van de Unie worden opgeroepen actie te ondernemen, en verkennende adviezen, die input leveren voor de werkzaamheden van de Commissie ten behoeve van haar geplande initiatieven, en dat de standpunten van het Comité kunnen worden verwoord in resoluties of kunnen worden opgenomen in evaluatie- en informatieverslagen; prijst het Comité voor zijn prestaties in 2024 in het kader van het bijstaan van het Parlement, de Raad en de Commissie in de wetgevingscyclus; merkt in dit verband op dat het Comité in 2024 142 adviezen en verslagen heeft aangenomen, een daling ten opzichte van 2023 (213), en 148 hoorzittingen en 26 conferenties heeft georganiseerd, ten opzichte van respectievelijk 146 en 24 in 2023; erkent dat de vernieuwing van de zittingsperiode in 2024 heeft geleid tot een vermindering van het aantal adviesaanvragen en bijgevolg van het aantal adviezen dat het Comité dat jaar heeft goedgekeurd; merkt op dat leden van het Comité in 2024 hebben deelgenomen aan 518 bijeenkomsten op hoog niveau, toppen en conferenties, tegenover 429 in 2023; </w:t>
            </w:r>
            <w:r>
              <w:rPr>
                <w:b/>
                <w:i/>
              </w:rPr>
              <w:t>is er voorstander van om prioriteit te geven aan initiatieven die de economische groei, het concurrentievermogen en de strategische autonomie van de EU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spoort het Comité aan zich te blijven inspannen om zijn werkzaamheden toe te spitsen op terreinen waar het duidelijke, meetbare en beleidsrelevante bijdragen kan leveren, en prestatie- en impactgerichte indicatoren verder te ontwikkelen die niet louter uitgaan van activiteiten, maar juist de resultaten en relevantie voor burgers weerspiegelen;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 ingenomen met de toezegging van het Comité in het follow-upverslag om adviezen op te stellen over arbeidsrechten, sociale inclusie en mensenrechtenschendingen, en om de reikwijdte van zijn evaluaties met betrekking tot wetgeving en programma’s van de Unie uit te breiden, mits er voldoende middelen beschikbaar zijn;</w:t>
            </w:r>
          </w:p>
        </w:tc>
        <w:tc>
          <w:tcPr>
            <w:tcW w:w="4876" w:type="dxa"/>
            <w:tcBorders>
              <w:top w:val="nil"/>
              <w:left w:val="nil"/>
              <w:bottom w:val="nil"/>
              <w:right w:val="nil"/>
            </w:tcBorders>
          </w:tcPr>
          <w:p>
            <w:pPr>
              <w:pStyle w:val="Normal6a"/>
            </w:pPr>
            <w:r>
              <w:t>14.</w:t>
            </w:r>
            <w:r>
              <w:tab/>
            </w:r>
            <w:r>
              <w:t>is ingenomen met de toezegging van het Comité in het follow-upverslag om adviezen op te stellen over arbeidsrechten, sociale inclusie en mensenrechtenschendingen, en om de reikwijdte van zijn evaluaties met betrekking tot wetgeving en programma’s van de Unie uit te breiden, mits er voldoende middelen beschikbaar zijn</w:t>
            </w:r>
            <w:r>
              <w:rPr>
                <w:b/>
                <w:i/>
              </w:rPr>
              <w:t>, waarbij ook het maatschappelijk middenveld breed wordt vertegenwoordigd</w:t>
            </w:r>
            <w:r>
              <w:t xml:space="preserve">; </w:t>
            </w:r>
            <w:r>
              <w:rPr>
                <w:b/>
                <w:i/>
              </w:rPr>
              <w:t>spoort het Comité aan het toepassingsgebied van zijn adviezen uit te breiden tot andere Uniewetgeving op het gebied van collectieve goederen;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waardeert de maatregelen die het Comité in 2024 heeft genomen om de zichtbaarheid en impact van zijn werkzaamheden in de politieke en wetgevingscyclus te verbeteren; is ingenomen met de officiële lancering, na een proefproject, van een nieuwe vorm van adviezen die zijn opgesteld naar aanleiding van verplichte adviesaanvragen door het Parlement, de Raad of de Commissie; merkt op dat het nieuwe formaat de gebruiksvriendelijkheid en bruikbaarheid voor de wetgever vergroot en tegelijkertijd de prioritering van de werkzaamheden van het Comité verbetert; merkt voorts op dat het Comité, dankzij een versterkte follow-up van geselecteerde adviezen door middel van een checklist en richtsnoeren, verwacht dat deze relevant zullen blijven na de goedkeuring ervan en zullen worden meegenomen in meerlagige wetgevingsprocessen; is voorts ingenomen met de integratie van de adviezen van het Comité in de “Law Tracker” van de Unie (EULT) vanaf april 2024, waardoor zij nu als referenties in wetgevingsdossiers worden opgenomen; stelt met tevredenheid vast dat het Comité ook een intern plan heeft aangenomen om beter te anticiperen op de prioriteiten van de Unie, de interinstitutionele coördinatie te verbeteren, de verspreiding en follow-up te versterken en de impact systematischer te meten;</w:t>
            </w:r>
          </w:p>
        </w:tc>
        <w:tc>
          <w:tcPr>
            <w:tcW w:w="4876" w:type="dxa"/>
            <w:tcBorders>
              <w:top w:val="nil"/>
              <w:left w:val="nil"/>
              <w:bottom w:val="nil"/>
              <w:right w:val="nil"/>
            </w:tcBorders>
          </w:tcPr>
          <w:p>
            <w:pPr>
              <w:pStyle w:val="Normal6a"/>
            </w:pPr>
            <w:r>
              <w:rPr>
                <w:i/>
              </w:rPr>
              <w:t>(Niet van toepassing op de Nederlandse versie)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waardeert de maatregelen die het Comité in 2024 heeft genomen om de toegankelijkheid, duidelijkheid en bruikbaarheid van zijn adviezen voor de instellingen van de Unie te verbeteren;</w:t>
            </w:r>
            <w:r>
              <w:t xml:space="preserve"> </w:t>
            </w:r>
            <w:r>
              <w:rPr>
                <w:b/>
                <w:i/>
              </w:rPr>
              <w:t>onderstreept dat dergelijke maatregelen bedoeld zijn om wetgevers beter in staat te stellen weloverwogen besluiten te nemen;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stelt met tevredenheid vast dat het Comité verschillende vlaggenschipinitiatieven heeft bevorderd die de participatie, inclusie en beleidsimpact in de hele Unie hebben versterkt; merkt op dat het Comité vanaf september 2024 het voortouw heeft genomen bij de toepassing van de EU-jeugdtest in zijn adviesproces, waarbij een netwerk van 73 jongerenorganisaties en ongeveer veertig adviezen door jongeren werden getest; merkt voorts op dat het Comité zijn samenwerking met kandidaat-lidstaten heeft uitgebreid via het initiatief inzake leden uit kandidaat-lidstaten, waardoor 146 vertegenwoordigers van het maatschappelijk middenveld rechtstreeks konden bijdragen aan de adviezen van het Comité door deel te nemen aan studiegroepen, afdelingsvergaderingen en zittingen (gehouden in oktober 2024); prijst het Comité voor het bevorderen van zijn Europese Blue Deal en het helpen plaatsen van waterweerbaarheid op de agenda van de Unie; benadrukt dat het Comité het Europees stakeholdersplatform voor de circulaire economie is blijven leiden en in 2024 de EU-prijzen voor de biologische sector mede heeft georganiseerd, waardoor de banden met actoren uit het maatschappelijk middenveld op het gebied van biologische landbouw zijn versterkt;</w:t>
            </w:r>
          </w:p>
        </w:tc>
        <w:tc>
          <w:tcPr>
            <w:tcW w:w="4876" w:type="dxa"/>
            <w:tcBorders>
              <w:top w:val="nil"/>
              <w:left w:val="nil"/>
              <w:bottom w:val="nil"/>
              <w:right w:val="nil"/>
            </w:tcBorders>
          </w:tcPr>
          <w:p>
            <w:pPr>
              <w:pStyle w:val="Normal6a"/>
            </w:pPr>
            <w:r>
              <w:t>16.</w:t>
            </w:r>
            <w:r>
              <w:tab/>
            </w:r>
            <w:r>
              <w:t xml:space="preserve">stelt met tevredenheid vast dat het Comité verschillende vlaggenschipinitiatieven heeft bevorderd die de participatie, inclusie en beleidsimpact in de hele Unie hebben versterkt; merkt op dat het Comité vanaf september 2024 het voortouw heeft genomen bij de toepassing van de EU-jeugdtest in zijn adviesproces, waarbij een netwerk van 73 jongerenorganisaties en ongeveer veertig adviezen door jongeren werden getest; merkt voorts op dat het Comité zijn samenwerking met kandidaat-lidstaten heeft uitgebreid via het initiatief inzake leden uit kandidaat-lidstaten, waardoor 146 vertegenwoordigers van het maatschappelijk middenveld rechtstreeks konden bijdragen aan de adviezen van het Comité door deel te nemen aan studiegroepen, afdelingsvergaderingen en zittingen (gehouden in oktober 2024); </w:t>
            </w:r>
            <w:r>
              <w:rPr>
                <w:b/>
                <w:i/>
              </w:rPr>
              <w:t>is ingenomen met dit initiatief als een positieve bijdrage aan de inclusieve dialoog en de voorbereiding op toekomstige uitbreidingen;</w:t>
            </w:r>
            <w:r>
              <w:t xml:space="preserve"> prijst het Comité voor het bevorderen van zijn Europese Blue Deal en het helpen plaatsen van waterweerbaarheid op de agenda van de Unie; benadrukt dat het Comité het Europees stakeholdersplatform voor de circulaire economie is blijven leiden en in 2024 de EU-prijzen voor de biologische sector mede heeft georganiseerd, waardoor de banden met actoren uit het maatschappelijk middenveld op het gebied van biologische landbouw zijn versterkt; </w:t>
            </w:r>
            <w:r>
              <w:rPr>
                <w:b/>
                <w:i/>
              </w:rPr>
              <w:t>moedigt verdere afstemming op de strategische beleidsdoelstellingen van de EU en meetbare resultaten 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stelt met tevredenheid vast dat het Comité verschillende vlaggenschipinitiatieven heeft bevorderd die de participatie, inclusie en beleidsimpact in de hele Unie hebben versterkt; merkt op dat het Comité vanaf september 2024 het voortouw heeft genomen bij de toepassing van de EU-jeugdtest in zijn adviesproces, waarbij een netwerk van 73 jongerenorganisaties en ongeveer veertig adviezen door jongeren werden getest; merkt voorts op dat het Comité zijn samenwerking met kandidaat-lidstaten heeft uitgebreid via het initiatief inzake leden uit kandidaat-lidstaten, waardoor 146 vertegenwoordigers van het maatschappelijk middenveld rechtstreeks konden bijdragen aan de adviezen van het Comité door deel te nemen aan studiegroepen, afdelingsvergaderingen en zittingen (gehouden in oktober 2024); prijst het Comité voor het bevorderen van zijn Europese Blue Deal en het helpen plaatsen van waterweerbaarheid op de agenda van de Unie; benadrukt dat het Comité het Europees stakeholdersplatform voor de circulaire economie is blijven leiden en in 2024 de EU-prijzen voor de biologische sector mede heeft georganiseerd, waardoor de banden met actoren uit het maatschappelijk middenveld op het gebied van biologische landbouw zijn versterkt;</w:t>
            </w:r>
          </w:p>
        </w:tc>
        <w:tc>
          <w:tcPr>
            <w:tcW w:w="4876" w:type="dxa"/>
            <w:tcBorders>
              <w:top w:val="nil"/>
              <w:left w:val="nil"/>
              <w:bottom w:val="nil"/>
              <w:right w:val="nil"/>
            </w:tcBorders>
          </w:tcPr>
          <w:p>
            <w:pPr>
              <w:pStyle w:val="Normal6a"/>
            </w:pPr>
            <w:r>
              <w:t>16.</w:t>
            </w:r>
            <w:r>
              <w:tab/>
            </w:r>
            <w:r>
              <w:t>stelt met tevredenheid vast dat het Comité verschillende vlaggenschipinitiatieven heeft bevorderd die de participatie, inclusie en beleidsimpact in de hele Unie hebben versterkt; merkt op dat het Comité vanaf september 2024 het voortouw heeft genomen bij de toepassing van de EU-jeugdtest in zijn adviesproces, waarbij een netwerk van 73 jongerenorganisaties en ongeveer veertig adviezen door jongeren werden getest</w:t>
            </w:r>
            <w:r>
              <w:rPr>
                <w:b/>
                <w:i/>
              </w:rPr>
              <w:t>;</w:t>
            </w:r>
            <w:r>
              <w:t xml:space="preserve"> </w:t>
            </w:r>
            <w:r>
              <w:rPr>
                <w:b/>
                <w:i/>
              </w:rPr>
              <w:t>is ingenomen met en staat achter de initiatieven van het Comité om de deelname van jongeren aan het beleidsvormingsproces te bevorderen</w:t>
            </w:r>
            <w:r>
              <w:t>; merkt voorts op dat het Comité zijn samenwerking met kandidaat-lidstaten heeft uitgebreid via het initiatief inzake leden uit kandidaat-lidstaten, waardoor 146 vertegenwoordigers van het maatschappelijk middenveld rechtstreeks konden bijdragen aan de adviezen van het Comité door deel te nemen aan studiegroepen, afdelingsvergaderingen en zittingen (gehouden in oktober 2024); prijst het Comité voor het bevorderen van zijn Europese Blue Deal en het helpen plaatsen van waterweerbaarheid op de agenda van de Unie; benadrukt dat het Comité het Europees stakeholdersplatform voor de circulaire economie is blijven leiden en in 2024 de EU-prijzen voor de biologische sector mede heeft georganiseerd, waardoor de banden met actoren uit het maatschappelijk middenveld op het gebied van biologische landbouw zijn versterkt;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neemt met tevredenheid kennis van de maatregelen die het Comité in 2024 heeft genomen om de administratieve lasten te verminderen en processen te stroomlijnen; is in dit verband ingenomen met de lancering van een nieuw, efficiënter programma voor de registratie van bezoekers, het gebruik van collaboratieve software door een aantal van zijn personeelsleden, de interdepartementale werkgroep die het gebruik van de methode voor het beheer van bedrijfsprocessen van het Comité regelt, de vereenvoudiging van het verificatieproces met betrekking tot uitbestede vertalingen, de samenvoeging van verschillende taaleenheden en de vereenvoudiging van de communicatieregels van het Comité; stelt </w:t>
            </w:r>
            <w:r>
              <w:rPr>
                <w:b/>
                <w:i/>
              </w:rPr>
              <w:t>met belangstelling</w:t>
            </w:r>
            <w:r>
              <w:t xml:space="preserve"> vast dat het Comité, om middelen te besparen, een proeffase uitvoert met behulp van artificiële intelligentie (AI) om het Directoraat Vertaling om te vormen; verzoekt het Comité de kwijtingsautoriteit op de hoogte te houden van de vorderingen op dit gebied;</w:t>
            </w:r>
          </w:p>
        </w:tc>
        <w:tc>
          <w:tcPr>
            <w:tcW w:w="4876" w:type="dxa"/>
            <w:tcBorders>
              <w:top w:val="nil"/>
              <w:left w:val="nil"/>
              <w:bottom w:val="nil"/>
              <w:right w:val="nil"/>
            </w:tcBorders>
          </w:tcPr>
          <w:p>
            <w:pPr>
              <w:pStyle w:val="Normal6a"/>
            </w:pPr>
            <w:r>
              <w:t>17.</w:t>
            </w:r>
            <w:r>
              <w:tab/>
            </w:r>
            <w:r>
              <w:t xml:space="preserve">neemt met tevredenheid kennis van de maatregelen die het Comité in 2024 heeft genomen om de administratieve lasten te verminderen en processen te stroomlijnen; is in dit verband ingenomen met de lancering van een nieuw, efficiënter programma voor de registratie van bezoekers, het gebruik van collaboratieve software door een aantal van zijn personeelsleden, de interdepartementale werkgroep die het gebruik van de methode voor het beheer van bedrijfsprocessen van het Comité regelt, de vereenvoudiging van het verificatieproces met betrekking tot uitbestede vertalingen, de samenvoeging van verschillende taaleenheden en de vereenvoudiging van de communicatieregels van het Comité; stelt vast dat het Comité, om middelen te besparen, een proeffase uitvoert met behulp van artificiële intelligentie (AI) om het Directoraat Vertaling om te vormen; </w:t>
            </w:r>
            <w:r>
              <w:rPr>
                <w:b/>
                <w:i/>
              </w:rPr>
              <w:t>benadrukt dat het gebruik van AI onder menselijk toezicht moet plaatsvinden;</w:t>
            </w:r>
            <w:r>
              <w:t xml:space="preserve"> verzoekt het Comité de kwijtingsautoriteit op de hoogte te houden van de vorderingen op dit gebied;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verzoekt het Comité meer werk te maken van de ontwikkeling van een alomvattende strategie voor digitale transformatie, waaronder ook artificiële intelligentie, automatisering, interoperabiliteit en datagovernance vallen, en die gepaard gaat met een ethisch kader dat een veilig, verantwoord en transparant gebruik van opkomende technologieën waarborgt;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neemt met belangstelling kennis van de inspanningen van het Comité om zijn effectgerelateerde werkzaamheden strategischer te prioriteren en impactbeheer centraal te stellen in de besluitvorming; neemt in dit verband kennis van de organisatie van drie strategische seminars op hoog niveau met politiek leiderschap in 2024 en 2025, waarin prognoseoefeningen de kern vormden van de ontwikkeling van criteria voor het prioriteren of minder prioriteren van initiatieven en voor het waarborgen van thematische afstemming op de langetermijnbehoeften van het maatschappelijk middenveld, naast andere doelstellingen; merkt op dat deze prioritering zal worden geïntegreerd in de kernactiviteiten van het Comité, aangezien deze jaarlijks zal worden uitgevoerd en om de tweeënhalf jaar zal worden aangevuld met een evaluatie van alle organen, activiteiten en belangrijke evenementen van het Comité;</w:t>
            </w:r>
          </w:p>
        </w:tc>
        <w:tc>
          <w:tcPr>
            <w:tcW w:w="4876" w:type="dxa"/>
            <w:tcBorders>
              <w:top w:val="nil"/>
              <w:left w:val="nil"/>
              <w:bottom w:val="nil"/>
              <w:right w:val="nil"/>
            </w:tcBorders>
          </w:tcPr>
          <w:p>
            <w:pPr>
              <w:pStyle w:val="Normal6a"/>
            </w:pPr>
            <w:r>
              <w:rPr>
                <w:i/>
              </w:rPr>
              <w:t>(Niet van toepassing op de Nederlandse versie)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merkt met betrekking tot de nalevingsoefening van 2024 op dat er sprake is van een hoge mate van naleving, met een gemiddeld nalevingspercentage van 85 % (87 % in 2023); betreurt dat de doeltreffendheid van het internecontrolesysteem is gedaald van 78 % naar 66 %; wijst in dit verband op een kloof tussen formele naleving en praktische doeltreffendheid bij dagelijkse activiteiten; </w:t>
            </w:r>
            <w:r>
              <w:rPr>
                <w:b/>
                <w:i/>
              </w:rPr>
              <w:t>merkt op dat er inspanningen moeten worden geleverd op het gebied van</w:t>
            </w:r>
            <w:r>
              <w:t xml:space="preserve"> onder meer </w:t>
            </w:r>
            <w:r>
              <w:rPr>
                <w:b/>
                <w:i/>
              </w:rPr>
              <w:t>interne communicatie, betrokkenheid bij</w:t>
            </w:r>
            <w:r>
              <w:t xml:space="preserve"> risicobewustzijn </w:t>
            </w:r>
            <w:r>
              <w:rPr>
                <w:b/>
                <w:i/>
              </w:rPr>
              <w:t>en</w:t>
            </w:r>
            <w:r>
              <w:t xml:space="preserve"> modernisering van document- en informatiebeheersystemen; merkt voorts op dat het Comité in 2024 een herzien besluit heeft vastgesteld voor de vereenvoudiging van 23 soorten verificaties, dat vanaf januari 2025 van toepassing is; is ingenomen met het feit dat uit de vragenlijst blijkt dat de controles achteraf die reeds met betrekking tot deze verificaties zijn uitgevoerd, hebben bevestigd dat de vereenvoudiging geen extra risico’s met zich meebracht;</w:t>
            </w:r>
          </w:p>
        </w:tc>
        <w:tc>
          <w:tcPr>
            <w:tcW w:w="4876" w:type="dxa"/>
            <w:tcBorders>
              <w:top w:val="nil"/>
              <w:left w:val="nil"/>
              <w:bottom w:val="nil"/>
              <w:right w:val="nil"/>
            </w:tcBorders>
          </w:tcPr>
          <w:p>
            <w:pPr>
              <w:pStyle w:val="Normal6a"/>
            </w:pPr>
            <w:r>
              <w:t>19.</w:t>
            </w:r>
            <w:r>
              <w:tab/>
            </w:r>
            <w:r>
              <w:t xml:space="preserve">merkt met betrekking tot de nalevingsoefening van 2024 op dat er sprake is van een hoge mate van naleving, met een gemiddeld nalevingspercentage van 85 % (87 % in 2023); betreurt dat de doeltreffendheid van het internecontrolesysteem is gedaald van 78 % naar 66 %; wijst in dit verband op een kloof tussen formele naleving en praktische doeltreffendheid bij dagelijkse activiteiten; </w:t>
            </w:r>
            <w:r>
              <w:rPr>
                <w:b/>
                <w:i/>
              </w:rPr>
              <w:t>verzoekt het Comité de structurele oorzaken van de verminderde doeltreffendheid van interne controles aan te pakken, met name door</w:t>
            </w:r>
            <w:r>
              <w:t xml:space="preserve"> onder meer </w:t>
            </w:r>
            <w:r>
              <w:rPr>
                <w:b/>
                <w:i/>
              </w:rPr>
              <w:t>de cultuur van</w:t>
            </w:r>
            <w:r>
              <w:t xml:space="preserve"> risicobewustzijn </w:t>
            </w:r>
            <w:r>
              <w:rPr>
                <w:b/>
                <w:i/>
              </w:rPr>
              <w:t>te versterken, de interne communicatiekanalen te verbeteren en de</w:t>
            </w:r>
            <w:r>
              <w:t xml:space="preserve"> modernisering van document- en informatiebeheersystemen </w:t>
            </w:r>
            <w:r>
              <w:rPr>
                <w:b/>
                <w:i/>
              </w:rPr>
              <w:t>te versnellen</w:t>
            </w:r>
            <w:r>
              <w:t>; merkt voorts op dat het Comité in 2024 een herzien besluit heeft vastgesteld voor de vereenvoudiging van 23 soorten verificaties, dat vanaf januari 2025 van toepassing is; is ingenomen met het feit dat uit de vragenlijst blijkt dat de controles achteraf die reeds met betrekking tot deze verificaties zijn uitgevoerd, hebben bevestigd dat de vereenvoudiging geen extra risico’s met zich meebracht;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merkt met betrekking tot de nalevingsoefening van 2024 op dat er sprake is van een hoge mate van naleving, met een gemiddeld nalevingspercentage van 85 % (87 % in 2023); betreurt dat de doeltreffendheid van het internecontrolesysteem is gedaald van 78 % naar 66 %; wijst in dit verband op een kloof tussen formele naleving en praktische doeltreffendheid bij dagelijkse activiteiten; merkt op dat er inspanningen moeten worden geleverd op het gebied van onder meer interne communicatie, betrokkenheid bij risicobewustzijn en modernisering van document- en informatiebeheersystemen; merkt voorts op dat het Comité in 2024 een herzien besluit heeft vastgesteld voor de vereenvoudiging van 23 soorten verificaties, dat vanaf januari 2025 van toepassing is; is ingenomen met het feit dat uit de vragenlijst blijkt dat de controles achteraf die reeds met betrekking tot deze verificaties zijn uitgevoerd, hebben bevestigd dat de vereenvoudiging geen extra risico’s met zich meebracht;</w:t>
            </w:r>
          </w:p>
        </w:tc>
        <w:tc>
          <w:tcPr>
            <w:tcW w:w="4876" w:type="dxa"/>
            <w:tcBorders>
              <w:top w:val="nil"/>
              <w:left w:val="nil"/>
              <w:bottom w:val="nil"/>
              <w:right w:val="nil"/>
            </w:tcBorders>
          </w:tcPr>
          <w:p>
            <w:pPr>
              <w:pStyle w:val="Normal6a"/>
            </w:pPr>
            <w:r>
              <w:rPr>
                <w:i/>
              </w:rPr>
              <w:t>(Niet van toepassing op de Nederlandse versie)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neemt kennis van het jaarlijkse activiteitenverslag van het Comité voor 2024 (het “verslag van het Comité”), waarin staat dat er in 2024 vijf nieuwe controles zijn uitgevoerd met betrekking tot de reisduur- en afstandsvergoeding, risicobeheer, adviesaanvragen, kernactiviteiten en prestatie-indicatoren en reiskosten, die hebben geleid tot in totaal 14 aanbevelingen; wijst met name op de bevindingen van de interne auditor met betrekking tot reisduur- en afstandsvergoedingen, zoals een gebrek aan een duidelijke definitie van “gewone verblijfplaats” en het ontbreken van vereisten voor bewijsstukken; merkt voorts op dat 13 van de aanbevelingen eind januari 2025 nog openstonden; merkt voorts op dat zeven aanbevelingen van eerdere controles nog openstaan, met name inzake ethiek en integriteit, betalingstermijnen, toestemming voor vergaderingen, afgevaardigden van de adviescommissie Industriële Reconversie (CCMI) en de strategische cyclus; is in dit verband ingenomen met het feit dat het Comité nieuwe regels heeft vastgesteld inzake toestemming voor vergaderingen en vergoedingen; verzoekt het Comité de kwijtingsautoriteit op de hoogte te blijven houden van de vooruitgang die wordt geboekt bij de uitvoering van alle lopende aanbevelingen;</w:t>
            </w:r>
          </w:p>
        </w:tc>
        <w:tc>
          <w:tcPr>
            <w:tcW w:w="4876" w:type="dxa"/>
            <w:tcBorders>
              <w:top w:val="nil"/>
              <w:left w:val="nil"/>
              <w:bottom w:val="nil"/>
              <w:right w:val="nil"/>
            </w:tcBorders>
          </w:tcPr>
          <w:p>
            <w:pPr>
              <w:pStyle w:val="Normal6a"/>
            </w:pPr>
            <w:r>
              <w:t>20.</w:t>
            </w:r>
            <w:r>
              <w:tab/>
            </w:r>
            <w:r>
              <w:t xml:space="preserve">neemt kennis van het jaarlijkse activiteitenverslag van het Comité voor 2024 (het “verslag van het Comité”), waarin staat dat er in 2024 vijf nieuwe controles zijn uitgevoerd met betrekking tot de reisduur- en afstandsvergoeding, risicobeheer, adviesaanvragen, kernactiviteiten en prestatie-indicatoren en reiskosten, die hebben geleid tot in totaal 14 aanbevelingen; wijst met name op de bevindingen van de interne auditor met betrekking tot reisduur- en afstandsvergoedingen, zoals een gebrek aan een duidelijke definitie van “gewone verblijfplaats” en het ontbreken van vereisten voor bewijsstukken; merkt voorts op dat 13 van de aanbevelingen eind januari 2025 nog openstonden; merkt voorts op dat zeven aanbevelingen van eerdere controles nog openstaan, met name inzake ethiek en integriteit, betalingstermijnen, toestemming voor vergaderingen, afgevaardigden van de adviescommissie Industriële Reconversie (CCMI) en de strategische cyclus; is in dit verband ingenomen met het feit dat het Comité nieuwe regels heeft vastgesteld inzake toestemming voor vergaderingen en vergoedingen; verzoekt het Comité </w:t>
            </w:r>
            <w:r>
              <w:rPr>
                <w:b/>
                <w:i/>
              </w:rPr>
              <w:t>ervoor te zorgen dat alle openstaande auditaanbevelingen, vooral met betrekking tot vergoedingen, ethiek en integriteit, snel worden afgesloten, en</w:t>
            </w:r>
            <w:r>
              <w:t xml:space="preserve"> de kwijtingsautoriteit op de hoogte te blijven houden van de vooruitgang die wordt geboekt bij de uitvoering van alle lopende aanbevelingen;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benadrukt dat aanbestedingen belangrijk zijn als instrument om vooruitgang te boeken met beleidsdoelstellingen, waaronder sociale en milieudoelstellingen;</w:t>
            </w:r>
            <w:r>
              <w:t xml:space="preserve"> </w:t>
            </w:r>
            <w:r>
              <w:rPr>
                <w:b/>
                <w:i/>
              </w:rPr>
              <w:t>verzoekt het Comité meer strategische criteria inzake maatschappelijke verantwoording en milieuduurzaamheid op te nemen in zijn aanbestedingsprocedures;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merkt op dat het Comité eind 2024 713 personeelsleden in dienst had, tegenover 707 in 2023; stelt voorts vast dat in 2024 48 arbeidscontractanten en 144 tijdelijke functionarissen (waarvan er 42 in 2024 werden aangeworven) in dienst van het Comité waren (tegenover 49 arbeidscontractanten en 130 tijdelijke functionarissen in 2023); wijst op het belang van vaste contracten teneinde vaardigheden, continuïteit en een productieve werkomgeving in stand te houden; merkt bovendien op dat het Comité tien dienstverleners en 14 externe personeelsleden in dienst had die intra muros werkten, met uitzondering van personeel op het gebied van catering, onderhoud, beveiliging en veiligheid; neemt er kennis van dat de bezettingsgraad 96 % bedroeg (95,50 % in 2023) en dat het personeelsverloop 5,60 % bedroeg in 2024 (een daling ten opzichte van 7 % in 2023);</w:t>
            </w:r>
          </w:p>
        </w:tc>
        <w:tc>
          <w:tcPr>
            <w:tcW w:w="4876" w:type="dxa"/>
            <w:tcBorders>
              <w:top w:val="nil"/>
              <w:left w:val="nil"/>
              <w:bottom w:val="nil"/>
              <w:right w:val="nil"/>
            </w:tcBorders>
          </w:tcPr>
          <w:p>
            <w:pPr>
              <w:pStyle w:val="Normal6a"/>
            </w:pPr>
            <w:r>
              <w:t>21.</w:t>
            </w:r>
            <w:r>
              <w:tab/>
            </w:r>
            <w:r>
              <w:t xml:space="preserve">merkt op dat het Comité eind 2024 713 personeelsleden in dienst had, tegenover 707 in 2023; stelt voorts vast dat in 2024 48 arbeidscontractanten en 144 tijdelijke functionarissen (waarvan er 42 in 2024 werden aangeworven) in dienst van het Comité waren (tegenover 49 arbeidscontractanten en 130 tijdelijke functionarissen in 2023); wijst op het belang van vaste contracten teneinde vaardigheden, continuïteit en een productieve </w:t>
            </w:r>
            <w:r>
              <w:rPr>
                <w:b/>
                <w:i/>
              </w:rPr>
              <w:t>en stabiele</w:t>
            </w:r>
            <w:r>
              <w:t xml:space="preserve"> werkomgeving in stand te houden</w:t>
            </w:r>
            <w:r>
              <w:rPr>
                <w:b/>
                <w:i/>
              </w:rPr>
              <w:t>, en waarschuwt voor een buitensporige afhankelijkheid van externe dienstverleners</w:t>
            </w:r>
            <w:r>
              <w:t>; merkt bovendien op dat het Comité tien dienstverleners en 14 externe personeelsleden in dienst had die intra muros werkten, met uitzondering van personeel op het gebied van catering, onderhoud, beveiliging en veiligheid; neemt er kennis van dat de bezettingsgraad 96 % bedroeg (95,50 % in 2023) en dat het personeelsverloop 5,60 % bedroeg in 2024 (een daling ten opzichte van 7 % in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merkt op dat er in 2024 bij het Comité personeel in dienst was uit alle EU-landen, waarbij sommige nationaliteiten oververtegenwoordigd waren; merkt op dat 62,70 % van het personeel vrouw was en 37,30 % man; maakt uit het follow-upverslag op dat vrouwen 52 % van de leidinggevende functies bekleden, waardoor het Comité in dit opzicht een koploper is; betreurt echter dat het percentage vrouwen in hogere leidinggevende functies in 2024 nog steeds laag was, waarbij momenteel slechts twee van de zeven hogere managementfuncties door vrouwen worden bekleed, hetzelfde percentage als in 2023; </w:t>
            </w:r>
            <w:r>
              <w:rPr>
                <w:b/>
                <w:i/>
              </w:rPr>
              <w:t>erkent dat het lage personeelsverloop dat inherent is aan de omvang van het Comité een van de redenen is voor het lage percentage vrouwen in deze functies;</w:t>
            </w:r>
            <w:r>
              <w:t xml:space="preserve"> </w:t>
            </w:r>
            <w:r>
              <w:rPr>
                <w:b/>
                <w:i/>
              </w:rPr>
              <w:t>is ingenomen met de toezegging van het Comité om het tot aanstelling bevoegd gezag bewuster te maken van deze kwestie, om genderevenwichtige benoemingen te bevorderen en om via het vrouwenforum en het managementforum gerichte acties te ondernemen ter ondersteuning van de ontwikkeling van leiderschap en loopbaanontwikkeling voor vrouwen in het middenkader;</w:t>
            </w:r>
          </w:p>
        </w:tc>
        <w:tc>
          <w:tcPr>
            <w:tcW w:w="4876" w:type="dxa"/>
            <w:tcBorders>
              <w:top w:val="nil"/>
              <w:left w:val="nil"/>
              <w:bottom w:val="nil"/>
              <w:right w:val="nil"/>
            </w:tcBorders>
          </w:tcPr>
          <w:p>
            <w:pPr>
              <w:pStyle w:val="Normal6a"/>
            </w:pPr>
            <w:r>
              <w:t>24.</w:t>
            </w:r>
            <w:r>
              <w:tab/>
            </w:r>
            <w:r>
              <w:t>merkt op dat er in 2024 bij het Comité personeel in dienst was uit alle EU-landen, waarbij sommige nationaliteiten oververtegenwoordigd waren; merkt op dat 62,70 % van het personeel vrouw was en 37,30 % man; maakt uit het follow-upverslag op dat vrouwen 52 % van de leidinggevende functies bekleden, waardoor het Comité in dit opzicht een koploper is; betreurt echter dat het percentage vrouwen in hogere leidinggevende functies in 2024 nog steeds laag was, waarbij momenteel slechts twee van de zeven hogere managementfuncties door vrouwen worden bekleed, hetzelfde percentage als in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merkt op dat er in 2024 bij het Comité personeel in dienst was uit alle EU-landen, waarbij sommige nationaliteiten oververtegenwoordigd waren; merkt op dat 62,70 % van het personeel vrouw was en 37,30 % man; maakt uit het follow-upverslag op dat vrouwen 52 % van de leidinggevende functies bekleden, waardoor het Comité in dit opzicht een koploper is; betreurt echter dat het percentage vrouwen in hogere leidinggevende functies in 2024 nog steeds laag was, waarbij momenteel slechts twee van de zeven hogere managementfuncties door vrouwen worden bekleed, hetzelfde percentage als in 2023; erkent dat het lage personeelsverloop dat inherent is aan de omvang van het Comité een van de redenen is voor het lage percentage vrouwen in deze functies; is ingenomen met de toezegging van het Comité om het tot aanstelling bevoegd gezag bewuster te maken van deze kwestie, om genderevenwichtige benoemingen te bevorderen en om via het vrouwenforum en het managementforum gerichte acties te ondernemen ter ondersteuning van de ontwikkeling van leiderschap en loopbaanontwikkeling voor vrouwen in het middenkader;</w:t>
            </w:r>
          </w:p>
        </w:tc>
        <w:tc>
          <w:tcPr>
            <w:tcW w:w="4876" w:type="dxa"/>
            <w:tcBorders>
              <w:top w:val="nil"/>
              <w:left w:val="nil"/>
              <w:bottom w:val="nil"/>
              <w:right w:val="nil"/>
            </w:tcBorders>
          </w:tcPr>
          <w:p>
            <w:pPr>
              <w:pStyle w:val="Normal6a"/>
            </w:pPr>
            <w:r>
              <w:t>24.</w:t>
            </w:r>
            <w:r>
              <w:tab/>
            </w:r>
            <w:r>
              <w:t xml:space="preserve">merkt op dat er in 2024 bij het Comité personeel in dienst was uit alle EU-landen, waarbij sommige nationaliteiten oververtegenwoordigd waren; merkt op dat 62,70 % van het personeel vrouw was en 37,30 % man; maakt uit het follow-upverslag op dat vrouwen 52 % van de leidinggevende functies bekleden, waardoor het Comité in dit opzicht een koploper is; betreurt echter dat het percentage vrouwen in hogere leidinggevende functies in 2024 nog steeds laag was, waarbij momenteel slechts twee van de zeven hogere managementfuncties door vrouwen worden bekleed, hetzelfde percentage als in 2023; erkent </w:t>
            </w:r>
            <w:r>
              <w:rPr>
                <w:b/>
                <w:i/>
              </w:rPr>
              <w:t>de vooruitgang die onlangs is geboekt bij het inbedden van gendergelijkheid en diversiteit in de strategische prioriteiten om een inclusieve en respectvolle cultuur op de werkplek te bevorderen;</w:t>
            </w:r>
            <w:r>
              <w:t xml:space="preserve"> </w:t>
            </w:r>
            <w:r>
              <w:rPr>
                <w:b/>
                <w:i/>
              </w:rPr>
              <w:t>is ingenomen met de uitvoering van de strategie en het actieplan voor diversiteit en inclusie, naast gerichte programma’s voor mentorschap en de ontwikkeling van leiderschap voor vrouwen en ondervertegenwoordigde groepen;</w:t>
            </w:r>
            <w:r>
              <w:t xml:space="preserve"> </w:t>
            </w:r>
            <w:r>
              <w:rPr>
                <w:b/>
                <w:i/>
              </w:rPr>
              <w:t>erkent</w:t>
            </w:r>
            <w:r>
              <w:t xml:space="preserve"> dat het lage personeelsverloop dat inherent is aan de omvang van het Comité een van de redenen is voor het lage percentage vrouwen in deze functies; is ingenomen met de toezegging van het Comité om het tot aanstelling bevoegd gezag bewuster te maken van deze kwestie, om genderevenwichtige benoemingen te bevorderen en om via het vrouwenforum en het managementforum gerichte acties te ondernemen ter ondersteuning van de ontwikkeling van leiderschap en loopbaanontwikkeling voor vrouwen in het middenkader;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merkt op dat er in 2024 bij het Comité personeel in dienst was uit alle EU-landen, waarbij sommige nationaliteiten oververtegenwoordigd waren; merkt op dat 62,70 % van het personeel vrouw was en 37,30 % man; maakt uit het follow-upverslag op dat vrouwen 52 % van de leidinggevende functies bekleden, waardoor het Comité in dit opzicht een koploper is; betreurt echter dat het percentage vrouwen in hogere leidinggevende functies in 2024 nog steeds laag was, waarbij momenteel slechts twee van de zeven hogere managementfuncties door vrouwen worden bekleed, hetzelfde percentage als in 2023; erkent dat het lage personeelsverloop dat inherent is aan de omvang van het Comité een van de redenen is voor het lage percentage vrouwen in deze functies; is ingenomen met de toezegging van het Comité om het tot aanstelling bevoegd gezag bewuster te maken van deze kwestie, om genderevenwichtige benoemingen te bevorderen en om via het vrouwenforum en het managementforum gerichte acties te ondernemen ter ondersteuning van de ontwikkeling van leiderschap en loopbaanontwikkeling voor vrouwen in het middenkader;</w:t>
            </w:r>
          </w:p>
        </w:tc>
        <w:tc>
          <w:tcPr>
            <w:tcW w:w="4876" w:type="dxa"/>
            <w:tcBorders>
              <w:top w:val="nil"/>
              <w:left w:val="nil"/>
              <w:bottom w:val="nil"/>
              <w:right w:val="nil"/>
            </w:tcBorders>
          </w:tcPr>
          <w:p>
            <w:pPr>
              <w:pStyle w:val="Normal6a"/>
            </w:pPr>
            <w:r>
              <w:t>24.</w:t>
            </w:r>
            <w:r>
              <w:tab/>
            </w:r>
            <w:r>
              <w:t xml:space="preserve">merkt op dat er in 2024 bij het Comité personeel in dienst was uit alle EU-landen, waarbij sommige nationaliteiten oververtegenwoordigd waren; merkt op dat 62,70 % van het personeel vrouw was en 37,30 % man; maakt </w:t>
            </w:r>
            <w:r>
              <w:rPr>
                <w:b/>
                <w:i/>
              </w:rPr>
              <w:t>met tevredenheid</w:t>
            </w:r>
            <w:r>
              <w:t xml:space="preserve"> uit het follow-upverslag op dat vrouwen 52 % van de leidinggevende functies bekleden, waardoor het Comité in dit opzicht een koploper is</w:t>
            </w:r>
            <w:r>
              <w:rPr>
                <w:b/>
                <w:i/>
              </w:rPr>
              <w:t>;</w:t>
            </w:r>
            <w:r>
              <w:t xml:space="preserve"> </w:t>
            </w:r>
            <w:r>
              <w:rPr>
                <w:b/>
                <w:i/>
              </w:rPr>
              <w:t>herhaalt verheugd te zijn dat er in januari 2024 een vrouw tot secretaris-generaal is benoemd, wat een positieve stap is op weg naar genderevenwicht</w:t>
            </w:r>
            <w:r>
              <w:t>; betreurt echter dat het percentage vrouwen in hogere leidinggevende functies in 2024 nog steeds laag was, waarbij momenteel slechts twee van de zeven hogere managementfuncties door vrouwen worden bekleed, hetzelfde percentage als in 2023; erkent dat het lage personeelsverloop dat inherent is aan de omvang van het Comité een van de redenen is voor het lage percentage vrouwen in deze functies; is ingenomen met de toezegging van het Comité om het tot aanstelling bevoegd gezag bewuster te maken van deze kwestie, om genderevenwichtige benoemingen te bevorderen en om via het vrouwenforum en het managementforum gerichte acties te ondernemen ter ondersteuning van de ontwikkeling van leiderschap en loopbaanontwikkeling voor vrouwen in het middenkader;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herinnert aan het initiatief van het Comité om een nieuwe aanpak in te voeren voor strategische personeelsplanning en personeelstoewijzing, waarbij gebruik wordt gemaakt van gegevensverzameling over de bij het personeel aanwezige vaardigheden en actief luisteren in de hele organisatie, en waarbij de politieke organen van het Comité zich zullen buigen over de strategische prioriteiten; maakt uit het follow-upverslag op dat dit nieuwe type planning van start zal gaan door middel van een proefproject in een beperkt aantal diensten die op basis van strategische prioriteiten worden geselecteerd; verzoekt het Comité de kwijtingsautoriteit op de hoogte te houden van de voortgang en de verdere ontwikkelingen;</w:t>
            </w:r>
          </w:p>
        </w:tc>
        <w:tc>
          <w:tcPr>
            <w:tcW w:w="4876" w:type="dxa"/>
            <w:tcBorders>
              <w:top w:val="nil"/>
              <w:left w:val="nil"/>
              <w:bottom w:val="nil"/>
              <w:right w:val="nil"/>
            </w:tcBorders>
          </w:tcPr>
          <w:p>
            <w:pPr>
              <w:pStyle w:val="Normal6a"/>
            </w:pPr>
            <w:r>
              <w:t>25.</w:t>
            </w:r>
            <w:r>
              <w:tab/>
            </w:r>
            <w:r>
              <w:t xml:space="preserve">herinnert aan het initiatief van het Comité om een nieuwe aanpak in te voeren voor strategische personeelsplanning en personeelstoewijzing, waarbij gebruik wordt gemaakt van gegevensverzameling over de bij het personeel aanwezige vaardigheden en actief luisteren in de hele organisatie, en waarbij de politieke organen van het Comité zich zullen buigen over de strategische prioriteiten; maakt uit het follow-upverslag op dat dit nieuwe type planning van start zal gaan door middel van een proefproject in een beperkt aantal diensten die op basis van strategische prioriteiten worden geselecteerd; verzoekt het Comité de kwijtingsautoriteit op de hoogte te houden van de voortgang en de verdere ontwikkelingen; </w:t>
            </w:r>
            <w:r>
              <w:rPr>
                <w:b/>
                <w:i/>
              </w:rPr>
              <w:t>wijst op het belang van strategische personeelsplanning om de toewijzing van middelen te optimaliseren en ervoor te zorgen dat die middelen worden afgestemd op prioriteiten op hoog niveau;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is ingenomen met de inspanningen van het Comité om een gezonde werkomgeving voor zijn personeel te creëren; prijst met name de aandacht die het Comité besteedt aan de geestelijke en lichamelijke gezondheid van het personeel en de inspanningen die zijn geleverd om gezondheidsgerelateerde kwesties onder de aandacht te brengen; neemt kennis van de maatregelen van het Comité op het gebied van het beheer van ziekteverlof, zoals deeltijdwerk op medische gronden en langer werken op afstand, om ervoor te zorgen dat personeel dat langdurig afwezig is wegens ziekte tijdig weer aan het werk gaat; stelt vast dat het totale aantal geregistreerde ziekteverlofdagen met 7,50 % is gedaald van 10 552 dagen in 2023 tot 9 763 in 2024, en dat het verzuimpercentage is gedaald van 4,08 % in 2023 tot 3,75 % in 2023 (het laagste percentage sinds 2021); betreurt dat het Comité opnieuw geen gegevens kan verstrekken over gevallen van burn-out; merkt op dat een van de argumenten van het Comité is dat het personeel niet verplicht is om vooraf medische gegevens te delen, dat burn-out geen erkende medische diagnose is en dat de redenen voor burn-out mogelijk geen verband houden met het werk, en dat er sprake is van medisch geheim; merkt op dat het Comité geanonimiseerde statistische gegevens verzamelt over gevallen van geestelijke gezondheid, maar dat op basis van de beschikbare gegevens geen onderscheid kan worden gemaakt tussen werkgerelateerde burn-out en andere kwesties die geen verband houden met werk; benadrukt niettemin dat burn-out ook zonder medische gegevens kan worden gemeten, terwijl er werkgerelateerde instrumenten voor de beoordeling van burn-out zijn die kunnen worden gebruikt en het Europees Agentschap voor de veiligheid en de gezondheid op het werk (EU-OSHA) anonieme vragenlijsten ondersteunt om werkgerelateerde stress- en burn-outfactoren afzonderlijk van niet-werkgerelateerde geestelijke gezondheidsproblemen te meten; dringt er bij het Comité op aan ook de Europese Toezichthouder voor gegevensbescherming (EDPS) te raadplegen over het verzamelen van burn-outgegevens met behulp van medische of niet-medische hulpmiddelen, en de kwijtingsautoriteit op de hoogte te houden van de follow-up;</w:t>
            </w:r>
          </w:p>
        </w:tc>
        <w:tc>
          <w:tcPr>
            <w:tcW w:w="4876" w:type="dxa"/>
            <w:tcBorders>
              <w:top w:val="nil"/>
              <w:left w:val="nil"/>
              <w:bottom w:val="nil"/>
              <w:right w:val="nil"/>
            </w:tcBorders>
          </w:tcPr>
          <w:p>
            <w:pPr>
              <w:pStyle w:val="Normal6a"/>
            </w:pPr>
            <w:r>
              <w:t>26.</w:t>
            </w:r>
            <w:r>
              <w:tab/>
            </w:r>
            <w:r>
              <w:t xml:space="preserve">is ingenomen met de inspanningen van het Comité om een gezonde werkomgeving voor zijn personeel te creëren; prijst met name de aandacht die het Comité besteedt aan de geestelijke en lichamelijke gezondheid van het personeel en de inspanningen die zijn geleverd om gezondheidsgerelateerde kwesties onder de aandacht te brengen; neemt kennis van de maatregelen van het Comité op het gebied van het beheer van ziekteverlof, zoals deeltijdwerk op medische gronden en langer werken op afstand, om ervoor te zorgen dat personeel dat langdurig afwezig is wegens ziekte tijdig weer aan het werk gaat; stelt vast dat het totale aantal geregistreerde ziekteverlofdagen met 7,50 % is gedaald van 10 552 dagen in 2023 tot 9 763 in 2024, en dat het verzuimpercentage is gedaald van 4,08 % in 2023 tot 3,75 % in 2023 (het laagste percentage sinds 2021); betreurt dat het Comité opnieuw geen gegevens kan verstrekken over gevallen van burn-out; merkt op dat een van de argumenten van het Comité is dat het personeel niet verplicht is om vooraf medische gegevens te delen, dat burn-out geen erkende medische diagnose is en dat de redenen voor burn-out mogelijk geen verband houden met het werk, en dat er sprake is van medisch geheim; merkt op dat het Comité geanonimiseerde statistische gegevens verzamelt over gevallen van geestelijke gezondheid, maar dat op basis van de beschikbare gegevens geen onderscheid kan worden gemaakt tussen werkgerelateerde burn-out en andere kwesties die geen verband houden met werk; benadrukt niettemin dat burn-out ook zonder medische gegevens kan worden gemeten, terwijl er werkgerelateerde instrumenten voor de beoordeling van burn-out zijn die kunnen worden gebruikt en het Europees Agentschap voor de veiligheid en de gezondheid op het werk (EU-OSHA) anonieme vragenlijsten ondersteunt om werkgerelateerde stress- en burn-outfactoren afzonderlijk van niet-werkgerelateerde geestelijke gezondheidsproblemen te meten; dringt er bij het Comité op aan ook de Europese Toezichthouder voor gegevensbescherming (EDPS) te raadplegen over het verzamelen van burn-outgegevens met behulp van medische of niet-medische hulpmiddelen, </w:t>
            </w:r>
            <w:r>
              <w:rPr>
                <w:b/>
                <w:i/>
              </w:rPr>
              <w:t>concrete en beslissende stappen te ondernemen om te zorgen voor de systematische publicatie van gegevens over gevallen van burn-out</w:t>
            </w:r>
            <w:r>
              <w:t xml:space="preserve"> en de kwijtingsautoriteit op de hoogte te houden van de follow-up;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is ingenomen met de sterke en gestructureerde sociale dialoog in verband met organisatorische veranderingsprocessen in heel 2024;</w:t>
            </w:r>
            <w:r>
              <w:t xml:space="preserve"> </w:t>
            </w:r>
            <w:r>
              <w:rPr>
                <w:b/>
                <w:i/>
              </w:rPr>
              <w:t>spoort het Comité aan personeelsvertegenwoordigers systematisch te blijven betrekken bij hervormingen in verband met onder meer digitalisering, interne reorganisaties en nieuwe werkmethoden en hun betrokkenheid verder uit te bouwen;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maakt uit de vragenlijst op dat er in 2024 twee gevallen van vermeende intimidatie zijn gemeld, die in 2025 zijn onderzocht en afgesloten, terwijl er in één geval geen intimidatie werd vastgesteld en in het andere geval formele verontschuldigingen werden aanvaard voor ongepast gedrag van de betrokkene; merkt voorts op dat er een besluit is genomen over een andere zaak, die vóór 2024 is ingediend, over intimidatie in verband met een tuchtprocedure; merkt voorts op dat er in 2024 geen melding is gemaakt van seksuele intimidatie;</w:t>
            </w:r>
          </w:p>
        </w:tc>
        <w:tc>
          <w:tcPr>
            <w:tcW w:w="4876" w:type="dxa"/>
            <w:tcBorders>
              <w:top w:val="nil"/>
              <w:left w:val="nil"/>
              <w:bottom w:val="nil"/>
              <w:right w:val="nil"/>
            </w:tcBorders>
          </w:tcPr>
          <w:p>
            <w:pPr>
              <w:pStyle w:val="Normal6a"/>
            </w:pPr>
            <w:r>
              <w:t>31.</w:t>
            </w:r>
            <w:r>
              <w:tab/>
            </w:r>
            <w:r>
              <w:t xml:space="preserve">maakt uit de vragenlijst op dat er in 2024 twee gevallen van vermeende intimidatie zijn gemeld, die in 2025 zijn onderzocht en afgesloten, terwijl er in één geval geen intimidatie werd vastgesteld en in het andere geval formele verontschuldigingen werden aanvaard voor ongepast gedrag van de betrokkene; merkt voorts op dat er een besluit is genomen over een andere zaak, die vóór 2024 is ingediend, over intimidatie in verband met een tuchtprocedure; merkt voorts op dat er in 2024 geen melding is gemaakt van seksuele intimidatie; </w:t>
            </w:r>
            <w:r>
              <w:rPr>
                <w:b/>
                <w:i/>
              </w:rPr>
              <w:t>wijst nogmaals op de noodzaak van een nultolerantiebeleid ten aanzien van intimidatie om het welzijn van het personeel te beschermen, en herinnert eraan dat deze verplichting voor elke werkgever geldt;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merkt op dat het Comité een voortrekkersrol speelt op het gebied van transparantie, aangezien het, naast de oorspronkelijke ondertekenaars, het eerste orgaan is dat zich heeft aangesloten bij het transparantieregister van de Unie; is ingenomen met de transparantiemaatregelen die het Comité heeft genomen, waaronder de aanbeveling aan de leden van het Comité om alleen geregistreerde belanghebbenden te ontmoeten, de verplichting voor zijn leden om hun vergaderingen online te publiceren en de mogelijkheid voor de rapporteurs van het Comité om, onder meer via een in 2025 gestart proefproject, een “wetgevingsvoetafdruk” aan hun adviezen te hechten; merkt op dat de adviezen van het Comité nu zichtbaar zijn als mijlpalen in wetgevingsdossiers in de EULT; neemt voorts met tevredenheid kennis uit de vragenlijst van de acties van het Comité op het gebied van transparantie met betrekking tot zijn belangrijkste administratieve activiteiten op gebieden als financiën, aanbestedingen, HR en toegang tot documenten;</w:t>
            </w:r>
          </w:p>
        </w:tc>
        <w:tc>
          <w:tcPr>
            <w:tcW w:w="4876" w:type="dxa"/>
            <w:tcBorders>
              <w:top w:val="nil"/>
              <w:left w:val="nil"/>
              <w:bottom w:val="nil"/>
              <w:right w:val="nil"/>
            </w:tcBorders>
          </w:tcPr>
          <w:p>
            <w:pPr>
              <w:pStyle w:val="Normal6a"/>
            </w:pPr>
            <w:r>
              <w:t>33.</w:t>
            </w:r>
            <w:r>
              <w:tab/>
            </w:r>
            <w:r>
              <w:t xml:space="preserve">merkt </w:t>
            </w:r>
            <w:r>
              <w:rPr>
                <w:b/>
                <w:i/>
              </w:rPr>
              <w:t>met tevredenheid</w:t>
            </w:r>
            <w:r>
              <w:t xml:space="preserve"> op dat het Comité een voortrekkersrol speelt op het gebied van transparantie, aangezien het, naast de oorspronkelijke ondertekenaars, het eerste orgaan is dat zich heeft aangesloten bij het transparantieregister van de Unie; is ingenomen met de transparantiemaatregelen die het Comité heeft genomen, waaronder de aanbeveling aan de leden van het Comité om alleen geregistreerde belanghebbenden te ontmoeten, de verplichting voor zijn leden om hun vergaderingen online te publiceren en de mogelijkheid voor de rapporteurs van het Comité om, onder meer via een in 2025 gestart proefproject, een “wetgevingsvoetafdruk” aan hun adviezen te hechten; merkt op dat de adviezen van het Comité nu zichtbaar zijn als mijlpalen in wetgevingsdossiers in de EULT; neemt voorts met tevredenheid kennis uit de vragenlijst van de acties van het Comité op het gebied van transparantie met betrekking tot zijn belangrijkste administratieve activiteiten op gebieden als financiën, aanbestedingen, HR en toegang tot documenten;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maakt uit de vragenlijst op dat het Comité een fraudebestrijdingsstrategie heeft opgesteld die is onderworpen aan een overleg- en vaststellingsproces tussen de diensten; verzoekt het Comité de kwijtingsautoriteit op de hoogte te houden van de follow-up daarvan; is ingenomen met het feit dat het Comité twee door OLAF-personeel georganiseerde opleidingssessies over fraudebewustzijn en -preventie bij overheidsopdrachten heeft georganiseerd, die werden bijgewoond door 21 deelnemers, en één bewustmakingssessie die samen met het EOM werd georganiseerd om het personeel van het Comité vertrouwd te maken met het mandaat van het EOM en richtsnoeren te verstrekken over de wijze waarop potentiële gevallen aan het EOM kunnen worden gemeld;</w:t>
            </w:r>
          </w:p>
        </w:tc>
        <w:tc>
          <w:tcPr>
            <w:tcW w:w="4876" w:type="dxa"/>
            <w:tcBorders>
              <w:top w:val="nil"/>
              <w:left w:val="nil"/>
              <w:bottom w:val="nil"/>
              <w:right w:val="nil"/>
            </w:tcBorders>
          </w:tcPr>
          <w:p>
            <w:pPr>
              <w:pStyle w:val="Normal6a"/>
            </w:pPr>
            <w:r>
              <w:t>36.</w:t>
            </w:r>
            <w:r>
              <w:tab/>
            </w:r>
            <w:r>
              <w:t>maakt uit de vragenlijst op dat het Comité een fraudebestrijdingsstrategie heeft opgesteld die is onderworpen aan een overleg- en vaststellingsproces tussen de diensten</w:t>
            </w:r>
            <w:r>
              <w:rPr>
                <w:b/>
                <w:i/>
              </w:rPr>
              <w:t>;</w:t>
            </w:r>
            <w:r>
              <w:t xml:space="preserve"> </w:t>
            </w:r>
            <w:r>
              <w:rPr>
                <w:b/>
                <w:i/>
              </w:rPr>
              <w:t>is ingenomen met het begeleidende actieplan waarin twaalf concrete maatregelen worden genoemd die van het vierde kwartaal van 2025 tot en met het vierde kwartaal van 2027 moeten worden uitgevoerd, waaronder bewustmakingscampagnes, opleidingsbeleid, verbeteringen van methoden voor risicobeheersing en interne controles, de integratie van geautomatiseerde instrumenten voor de opsporing van fraude, herziene samenwerkingsovereenkomsten met OLAF en het EOM en geactualiseerde regels voor interne onderzoeken</w:t>
            </w:r>
            <w:r>
              <w:t>; verzoekt het Comité de kwijtingsautoriteit op de hoogte te houden van de follow-up daarvan; is ingenomen met het feit dat het Comité twee door OLAF-personeel georganiseerde opleidingssessies over fraudebewustzijn en -preventie bij overheidsopdrachten heeft georganiseerd, die werden bijgewoond door 21 deelnemers, en één bewustmakingssessie die samen met het EOM werd georganiseerd om het personeel van het Comité vertrouwd te maken met het mandaat van het EOM en richtsnoeren te verstrekken over de wijze waarop potentiële gevallen aan het EOM kunnen worden gemeld;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maakt uit de vragenlijst op dat het Comité een fraudebestrijdingsstrategie heeft opgesteld die is onderworpen aan een overleg- en vaststellingsproces tussen de diensten; verzoekt het Comité de kwijtingsautoriteit op de hoogte te houden van de follow-up daarvan; is ingenomen met het feit dat het Comité twee door OLAF-personeel georganiseerde opleidingssessies over fraudebewustzijn en -preventie bij overheidsopdrachten heeft georganiseerd, die werden bijgewoond door 21 deelnemers, en één bewustmakingssessie die samen met het EOM werd georganiseerd om het personeel van het Comité vertrouwd te maken met het mandaat van het EOM en richtsnoeren te verstrekken over de wijze waarop potentiële gevallen aan het EOM kunnen worden gemeld;</w:t>
            </w:r>
          </w:p>
        </w:tc>
        <w:tc>
          <w:tcPr>
            <w:tcW w:w="4876" w:type="dxa"/>
            <w:tcBorders>
              <w:top w:val="nil"/>
              <w:left w:val="nil"/>
              <w:bottom w:val="nil"/>
              <w:right w:val="nil"/>
            </w:tcBorders>
          </w:tcPr>
          <w:p>
            <w:pPr>
              <w:pStyle w:val="Normal6a"/>
            </w:pPr>
            <w:r>
              <w:t>36.</w:t>
            </w:r>
            <w:r>
              <w:tab/>
            </w:r>
            <w:r>
              <w:t xml:space="preserve">maakt </w:t>
            </w:r>
            <w:r>
              <w:rPr>
                <w:b/>
                <w:i/>
              </w:rPr>
              <w:t>met tevredenheid</w:t>
            </w:r>
            <w:r>
              <w:t xml:space="preserve"> uit de vragenlijst op dat het Comité </w:t>
            </w:r>
            <w:r>
              <w:rPr>
                <w:b/>
                <w:i/>
              </w:rPr>
              <w:t>naar aanleiding van eerdere oproepen van het Parlement daartoe</w:t>
            </w:r>
            <w:r>
              <w:t xml:space="preserve"> een fraudebestrijdingsstrategie heeft opgesteld die is onderworpen aan een overleg- en vaststellingsproces tussen de diensten</w:t>
            </w:r>
            <w:r>
              <w:rPr>
                <w:b/>
                <w:i/>
              </w:rPr>
              <w:t>;</w:t>
            </w:r>
            <w:r>
              <w:t xml:space="preserve"> </w:t>
            </w:r>
            <w:r>
              <w:rPr>
                <w:b/>
                <w:i/>
              </w:rPr>
              <w:t>dringt er bij het Comité op aan prioriteit te geven aan de vaststelling en uitvoering van deze strategie, met inbegrip van risicobeoordeling, preventie, opsporing en follow-upmaatregelen</w:t>
            </w:r>
            <w:r>
              <w:t>; verzoekt het Comité de kwijtingsautoriteit op de hoogte te houden van de follow-up daarvan; is ingenomen met het feit dat het Comité twee door OLAF-personeel georganiseerde opleidingssessies over fraudebewustzijn en -preventie bij overheidsopdrachten heeft georganiseerd, die werden bijgewoond door 21 deelnemers, en één bewustmakingssessie die samen met het EOM werd georganiseerd om het personeel van het Comité vertrouwd te maken met het mandaat van het EOM en richtsnoeren te verstrekken over de wijze waarop potentiële gevallen aan het EOM kunnen worden gemeld;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maakt uit de vragenlijst op dat het Comité een fraudebestrijdingsstrategie heeft opgesteld die is onderworpen aan een overleg- en vaststellingsproces tussen de diensten; verzoekt het Comité de kwijtingsautoriteit op de hoogte te houden van de follow-up daarvan; is ingenomen met het feit dat het Comité twee door OLAF-personeel georganiseerde opleidingssessies over fraudebewustzijn en -preventie bij overheidsopdrachten heeft georganiseerd, die werden bijgewoond door 21 deelnemers, en één bewustmakingssessie die samen met het EOM werd georganiseerd om het personeel van het Comité vertrouwd te maken met het mandaat van het EOM en richtsnoeren te verstrekken over de wijze waarop potentiële gevallen aan het EOM kunnen worden gemeld;</w:t>
            </w:r>
          </w:p>
        </w:tc>
        <w:tc>
          <w:tcPr>
            <w:tcW w:w="4876" w:type="dxa"/>
            <w:tcBorders>
              <w:top w:val="nil"/>
              <w:left w:val="nil"/>
              <w:bottom w:val="nil"/>
              <w:right w:val="nil"/>
            </w:tcBorders>
          </w:tcPr>
          <w:p>
            <w:pPr>
              <w:pStyle w:val="Normal6a"/>
            </w:pPr>
            <w:r>
              <w:t>36.</w:t>
            </w:r>
            <w:r>
              <w:tab/>
            </w:r>
            <w:r>
              <w:t>maakt uit de vragenlijst op dat het Comité een fraudebestrijdingsstrategie heeft opgesteld die is onderworpen aan een overleg- en vaststellingsproces tussen de diensten; verzoekt het Comité de kwijtingsautoriteit op de hoogte te houden van de follow-up daarvan; is ingenomen met het feit dat het Comité twee door OLAF-personeel georganiseerde opleidingssessies over fraudebewustzijn en -preventie bij overheidsopdrachten heeft georganiseerd, die werden bijgewoond door 21 deelnemers, en één bewustmakingssessie die samen met het EOM werd georganiseerd om het personeel van het Comité vertrouwd te maken met het mandaat van het EOM en richtsnoeren te verstrekken over de wijze waarop potentiële gevallen aan het EOM kunnen worden gemeld</w:t>
            </w:r>
            <w:r>
              <w:rPr>
                <w:b/>
                <w:i/>
              </w:rPr>
              <w:t>, en beveelt de voortzetting van deze praktijk aan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merkt op dat in 2022 de gecombineerde IT-begroting van het Comité en het CvdR 13 700 000 EUR bedroeg, tegenover 12 700 000 EUR in 2023, d.w.z. een stijging van 7,87 %, waarbij in 2024 760 000 EUR uit deze begroting (ofwel 6 %) werd uitgegeven aan cyberbeveiliging; maakt uit de vragenlijst op dat de financiering van IT-projecten met 109 000 EUR is gestegen ten opzichte van 2023, hetgeen neerkomt op een stijging van 4 %, en voornamelijk het M365 Workplace-programma en het programma voor de transformatie van cyberbeveiliging ondersteunt; merkt voorts op dat de uitgaven voor uitrusting met 117 000 EUR zijn gestegen (d.w.z. een stijging van 20 %), voornamelijk als gevolg van prijsaanpassingen en strategische investeringen in </w:t>
            </w:r>
            <w:r>
              <w:rPr>
                <w:b/>
                <w:i/>
              </w:rPr>
              <w:t>telefonie‑infrastructuur</w:t>
            </w:r>
            <w:r>
              <w:t>; erkent de bezorgdheid van het Comité dat het structureel ondergefinancierd is op het gebied van digitalisering en cyberbeveiliging; betreurt in dit verband dat de begrotingsautoriteit in de begroting van de Unie voor 2026 niet het bedrag van 1 176 000 EUR heeft opgenomen dat het Comité (en het CvdR) nodig hebben om een belangrijke verbetering van de cyberbeveiliging uit te voeren, waardoor de in Verordening (EU, Euratom) 2023/2841</w:t>
            </w:r>
            <w:r>
              <w:rPr>
                <w:vertAlign w:val="superscript"/>
              </w:rPr>
              <w:t>1</w:t>
            </w:r>
            <w:r>
              <w:t>bedoelde doelstelling om ongeveer 10 % van zijn totale IT-uitgaven aan cyberbeveiliging te besteden, niet haalbaar is;</w:t>
            </w:r>
          </w:p>
        </w:tc>
        <w:tc>
          <w:tcPr>
            <w:tcW w:w="4876" w:type="dxa"/>
            <w:tcBorders>
              <w:top w:val="nil"/>
              <w:left w:val="nil"/>
              <w:bottom w:val="nil"/>
              <w:right w:val="nil"/>
            </w:tcBorders>
          </w:tcPr>
          <w:p>
            <w:pPr>
              <w:pStyle w:val="Normal6a"/>
            </w:pPr>
            <w:r>
              <w:t>37.</w:t>
            </w:r>
            <w:r>
              <w:tab/>
            </w:r>
            <w:r>
              <w:t xml:space="preserve">merkt op dat in 2022 de gecombineerde IT-begroting van het Comité en het CvdR 13 700 000 EUR bedroeg, tegenover 12 700 000 EUR in 2023, d.w.z. een stijging van 7,87 %, waarbij in 2024 760 000 EUR uit deze begroting (ofwel 6 %) werd uitgegeven aan cyberbeveiliging; maakt uit de vragenlijst op dat de financiering van IT-projecten met 109 000 EUR is gestegen ten opzichte van 2023, hetgeen neerkomt op een stijging van 4 %, en voornamelijk het M365 Workplace-programma en het programma voor de transformatie van cyberbeveiliging ondersteunt; merkt voorts op dat de uitgaven voor uitrusting met 117 000 EUR zijn gestegen (d.w.z. een stijging van 20 %), voornamelijk als gevolg van prijsaanpassingen en strategische investeringen in </w:t>
            </w:r>
            <w:r>
              <w:rPr>
                <w:b/>
                <w:i/>
              </w:rPr>
              <w:t>telefonie-infrastructuur</w:t>
            </w:r>
            <w:r>
              <w:t xml:space="preserve">; erkent de bezorgdheid van het Comité dat het structureel ondergefinancierd is op het gebied van digitalisering en cyberbeveiliging </w:t>
            </w:r>
            <w:r>
              <w:rPr>
                <w:b/>
                <w:i/>
              </w:rPr>
              <w:t>en waarschuwt ervoor dat constant ontoereikende investeringen in cyberbeveiliging een structureel risico vormen voor de integriteit van de EU-instellingen</w:t>
            </w:r>
            <w:r>
              <w:t>; betreurt in dit verband dat de begrotingsautoriteit in de begroting van de Unie voor 2026 niet het bedrag van 1 176 000 EUR heeft opgenomen dat het Comité (en het CvdR) nodig hebben om een belangrijke verbetering van de cyberbeveiliging uit te voeren, waardoor de in Verordening (EU, Euratom) 2023/2841</w:t>
            </w:r>
            <w:r>
              <w:rPr>
                <w:vertAlign w:val="superscript"/>
              </w:rPr>
              <w:t>1</w:t>
            </w:r>
            <w:r>
              <w:t xml:space="preserve"> bedoelde doelstelling om ongeveer 10 % van zijn totale IT-uitgaven aan cyberbeveiliging te besteden, niet haalbaar 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Verordening (EU, Euratom) 2023/2841 van het Europees Parlement en de Raad van 13 december 2023 tot vaststelling van maatregelen voor een hoog gezamenlijk niveau van cyberbeveiliging in de instellingen, organen en instanties van de Unie (PB L, 2023/2841, 18.12.2023, ELI:http://data.europa.eu/eli/reg/2023/2841/oj).</w:t>
            </w:r>
          </w:p>
        </w:tc>
        <w:tc>
          <w:tcPr>
            <w:tcW w:w="4876" w:type="dxa"/>
            <w:tcBorders>
              <w:top w:val="nil"/>
              <w:left w:val="nil"/>
              <w:bottom w:val="nil"/>
              <w:right w:val="nil"/>
            </w:tcBorders>
          </w:tcPr>
          <w:p>
            <w:pPr>
              <w:pStyle w:val="Normal6a"/>
            </w:pPr>
            <w:r>
              <w:rPr>
                <w:vertAlign w:val="superscript"/>
              </w:rPr>
              <w:t>1</w:t>
            </w:r>
            <w:r>
              <w:t xml:space="preserve"> </w:t>
            </w:r>
            <w:r>
              <w:t>Verordening (EU, Euratom) 2023/2841 van het Europees Parlement en de Raad van 13 december 2023 tot vaststelling van maatregelen voor een hoog gezamenlijk niveau van cyberbeveiliging in de instellingen, organen en instanties van de Unie (PB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merkt op dat in </w:t>
            </w:r>
            <w:r>
              <w:rPr>
                <w:b/>
                <w:i/>
              </w:rPr>
              <w:t>2022</w:t>
            </w:r>
            <w:r>
              <w:t xml:space="preserve"> de gecombineerde IT-begroting van het Comité en het CvdR 13 700 000 EUR bedroeg, tegenover 12 700 000 EUR in 2023, d.w.z. een stijging van 7,87 %, waarbij in 2024 760 000 EUR uit deze begroting (ofwel 6 %) werd uitgegeven aan cyberbeveiliging; maakt uit de vragenlijst op dat de financiering van IT-projecten met 109 000 EUR is gestegen ten opzichte van 2023, hetgeen neerkomt op een stijging van 4 %, en voornamelijk het M365 Workplace-programma en het programma voor de transformatie van cyberbeveiliging ondersteunt; merkt voorts op dat de uitgaven voor uitrusting met 117 000 EUR zijn gestegen (d.w.z. een stijging van 20 %), voornamelijk als gevolg van prijsaanpassingen en strategische investeringen in </w:t>
            </w:r>
            <w:r>
              <w:rPr>
                <w:b/>
                <w:i/>
              </w:rPr>
              <w:t>telefonie‑infrastructuur</w:t>
            </w:r>
            <w:r>
              <w:t>; erkent de bezorgdheid van het Comité dat het structureel ondergefinancierd is op het gebied van digitalisering en cyberbeveiliging; betreurt in dit verband dat de begrotingsautoriteit in de begroting van de Unie voor 2026 niet het bedrag van 1 176 000 EUR heeft opgenomen dat het Comité (en het CvdR) nodig hebben om een belangrijke verbetering van de cyberbeveiliging uit te voeren, waardoor de in Verordening (EU, Euratom) 2023/2841</w:t>
            </w:r>
            <w:r>
              <w:rPr>
                <w:vertAlign w:val="superscript"/>
              </w:rPr>
              <w:t>1</w:t>
            </w:r>
            <w:r>
              <w:t>bedoelde doelstelling om ongeveer 10 % van zijn totale IT-uitgaven aan cyberbeveiliging te besteden, niet haalbaar is;</w:t>
            </w:r>
          </w:p>
        </w:tc>
        <w:tc>
          <w:tcPr>
            <w:tcW w:w="4876" w:type="dxa"/>
            <w:tcBorders>
              <w:top w:val="nil"/>
              <w:left w:val="nil"/>
              <w:bottom w:val="nil"/>
              <w:right w:val="nil"/>
            </w:tcBorders>
          </w:tcPr>
          <w:p>
            <w:pPr>
              <w:pStyle w:val="Normal6a"/>
            </w:pPr>
            <w:r>
              <w:t>37.</w:t>
            </w:r>
            <w:r>
              <w:tab/>
            </w:r>
            <w:r>
              <w:t>merkt op dat in </w:t>
            </w:r>
            <w:r>
              <w:rPr>
                <w:b/>
                <w:i/>
              </w:rPr>
              <w:t>2024</w:t>
            </w:r>
            <w:r>
              <w:t xml:space="preserve"> de gecombineerde IT-begroting van het Comité en het CvdR 13 700 000 EUR bedroeg, tegenover 12 700 000 EUR in 2023, d.w.z. een stijging van 7,87 %, waarbij in 2024 760 000 EUR uit deze begroting (ofwel 6 %) werd uitgegeven aan cyberbeveiliging; maakt uit de vragenlijst op dat de financiering van IT-projecten met 109 000 EUR is gestegen ten opzichte van 2023, hetgeen neerkomt op een stijging van 4 %, en voornamelijk het M365 Workplace-programma en het programma voor de transformatie van cyberbeveiliging ondersteunt; merkt voorts op dat de uitgaven voor uitrusting met 117 000 EUR zijn gestegen (d.w.z. een stijging van 20 %), voornamelijk als gevolg van prijsaanpassingen en strategische investeringen in </w:t>
            </w:r>
            <w:r>
              <w:rPr>
                <w:b/>
                <w:i/>
              </w:rPr>
              <w:t>telefonie-infrastructuur</w:t>
            </w:r>
            <w:r>
              <w:t>; erkent de bezorgdheid van het Comité dat het structureel ondergefinancierd is op het gebied van digitalisering en cyberbeveiliging; betreurt in dit verband dat de begrotingsautoriteit in de begroting van de Unie voor 2026 niet het bedrag van 1 176 000 EUR heeft opgenomen dat het Comité (en het CvdR) nodig hebben om een belangrijke verbetering van de cyberbeveiliging uit te voeren, waardoor de in Verordening (EU, Euratom) 2023/2841</w:t>
            </w:r>
            <w:r>
              <w:rPr>
                <w:vertAlign w:val="superscript"/>
              </w:rPr>
              <w:t>1</w:t>
            </w:r>
            <w:r>
              <w:t xml:space="preserve"> bedoelde doelstelling om ongeveer 10 % van zijn totale IT-uitgaven aan cyberbeveiliging te besteden, niet haalbaar is; </w:t>
            </w:r>
            <w:r>
              <w:rPr>
                <w:b/>
                <w:i/>
              </w:rPr>
              <w:t>dringt aan op toereikende middelen om het Comité en het CvdR in staat te stellen aanzienlijke verbeteringen in de cyberbeveiliging door te voeren;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Verordening (EU, Euratom) 2023/2841 van het Europees Parlement en de Raad van 13 december 2023 tot vaststelling van maatregelen voor een hoog gezamenlijk niveau van cyberbeveiliging in de instellingen, organen en instanties van de Unie (PB L, 2023/2841, 18.12.2023, ELI:http://data.europa.eu/eli/reg/2023/2841/oj).</w:t>
            </w:r>
          </w:p>
        </w:tc>
        <w:tc>
          <w:tcPr>
            <w:tcW w:w="4876" w:type="dxa"/>
            <w:tcBorders>
              <w:top w:val="nil"/>
              <w:left w:val="nil"/>
              <w:bottom w:val="nil"/>
              <w:right w:val="nil"/>
            </w:tcBorders>
          </w:tcPr>
          <w:p>
            <w:pPr>
              <w:pStyle w:val="Normal6a"/>
            </w:pPr>
            <w:r>
              <w:rPr>
                <w:vertAlign w:val="superscript"/>
              </w:rPr>
              <w:t>1</w:t>
            </w:r>
            <w:r>
              <w:t xml:space="preserve"> </w:t>
            </w:r>
            <w:r>
              <w:t>Verordening (EU, Euratom) 2023/2841 van het Europees Parlement en de Raad van 13 december 2023 tot vaststelling van maatregelen voor een hoog gezamenlijk niveau van cyberbeveiliging in de instellingen, organen en instanties van de Unie (PB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merkt op dat in </w:t>
            </w:r>
            <w:r>
              <w:rPr>
                <w:b/>
                <w:i/>
              </w:rPr>
              <w:t>2022</w:t>
            </w:r>
            <w:r>
              <w:t xml:space="preserve"> de gecombineerde IT-begroting van het Comité en het CvdR 13 700 000 EUR bedroeg, tegenover 12 700 000 EUR in 2023, d.w.z. een stijging van 7,87 %, waarbij in 2024 760 000 EUR uit deze begroting (ofwel 6 %) werd uitgegeven aan cyberbeveiliging; maakt uit de vragenlijst op dat de financiering van IT-projecten met 109 000 EUR is gestegen ten opzichte van 2023, hetgeen neerkomt op een stijging van 4 %, en voornamelijk het M365 Workplace-programma en het programma voor de transformatie van cyberbeveiliging ondersteunt; merkt voorts op dat de uitgaven voor uitrusting met 117 000 EUR zijn gestegen (d.w.z. een stijging van 20 %), voornamelijk als gevolg van prijsaanpassingen en strategische investeringen in </w:t>
            </w:r>
            <w:r>
              <w:rPr>
                <w:b/>
                <w:i/>
              </w:rPr>
              <w:t>telefonie‑infrastructuur</w:t>
            </w:r>
            <w:r>
              <w:t>; erkent de bezorgdheid van het Comité dat het structureel ondergefinancierd is op het gebied van digitalisering en cyberbeveiliging; betreurt in dit verband dat de begrotingsautoriteit in de begroting van de Unie voor 2026 niet het bedrag van 1 176 000 EUR heeft opgenomen dat het Comité (en het CvdR) nodig hebben om een belangrijke verbetering van de cyberbeveiliging uit te voeren, waardoor de in Verordening (EU, Euratom) 2023/2841</w:t>
            </w:r>
            <w:r>
              <w:rPr>
                <w:vertAlign w:val="superscript"/>
              </w:rPr>
              <w:t>1</w:t>
            </w:r>
            <w:r>
              <w:t>bedoelde doelstelling om ongeveer 10 % van zijn totale IT-uitgaven aan cyberbeveiliging te besteden, niet haalbaar is;</w:t>
            </w:r>
          </w:p>
        </w:tc>
        <w:tc>
          <w:tcPr>
            <w:tcW w:w="4876" w:type="dxa"/>
            <w:tcBorders>
              <w:top w:val="nil"/>
              <w:left w:val="nil"/>
              <w:bottom w:val="nil"/>
              <w:right w:val="nil"/>
            </w:tcBorders>
          </w:tcPr>
          <w:p>
            <w:pPr>
              <w:pStyle w:val="Normal6a"/>
            </w:pPr>
            <w:r>
              <w:t>37.</w:t>
            </w:r>
            <w:r>
              <w:tab/>
            </w:r>
            <w:r>
              <w:t>merkt op dat in </w:t>
            </w:r>
            <w:r>
              <w:rPr>
                <w:b/>
                <w:i/>
              </w:rPr>
              <w:t>2024</w:t>
            </w:r>
            <w:r>
              <w:t xml:space="preserve"> de gecombineerde IT-begroting van het Comité en het CvdR 13 700 000 EUR bedroeg, tegenover 12 700 000 EUR in 2023, d.w.z. een stijging van 7,87 %, waarbij in 2024 760 000 EUR uit deze begroting (ofwel 6 %) werd uitgegeven aan cyberbeveiliging; maakt uit de vragenlijst op dat de financiering van IT-projecten met 109 000 EUR is gestegen ten opzichte van 2023, hetgeen neerkomt op een stijging van 4 %, en voornamelijk het M365 Workplace-programma en het programma voor de transformatie van cyberbeveiliging ondersteunt; merkt voorts op dat de uitgaven voor uitrusting met 117 000 EUR zijn gestegen (d.w.z. een stijging van 20 %), voornamelijk als gevolg van prijsaanpassingen en strategische investeringen in </w:t>
            </w:r>
            <w:r>
              <w:rPr>
                <w:b/>
                <w:i/>
              </w:rPr>
              <w:t>telefonie-infrastructuur</w:t>
            </w:r>
            <w:r>
              <w:t>; erkent de bezorgdheid van het Comité dat het structureel ondergefinancierd is op het gebied van digitalisering en cyberbeveiliging; betreurt in dit verband dat de begrotingsautoriteit in de begroting van de Unie voor 2026 niet het bedrag van 1 176 000 EUR heeft opgenomen dat het Comité (en het CvdR) nodig hebben om een belangrijke verbetering van de cyberbeveiliging uit te voeren, waardoor de in Verordening (EU, Euratom) 2023/2841</w:t>
            </w:r>
            <w:r>
              <w:rPr>
                <w:vertAlign w:val="superscript"/>
              </w:rPr>
              <w:t>1</w:t>
            </w:r>
            <w:r>
              <w:t xml:space="preserve"> bedoelde doelstelling om ongeveer 10 % van zijn totale IT-uitgaven aan cyberbeveiliging te besteden, niet haalbaar 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Verordening (EU, Euratom) 2023/2841 van het Europees Parlement en de Raad van 13 december 2023 tot vaststelling van maatregelen voor een hoog gezamenlijk niveau van cyberbeveiliging in de instellingen, organen en instanties van de Unie (PB L, 2023/2841, 18.12.2023, ELI:http://data.europa.eu/eli/reg/2023/2841/oj).</w:t>
            </w:r>
          </w:p>
        </w:tc>
        <w:tc>
          <w:tcPr>
            <w:tcW w:w="4876" w:type="dxa"/>
            <w:tcBorders>
              <w:top w:val="nil"/>
              <w:left w:val="nil"/>
              <w:bottom w:val="nil"/>
              <w:right w:val="nil"/>
            </w:tcBorders>
          </w:tcPr>
          <w:p>
            <w:pPr>
              <w:pStyle w:val="Normal6a"/>
            </w:pPr>
            <w:r>
              <w:rPr>
                <w:vertAlign w:val="superscript"/>
              </w:rPr>
              <w:t>1</w:t>
            </w:r>
            <w:r>
              <w:t xml:space="preserve"> </w:t>
            </w:r>
            <w:r>
              <w:t>Verordening (EU, Euratom) 2023/2841 van het Europees Parlement en de Raad van 13 december 2023 tot vaststelling van maatregelen voor een hoog gezamenlijk niveau van cyberbeveiliging in de instellingen, organen en instanties van de Unie (PB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prijst de inspanningen van het Comité in 2024 om ervoor te zorgen dat het personeel de digitale vaardigheden verwerft die nodig zijn voor een steeds meer gedigitaliseerde werkomgeving en voor de uitvoering van gerichte voorlichtingscampagnes, het aanbieden van een uitgebreid opleidings- en coachingprogramma en het onderhouden van een geactualiseerde IT-kennisbasis met een door AI aangedreven interface ter ondersteuning van personeelsontwikkeling;</w:t>
            </w:r>
          </w:p>
        </w:tc>
        <w:tc>
          <w:tcPr>
            <w:tcW w:w="4876" w:type="dxa"/>
            <w:tcBorders>
              <w:top w:val="nil"/>
              <w:left w:val="nil"/>
              <w:bottom w:val="nil"/>
              <w:right w:val="nil"/>
            </w:tcBorders>
          </w:tcPr>
          <w:p>
            <w:pPr>
              <w:pStyle w:val="Normal6a"/>
            </w:pPr>
            <w:r>
              <w:t>43.</w:t>
            </w:r>
            <w:r>
              <w:tab/>
            </w:r>
            <w:r>
              <w:t xml:space="preserve">prijst de inspanningen van het Comité in 2024 om ervoor te zorgen dat het personeel de digitale vaardigheden verwerft die nodig zijn voor een steeds meer gedigitaliseerde werkomgeving en voor de uitvoering van gerichte voorlichtingscampagnes, het aanbieden van een uitgebreid opleidings- en coachingprogramma en het onderhouden van een geactualiseerde IT-kennisbasis met een door AI aangedreven interface ter ondersteuning van personeelsontwikkeling; </w:t>
            </w:r>
            <w:r>
              <w:rPr>
                <w:b/>
                <w:i/>
              </w:rPr>
              <w:t>is voorstander van opleidingen op het gebied van cyberbeveiliging en veilig, ethisch en efficiënt gebruik van artificiële intelligentie;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 xml:space="preserve">maakt uit de vragenlijst op dat het verbruik van elektriciteit (-19 %), gas (-13 %) </w:t>
            </w:r>
            <w:r>
              <w:rPr>
                <w:b/>
                <w:i/>
              </w:rPr>
              <w:t>en</w:t>
            </w:r>
            <w:r>
              <w:t xml:space="preserve"> water (-12 %) </w:t>
            </w:r>
            <w:r>
              <w:rPr>
                <w:b/>
                <w:i/>
              </w:rPr>
              <w:t>is</w:t>
            </w:r>
            <w:r>
              <w:t xml:space="preserve"> gedaald en dat het papierverbruik (+1 %) </w:t>
            </w:r>
            <w:r>
              <w:rPr>
                <w:b/>
                <w:i/>
              </w:rPr>
              <w:t>en de afvalvolumes (-12 %)</w:t>
            </w:r>
            <w:r>
              <w:t xml:space="preserve"> in 2024 </w:t>
            </w:r>
            <w:r>
              <w:rPr>
                <w:b/>
                <w:i/>
              </w:rPr>
              <w:t>zijn</w:t>
            </w:r>
            <w:r>
              <w:t xml:space="preserve"> toegenomen ten opzichte van 2023; is ingenomen met een verdere daling van de koolstofemissies per vte met 4,30 % (emissies als gevolg van reizen van leden van het Comité niet meegerekend) in diezelfde periode; neemt kennis van de maatregelen van het Comité om duurzamere reismogelijkheden onder zijn personeel en leden te bevorderen en van de lopende herziening van de gids voor dienstreizen van het personeel, waarin de milieuvoetafdruk als essentieel onderdeel zal worden opgenomen; is voorts ingenomen met de aandacht van het Comité voor afvalbeheer en recycling om een cultuur van afvalvermindering en hulpbronnenefficiëntie te bevorderen;</w:t>
            </w:r>
          </w:p>
        </w:tc>
        <w:tc>
          <w:tcPr>
            <w:tcW w:w="4876" w:type="dxa"/>
            <w:tcBorders>
              <w:top w:val="nil"/>
              <w:left w:val="nil"/>
              <w:bottom w:val="nil"/>
              <w:right w:val="nil"/>
            </w:tcBorders>
          </w:tcPr>
          <w:p>
            <w:pPr>
              <w:pStyle w:val="Normal6a"/>
            </w:pPr>
            <w:r>
              <w:t>49.</w:t>
            </w:r>
            <w:r>
              <w:tab/>
            </w:r>
            <w:r>
              <w:t>maakt uit de vragenlijst op dat het verbruik van elektriciteit (-19 %), gas (-13 %)</w:t>
            </w:r>
            <w:r>
              <w:rPr>
                <w:b/>
                <w:i/>
              </w:rPr>
              <w:t>,</w:t>
            </w:r>
            <w:r>
              <w:t xml:space="preserve"> water (-12 %) </w:t>
            </w:r>
            <w:r>
              <w:rPr>
                <w:b/>
                <w:i/>
              </w:rPr>
              <w:t>en de afvalvolumes (-12 %) zijn</w:t>
            </w:r>
            <w:r>
              <w:t xml:space="preserve"> gedaald en dat het papierverbruik (+1 %) in 2024 </w:t>
            </w:r>
            <w:r>
              <w:rPr>
                <w:b/>
                <w:i/>
              </w:rPr>
              <w:t>is</w:t>
            </w:r>
            <w:r>
              <w:t xml:space="preserve"> toegenomen ten opzichte van 2023; is ingenomen met een verdere daling van de koolstofemissies per vte met 4,30 % (emissies als gevolg van reizen van leden van het Comité niet meegerekend) in diezelfde periode; neemt kennis van de maatregelen van het Comité om duurzamere reismogelijkheden onder zijn personeel en leden te bevorderen en van de lopende herziening van de gids voor dienstreizen van het personeel, waarin de milieuvoetafdruk als essentieel onderdeel zal worden opgenomen; is voorts ingenomen met de aandacht van het Comité voor afvalbeheer en recycling om een cultuur van afvalvermindering en hulpbronnenefficiëntie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stelt met tevredenheid vast dat alle aanbestedingen van het Comité van meer dan 60 000 EUR en die van meer dan 25 000 EUR die samen met het CvdR worden beheerd, duurzaamheidsclausules bevatten die in overeenstemming zijn met de normen van de energie-unie, de Europese Green Deal en de beginselen van de circulaire economie; merkt op dat de nieuwe raamovereenkomst van het Comité voor cateringdiensten in augustus 2024 in werking is getreden en vereisten bevat voor ecologische en lokaal geproduceerde producten, voedseldonaties en seizoensgebonden fruit en groenten;</w:t>
            </w:r>
          </w:p>
        </w:tc>
        <w:tc>
          <w:tcPr>
            <w:tcW w:w="4876" w:type="dxa"/>
            <w:tcBorders>
              <w:top w:val="nil"/>
              <w:left w:val="nil"/>
              <w:bottom w:val="nil"/>
              <w:right w:val="nil"/>
            </w:tcBorders>
          </w:tcPr>
          <w:p>
            <w:pPr>
              <w:pStyle w:val="Normal6a"/>
            </w:pPr>
            <w:r>
              <w:t>50.</w:t>
            </w:r>
            <w:r>
              <w:tab/>
            </w:r>
            <w:r>
              <w:t xml:space="preserve">stelt met tevredenheid vast dat alle aanbestedingen van het Comité van meer dan 60 000 EUR en die van meer dan 25 000 EUR die samen met het CvdR worden beheerd, duurzaamheidsclausules bevatten die in overeenstemming zijn met de normen van de energie-unie, de Europese Green Deal en de beginselen van de circulaire economie; merkt op dat de nieuwe raamovereenkomst van het Comité voor cateringdiensten in augustus 2024 in werking is getreden en vereisten bevat voor ecologische en lokaal geproduceerde producten, voedseldonaties en seizoensgebonden fruit en groenten; </w:t>
            </w:r>
            <w:r>
              <w:rPr>
                <w:b/>
                <w:i/>
              </w:rPr>
              <w:t>wijst er echter op dat de hogere normen voor zogenaamde groene maatregelen de operationele kosten van de instelling verhogen, waardoor niet alleen de beschikbare begroting van de instelling wordt verlaagd, maar ook de werkingskosten voor de belastingbetaler worden verhoogd;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 bis.</w:t>
            </w:r>
            <w:r>
              <w:tab/>
            </w:r>
            <w:r>
              <w:rPr>
                <w:b/>
                <w:i/>
              </w:rPr>
              <w:t>benadrukt dat milieu-initiatieven binnen de instellingen van de Unie kosteneffectief en technologieneutraal moeten blijven;</w:t>
            </w:r>
            <w:r>
              <w:t xml:space="preserve"> </w:t>
            </w:r>
            <w:r>
              <w:rPr>
                <w:b/>
                <w:i/>
              </w:rPr>
              <w:t>verzoekt het Comité een transparante kosten-batenanalyse van zijn groene investeringen en aanbestedingspraktijken te verstrekken en ervoor te zorgen dat milieuoverwegingen niet vóór efficiëntie of begrotingsdiscipline gaan;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merkt op dat het Comité een centrale rol speelt bij het aanhalen van de banden met en tussen de nationale economische en sociale raden van de lidstaten; neemt in dit verband kennis van de oprichting van een nieuwe thematische werkgroep bestaande uit 13 nationale economische en sociale raden, de publicatie van 32 nieuwsartikelen en 26 samenvattingen van door de nationale economische en sociale raden goedgekeurde verslagen, de organisatie van de jaarlijkse vergadering van voorzitters en secretarissen-generaal van de nationale economische en sociale raden in Brussel en een gezamenlijk georganiseerd seminar met honderd deelnemers van Europese sociale partners, maatschappelijke organisaties, vertegenwoordigers van instellingen van de Unie en academici in 2024;</w:t>
            </w:r>
          </w:p>
        </w:tc>
        <w:tc>
          <w:tcPr>
            <w:tcW w:w="4876" w:type="dxa"/>
            <w:tcBorders>
              <w:top w:val="nil"/>
              <w:left w:val="nil"/>
              <w:bottom w:val="nil"/>
              <w:right w:val="nil"/>
            </w:tcBorders>
          </w:tcPr>
          <w:p>
            <w:pPr>
              <w:pStyle w:val="Normal6a"/>
            </w:pPr>
            <w:r>
              <w:t>60.</w:t>
            </w:r>
            <w:r>
              <w:tab/>
            </w:r>
            <w:r>
              <w:t xml:space="preserve">merkt op dat het Comité een centrale rol speelt bij het aanhalen van de banden met en tussen de nationale economische en sociale raden van de lidstaten; neemt in dit verband kennis van de oprichting van een nieuwe thematische werkgroep bestaande uit 13 nationale economische en sociale raden, de publicatie van 32 nieuwsartikelen en 26 samenvattingen van door de nationale economische en sociale raden goedgekeurde verslagen, de organisatie van de jaarlijkse vergadering van voorzitters en secretarissen-generaal van de nationale economische en sociale raden in Brussel en een gezamenlijk georganiseerd seminar met honderd deelnemers van Europese sociale partners, maatschappelijke organisaties, vertegenwoordigers van instellingen van de Unie en academici in 2024; </w:t>
            </w:r>
            <w:r>
              <w:rPr>
                <w:b/>
                <w:i/>
              </w:rPr>
              <w:t>pleit voor aanhoudende samenwerking op gebieden van gemeenschappelijke belang en voor de uitwisseling van goede werkwijzen, en wijst erop dat het maatschappelijk middenveld van essentieel belang is om de huidige uitdagingen van de Unie te kunnen aangaan;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prijst de lancering van het NaviGate-platform in mei 2024; merkt op dat dit platform, dat met weblinks de EULT van het Bureau voor publicaties van de Europese Unie aanvult, de zichtbaarheid van het werk van het Comité aanzienlijk heeft vergroot en de gebruikerservaring voor leden, personeel, bezoekers van andere instellingen en het publiek heeft verbeterd, met 4 600 unieke bezoekers in 2024;</w:t>
            </w:r>
          </w:p>
        </w:tc>
        <w:tc>
          <w:tcPr>
            <w:tcW w:w="4876" w:type="dxa"/>
            <w:tcBorders>
              <w:top w:val="nil"/>
              <w:left w:val="nil"/>
              <w:bottom w:val="nil"/>
              <w:right w:val="nil"/>
            </w:tcBorders>
          </w:tcPr>
          <w:p>
            <w:pPr>
              <w:pStyle w:val="Normal6a"/>
            </w:pPr>
            <w:r>
              <w:t>63.</w:t>
            </w:r>
            <w:r>
              <w:tab/>
            </w:r>
            <w:r>
              <w:rPr>
                <w:b/>
                <w:i/>
              </w:rPr>
              <w:t>is ingenomen met de inspanningen van het Comité om de zichtbaarheid van zijn werkzaamheden te vergroten;</w:t>
            </w:r>
            <w:r>
              <w:t xml:space="preserve"> </w:t>
            </w:r>
            <w:r>
              <w:rPr>
                <w:b/>
                <w:i/>
              </w:rPr>
              <w:t>is echter van mening dat er verdere inspanningen nodig zijn om ervoor te zorgen dat in communicatieactiviteiten de rol van het Comité en zijn concrete bijdragen aan de aanwezigheid van de EU ter plaatse duidelijk worden uitgelegd, op een manier die begrijpelijk en zinvol is voor de burgers;</w:t>
            </w:r>
            <w:r>
              <w:t xml:space="preserve"> prijst de lancering van het NaviGate-platform in mei 2024; merkt op dat dit platform, dat met weblinks de EULT van het Bureau voor publicaties van de Europese Unie aanvult, de zichtbaarheid van het werk van het Comité aanzienlijk heeft vergroot en de gebruikerservaring voor leden, personeel, bezoekers van andere instellingen en het publiek heeft verbeterd, met 4 600 unieke bezoekers in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784.136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39</w:t>
    </w:r>
    <w:r>
      <w:fldChar w:fldCharType="end"/>
    </w:r>
    <w:r>
      <w:tab/>
    </w:r>
    <w:r>
      <w:rPr>
        <w:rStyle w:val="HideTWBExt"/>
      </w:rPr>
      <w:t>&lt;PathFdR&gt;</w:t>
    </w:r>
    <w:r>
      <w:t>AM\1336221NL.docx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AM\1336221NL.docx</w:t>
    </w:r>
    <w:r>
      <w:rPr>
        <w:rStyle w:val="HideTWBExt"/>
      </w:rPr>
      <w:t>&lt;/PathFdR&gt;</w:t>
    </w:r>
    <w:r>
      <w:tab/>
    </w:r>
    <w:r>
      <w:fldChar w:fldCharType="begin"/>
    </w:r>
    <w:r>
      <w:instrText xml:space="preserve"> PAGE </w:instrText>
    </w:r>
    <w:r>
      <w:fldChar w:fldCharType="separate"/>
    </w:r>
    <w:r>
      <w:t>39</w:t>
    </w:r>
    <w:r>
      <w:fldChar w:fldCharType="end"/>
    </w:r>
    <w:r>
      <w:t>/</w:t>
    </w:r>
    <w:r>
      <w:fldChar w:fldCharType="begin"/>
    </w:r>
    <w:r>
      <w:instrText xml:space="preserve"> NUMPAGES </w:instrText>
    </w:r>
    <w:r>
      <w:fldChar w:fldCharType="separate"/>
    </w:r>
    <w:r>
      <w:t>39</w:t>
    </w:r>
    <w:r>
      <w:fldChar w:fldCharType="end"/>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AM\1336221NL.docx</w:t>
    </w:r>
    <w:r>
      <w:rPr>
        <w:rStyle w:val="HideTWBExt"/>
      </w:rPr>
      <w:t>&lt;/PathFdR&gt;</w:t>
    </w:r>
    <w:r>
      <w:tab/>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39</Pages>
  <Words>11961</Words>
  <Characters>70367</Characters>
  <Application>Microsoft Office Word</Application>
  <DocSecurity>0</DocSecurity>
  <Lines>1</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1336221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372130</vt:lpwstr>
  </property>
  <property fmtid="{D5CDD505-2E9C-101B-9397-08002B2CF9AE}" pid="7" name="dmxml.render.traceId">
    <vt:lpwstr>698b6053562669ed7bd1ba6c362bf240</vt:lpwstr>
  </property>
  <property fmtid="{D5CDD505-2E9C-101B-9397-08002B2CF9AE}" pid="8" name="FooterPath">
    <vt:lpwstr>AM\1336221NL.docx</vt:lpwstr>
  </property>
  <property fmtid="{D5CDD505-2E9C-101B-9397-08002B2CF9AE}" pid="9" name="PE Number">
    <vt:lpwstr>784.136</vt:lpwstr>
  </property>
  <property fmtid="{D5CDD505-2E9C-101B-9397-08002B2CF9AE}" pid="10" name="UID">
    <vt:lpwstr>eu.europa.europarl-DIN1-2026-0000016192_01.00-nl-01.00_text-xml</vt:lpwstr>
  </property>
</Properties>
</file>