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 Europejski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Komisja Kontroli Budżetowej</w:t>
      </w:r>
      <w:r>
        <w:rPr>
          <w:rStyle w:val="HideTWBExt"/>
        </w:rPr>
        <w:t>&lt;/Commission&gt;</w:t>
      </w:r>
    </w:p>
    <w:p>
      <w:pPr>
        <w:pStyle w:val="LineBottom"/>
      </w:pPr>
      <w:r>
        <w:t xml:space="preserve"> </w:t>
      </w:r>
    </w:p>
    <w:p>
      <w:pPr>
        <w:pStyle w:val="CoverReference"/>
      </w:pPr>
      <w:r>
        <w:rPr>
          <w:rStyle w:val="HideTWBExt"/>
        </w:rPr>
        <w:t>&lt;RefProc&gt;</w:t>
      </w:r>
      <w:r>
        <w:t>2025/2151</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POPRAWKI</w:t>
      </w:r>
      <w:r>
        <w:rPr>
          <w:rStyle w:val="HideTWBExt"/>
        </w:rPr>
        <w:t>&lt;/TypeAM&gt;</w:t>
      </w:r>
    </w:p>
    <w:p>
      <w:pPr>
        <w:pStyle w:val="CoverDocType24a"/>
      </w:pPr>
      <w:r>
        <w:rPr>
          <w:rStyle w:val="HideTWBExt"/>
        </w:rPr>
        <w:t>&lt;RangeAM&gt;</w:t>
      </w:r>
      <w:r>
        <w:t>1</w:t>
      </w:r>
      <w:r>
        <w:t xml:space="preserve"> - </w:t>
      </w:r>
      <w:r>
        <w:t>45</w:t>
      </w:r>
      <w:r>
        <w:rPr>
          <w:rStyle w:val="HideTWBExt"/>
        </w:rPr>
        <w:t>&lt;/RangeAM&gt;</w:t>
      </w:r>
    </w:p>
    <w:p>
      <w:pPr>
        <w:pStyle w:val="CoverBold"/>
      </w:pPr>
      <w:r>
        <w:rPr>
          <w:rStyle w:val="HideTWBExt"/>
        </w:rPr>
        <w:t>&lt;TitreType&gt;</w:t>
      </w:r>
      <w:r>
        <w:t>Projekt sprawozdania</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(PE778.063v01-00)</w:t>
      </w:r>
      <w:r>
        <w:rPr>
          <w:rStyle w:val="HideTWBExt"/>
        </w:rPr>
        <w:t>&lt;/DocRefPE&gt;</w:t>
      </w:r>
    </w:p>
    <w:p>
      <w:pPr>
        <w:pStyle w:val="CoverNormal"/>
      </w:pPr>
      <w:r>
        <w:rPr>
          <w:rStyle w:val="HideTWBExt"/>
        </w:rPr>
        <w:t>&lt;Titre&gt;</w:t>
      </w:r>
      <w:r>
        <w:t>Absolutorium za rok 2024: budżet ogólny UE – Europejski Komitet Ekonomiczno-Społeczny</w:t>
      </w:r>
      <w:r>
        <w:rPr>
          <w:rStyle w:val="HideTWBExt"/>
        </w:rPr>
        <w:t>&lt;/Titre&gt;</w:t>
      </w:r>
    </w:p>
    <w:p>
      <w:pPr>
        <w:pStyle w:val="CoverNormal24a"/>
      </w:pPr>
      <w:r>
        <w:rPr>
          <w:rStyle w:val="HideTWBExt"/>
        </w:rPr>
        <w:t>&lt;DocRef&gt;</w:t>
      </w:r>
      <w:r>
        <w:t>(2025/2151(DEC))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Poprawka</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mając na uwadze, że zgodnie z art. 300 i 304 Traktatu o funkcjonowaniu Unii Europejskiej Europejski Komitet Ekonomiczno-Społeczny jest organem doradczym, którego głównym zadaniem jest wydawanie opinii;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odnotowuje odejście Komitetu od podejścia ukierunkowanego na wydatki na rzecz zarządzania zasobami i ustalania priorytetów, co znalazło odzwierciedlenie w strategicznym pakiecie finansowym zatwierdzonym przez Prezydium EKES-u, oraz wprowadzenie procedur ustalania priorytetów;</w:t>
            </w:r>
            <w:r>
              <w:t xml:space="preserve"> </w:t>
            </w:r>
            <w:r>
              <w:rPr>
                <w:b/>
                <w:i/>
              </w:rPr>
              <w:t>zauważa, że środki te mają na celu poprawę zarządzania finansowego i dostosowanie decyzji budżetowych do celów strategicznych;</w:t>
            </w:r>
            <w:r>
              <w:t xml:space="preserve"> </w:t>
            </w:r>
            <w:r>
              <w:rPr>
                <w:b/>
                <w:i/>
              </w:rPr>
              <w:t>odnotowuje wysiłki na rzecz zmniejszenia obciążeń administracyjnych i usprawnienia procesów z myślą o poprawie gospodarności;</w:t>
            </w:r>
            <w:r>
              <w:t xml:space="preserve"> </w:t>
            </w:r>
            <w:r>
              <w:rPr>
                <w:b/>
                <w:i/>
              </w:rPr>
              <w:t>wzywa Komitet do dalszej konsolidacji tego podejścia poprzez włączenie wskaźników wyników i planowania prognostycznego do rocznego cyklu finansowego;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wyraża uznanie dla Komitetu </w:t>
            </w:r>
            <w:r>
              <w:rPr>
                <w:b/>
                <w:i/>
              </w:rPr>
              <w:t>za to</w:t>
            </w:r>
            <w:r>
              <w:t>, że dzięki skutecznemu monitorowaniu wykonania budżetu, ale także dzięki wysokiej stopie inflacji mającej wpływ na wynagrodzenia pracowników i koszty budynków, wskaźnik wykonania budżetu w odniesieniu do środków na zobowiązania na bieżący rok wzrósł z 98,70 % w 2023 r. do 99,21 % w 2024 r.; w tym kontekście odnotowuje wysiłki Komitetu w zakresie przegrupowania środków poprzez przesunięcia budżetowe o łącznej wartości 2 487 139 EUR (stanowiące 1,51 % budżetu na 2024 r.) między różnymi liniami budżetowymi, przy czym największe wzrosty dotyczą działania i utrzymania systemów komputerowych (wzrost o 519 682 EUR) oraz budynków (wzrost o 421 880 EUR); z zadowoleniem zauważa ponadto, że wskaźnik wykonania środków na płatności w bieżącym roku wzrósł z 88,12 % w 2022 r. i 90,67 % w 2023 r. do 92,85 % w 2024 r., a średni czas realizacji płatności skrócił się z 20,14 dni w 2023 r. do 16,06 dni w 2024 r., co stanowi najlepszy wynik Komitetu od 2021 r.;</w:t>
            </w:r>
          </w:p>
        </w:tc>
        <w:tc>
          <w:tcPr>
            <w:tcW w:w="4876" w:type="dxa"/>
            <w:tcBorders>
              <w:top w:val="nil"/>
              <w:left w:val="nil"/>
              <w:bottom w:val="nil"/>
              <w:right w:val="nil"/>
            </w:tcBorders>
          </w:tcPr>
          <w:p>
            <w:pPr>
              <w:pStyle w:val="Normal6a"/>
            </w:pPr>
            <w:r>
              <w:t>5.</w:t>
            </w:r>
            <w:r>
              <w:tab/>
            </w:r>
            <w:r>
              <w:t xml:space="preserve">wyraża uznanie dla Komitetu, że dzięki skutecznemu monitorowaniu wykonania budżetu, ale także dzięki wysokiej stopie inflacji mającej wpływ na wynagrodzenia pracowników i koszty budynków, wskaźnik wykonania budżetu w odniesieniu do środków na zobowiązania na bieżący rok wzrósł z 98,70 % w 2023 r. do 99,21 % w 2024 r.; w tym kontekście odnotowuje wysiłki Komitetu w zakresie przegrupowania środków poprzez przesunięcia budżetowe o łącznej wartości 2 487 139 EUR (stanowiące 1,51 % budżetu na 2024 r.) między różnymi liniami budżetowymi, przy czym największe wzrosty dotyczą działania i utrzymania systemów komputerowych (wzrost o 519 682 EUR) oraz budynków (wzrost o 421 880 EUR); z zadowoleniem zauważa ponadto, że wskaźnik wykonania środków na płatności w bieżącym roku wzrósł z 88,12 % w 2022 r. i 90,67 % w 2023 r. do 92,85 % w 2024 r., a średni czas realizacji płatności skrócił się z 20,14 dni w 2023 r. do 16,06 dni w 2024 r., co stanowi najlepszy wynik Komitetu od 2021 r.; </w:t>
            </w:r>
            <w:r>
              <w:rPr>
                <w:b/>
                <w:i/>
              </w:rPr>
              <w:t>zachęca do dalszego skutecznego monitorowania, ograniczania kosztów i strategicznej realokacji w celu zapewnienia optymalnego wykorzystania środków finansowych i przejrzystości;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zauważa, że 21 września 2024 r. Rada przyjęła nową decyzję w sprawie przyznawania diet dziennych i zwrotu kosztów podróży członkom Europejskiego Komitetu Ekonomiczno-Społecznego i ich zastępcom, zgodnie z którą dieta przysługująca beneficjentom fizycznie obecnym na posiedzeniach wynosi 367 EUR (wzrost z 290 EUR), a dieta dzienna przysługująca beneficjentom uczestniczącym w posiedzeniach zdalnie za pośrednictwem środków elektronicznych wynosi 149 EUR (wzrost z 145 EUR); na podstawie kwestionariusza odnotowuje, że w 2024 r. Komitet zwrócił koszty zdalnego udziału w wysokości 259 669 EUR (294 930 EUR w 2023 r.), co odpowiada </w:t>
            </w:r>
            <w:r>
              <w:rPr>
                <w:b/>
                <w:i/>
              </w:rPr>
              <w:t>1 744</w:t>
            </w:r>
            <w:r>
              <w:t xml:space="preserve"> dniom posiedzeń (</w:t>
            </w:r>
            <w:r>
              <w:rPr>
                <w:b/>
                <w:i/>
              </w:rPr>
              <w:t>2 006</w:t>
            </w:r>
            <w:r>
              <w:t xml:space="preserve"> dni posiedzeń w 2023 r.), natomiast łączna kwota ryczałtowych diet wypłaconych za fizyczną obecność na posiedzeniach wyniosła 6 579 196 EUR w 2024 r. (wzrost z 5 902 963 EUR w 2023 r.); zauważa ponadto, że Komitet posiada system potwierdzania faktycznego udziału w posiedzeniach za pośrednictwem środków elektronicznych; uważa, że </w:t>
            </w:r>
            <w:r>
              <w:rPr>
                <w:b/>
                <w:i/>
              </w:rPr>
              <w:t>choć</w:t>
            </w:r>
            <w:r>
              <w:t xml:space="preserve"> udział zdalny jest ważnym narzędziem dla nowoczesnych instytucji </w:t>
            </w:r>
            <w:r>
              <w:rPr>
                <w:b/>
                <w:i/>
              </w:rPr>
              <w:t>– obniżającym</w:t>
            </w:r>
            <w:r>
              <w:t xml:space="preserve"> koszty posiedzeń i </w:t>
            </w:r>
            <w:r>
              <w:rPr>
                <w:b/>
                <w:i/>
              </w:rPr>
              <w:t>umożliwiającym</w:t>
            </w:r>
            <w:r>
              <w:t xml:space="preserve"> szerszy udział </w:t>
            </w:r>
            <w:r>
              <w:rPr>
                <w:b/>
                <w:i/>
              </w:rPr>
              <w:t>– przyznanie diety za udział</w:t>
            </w:r>
            <w:r>
              <w:t xml:space="preserve"> zdalny </w:t>
            </w:r>
            <w:r>
              <w:rPr>
                <w:b/>
                <w:i/>
              </w:rPr>
              <w:t>w posiedzeniach, nawet jeśli jest ona obniżona i ograniczona do niektórych rodzajów</w:t>
            </w:r>
            <w:r>
              <w:t xml:space="preserve"> wydarzeń</w:t>
            </w:r>
            <w:r>
              <w:rPr>
                <w:b/>
                <w:i/>
              </w:rPr>
              <w:t>, jest trudne do zrozumienia dla opinii publicznej</w:t>
            </w:r>
            <w:r>
              <w:t>;</w:t>
            </w:r>
          </w:p>
        </w:tc>
        <w:tc>
          <w:tcPr>
            <w:tcW w:w="4876" w:type="dxa"/>
            <w:tcBorders>
              <w:top w:val="nil"/>
              <w:left w:val="nil"/>
              <w:bottom w:val="nil"/>
              <w:right w:val="nil"/>
            </w:tcBorders>
          </w:tcPr>
          <w:p>
            <w:pPr>
              <w:pStyle w:val="Normal6a"/>
            </w:pPr>
            <w:r>
              <w:t>7.</w:t>
            </w:r>
            <w:r>
              <w:tab/>
            </w:r>
            <w:r>
              <w:t xml:space="preserve">zauważa, że 21 września 2024 r. Rada przyjęła nową decyzję w sprawie przyznawania diet dziennych i zwrotu kosztów podróży członkom Europejskiego Komitetu Ekonomiczno-Społecznego i ich zastępcom, zgodnie z którą dieta przysługująca beneficjentom fizycznie obecnym na posiedzeniach wynosi 367 EUR (wzrost z 290 EUR), a dieta dzienna przysługująca beneficjentom uczestniczącym w posiedzeniach zdalnie za pośrednictwem środków elektronicznych wynosi 149 EUR (wzrost z 145 EUR); na podstawie kwestionariusza odnotowuje, że w 2024 r. Komitet zwrócił koszty zdalnego udziału w wysokości 259 669 EUR (294 930 EUR w 2023 r.), co odpowiada </w:t>
            </w:r>
            <w:r>
              <w:rPr>
                <w:b/>
                <w:i/>
              </w:rPr>
              <w:t>1744</w:t>
            </w:r>
            <w:r>
              <w:t xml:space="preserve"> dniom posiedzeń (</w:t>
            </w:r>
            <w:r>
              <w:rPr>
                <w:b/>
                <w:i/>
              </w:rPr>
              <w:t>2006</w:t>
            </w:r>
            <w:r>
              <w:t xml:space="preserve"> dni posiedzeń w 2023 r.), natomiast łączna kwota ryczałtowych diet wypłaconych za fizyczną obecność na posiedzeniach wyniosła 6 579 196 EUR w 2024 r. (wzrost z 5 902 963 EUR w 2023 r.); zauważa ponadto, że Komitet posiada system potwierdzania faktycznego udziału w posiedzeniach za pośrednictwem środków elektronicznych; uważa, że udział zdalny jest ważnym </w:t>
            </w:r>
            <w:r>
              <w:rPr>
                <w:b/>
                <w:i/>
              </w:rPr>
              <w:t>narzędziem i cennym</w:t>
            </w:r>
            <w:r>
              <w:t xml:space="preserve"> narzędziem dla nowoczesnych instytucji</w:t>
            </w:r>
            <w:r>
              <w:rPr>
                <w:b/>
                <w:i/>
              </w:rPr>
              <w:t>, ponieważ obniża</w:t>
            </w:r>
            <w:r>
              <w:t xml:space="preserve"> koszty posiedzeń i </w:t>
            </w:r>
            <w:r>
              <w:rPr>
                <w:b/>
                <w:i/>
              </w:rPr>
              <w:t>umożliwia</w:t>
            </w:r>
            <w:r>
              <w:t xml:space="preserve"> szerszy udział</w:t>
            </w:r>
            <w:r>
              <w:rPr>
                <w:b/>
                <w:i/>
              </w:rPr>
              <w:t>;</w:t>
            </w:r>
            <w:r>
              <w:t xml:space="preserve"> </w:t>
            </w:r>
            <w:r>
              <w:rPr>
                <w:b/>
                <w:i/>
              </w:rPr>
              <w:t>z zadowoleniem przyjmuje podejście Komitetu do przyznawania diet za</w:t>
            </w:r>
            <w:r>
              <w:t xml:space="preserve"> zdalny </w:t>
            </w:r>
            <w:r>
              <w:rPr>
                <w:b/>
                <w:i/>
              </w:rPr>
              <w:t>udział w ograniczonych i proporcjonalnych rodzajach</w:t>
            </w:r>
            <w:r>
              <w:t xml:space="preserve"> wydarzeń </w:t>
            </w:r>
            <w:r>
              <w:rPr>
                <w:b/>
                <w:i/>
              </w:rPr>
              <w:t>w sposób sprawiedliwy i proporcjonalny, odzwierciedlający obowiązki członków Komitetu i wymogi w zakresie przygotowań, przy jednoczesnym zapewnieniu i monitorowaniu przejrzystości i gospodarności</w:t>
            </w:r>
            <w:r>
              <w:t xml:space="preserve">; </w:t>
            </w:r>
            <w:r>
              <w:rPr>
                <w:b/>
                <w:i/>
              </w:rPr>
              <w:t>przypomina, że członkowie Europejskiego Komitetu Ekonomiczno-Społecznego nie otrzymują wynagrodzenia za sprawowanie mandatu;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wzywa Komitet do ponownej oceny systemu diet za udział zdalny, tak aby zapewnić pełną przejrzystość, proporcjonalność i zaufanie publiczne;</w:t>
            </w:r>
            <w:r>
              <w:t xml:space="preserve"> </w:t>
            </w:r>
            <w:r>
              <w:rPr>
                <w:b/>
                <w:i/>
              </w:rPr>
              <w:t>podkreśla, że rekompensata finansowa za udział zdalny musi być ściśle uzasadniona, mieć ograniczony zakres oraz być zgodna z zasadami gospodarności i rozliczalności;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wyraża głębokie zaniepokojenie rosnącym zadłużeniem UE i kosztami finansowania zewnętrznego;</w:t>
            </w:r>
            <w:r>
              <w:t xml:space="preserve"> </w:t>
            </w:r>
            <w:r>
              <w:rPr>
                <w:b/>
                <w:i/>
              </w:rPr>
              <w:t>zauważa, że zgodnie z rocznym sprawozdaniem Europejskiego Trybunału Obrachunkowego niespłacone pożyczki zaciągnięte przez UE mogą do 2027 r. przekroczyć 900 mld EUR, co stanowi prawie dziesięciokrotność poziomu z 2020 r. przed wprowadzeniem pakietu na rzecz odbudowy NGEU;</w:t>
            </w:r>
            <w:r>
              <w:t xml:space="preserve"> </w:t>
            </w:r>
            <w:r>
              <w:rPr>
                <w:b/>
                <w:i/>
              </w:rPr>
              <w:t>ostrzega, że rosnące koszty finansowania zewnętrznego stanowią zagrożenie dla przyszłych budżetów i ograniczają przestrzeń fiskalną dla nowych priorytetów;</w:t>
            </w:r>
            <w:r>
              <w:t xml:space="preserve"> </w:t>
            </w:r>
            <w:r>
              <w:rPr>
                <w:b/>
                <w:i/>
              </w:rPr>
              <w:t>podkreśla w związku z tym, że ta bezprecedensowa presja fiskalna wymaga rygorystycznego poszukiwania oszczędności w ramach własnego budżetu administracyjnego Komitetu;</w:t>
            </w:r>
            <w:r>
              <w:t xml:space="preserve"> </w:t>
            </w:r>
            <w:r>
              <w:rPr>
                <w:b/>
                <w:i/>
              </w:rPr>
              <w:t>wzywa sekretarza generalnego do przedstawienia planu redukcji kosztów strukturalnych, aby wykazać odpowiedzialność instytucjonalną w dobie wysokiego długu publicznego;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wzywa administrację Komitetu do aktywnego identyfikowania i wdrażania środków oszczędnościowych, w tym poprzez szersze wykorzystywanie technologii posiedzeń hybrydowych, optymalizację wykorzystania budynków, grupowanie działań parlamentarnych i zmniejszenie zbędnych wydatków logistycznych;</w:t>
            </w:r>
            <w:r>
              <w:t xml:space="preserve"> </w:t>
            </w:r>
            <w:r>
              <w:rPr>
                <w:b/>
                <w:i/>
              </w:rPr>
              <w:t>domaga się regularnych sprawozdań z postępów w zakresie wdrożonych środków i uzyskanych oszczędności;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wzywa Komitet do przyjęcia ustrukturyzowanego planu działania, aby stopniowo osiągnąć poziom odniesienia w zakresie wydatków na cyberbezpieczeństwo wynoszący 10 %, obejmującego roczne cele pośrednie, priorytety oparte na analizie ryzyka i regularne sprawozdania dla organu udzielającego absolutorium;</w:t>
            </w:r>
            <w:r>
              <w:t xml:space="preserve"> </w:t>
            </w:r>
            <w:r>
              <w:rPr>
                <w:b/>
                <w:i/>
              </w:rPr>
              <w:t>podkreśla potrzebę ściślejszej współpracy z CERT-UE i innymi instytucjami Unii w celu zapewnienia spójnej i odpornej pozycji w zakresie cyberbezpieczeństwa;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uznaje, że Komitet odgrywa fundamentalną rolę w przyczynianiu się do rozwoju polityki Unii i procesów decyzyjnych przez reprezentowanie głosów przedstawicieli wszystkich obszarów zorganizowanego społeczeństwa obywatelskiego w Unii, a tym samym przybliża Europę do jej obywateli i zwiększa legitymację demokratyczną prawodawstwa Unii; przypomina, że w ramach swojego rocznego programu prac Komitet posiada system monitorowania wyników z wskaźnikami w różnych obszarach, takich jak IT, zasoby ludzkie, tłumaczenia i komunikacja, oparty na pięciu podstawowych wartościach i pięciu kluczowych celach strategicznych, w ramach strategii sekretariatu generalnego na lata 2021–2025; z zadowoleniem odnotowuje, że w wyniku działań podjętych przez Komitet w następstwie uwag zawartych w rezolucji Parlamentu w sprawie absolutorium za rok 2023 („sprawozdanie z działań następczych”) oraz kwestionariusza, po przeprowadzeniu kontroli Komitet uruchomił ustrukturyzowany proces mający na celu poprawę monitorowania realizacji celów poprzez dostosowanie ram wykonania do celów strategicznych za pomocą kluczowych wskaźników skuteczności działania i wskaźników oddziaływania, które mają być dostosowane do przyszłych celów strategicznych Komitetu, a kluczową rolę w wykorzystaniu tych wskaźników będzie odgrywać kadra kierownicza najwyższego szczebla; oczekuje, że będzie informowany o wynikach wdrożenia tych nowych ram w </w:t>
            </w:r>
            <w:r>
              <w:rPr>
                <w:b/>
                <w:i/>
              </w:rPr>
              <w:t>drodze</w:t>
            </w:r>
            <w:r>
              <w:t xml:space="preserve"> przyszłych </w:t>
            </w:r>
            <w:r>
              <w:rPr>
                <w:b/>
                <w:i/>
              </w:rPr>
              <w:t>sprawozdań</w:t>
            </w:r>
            <w:r>
              <w:t xml:space="preserve"> Komitetu przed organem udzielającym absolutorium;</w:t>
            </w:r>
          </w:p>
        </w:tc>
        <w:tc>
          <w:tcPr>
            <w:tcW w:w="4876" w:type="dxa"/>
            <w:tcBorders>
              <w:top w:val="nil"/>
              <w:left w:val="nil"/>
              <w:bottom w:val="nil"/>
              <w:right w:val="nil"/>
            </w:tcBorders>
          </w:tcPr>
          <w:p>
            <w:pPr>
              <w:pStyle w:val="Normal6a"/>
            </w:pPr>
            <w:r>
              <w:t>12.</w:t>
            </w:r>
            <w:r>
              <w:tab/>
            </w:r>
            <w:r>
              <w:t>uznaje, że Komitet odgrywa fundamentalną rolę w przyczynianiu się do rozwoju polityki Unii i procesów decyzyjnych przez reprezentowanie głosów przedstawicieli wszystkich obszarów zorganizowanego społeczeństwa obywatelskiego w Unii, a tym samym przybliża Europę do jej obywateli i zwiększa legitymację demokratyczną prawodawstwa Unii; przypomina, że w ramach swojego rocznego programu prac Komitet posiada system monitorowania wyników z wskaźnikami w różnych obszarach, takich jak IT, zasoby ludzkie, tłumaczenia i komunikacja, oparty na pięciu podstawowych wartościach i pięciu kluczowych celach strategicznych, w ramach strategii sekretariatu generalnego na lata 2021–2025</w:t>
            </w:r>
            <w:r>
              <w:rPr>
                <w:b/>
                <w:i/>
              </w:rPr>
              <w:t>;</w:t>
            </w:r>
            <w:r>
              <w:t xml:space="preserve"> </w:t>
            </w:r>
            <w:r>
              <w:rPr>
                <w:b/>
                <w:i/>
              </w:rPr>
              <w:t>uważa jednak, że wartość dodana jego działań dla obywateli europejskich pozostaje wyraźnie zaniżona;</w:t>
            </w:r>
            <w:r>
              <w:t xml:space="preserve"> </w:t>
            </w:r>
            <w:r>
              <w:rPr>
                <w:b/>
                <w:i/>
              </w:rPr>
              <w:t>zachęca Komitet do dalszego wzmacniania ram oceny skutków poprzez lepsze wykazanie, w jaki sposób jego opinie i inicjatywy przekładają się na konkretne wyniki polityczne i wymierne korzyści dla obywateli</w:t>
            </w:r>
            <w:r>
              <w:t xml:space="preserve">; z zadowoleniem odnotowuje, że w wyniku działań podjętych przez Komitet w następstwie uwag zawartych w rezolucji Parlamentu w sprawie absolutorium za rok 2023 („sprawozdanie z działań następczych”) oraz kwestionariusza, po przeprowadzeniu kontroli Komitet uruchomił ustrukturyzowany proces mający na celu poprawę monitorowania realizacji celów poprzez dostosowanie ram wykonania do celów strategicznych za pomocą kluczowych wskaźników skuteczności działania i wskaźników oddziaływania, które mają być dostosowane do przyszłych celów strategicznych Komitetu, a kluczową rolę w wykorzystaniu tych wskaźników będzie odgrywać kadra kierownicza najwyższego szczebla; oczekuje, że będzie informowany o wynikach wdrożenia tych nowych ram w przyszłych </w:t>
            </w:r>
            <w:r>
              <w:rPr>
                <w:b/>
                <w:i/>
              </w:rPr>
              <w:t>sprawozdaniach</w:t>
            </w:r>
            <w:r>
              <w:t xml:space="preserve"> Komitetu przed organem udzielającym absolutorium;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uznaje, że Komitet odgrywa fundamentalną rolę w przyczynianiu się do rozwoju polityki Unii i procesów decyzyjnych przez reprezentowanie głosów przedstawicieli wszystkich obszarów zorganizowanego społeczeństwa obywatelskiego w Unii, a tym samym przybliża Europę do jej obywateli i zwiększa legitymację demokratyczną prawodawstwa Unii; przypomina, że w ramach swojego rocznego programu prac Komitet posiada system monitorowania wyników z wskaźnikami w różnych obszarach, takich jak IT, zasoby ludzkie, tłumaczenia i komunikacja, oparty na pięciu podstawowych wartościach i pięciu kluczowych celach strategicznych, w ramach strategii sekretariatu generalnego na lata 2021–2025; z zadowoleniem odnotowuje, że w wyniku działań podjętych przez Komitet w następstwie uwag zawartych w rezolucji Parlamentu w sprawie absolutorium za rok 2023 („sprawozdanie z działań następczych”) oraz kwestionariusza, po przeprowadzeniu kontroli Komitet uruchomił ustrukturyzowany proces mający na celu poprawę monitorowania realizacji celów poprzez dostosowanie ram wykonania do celów strategicznych za pomocą kluczowych wskaźników skuteczności działania i wskaźników oddziaływania, które mają być dostosowane do przyszłych celów strategicznych Komitetu, a kluczową rolę w wykorzystaniu tych wskaźników będzie odgrywać kadra kierownicza najwyższego szczebla; oczekuje, że będzie informowany o wynikach wdrożenia tych nowych ram w drodze przyszłych sprawozdań Komitetu przed organem udzielającym absolutorium;</w:t>
            </w:r>
          </w:p>
        </w:tc>
        <w:tc>
          <w:tcPr>
            <w:tcW w:w="4876" w:type="dxa"/>
            <w:tcBorders>
              <w:top w:val="nil"/>
              <w:left w:val="nil"/>
              <w:bottom w:val="nil"/>
              <w:right w:val="nil"/>
            </w:tcBorders>
          </w:tcPr>
          <w:p>
            <w:pPr>
              <w:pStyle w:val="Normal6a"/>
            </w:pPr>
            <w:r>
              <w:t>12.</w:t>
            </w:r>
            <w:r>
              <w:tab/>
            </w:r>
            <w:r>
              <w:t>uznaje, że Komitet odgrywa fundamentalną rolę w przyczynianiu się do rozwoju polityki Unii i procesów decyzyjnych przez reprezentowanie głosów przedstawicieli wszystkich obszarów zorganizowanego społeczeństwa obywatelskiego w Unii, a tym samym przybliża Europę do jej obywateli i zwiększa legitymację demokratyczną prawodawstwa Unii; przypomina, że w ramach swojego rocznego programu prac Komitet posiada system monitorowania wyników z wskaźnikami w różnych obszarach, takich jak IT, zasoby ludzkie, tłumaczenia i komunikacja, oparty na pięciu podstawowych wartościach i pięciu kluczowych celach strategicznych, w ramach strategii sekretariatu generalnego na lata 2021–2025; z zadowoleniem odnotowuje, że w wyniku działań podjętych przez Komitet w następstwie uwag zawartych w rezolucji Parlamentu w sprawie absolutorium za rok 2023 („sprawozdanie z działań następczych”) oraz kwestionariusza, po przeprowadzeniu kontroli Komitet uruchomił ustrukturyzowany proces mający na celu poprawę monitorowania realizacji celów poprzez dostosowanie ram wykonania do celów strategicznych za pomocą kluczowych wskaźników skuteczności działania i wskaźników oddziaływania, które mają być dostosowane do przyszłych celów strategicznych Komitetu, a kluczową rolę w wykorzystaniu tych wskaźników będzie odgrywać kadra kierownicza najwyższego szczebla; oczekuje, że będzie informowany o wynikach wdrożenia tych nowych ram w drodze przyszłych sprawozdań Komitetu przed organem udzielającym absolutorium;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zauważa, że Komitet wypełnia swoje główne zadanie za pomocą opinii, które odnoszą się do wniosków ustawodawczych Komisji (wnioski o wydanie opinii), opinii z własnej inicjatywy wzywających instytucje Unii do podjęcia działań oraz opinii rozpoznawczych, które stanowią wkład w prace Komisji nad jej planowanymi inicjatywami, a także że stanowisko Komitetu może być wskazywane w rezolucjach lub włączane do raportów z oceny i raportów informacyjnych; wyraża uznanie dla Komitetu za uzyskane wyniki we wspieraniu Parlamentu, Rady i Komisji w cyklu legislacyjnym w 2024 r.; zauważa w tym kontekście, że w 2024 r. Komitet przyjął 142 opinie i sprawozdania, co stanowi spadek z 213 w 2023 r., oraz zorganizował 148 wysłuchań i 26 konferencji w porównaniu z odpowiednio 146 i 24 w 2023 r.; przyznaje, że odnowienie legislatury w 2024 r. spowodowało zmniejszenie liczby spraw przekazanych do rozpatrzenia, a w konsekwencji liczby opinii przyjętych przez Komitet w tym roku; zauważa, że w 2024 r. członkowie Komitetu uczestniczyli w 518 posiedzeniach, szczytach i konferencjach wysokiego szczebla w porównaniu z 429 w 2023 r.;</w:t>
            </w:r>
          </w:p>
        </w:tc>
        <w:tc>
          <w:tcPr>
            <w:tcW w:w="4876" w:type="dxa"/>
            <w:tcBorders>
              <w:top w:val="nil"/>
              <w:left w:val="nil"/>
              <w:bottom w:val="nil"/>
              <w:right w:val="nil"/>
            </w:tcBorders>
          </w:tcPr>
          <w:p>
            <w:pPr>
              <w:pStyle w:val="Normal6a"/>
            </w:pPr>
            <w:r>
              <w:t>13.</w:t>
            </w:r>
            <w:r>
              <w:tab/>
            </w:r>
            <w:r>
              <w:t xml:space="preserve">zauważa, że Komitet wypełnia swoje główne zadanie za pomocą opinii, które odnoszą się do wniosków ustawodawczych Komisji (wnioski o wydanie opinii), opinii z własnej inicjatywy wzywających instytucje Unii do podjęcia działań oraz opinii rozpoznawczych, które stanowią wkład w prace Komisji nad jej planowanymi inicjatywami, a także że stanowisko Komitetu może być wskazywane w rezolucjach lub włączane do raportów z oceny i raportów informacyjnych; wyraża uznanie dla Komitetu za uzyskane wyniki we wspieraniu Parlamentu, Rady i Komisji w cyklu legislacyjnym w 2024 r.; zauważa w tym kontekście, że w 2024 r. Komitet przyjął 142 opinie i sprawozdania, co stanowi spadek z 213 w 2023 r., oraz zorganizował 148 wysłuchań i 26 konferencji w porównaniu z odpowiednio 146 i 24 w 2023 r.; przyznaje, że odnowienie legislatury w 2024 r. spowodowało zmniejszenie liczby spraw przekazanych do rozpatrzenia, a w konsekwencji liczby opinii przyjętych przez Komitet w tym roku; zauważa, że w 2024 r. członkowie Komitetu uczestniczyli w 518 posiedzeniach, szczytach i konferencjach wysokiego szczebla w porównaniu z 429 w 2023 r.; </w:t>
            </w:r>
            <w:r>
              <w:rPr>
                <w:b/>
                <w:i/>
              </w:rPr>
              <w:t>zachęca do priorytetowego traktowania inicjatyw wspierających wzrost gospodarczy, konkurencyjność i strategiczną autonomię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zachęca Komitet do kontynuowania wysiłków zwłaszcza w obszarach, w których może on wnieść jasny, wymierny i istotny wkład w politykę, oraz do dalszego opracowywania wskaźników efektywności i oddziaływania, które wykraczają poza produkty oparte na działalności i lepiej odzwierciedlają wyniki i znaczenie dla obywateli;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z zadowoleniem przyjmuje zawarte w sprawozdaniu z działań następczych zobowiązanie Komitetu do formułowania opinii na temat praw pracowniczych, włączenia społecznego i naruszeń praw człowieka oraz do rozszerzenia zakresu swoich ocen dotyczących prawodawstwa i programów Unii, pod warunkiem że dostępne będą odpowiednie zasoby;</w:t>
            </w:r>
          </w:p>
        </w:tc>
        <w:tc>
          <w:tcPr>
            <w:tcW w:w="4876" w:type="dxa"/>
            <w:tcBorders>
              <w:top w:val="nil"/>
              <w:left w:val="nil"/>
              <w:bottom w:val="nil"/>
              <w:right w:val="nil"/>
            </w:tcBorders>
          </w:tcPr>
          <w:p>
            <w:pPr>
              <w:pStyle w:val="Normal6a"/>
            </w:pPr>
            <w:r>
              <w:t>14.</w:t>
            </w:r>
            <w:r>
              <w:tab/>
            </w:r>
            <w:r>
              <w:t>z zadowoleniem przyjmuje zawarte w sprawozdaniu z działań następczych zobowiązanie Komitetu do formułowania opinii na temat praw pracowniczych, włączenia społecznego i naruszeń praw człowieka oraz do rozszerzenia zakresu swoich ocen dotyczących prawodawstwa i programów Unii, pod warunkiem że dostępne będą odpowiednie zasoby</w:t>
            </w:r>
            <w:r>
              <w:rPr>
                <w:b/>
                <w:i/>
              </w:rPr>
              <w:t>, tak aby reprezentować szeroko rozumiane społeczeństwo obywatelskie</w:t>
            </w:r>
            <w:r>
              <w:t xml:space="preserve">; </w:t>
            </w:r>
            <w:r>
              <w:rPr>
                <w:b/>
                <w:i/>
              </w:rPr>
              <w:t>zachęca Komitet do rozszerzenia zakresu opinii na dalsze przepisy Unii dotyczące dóbr publicznych;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docenia działania podjęte przez Komitet w 2024 r. w celu poprawy widoczności i wpływu jego prac w cyklu politycznym i legislacyjnym; z zadowoleniem przyjmuje oficjalne wprowadzenie, po zakończeniu projektu pilotażowego, nowego formatu opinii sporządzanych w odpowiedzi na obowiązkowe wnioski Parlamentu, Rady lub Komisji; zauważa, że nowy format zwiększa przyjazność dla użytkownika i użyteczność dla prawodawcy, a jednocześnie zapewnia lepsze ustalanie priorytetów prac Komitetu; zauważa ponadto, że dzięki wzmocnionemu monitorowaniu wybranych opinii za pomocą listy kontrolnej i wytycznych Komitet oczekuje, że opinie te pozostaną aktualne po ich przyjęciu i będą wykorzystywane w wielopoziomowych procesach ustawodawczych; z zadowoleniem przyjmuje również uwzględnianie opinii Komitetu w portalu EU Law Tracker od kwietnia 2024 r., dzięki czemu będą one teraz pojawiać się jako odniesienia w dokumentach ustawodawczych; z uznaniem zauważa, że Komitet przyjął również wewnętrzny plan mający na celu lepsze przewidywanie priorytetów Unii, poprawę koordynacji międzyinstytucjonalnej, wzmocnienie rozpowszechniania i monitorowania oraz bardziej systematyczne mierzenie wpływu;</w:t>
            </w:r>
          </w:p>
        </w:tc>
        <w:tc>
          <w:tcPr>
            <w:tcW w:w="4876" w:type="dxa"/>
            <w:tcBorders>
              <w:top w:val="nil"/>
              <w:left w:val="nil"/>
              <w:bottom w:val="nil"/>
              <w:right w:val="nil"/>
            </w:tcBorders>
          </w:tcPr>
          <w:p>
            <w:pPr>
              <w:pStyle w:val="Normal6a"/>
            </w:pPr>
            <w:r>
              <w:t>15.</w:t>
            </w:r>
            <w:r>
              <w:tab/>
            </w:r>
            <w:r>
              <w:t>docenia działania podjęte przez Komitet w 2024 r. w celu poprawy widoczności i wpływu jego prac w cyklu politycznym i legislacyjnym; z zadowoleniem przyjmuje oficjalne wprowadzenie, po zakończeniu projektu pilotażowego, nowego formatu opinii sporządzanych w odpowiedzi na obowiązkowe wnioski Parlamentu, Rady lub Komisji; zauważa, że nowy format zwiększa przyjazność dla użytkownika i użyteczność dla prawodawcy, a jednocześnie zapewnia lepsze ustalanie priorytetów prac Komitetu; zauważa ponadto, że dzięki wzmocnionemu monitorowaniu wybranych opinii za pomocą listy kontrolnej i wytycznych Komitet oczekuje, że opinie te pozostaną aktualne po ich przyjęciu i będą wykorzystywane w wielopoziomowych procesach ustawodawczych; z zadowoleniem przyjmuje również uwzględnianie opinii Komitetu w portalu EU Law Tracker od kwietnia 2024 r., dzięki czemu będą one teraz pojawiać się jako odniesienia w dokumentach ustawodawczych; z uznaniem zauważa, że Komitet przyjął również wewnętrzny plan mający na celu lepsze przewidywanie priorytetów Unii, poprawę koordynacji międzyinstytucjonalnej, wzmocnienie rozpowszechniania i monitorowania oraz bardziej systematyczne mierzenie wpływu;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docenia działania podjęte przez Komitet w 2024 r. w celu poprawy dostępności, jasności i użyteczności jego opinii dla instytucji Unii;</w:t>
            </w:r>
            <w:r>
              <w:t xml:space="preserve"> </w:t>
            </w:r>
            <w:r>
              <w:rPr>
                <w:b/>
                <w:i/>
              </w:rPr>
              <w:t>podkreśla, że takie działania mają na celu zwiększenie zdolności prawodawców do podejmowania świadomych decyzji;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z zadowoleniem odnotowuje, że Komitet przedstawił kilka inicjatyw przewodnich, które poprawiły uczestnictwo, włączenie społeczne i wpływ polityki w całej Unii; zauważa, że od września 2024 r. Komitet przejął inicjatywę w realizowaniu w procesie formułowania opinii testu młodzieżowego w EKES-ie, angażując sieć 73 organizacji młodzieżowych i poddając temu testowi około 40 opinii; zauważa ponadto, że Komitet rozszerzył swoje zaangażowanie w działania z krajami kandydującymi dzięki inicjatywie „Członkowie-obserwatorzy z kraju kandydującego”, która umożliwiła 146 przedstawicielom społeczeństwa obywatelskiego bezpośredni wkład w opinie Komitetu przez udział w grupach analitycznych, posiedzeniach sekcji i posiedzeniu plenarnym (które odbyło się w październiku 2024 r.); wyraża uznanie dla Komitetu za promowanie Niebieskiego Ładu UE, który pomógł uwzględnić kwestię odporności wodnej w programie działań Unii; podkreśla, że Komitet nadal przewodniczył europejskiej platformie zainteresowanych stron gospodarki o obiegu zamkniętym oraz współorganizował w 2024 r. nagrody ekologiczne UE, dzięki czemu wzmacniał powiązania z podmiotami społeczeństwa obywatelskiego zajmującymi się rolnictwem ekologicznym;</w:t>
            </w:r>
          </w:p>
        </w:tc>
        <w:tc>
          <w:tcPr>
            <w:tcW w:w="4876" w:type="dxa"/>
            <w:tcBorders>
              <w:top w:val="nil"/>
              <w:left w:val="nil"/>
              <w:bottom w:val="nil"/>
              <w:right w:val="nil"/>
            </w:tcBorders>
          </w:tcPr>
          <w:p>
            <w:pPr>
              <w:pStyle w:val="Normal6a"/>
            </w:pPr>
            <w:r>
              <w:t>16.</w:t>
            </w:r>
            <w:r>
              <w:tab/>
            </w:r>
            <w:r>
              <w:t xml:space="preserve">z zadowoleniem odnotowuje, że Komitet przedstawił kilka inicjatyw przewodnich, które poprawiły uczestnictwo, włączenie społeczne i wpływ polityki w całej Unii; zauważa, że od września 2024 r. Komitet przejął inicjatywę w realizowaniu w procesie formułowania opinii testu młodzieżowego w EKES-ie, angażując sieć 73 organizacji młodzieżowych i poddając temu testowi około 40 opinii; zauważa ponadto, że Komitet rozszerzył swoje zaangażowanie w działania z krajami kandydującymi dzięki inicjatywie „Członkowie-obserwatorzy z kraju kandydującego”, która umożliwiła 146 przedstawicielom społeczeństwa obywatelskiego bezpośredni wkład w opinie Komitetu przez udział w grupach analitycznych, posiedzeniach sekcji i posiedzeniu plenarnym (które odbyło się w październiku 2024 r.); </w:t>
            </w:r>
            <w:r>
              <w:rPr>
                <w:b/>
                <w:i/>
              </w:rPr>
              <w:t>z zadowoleniem przyjmuje tę inicjatywę jako pozytywny wkład w pluralistyczny dialog i przygotowanie do przyszłego rozszerzenia;</w:t>
            </w:r>
            <w:r>
              <w:t xml:space="preserve"> wyraża uznanie dla Komitetu za promowanie Niebieskiego Ładu UE, który pomógł uwzględnić kwestię odporności wodnej w programie działań Unii; podkreśla, że Komitet nadal przewodniczył europejskiej platformie zainteresowanych stron gospodarki o obiegu zamkniętym oraz współorganizował w 2024 r. nagrody ekologiczne UE, dzięki czemu wzmacniał powiązania z podmiotami społeczeństwa obywatelskiego zajmującymi się rolnictwem ekologicznym; </w:t>
            </w:r>
            <w:r>
              <w:rPr>
                <w:b/>
                <w:i/>
              </w:rPr>
              <w:t>zachęca do dalszego dostosowywania się do strategicznych celów polityki UE i wymiernych wyników;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z zadowoleniem odnotowuje, że Komitet przedstawił kilka inicjatyw przewodnich, które poprawiły uczestnictwo, włączenie społeczne i wpływ polityki w całej Unii; zauważa, że od września 2024 r. Komitet przejął inicjatywę w realizowaniu w procesie formułowania opinii testu młodzieżowego w EKES-ie, angażując sieć 73 organizacji młodzieżowych i poddając temu testowi około 40 opinii; zauważa ponadto, że Komitet rozszerzył swoje zaangażowanie w działania z krajami kandydującymi dzięki inicjatywie „Członkowie-obserwatorzy z kraju kandydującego”, która umożliwiła 146 przedstawicielom społeczeństwa obywatelskiego bezpośredni wkład w opinie Komitetu przez udział w grupach analitycznych, posiedzeniach sekcji i posiedzeniu plenarnym (które odbyło się w październiku 2024 r.); wyraża uznanie dla Komitetu za promowanie Niebieskiego Ładu UE, który pomógł uwzględnić kwestię odporności wodnej w programie działań Unii; podkreśla, że Komitet nadal przewodniczył europejskiej platformie zainteresowanych stron gospodarki o obiegu zamkniętym oraz współorganizował w 2024 r. nagrody ekologiczne UE, dzięki czemu wzmacniał powiązania z podmiotami społeczeństwa obywatelskiego zajmującymi się rolnictwem ekologicznym;</w:t>
            </w:r>
          </w:p>
        </w:tc>
        <w:tc>
          <w:tcPr>
            <w:tcW w:w="4876" w:type="dxa"/>
            <w:tcBorders>
              <w:top w:val="nil"/>
              <w:left w:val="nil"/>
              <w:bottom w:val="nil"/>
              <w:right w:val="nil"/>
            </w:tcBorders>
          </w:tcPr>
          <w:p>
            <w:pPr>
              <w:pStyle w:val="Normal6a"/>
            </w:pPr>
            <w:r>
              <w:t>16.</w:t>
            </w:r>
            <w:r>
              <w:tab/>
            </w:r>
            <w:r>
              <w:t>z zadowoleniem odnotowuje, że Komitet przedstawił kilka inicjatyw przewodnich, które poprawiły uczestnictwo, włączenie społeczne i wpływ polityki w całej Unii; zauważa, że od września 2024 r. Komitet przejął inicjatywę w realizowaniu w procesie formułowania opinii testu młodzieżowego w EKES-ie, angażując sieć 73 organizacji młodzieżowych i poddając temu testowi około 40 opinii</w:t>
            </w:r>
            <w:r>
              <w:rPr>
                <w:b/>
                <w:i/>
              </w:rPr>
              <w:t>;</w:t>
            </w:r>
            <w:r>
              <w:t xml:space="preserve"> </w:t>
            </w:r>
            <w:r>
              <w:rPr>
                <w:b/>
                <w:i/>
              </w:rPr>
              <w:t>z zadowoleniem przyjmuje i popiera inicjatywy Komitetu mające na celu zwiększenie udziału młodych ludzi w procesie kształtowania polityki</w:t>
            </w:r>
            <w:r>
              <w:t>; zauważa ponadto, że Komitet rozszerzył swoje zaangażowanie w działania z krajami kandydującymi dzięki inicjatywie „Członkowie-obserwatorzy z kraju kandydującego”, która umożliwiła 146 przedstawicielom społeczeństwa obywatelskiego bezpośredni wkład w opinie Komitetu przez udział w grupach analitycznych, posiedzeniach sekcji i posiedzeniu plenarnym (które odbyło się w październiku 2024 r.); wyraża uznanie dla Komitetu za promowanie Niebieskiego Ładu UE, który pomógł uwzględnić kwestię odporności wodnej w programie działań Unii; podkreśla, że Komitet nadal przewodniczył europejskiej platformie zainteresowanych stron gospodarki o obiegu zamkniętym oraz współorganizował w 2024 r. nagrody ekologiczne UE, dzięki czemu wzmacniał powiązania z podmiotami społeczeństwa obywatelskiego zajmującymi się rolnictwem ekologicznym;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z zadowoleniem odnotowuje </w:t>
            </w:r>
            <w:r>
              <w:rPr>
                <w:b/>
                <w:i/>
              </w:rPr>
              <w:t>zawarte</w:t>
            </w:r>
            <w:r>
              <w:t xml:space="preserve"> w kwestionariuszu działania Komitetu mające na celu zmniejszenie obciążeń administracyjnych i usprawnienie procesów w 2024 r.; w tym kontekście z zadowoleniem przyjmuje uruchomienie nowego, bardziej wydajnego programu rejestracji odwiedzających, wykorzystanie oprogramowania do współpracy przez niektórych pracowników, utworzenie międzydyrekcyjnej grupy roboczej, która reguluje stosowanie metodologii zarządzania procesami biznesowymi Komitetu, uproszczenie procedury weryfikacji w odniesieniu do tłumaczeń zlecanych na zewnątrz, połączenie kilku działów językowych oraz uproszczenie zasad komunikacji Komitetu; </w:t>
            </w:r>
            <w:r>
              <w:rPr>
                <w:b/>
                <w:i/>
              </w:rPr>
              <w:t>z zainteresowaniem</w:t>
            </w:r>
            <w:r>
              <w:t xml:space="preserve"> zauważa, że w celu oszczędności zasobów Komitet podejmuje działania pilotażowe z wykorzystaniem sztucznej inteligencji (AI) w celu przekształcenia Dyrekcji Tłumaczeń Pisemnych; zwraca się do Komitetu o informowanie organu udzielającego absolutorium o postępach w tej kwestii;</w:t>
            </w:r>
          </w:p>
        </w:tc>
        <w:tc>
          <w:tcPr>
            <w:tcW w:w="4876" w:type="dxa"/>
            <w:tcBorders>
              <w:top w:val="nil"/>
              <w:left w:val="nil"/>
              <w:bottom w:val="nil"/>
              <w:right w:val="nil"/>
            </w:tcBorders>
          </w:tcPr>
          <w:p>
            <w:pPr>
              <w:pStyle w:val="Normal6a"/>
            </w:pPr>
            <w:r>
              <w:t>17.</w:t>
            </w:r>
            <w:r>
              <w:tab/>
            </w:r>
            <w:r>
              <w:t xml:space="preserve">z zadowoleniem odnotowuje </w:t>
            </w:r>
            <w:r>
              <w:rPr>
                <w:b/>
                <w:i/>
              </w:rPr>
              <w:t>wymienione</w:t>
            </w:r>
            <w:r>
              <w:t xml:space="preserve"> w kwestionariuszu działania Komitetu mające na celu zmniejszenie obciążeń administracyjnych i usprawnienie procesów w 2024 r.; w tym kontekście z zadowoleniem przyjmuje uruchomienie nowego, bardziej wydajnego programu rejestracji odwiedzających, wykorzystanie oprogramowania do współpracy przez niektórych pracowników, utworzenie międzydyrekcyjnej grupy roboczej, która reguluje stosowanie metodologii zarządzania procesami biznesowymi Komitetu, uproszczenie procedury weryfikacji w odniesieniu do tłumaczeń zlecanych na zewnątrz, połączenie kilku działów językowych oraz uproszczenie zasad komunikacji Komitetu; zauważa, że w celu oszczędności zasobów Komitet podejmuje działania pilotażowe z wykorzystaniem sztucznej inteligencji (AI) w celu przekształcenia Dyrekcji Tłumaczeń Pisemnych; </w:t>
            </w:r>
            <w:r>
              <w:rPr>
                <w:b/>
                <w:i/>
              </w:rPr>
              <w:t>podkreśla, że wykorzystanie AI musi odbywać się pod nadzorem człowieka;</w:t>
            </w:r>
            <w:r>
              <w:t xml:space="preserve"> zwraca się do Komitetu o informowanie organu udzielającego absolutorium o postępach w tej kwestii;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zachęca Komitet do przyspieszenia rozwoju kompleksowej strategii transformacji cyfrowej, obejmującej sztuczną inteligencję, automatyzację, interoperacyjność i zarządzanie danymi, wraz z ramami etycznymi zapewniającymi bezpieczne, odpowiedzialne i przejrzyste wykorzystanie nowo powstających technologii;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z zainteresowaniem odnotowuje zawarte w kwestionariuszu informacje o staraniach Komitetu na rzecz przyjęcia bardziej strategicznego podejścia do ustalania priorytetów w zakresie działań związanych ze skutkami oraz wprowadzenia zarządzania skutkami do centrum procesu decyzyjnego; w tym kontekście odnotowuje organizację trzech seminariów strategicznych wysokiego szczebla z udziałem przywódców politycznych w latach 2024 i 2025, podczas których ćwiczenia prognostyczne stanowiły podstawę opracowania kryteriów ustalania lub obniżania priorytetów inicjatyw oraz zapewnienia zgodności tematycznej z długoterminowymi potrzebami społeczeństwa obywatelskiego, a także służyły innym celom; zauważa, że proces ustalania priorytetów będzie stanowił jedno z podstawowych działań Komitetu, ponieważ będzie przeprowadzany corocznie i uzupełniany co 2,5 roku w drodze przeglądu wszystkich organów, działań i ważnych wydarzeń Komitetu;</w:t>
            </w:r>
          </w:p>
        </w:tc>
        <w:tc>
          <w:tcPr>
            <w:tcW w:w="4876" w:type="dxa"/>
            <w:tcBorders>
              <w:top w:val="nil"/>
              <w:left w:val="nil"/>
              <w:bottom w:val="nil"/>
              <w:right w:val="nil"/>
            </w:tcBorders>
          </w:tcPr>
          <w:p>
            <w:pPr>
              <w:pStyle w:val="Normal6a"/>
            </w:pPr>
            <w:r>
              <w:t>18.</w:t>
            </w:r>
            <w:r>
              <w:tab/>
            </w:r>
            <w:r>
              <w:t>z zainteresowaniem odnotowuje zawarte w kwestionariuszu informacje o staraniach Komitetu na rzecz przyjęcia bardziej strategicznego podejścia do ustalania priorytetów w zakresie działań związanych ze skutkami oraz wprowadzenia zarządzania skutkami do centrum procesu decyzyjnego; w tym kontekście odnotowuje organizację trzech seminariów strategicznych wysokiego szczebla z udziałem przywódców politycznych w latach 2024 i 2025, podczas których ćwiczenia prognostyczne stanowiły podstawę opracowania kryteriów ustalania lub obniżania priorytetów inicjatyw oraz zapewnienia zgodności tematycznej z długoterminowymi potrzebami społeczeństwa obywatelskiego, a także służyły innym celom; zauważa, że proces ustalania priorytetów będzie stanowił jedno z podstawowych działań Komitetu, ponieważ będzie przeprowadzany corocznie i uzupełniany co 2,5 roku w drodze przeglądu wszystkich organów, działań i ważnych wydarzeń Komitetu;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w odniesieniu do kontroli zgodności w 2024 r. odnotowuje wysoki poziom zgodności, wynoszący średnio 85 % (87 % w 2023 r.); ubolewa, że skuteczność systemu kontroli wewnętrznej spadła z 78 % do 66 %; zauważa w tym kontekście rozbieżność między formalną zgodnością a praktyczną skutecznością w codziennych działaniach; </w:t>
            </w:r>
            <w:r>
              <w:rPr>
                <w:b/>
                <w:i/>
              </w:rPr>
              <w:t>zauważa, że należy podjąć starania w obszarze między innymi komunikacji</w:t>
            </w:r>
            <w:r>
              <w:t xml:space="preserve"> wewnętrznej, świadomości ryzyka </w:t>
            </w:r>
            <w:r>
              <w:rPr>
                <w:b/>
                <w:i/>
              </w:rPr>
              <w:t>oraz</w:t>
            </w:r>
            <w:r>
              <w:t xml:space="preserve"> modernizacji systemów zarządzania dokumentami i informacjami; odnotowuje ponadto, że w 2024 r. Komitet przyjął zmienioną decyzję w sprawie uproszczenia 23 rodzajów weryfikacji, mającą zastosowanie od stycznia 2025 r.; na podstawie kwestionariusza z zadowoleniem przyjmuje fakt, że kontrole ex post już przeprowadzone w odniesieniu do tych weryfikacji potwierdziły, iż uproszczenie nie spowodowało dodatkowego ryzyka;</w:t>
            </w:r>
          </w:p>
        </w:tc>
        <w:tc>
          <w:tcPr>
            <w:tcW w:w="4876" w:type="dxa"/>
            <w:tcBorders>
              <w:top w:val="nil"/>
              <w:left w:val="nil"/>
              <w:bottom w:val="nil"/>
              <w:right w:val="nil"/>
            </w:tcBorders>
          </w:tcPr>
          <w:p>
            <w:pPr>
              <w:pStyle w:val="Normal6a"/>
            </w:pPr>
            <w:r>
              <w:t>19.</w:t>
            </w:r>
            <w:r>
              <w:tab/>
            </w:r>
            <w:r>
              <w:t xml:space="preserve">w odniesieniu do kontroli zgodności w 2024 r. odnotowuje wysoki poziom zgodności, wynoszący średnio 85 % (87 % w 2023 r.); ubolewa, że skuteczność systemu kontroli wewnętrznej spadła z 78 % do 66 %; zauważa w tym kontekście rozbieżność między formalną zgodnością a praktyczną skutecznością w codziennych działaniach; </w:t>
            </w:r>
            <w:r>
              <w:rPr>
                <w:b/>
                <w:i/>
              </w:rPr>
              <w:t>wzywa Komitet do zajęcia się strukturalnymi przyczynami spadku skuteczności kontroli</w:t>
            </w:r>
            <w:r>
              <w:t xml:space="preserve"> wewnętrznej, </w:t>
            </w:r>
            <w:r>
              <w:rPr>
                <w:b/>
                <w:i/>
              </w:rPr>
              <w:t>w szczególności m.in. przez wzmocnienie kultury</w:t>
            </w:r>
            <w:r>
              <w:t xml:space="preserve"> świadomości ryzyka</w:t>
            </w:r>
            <w:r>
              <w:rPr>
                <w:b/>
                <w:i/>
              </w:rPr>
              <w:t>, poprawę wewnętrznych kanałów komunikacji oraz przyspieszenie</w:t>
            </w:r>
            <w:r>
              <w:t xml:space="preserve"> modernizacji systemów zarządzania dokumentami i informacjami; odnotowuje ponadto, że w 2024 r. Komitet przyjął zmienioną decyzję w sprawie uproszczenia 23 rodzajów weryfikacji, mającą zastosowanie od stycznia 2025 r.; na podstawie kwestionariusza z zadowoleniem przyjmuje fakt, że kontrole ex post już przeprowadzone w odniesieniu do tych weryfikacji potwierdziły, iż uproszczenie nie spowodowało dodatkowego ryzyka;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w odniesieniu do kontroli zgodności w 2024 r. odnotowuje wysoki poziom zgodności, wynoszący średnio 85 % (87 % w 2023 r.); ubolewa, że skuteczność systemu kontroli wewnętrznej spadła z 78 % do 66 %; zauważa w tym kontekście rozbieżność między formalną zgodnością a praktyczną skutecznością w codziennych działaniach; zauważa, że należy podjąć starania w obszarze między innymi komunikacji wewnętrznej, świadomości ryzyka oraz modernizacji systemów zarządzania dokumentami i informacjami; odnotowuje ponadto, że w 2024 r. Komitet przyjął zmienioną decyzję w sprawie uproszczenia 23 rodzajów weryfikacji, mającą zastosowanie od stycznia 2025 r.; na podstawie kwestionariusza z zadowoleniem przyjmuje fakt, że kontrole ex post już przeprowadzone w odniesieniu do tych weryfikacji potwierdziły, iż uproszczenie nie spowodowało dodatkowego ryzyka;</w:t>
            </w:r>
          </w:p>
        </w:tc>
        <w:tc>
          <w:tcPr>
            <w:tcW w:w="4876" w:type="dxa"/>
            <w:tcBorders>
              <w:top w:val="nil"/>
              <w:left w:val="nil"/>
              <w:bottom w:val="nil"/>
              <w:right w:val="nil"/>
            </w:tcBorders>
          </w:tcPr>
          <w:p>
            <w:pPr>
              <w:pStyle w:val="Normal6a"/>
            </w:pPr>
            <w:r>
              <w:t>19.</w:t>
            </w:r>
            <w:r>
              <w:tab/>
            </w:r>
            <w:r>
              <w:t>w odniesieniu do kontroli zgodności w 2024 r. odnotowuje wysoki poziom zgodności, wynoszący średnio 85 % (87 % w 2023 r.); ubolewa, że skuteczność systemu kontroli wewnętrznej spadła z 78 % do 66 %; zauważa w tym kontekście rozbieżność między formalną zgodnością a praktyczną skutecznością w codziennych działaniach; zauważa, że należy podjąć starania w obszarze między innymi komunikacji wewnętrznej, świadomości ryzyka oraz modernizacji systemów zarządzania dokumentami i informacjami; odnotowuje ponadto, że w 2024 r. Komitet przyjął zmienioną decyzję w sprawie uproszczenia 23 rodzajów weryfikacji, mającą zastosowanie od stycznia 2025 r.; na podstawie kwestionariusza z zadowoleniem przyjmuje fakt, że kontrole ex post już przeprowadzone w odniesieniu do tych weryfikacji potwierdziły, iż uproszczenie nie spowodowało dodatkowego ryzyka;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odnotowuje roczne sprawozdanie z działalności Komitetu za rok 2024 („sprawozdanie Komitetu”), zgodnie z którym w 2024 r. przeprowadzono pięć nowych audytów dotyczących dodatków związanych z czasem trwania i odległością podróży, zarządzania ryzykiem, wniosków o wydanie opinii, kluczowych wskaźników aktywności i wydajności oraz kosztów podróży, w wyniku których sformułowano łącznie 14 zaleceń; zwraca szczególną uwagę na ustalenia audytora wewnętrznego dotyczące dodatków związanych z czasem trwania i odległością podróży, takie jak brak jasnej definicji „miejsca zwykłego pobytu” i brak wymogów dotyczących dokumentacji uzupełniającej; zauważa ponadto, że na koniec stycznia 2025 r. 13 zaleceń pozostawało otwartych; zauważa również, że siedem zaleceń z poprzednich kontroli pozostaje nadal otwartych, w szczególności dotyczących etyki i uczciwości, terminów płatności, zezwoleń na posiedzenia, delegatów Komisji Konsultacyjnej ds. Przemian w Przemyśle (CCMI) oraz cyklu strategicznego; w tym kontekście z zadowoleniem przyjmuje fakt, że Komitet przyjął nowe zasady dotyczące zezwoleń na posiedzenia, dodatków i zwrotów kosztów; </w:t>
            </w:r>
            <w:r>
              <w:rPr>
                <w:b/>
                <w:i/>
              </w:rPr>
              <w:t>zachęca Komitet do dalszego informowania</w:t>
            </w:r>
            <w:r>
              <w:t xml:space="preserve"> organu udzielającego absolutorium o postępach </w:t>
            </w:r>
            <w:r>
              <w:rPr>
                <w:b/>
                <w:i/>
              </w:rPr>
              <w:t>w realizacji</w:t>
            </w:r>
            <w:r>
              <w:t xml:space="preserve"> wszystkich bieżących zaleceń;</w:t>
            </w:r>
          </w:p>
        </w:tc>
        <w:tc>
          <w:tcPr>
            <w:tcW w:w="4876" w:type="dxa"/>
            <w:tcBorders>
              <w:top w:val="nil"/>
              <w:left w:val="nil"/>
              <w:bottom w:val="nil"/>
              <w:right w:val="nil"/>
            </w:tcBorders>
          </w:tcPr>
          <w:p>
            <w:pPr>
              <w:pStyle w:val="Normal6a"/>
            </w:pPr>
            <w:r>
              <w:t>20.</w:t>
            </w:r>
            <w:r>
              <w:tab/>
            </w:r>
            <w:r>
              <w:t xml:space="preserve">odnotowuje roczne sprawozdanie z działalności Komitetu za rok 2024 („sprawozdanie Komitetu”), zgodnie z którym w 2024 r. przeprowadzono pięć nowych audytów dotyczących dodatków związanych z czasem trwania i odległością podróży, zarządzania ryzykiem, wniosków o wydanie opinii, kluczowych wskaźników aktywności i wydajności oraz kosztów podróży, w wyniku których sformułowano łącznie 14 zaleceń; zwraca szczególną uwagę na ustalenia audytora wewnętrznego dotyczące dodatków związanych z czasem trwania i odległością podróży, takie jak brak jasnej definicji „miejsca zwykłego pobytu” i brak wymogów dotyczących dokumentacji uzupełniającej; zauważa ponadto, że na koniec stycznia 2025 r. 13 zaleceń pozostawało otwartych; zauważa również, że siedem zaleceń z poprzednich kontroli pozostaje nadal otwartych, w szczególności dotyczących etyki i uczciwości, terminów płatności, zezwoleń na posiedzenia, delegatów Komisji Konsultacyjnej ds. Przemian w Przemyśle (CCMI) oraz cyklu strategicznego; w tym kontekście z zadowoleniem przyjmuje fakt, że Komitet przyjął nowe zasady dotyczące zezwoleń na posiedzenia, dodatków i zwrotów kosztów; </w:t>
            </w:r>
            <w:r>
              <w:rPr>
                <w:b/>
                <w:i/>
              </w:rPr>
              <w:t>zwraca się do Komitetu o zapewnienie szybkiego zamknięcia wszystkich zaległych zaleceń z audytu, w szczególności tych związanych z dodatkami, etyką i uczciwością, oraz o dalsze informowanie</w:t>
            </w:r>
            <w:r>
              <w:t xml:space="preserve"> organu udzielającego absolutorium o postępach </w:t>
            </w:r>
            <w:r>
              <w:rPr>
                <w:b/>
                <w:i/>
              </w:rPr>
              <w:t>poczynionych we wdrażaniu</w:t>
            </w:r>
            <w:r>
              <w:t xml:space="preserve"> wszystkich bieżących zaleceń;</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podkreśla znaczenie zamówień publicznych jako narzędzia realizacji celów politycznych, w tym celów społecznych i środowiskowych;</w:t>
            </w:r>
            <w:r>
              <w:t xml:space="preserve"> </w:t>
            </w:r>
            <w:r>
              <w:rPr>
                <w:b/>
                <w:i/>
              </w:rPr>
              <w:t>wzywa Komitet, aby w większym stopniu uwzględniał w swoich procedurach udzielania zamówień kryteria strategiczne dotyczące odpowiedzialności społecznej i zrównoważenia środowiskowego;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zauważa, że na koniec 2024 r. Komitet zatrudniał ogółem 713 pracowników, podczas gdy w 2023 r. było ich 707; zauważa ponadto, że w 2024 r. zatrudnionych było 48 pracowników kontraktowych i 144 pracowników zatrudnionych na czas określony (z czego 42 zatrudniono w 2024 r.) (podczas gdy w 2023 r. pracowników kontraktowych było 49, a pracowników zatrudnionych na czas określony – 130); podkreśla znaczenie </w:t>
            </w:r>
            <w:r>
              <w:rPr>
                <w:b/>
                <w:i/>
              </w:rPr>
              <w:t>zapewnienia umów o pracę</w:t>
            </w:r>
            <w:r>
              <w:t xml:space="preserve"> na czas nieokreślony w celu utrzymania umiejętności, ciągłości </w:t>
            </w:r>
            <w:r>
              <w:rPr>
                <w:b/>
                <w:i/>
              </w:rPr>
              <w:t>i</w:t>
            </w:r>
            <w:r>
              <w:t xml:space="preserve"> produktywnego środowiska pracy; zauważa także, że Komitet zatrudniał 10 usługodawców i 14 pracowników zewnętrznych pracujących na miejscu, z wyłączeniem pracowników gastronomii, konserwacji, ochrony i bezpieczeństwa; odnotowuje, że w 2024 r. wskaźnik obsadzenia stanowisk wyniósł 96 % (95,50 % w 2023 r.), a wskaźnik rotacji pracowników wyniósł 5,60 % (spadek z 7 % w 2023 r.);</w:t>
            </w:r>
          </w:p>
        </w:tc>
        <w:tc>
          <w:tcPr>
            <w:tcW w:w="4876" w:type="dxa"/>
            <w:tcBorders>
              <w:top w:val="nil"/>
              <w:left w:val="nil"/>
              <w:bottom w:val="nil"/>
              <w:right w:val="nil"/>
            </w:tcBorders>
          </w:tcPr>
          <w:p>
            <w:pPr>
              <w:pStyle w:val="Normal6a"/>
            </w:pPr>
            <w:r>
              <w:t>21.</w:t>
            </w:r>
            <w:r>
              <w:tab/>
            </w:r>
            <w:r>
              <w:t xml:space="preserve">zauważa, że na koniec 2024 r. Komitet zatrudniał ogółem 713 pracowników, podczas gdy w 2023 r. było ich 707; zauważa ponadto, że w 2024 r. zatrudnionych było 48 pracowników kontraktowych i 144 pracowników zatrudnionych na czas określony (z czego 42 zatrudniono w 2024 r.) (podczas gdy w 2023 r. pracowników kontraktowych było 49, a pracowników zatrudnionych na czas określony – 130); podkreśla znaczenie </w:t>
            </w:r>
            <w:r>
              <w:rPr>
                <w:b/>
                <w:i/>
              </w:rPr>
              <w:t>zawierania umów</w:t>
            </w:r>
            <w:r>
              <w:t xml:space="preserve"> na czas nieokreślony w celu utrzymania umiejętności, ciągłości </w:t>
            </w:r>
            <w:r>
              <w:rPr>
                <w:b/>
                <w:i/>
              </w:rPr>
              <w:t>oraz</w:t>
            </w:r>
            <w:r>
              <w:t xml:space="preserve"> produktywnego </w:t>
            </w:r>
            <w:r>
              <w:rPr>
                <w:b/>
                <w:i/>
              </w:rPr>
              <w:t>i stabilnego</w:t>
            </w:r>
            <w:r>
              <w:t xml:space="preserve"> środowiska pracy</w:t>
            </w:r>
            <w:r>
              <w:rPr>
                <w:b/>
                <w:i/>
              </w:rPr>
              <w:t>, a także przestrzega przed nadmiernym poleganiem na usługodawcach zewnętrznych</w:t>
            </w:r>
            <w:r>
              <w:t>; zauważa także, że Komitet zatrudniał 10 usługodawców i 14 pracowników zewnętrznych pracujących na miejscu, z wyłączeniem pracowników gastronomii, konserwacji, ochrony i bezpieczeństwa; odnotowuje, że w 2024 r. wskaźnik obsadzenia stanowisk wyniósł 96 % (95,50 % w 2023 r.), a wskaźnik rotacji pracowników wyniósł 5,60 % (spadek z 7 % w 2023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zauważa, że w 2024 r. Komitet zatrudniał pracowników reprezentujących wszystkie narodowości UE, przy czym niektóre z nich były nadmiernie reprezentowane; zauważa, że 62,70 % pracowników stanowiły kobiety, a 37,30 % – mężczyźni; na podstawie sprawozdania z działań następczych zauważa, że kobiety zajmują 52 % stanowisk kierowniczych, co czyni Komitet liderem w </w:t>
            </w:r>
            <w:r>
              <w:rPr>
                <w:b/>
                <w:i/>
              </w:rPr>
              <w:t>tej dziedzinie</w:t>
            </w:r>
            <w:r>
              <w:t xml:space="preserve">; ubolewa jednak, że odsetek kobiet wśród kadry kierowniczej najwyższego szczebla pozostał niski w 2024 r., przy czym kobiety zajmują obecnie tylko dwa z siedmiu stanowisk kierowniczych najwyższego szczebla, a więc tyle samo co w 2023 r.; </w:t>
            </w:r>
            <w:r>
              <w:rPr>
                <w:b/>
                <w:i/>
              </w:rPr>
              <w:t>uznaje, że jedną z przyczyn niskiego udziału kobiet na tych stanowiskach jest niski wskaźnik rotacji pracowników wynikający z wielkości Komitetu;</w:t>
            </w:r>
            <w:r>
              <w:t xml:space="preserve"> </w:t>
            </w:r>
            <w:r>
              <w:rPr>
                <w:b/>
                <w:i/>
              </w:rPr>
              <w:t>z zadowoleniem przyjmuje zobowiązanie Komitetu do podnoszenia świadomości w tej kwestii wśród organów powołujących, promowania równowagi płci przy mianowaniu na stanowiska oraz podejmowania ukierunkowanych działań za pośrednictwem Forum Kobiet i Forum Zarządzania, które wspierają rozwój umiejętności przywódczych i awans zawodowy kobiet na stanowiskach kierowniczych średniego szczebla;</w:t>
            </w:r>
          </w:p>
        </w:tc>
        <w:tc>
          <w:tcPr>
            <w:tcW w:w="4876" w:type="dxa"/>
            <w:tcBorders>
              <w:top w:val="nil"/>
              <w:left w:val="nil"/>
              <w:bottom w:val="nil"/>
              <w:right w:val="nil"/>
            </w:tcBorders>
          </w:tcPr>
          <w:p>
            <w:pPr>
              <w:pStyle w:val="Normal6a"/>
            </w:pPr>
            <w:r>
              <w:t>24.</w:t>
            </w:r>
            <w:r>
              <w:tab/>
            </w:r>
            <w:r>
              <w:t xml:space="preserve">zauważa, że w 2024 r. Komitet zatrudniał pracowników reprezentujących wszystkie narodowości UE, przy czym niektóre z nich były nadmiernie reprezentowane; zauważa, że 62,70 % pracowników stanowiły kobiety, a 37,30 % – mężczyźni; na podstawie sprawozdania z działań następczych zauważa, że kobiety zajmują 52 % stanowisk kierowniczych, co czyni Komitet liderem w </w:t>
            </w:r>
            <w:r>
              <w:rPr>
                <w:b/>
                <w:i/>
              </w:rPr>
              <w:t>tym zakresie</w:t>
            </w:r>
            <w:r>
              <w:t>; ubolewa jednak, że odsetek kobiet wśród kadry kierowniczej najwyższego szczebla pozostał niski w 2024 r., przy czym kobiety zajmują obecnie tylko dwa z siedmiu stanowisk kierowniczych najwyższego szczebla, a więc tyle samo co w 2023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zauważa, że w 2024 r. Komitet zatrudniał pracowników reprezentujących wszystkie narodowości UE, przy czym niektóre z nich były nadmiernie reprezentowane; zauważa, że 62,70 % pracowników stanowiły kobiety, a 37,30 % – mężczyźni; na podstawie sprawozdania z działań następczych zauważa, że kobiety zajmują 52 % stanowisk kierowniczych, co czyni Komitet liderem w </w:t>
            </w:r>
            <w:r>
              <w:rPr>
                <w:b/>
                <w:i/>
              </w:rPr>
              <w:t>tej dziedzinie</w:t>
            </w:r>
            <w:r>
              <w:t>; ubolewa jednak, że odsetek kobiet wśród kadry kierowniczej najwyższego szczebla pozostał niski w 2024 r., przy czym kobiety zajmują obecnie tylko dwa z siedmiu stanowisk kierowniczych najwyższego szczebla, a więc tyle samo co w 2023 r.; uznaje, że jedną z przyczyn niskiego udziału kobiet na tych stanowiskach jest niski wskaźnik rotacji pracowników wynikający z wielkości Komitetu; z zadowoleniem przyjmuje zobowiązanie Komitetu do podnoszenia świadomości w tej kwestii wśród organów powołujących, promowania równowagi płci przy mianowaniu na stanowiska oraz podejmowania ukierunkowanych działań za pośrednictwem Forum Kobiet i Forum Zarządzania, które wspierają rozwój umiejętności przywódczych i awans zawodowy kobiet na stanowiskach kierowniczych średniego szczebla;</w:t>
            </w:r>
          </w:p>
        </w:tc>
        <w:tc>
          <w:tcPr>
            <w:tcW w:w="4876" w:type="dxa"/>
            <w:tcBorders>
              <w:top w:val="nil"/>
              <w:left w:val="nil"/>
              <w:bottom w:val="nil"/>
              <w:right w:val="nil"/>
            </w:tcBorders>
          </w:tcPr>
          <w:p>
            <w:pPr>
              <w:pStyle w:val="Normal6a"/>
            </w:pPr>
            <w:r>
              <w:t>24.</w:t>
            </w:r>
            <w:r>
              <w:tab/>
            </w:r>
            <w:r>
              <w:t xml:space="preserve">zauważa, że w 2024 r. Komitet zatrudniał pracowników reprezentujących wszystkie narodowości UE, przy czym niektóre z nich były nadmiernie reprezentowane; zauważa, że 62,70 % pracowników stanowiły kobiety, a 37,30 % – mężczyźni; na podstawie sprawozdania z działań następczych zauważa, że kobiety zajmują 52 % stanowisk kierowniczych, co czyni Komitet liderem w </w:t>
            </w:r>
            <w:r>
              <w:rPr>
                <w:b/>
                <w:i/>
              </w:rPr>
              <w:t>tym zakresie</w:t>
            </w:r>
            <w:r>
              <w:t>; ubolewa jednak, że odsetek kobiet wśród kadry kierowniczej najwyższego szczebla pozostał niski w 2024 r., przy czym kobiety zajmują obecnie tylko dwa z siedmiu stanowisk kierowniczych najwyższego szczebla, a więc tyle samo co w 2023 r.</w:t>
            </w:r>
            <w:r>
              <w:rPr>
                <w:b/>
                <w:i/>
              </w:rPr>
              <w:t>;</w:t>
            </w:r>
            <w:r>
              <w:t xml:space="preserve"> </w:t>
            </w:r>
            <w:r>
              <w:rPr>
                <w:b/>
                <w:i/>
              </w:rPr>
              <w:t>uznaje niedawne postępy we wdrażaniu równouprawnienia płci i różnorodności jako priorytetów strategicznych w celu umocnienia inkluzywnej i opartej na szacunku kultury w miejscu pracy;</w:t>
            </w:r>
            <w:r>
              <w:t xml:space="preserve"> </w:t>
            </w:r>
            <w:r>
              <w:rPr>
                <w:b/>
                <w:i/>
              </w:rPr>
              <w:t>z zadowoleniem przyjmuje wdrożenie strategii i planu działania na rzecz różnorodności i włączenia społecznego wraz z ukierunkowanymi programami mentoringu i rozwoju zdolności przywódczych dla kobiet i grup niedostatecznie reprezentowanych</w:t>
            </w:r>
            <w:r>
              <w:t>; uznaje, że jedną z przyczyn niskiego udziału kobiet na tych stanowiskach jest niski wskaźnik rotacji pracowników wynikający z wielkości Komitetu; z zadowoleniem przyjmuje zobowiązanie Komitetu do podnoszenia świadomości w tej kwestii wśród organów powołujących, promowania równowagi płci przy mianowaniu na stanowiska oraz podejmowania ukierunkowanych działań za pośrednictwem Forum Kobiet i Forum Zarządzania, które wspierają rozwój umiejętności przywódczych i awans zawodowy kobiet na stanowiskach kierowniczych średniego szczebla;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zauważa, że w 2024 r. Komitet zatrudniał pracowników reprezentujących wszystkie narodowości UE, przy czym niektóre z nich były nadmiernie reprezentowane; zauważa, że 62,70 % pracowników stanowiły kobiety, a 37,30 % – mężczyźni; na podstawie sprawozdania z działań następczych zauważa, że kobiety zajmują 52 % stanowisk kierowniczych, co czyni Komitet liderem w </w:t>
            </w:r>
            <w:r>
              <w:rPr>
                <w:b/>
                <w:i/>
              </w:rPr>
              <w:t>tej dziedzinie</w:t>
            </w:r>
            <w:r>
              <w:t>; ubolewa jednak, że odsetek kobiet wśród kadry kierowniczej najwyższego szczebla pozostał niski w 2024 r., przy czym kobiety zajmują obecnie tylko dwa z siedmiu stanowisk kierowniczych najwyższego szczebla, a więc tyle samo co w 2023 r.; uznaje, że jedną z przyczyn niskiego udziału kobiet na tych stanowiskach jest niski wskaźnik rotacji pracowników wynikający z wielkości Komitetu; z zadowoleniem przyjmuje zobowiązanie Komitetu do podnoszenia świadomości w tej kwestii wśród organów powołujących, promowania równowagi płci przy mianowaniu na stanowiska oraz podejmowania ukierunkowanych działań za pośrednictwem Forum Kobiet i Forum Zarządzania, które wspierają rozwój umiejętności przywódczych i awans zawodowy kobiet na stanowiskach kierowniczych średniego szczebla;</w:t>
            </w:r>
          </w:p>
        </w:tc>
        <w:tc>
          <w:tcPr>
            <w:tcW w:w="4876" w:type="dxa"/>
            <w:tcBorders>
              <w:top w:val="nil"/>
              <w:left w:val="nil"/>
              <w:bottom w:val="nil"/>
              <w:right w:val="nil"/>
            </w:tcBorders>
          </w:tcPr>
          <w:p>
            <w:pPr>
              <w:pStyle w:val="Normal6a"/>
            </w:pPr>
            <w:r>
              <w:t>24.</w:t>
            </w:r>
            <w:r>
              <w:tab/>
            </w:r>
            <w:r>
              <w:t xml:space="preserve">zauważa, że w 2024 r. Komitet zatrudniał pracowników reprezentujących wszystkie narodowości UE, przy czym niektóre z nich były nadmiernie reprezentowane; zauważa, że 62,70 % pracowników stanowiły kobiety, a 37,30 % – mężczyźni; na podstawie sprawozdania z działań następczych </w:t>
            </w:r>
            <w:r>
              <w:rPr>
                <w:b/>
                <w:i/>
              </w:rPr>
              <w:t>z zadowoleniem</w:t>
            </w:r>
            <w:r>
              <w:t xml:space="preserve"> zauważa, że kobiety zajmują 52 % stanowisk kierowniczych, co czyni Komitet liderem w </w:t>
            </w:r>
            <w:r>
              <w:rPr>
                <w:b/>
                <w:i/>
              </w:rPr>
              <w:t>tym zakresie;</w:t>
            </w:r>
            <w:r>
              <w:t xml:space="preserve"> </w:t>
            </w:r>
            <w:r>
              <w:rPr>
                <w:b/>
                <w:i/>
              </w:rPr>
              <w:t>ponownie wyraża zadowolenie z mianowania kobiety na stanowisko sekretarza generalnego w styczniu 2024 r. jako pozytywny krok w kierunku osiągnięcia równowagi płci</w:t>
            </w:r>
            <w:r>
              <w:t>; ubolewa jednak, że odsetek kobiet wśród kadry kierowniczej najwyższego szczebla pozostał niski w 2024 r., przy czym kobiety zajmują obecnie tylko dwa z siedmiu stanowisk kierowniczych najwyższego szczebla, a więc tyle samo co w 2023 r.; uznaje, że jedną z przyczyn niskiego udziału kobiet na tych stanowiskach jest niski wskaźnik rotacji pracowników wynikający z wielkości Komitetu; z zadowoleniem przyjmuje zobowiązanie Komitetu do podnoszenia świadomości w tej kwestii wśród organów powołujących, promowania równowagi płci przy mianowaniu na stanowiska oraz podejmowania ukierunkowanych działań za pośrednictwem Forum Kobiet i Forum Zarządzania, które wspierają rozwój umiejętności przywódczych i awans zawodowy kobiet na stanowiskach kierowniczych średniego szczebla;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przypomina o zamiarze przyjęcia przez Komitet nowego podejścia do strategicznego planowania zatrudnienia i przydziału pracowników poprzez pozyskiwanie bardziej kompleksowych danych na temat umiejętności pracowników, czynne zasięganie opinii w całej organizacji i refleksje organów politycznych Komitetu na temat priorytetów strategicznych; na podstawie sprawozdania z działań następczych zauważa, że ten nowy rodzaj planowania zostanie wprowadzony w ramach projektu pilotażowego w ograniczonej liczbie służb wybranych na podstawie priorytetów strategicznych; zwraca się do Komitetu o informowanie organu udzielającego absolutorium o postępach i rozwoju sytuacji w tej kwestii;</w:t>
            </w:r>
          </w:p>
        </w:tc>
        <w:tc>
          <w:tcPr>
            <w:tcW w:w="4876" w:type="dxa"/>
            <w:tcBorders>
              <w:top w:val="nil"/>
              <w:left w:val="nil"/>
              <w:bottom w:val="nil"/>
              <w:right w:val="nil"/>
            </w:tcBorders>
          </w:tcPr>
          <w:p>
            <w:pPr>
              <w:pStyle w:val="Normal6a"/>
            </w:pPr>
            <w:r>
              <w:t>25.</w:t>
            </w:r>
            <w:r>
              <w:tab/>
            </w:r>
            <w:r>
              <w:t xml:space="preserve">przypomina o zamiarze przyjęcia przez Komitet nowego podejścia do strategicznego planowania zatrudnienia i przydziału pracowników poprzez pozyskiwanie bardziej kompleksowych danych na temat umiejętności pracowników, czynne zasięganie opinii w całej organizacji i refleksje organów politycznych Komitetu na temat priorytetów strategicznych; na podstawie sprawozdania z działań następczych zauważa, że ten nowy rodzaj planowania zostanie wprowadzony w ramach projektu pilotażowego w ograniczonej liczbie służb wybranych na podstawie priorytetów strategicznych; zwraca się do Komitetu o informowanie organu udzielającego absolutorium o postępach i rozwoju sytuacji w tej kwestii; </w:t>
            </w:r>
            <w:r>
              <w:rPr>
                <w:b/>
                <w:i/>
              </w:rPr>
              <w:t>podkreśla znaczenie strategicznego planowania zatrudnienia dla optymalizacji przydziału zasobów i zapewnienia zgodności z priorytetami wysokiego szczebla;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z zadowoleniem przyjmuje wysiłki Komitetu na rzecz stworzenia zdrowego środowiska pracy dla pracowników; pochwala w szczególności przywiązywanie przez Komitet wagi do zdrowia psychicznego i fizycznego pracowników oraz wysiłki podejmowane w zwiększaniu świadomości na temat kwestii związanych ze zdrowiem; zauważa wdrożone przez Komitet środki dotyczące zarządzania zwolnieniami chorobowymi, takie jak niepełny wymiar czasu pracy z powodów zdrowotnych i rozszerzona praca zdalna, dzięki którym zapewnia się pracownikom długoterminowo nieobecnym z powodu choroby powrót do pracy w odpowiednim czasie; odnotowuje spadek łącznej liczby zarejestrowanych dni zwolnień chorobowych o 7,50 % – z 10 552 dni w 2023 r. do </w:t>
            </w:r>
            <w:r>
              <w:rPr>
                <w:b/>
                <w:i/>
              </w:rPr>
              <w:t>9 763</w:t>
            </w:r>
            <w:r>
              <w:t xml:space="preserve"> dni w 2024 r. – a także spadek wskaźnika nieobecności z 4,08 % w 2023 r. do 3,75 % w 2023 r. (najniższy od 2021 r.); ubolewa, że Komitet po raz kolejny nie jest w stanie dostarczyć danych na temat przypadków wypalenia zawodowego; odnotowuje argumenty Komitetu dotyczące między innymi braku obowiązku udostępniania przez pracowników danych medycznych z góry, faktu, że wypalenie zawodowe nie jest uznaną diagnozą medyczną, a przyczyny wypalenia zawodowego mogą nie być związane z pracą, a także tajemnicy lekarskiej; zauważa, że Komitet gromadzi anonimowe dane statystyczne dotyczące przypadków zdrowia psychicznego, ale dostępne dane nie pozwalają na rozróżnienie między wypaleniem zawodowym związanym z pracą a innymi problemami niezwiązanymi z pracą; podkreśla jednak, że wypalenie zawodowe można również mierzyć bez danych medycznych, ponieważ istnieją narzędzia oceny wypalenia zawodowego związanego z pracą, które można wykorzystać, a Europejska Agencja Bezpieczeństwa i Zdrowia w Pracy (EU-OSHA) popiera stosowanie anonimowych kwestionariuszy do pomiaru czynników stresu i wypalenia zawodowego związanych z pracą, oddzielnie od problemów związanych ze zdrowiem psychicznym niezwiązanych z pracą; apeluje, by Komitet skonsultował się również z Europejskim Inspektorem Ochrony Danych (EIOD) w sprawie gromadzenia danych dotyczących wypalenia zawodowego za pomocą narzędzi medycznych lub niemedycznych oraz by informował organ udzielający absolutorium o </w:t>
            </w:r>
            <w:r>
              <w:rPr>
                <w:b/>
                <w:i/>
              </w:rPr>
              <w:t>dalszych</w:t>
            </w:r>
            <w:r>
              <w:t xml:space="preserve"> działaniach </w:t>
            </w:r>
            <w:r>
              <w:rPr>
                <w:b/>
                <w:i/>
              </w:rPr>
              <w:t>w tej sprawie</w:t>
            </w:r>
            <w:r>
              <w:t>;</w:t>
            </w:r>
          </w:p>
        </w:tc>
        <w:tc>
          <w:tcPr>
            <w:tcW w:w="4876" w:type="dxa"/>
            <w:tcBorders>
              <w:top w:val="nil"/>
              <w:left w:val="nil"/>
              <w:bottom w:val="nil"/>
              <w:right w:val="nil"/>
            </w:tcBorders>
          </w:tcPr>
          <w:p>
            <w:pPr>
              <w:pStyle w:val="Normal6a"/>
            </w:pPr>
            <w:r>
              <w:t>26.</w:t>
            </w:r>
            <w:r>
              <w:tab/>
            </w:r>
            <w:r>
              <w:t xml:space="preserve">z zadowoleniem przyjmuje wysiłki Komitetu na rzecz stworzenia zdrowego środowiska pracy dla pracowników; pochwala w szczególności przywiązywanie przez Komitet wagi do zdrowia psychicznego i fizycznego pracowników oraz wysiłki podejmowane w zwiększaniu świadomości na temat kwestii związanych ze zdrowiem; zauważa wdrożone przez Komitet środki dotyczące zarządzania zwolnieniami chorobowymi, takie jak niepełny wymiar czasu pracy z powodów zdrowotnych i rozszerzona praca zdalna, dzięki którym zapewnia się pracownikom długoterminowo nieobecnym z powodu choroby powrót do pracy w odpowiednim czasie; odnotowuje spadek łącznej liczby zarejestrowanych dni zwolnień chorobowych o 7,50 % – z 10 552 dni w 2023 r. do </w:t>
            </w:r>
            <w:r>
              <w:rPr>
                <w:b/>
                <w:i/>
              </w:rPr>
              <w:t>9763</w:t>
            </w:r>
            <w:r>
              <w:t xml:space="preserve"> dni w 2024 r. – a także spadek wskaźnika nieobecności z 4,08 % w 2023 r. do 3,75 % w 2023 r. (najniższy od 2021 r.); ubolewa, że Komitet po raz kolejny nie jest w stanie dostarczyć danych na temat przypadków wypalenia zawodowego; odnotowuje argumenty Komitetu dotyczące między innymi braku obowiązku udostępniania przez pracowników danych medycznych z góry, faktu, że wypalenie zawodowe nie jest uznaną diagnozą medyczną, a przyczyny wypalenia zawodowego mogą nie być związane z pracą, a także tajemnicy lekarskiej; zauważa, że Komitet gromadzi anonimowe dane statystyczne dotyczące przypadków zdrowia psychicznego, ale dostępne dane nie pozwalają na rozróżnienie między wypaleniem zawodowym związanym z pracą a innymi problemami niezwiązanymi z pracą; podkreśla jednak, że wypalenie zawodowe można również mierzyć bez danych medycznych, ponieważ istnieją narzędzia oceny wypalenia zawodowego związanego z pracą, które można wykorzystać, a Europejska Agencja Bezpieczeństwa i Zdrowia w Pracy (EU-OSHA) popiera stosowanie anonimowych kwestionariuszy do pomiaru czynników stresu i wypalenia zawodowego związanych z pracą, oddzielnie od problemów związanych ze zdrowiem psychicznym niezwiązanych z pracą; apeluje, by Komitet skonsultował się również z Europejskim Inspektorem Ochrony Danych (EIOD) w sprawie gromadzenia danych dotyczących wypalenia zawodowego za pomocą narzędzi medycznych lub niemedycznych</w:t>
            </w:r>
            <w:r>
              <w:rPr>
                <w:b/>
                <w:i/>
              </w:rPr>
              <w:t>, aby podjął konkretne i zdecydowane działania w celu zapewnienia systematycznej publikacji danych dotyczących przypadków wypalenia zawodowego,</w:t>
            </w:r>
            <w:r>
              <w:t xml:space="preserve"> oraz by informował organ udzielający absolutorium o działaniach </w:t>
            </w:r>
            <w:r>
              <w:rPr>
                <w:b/>
                <w:i/>
              </w:rPr>
              <w:t>następczych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z zadowoleniem przyjmuje aktywny i zorganizowany dialog społeczny w związku ze zmianami organizacyjnymi trwającymi przez cały 2024 r.;</w:t>
            </w:r>
            <w:r>
              <w:t xml:space="preserve"> </w:t>
            </w:r>
            <w:r>
              <w:rPr>
                <w:b/>
                <w:i/>
              </w:rPr>
              <w:t>zachęca Komitet do podtrzymania i zwiększenia systematycznego angażowania przedstawicieli pracowników w reformy związane m.in. z cyfryzacją, reorganizacją wewnętrzną i nowymi metodami 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na podstawie kwestionariusza odnotowuje, że w 2024 r. zgłoszono dwa przypadki zarzucanego molestowania, które zostały zbadane i zamknięte w 2025 r., przy czym w jednym przypadku nie stwierdzono molestowania, a w drugim przyjęto formalne przeprosiny za niewłaściwe zachowanie danej osoby; zauważa ponadto, że podjęto decyzję w sprawie innego przypadku, zgłoszonego przed 2024 r., dotyczącego molestowania związanego z postępowaniem dyscyplinarnym; zauważa również, że w 2024 r. nie zgłoszono żadnych przypadków molestowania seksualnego;</w:t>
            </w:r>
          </w:p>
        </w:tc>
        <w:tc>
          <w:tcPr>
            <w:tcW w:w="4876" w:type="dxa"/>
            <w:tcBorders>
              <w:top w:val="nil"/>
              <w:left w:val="nil"/>
              <w:bottom w:val="nil"/>
              <w:right w:val="nil"/>
            </w:tcBorders>
          </w:tcPr>
          <w:p>
            <w:pPr>
              <w:pStyle w:val="Normal6a"/>
            </w:pPr>
            <w:r>
              <w:t>31.</w:t>
            </w:r>
            <w:r>
              <w:tab/>
            </w:r>
            <w:r>
              <w:t xml:space="preserve">na podstawie kwestionariusza odnotowuje, że w 2024 r. zgłoszono dwa przypadki zarzucanego molestowania, które zostały zbadane i zamknięte w 2025 r., przy czym w jednym przypadku nie stwierdzono molestowania, a w drugim przyjęto formalne przeprosiny za niewłaściwe zachowanie danej osoby; zauważa ponadto, że podjęto decyzję w sprawie innego przypadku, zgłoszonego przed 2024 r., dotyczącego molestowania związanego z postępowaniem dyscyplinarnym; zauważa również, że w 2024 r. nie zgłoszono żadnych przypadków molestowania seksualnego; </w:t>
            </w:r>
            <w:r>
              <w:rPr>
                <w:b/>
                <w:i/>
              </w:rPr>
              <w:t>ponownie podkreśla potrzebę prowadzenia polityki zerowej tolerancji wobec molestowania, aby zapewnić ochronę dobrostanu pracowników, oraz przypomina, że obowiązek ten spoczywa na każdym pracodawcy;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zauważa, że Komitet jest liderem w zakresie przejrzystości, ponieważ jako pierwszy organ, poza pierwotnymi sygnatariuszami, przystąpił do unijnego rejestru służącego przejrzystości; z zadowoleniem przyjmuje środki na rzecz przejrzystości przyjęte przez Komitet, w tym zalecenie, aby członkowie Komitetu spotykali się wyłącznie z zarejestrowanymi zainteresowanymi stronami, obowiązek publikowania w internecie przez jego członków informacji o odbywanych posiedzeniach oraz możliwość załączania przez sprawozdawców Komitetu, w tym w ramach projektu pilotażowego zainicjowanego w 2025 r., „śladu legislacyjnego” do swoich opinii; zauważa, że obecnie opinie Komitetu są widoczne jako kamienie milowe w dokumentach legislacyjnych w portalu EU Law Tracker; z zadowoleniem odnotowuje ponadto, na podstawie kwestionariusza, działania Komitetu na rzecz przejrzystości w odniesieniu do jego podstawowych działań administracyjnych w takich obszarach jak finanse, zamówienia publiczne, zasoby ludzkie i dostęp do dokumentów;</w:t>
            </w:r>
          </w:p>
        </w:tc>
        <w:tc>
          <w:tcPr>
            <w:tcW w:w="4876" w:type="dxa"/>
            <w:tcBorders>
              <w:top w:val="nil"/>
              <w:left w:val="nil"/>
              <w:bottom w:val="nil"/>
              <w:right w:val="nil"/>
            </w:tcBorders>
          </w:tcPr>
          <w:p>
            <w:pPr>
              <w:pStyle w:val="Normal6a"/>
            </w:pPr>
            <w:r>
              <w:t>33.</w:t>
            </w:r>
            <w:r>
              <w:tab/>
            </w:r>
            <w:r>
              <w:t xml:space="preserve">zauważa </w:t>
            </w:r>
            <w:r>
              <w:rPr>
                <w:b/>
                <w:i/>
              </w:rPr>
              <w:t>z zadowoleniem</w:t>
            </w:r>
            <w:r>
              <w:t>, że Komitet jest liderem w zakresie przejrzystości, ponieważ jako pierwszy organ, poza pierwotnymi sygnatariuszami, przystąpił do unijnego rejestru służącego przejrzystości; z zadowoleniem przyjmuje środki na rzecz przejrzystości przyjęte przez Komitet, w tym zalecenie, aby członkowie Komitetu spotykali się wyłącznie z zarejestrowanymi zainteresowanymi stronami, obowiązek publikowania w internecie przez jego członków informacji o odbywanych posiedzeniach oraz możliwość załączania przez sprawozdawców Komitetu, w tym w ramach projektu pilotażowego zainicjowanego w 2025 r., „śladu legislacyjnego” do swoich opinii; zauważa, że obecnie opinie Komitetu są widoczne jako kamienie milowe w dokumentach legislacyjnych w portalu EU Law Tracker; z zadowoleniem odnotowuje ponadto, na podstawie kwestionariusza, działania Komitetu na rzecz przejrzystości w odniesieniu do jego podstawowych działań administracyjnych w takich obszarach jak finanse, zamówienia publiczne, zasoby ludzkie i dostęp do dokumentów;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zauważa na podstawie kwestionariusza, że Komitet opracował strategię zwalczania nadużyć finansowych, którą przedłożono do konsultacji pomiędzy służbami i poddano procesowi zatwierdzenia; zachęca Komitet do informowania organu udzielającego absolutorium o dalszych działaniach w tej sprawie; z zadowoleniem przyjmuje fakt, że Komitet zorganizował dwa szkolenia prowadzone przez pracowników OLAF-u służące zwiększaniu wiedzy na temat nadużyć finansowych w zamówieniach publicznych i zapobiegania im, w których wzięło udział 21 uczestników, oraz jedno szkolenie uświadamiające zorganizowane wspólnie z EPPO w celu zapoznania pracowników Komitetu z mandatem EPPO i udzielenia wskazówek dotyczących zgłaszania potencjalnych przypadków do EPPO;</w:t>
            </w:r>
          </w:p>
        </w:tc>
        <w:tc>
          <w:tcPr>
            <w:tcW w:w="4876" w:type="dxa"/>
            <w:tcBorders>
              <w:top w:val="nil"/>
              <w:left w:val="nil"/>
              <w:bottom w:val="nil"/>
              <w:right w:val="nil"/>
            </w:tcBorders>
          </w:tcPr>
          <w:p>
            <w:pPr>
              <w:pStyle w:val="Normal6a"/>
            </w:pPr>
            <w:r>
              <w:t>36.</w:t>
            </w:r>
            <w:r>
              <w:tab/>
            </w:r>
            <w:r>
              <w:t>zauważa na podstawie kwestionariusza, że Komitet opracował strategię zwalczania nadużyć finansowych, którą przedłożono do konsultacji pomiędzy służbami i poddano procesowi zatwierdzenia</w:t>
            </w:r>
            <w:r>
              <w:rPr>
                <w:b/>
                <w:i/>
              </w:rPr>
              <w:t>;</w:t>
            </w:r>
            <w:r>
              <w:t xml:space="preserve"> </w:t>
            </w:r>
            <w:r>
              <w:rPr>
                <w:b/>
                <w:i/>
              </w:rPr>
              <w:t>z zadowoleniem przyjmuje uzupełniający te inicjatywy plan działania, w którym wymieniono dwanaście konkretnych środków, które mają zostać wdrożone od IV kwartału 2025 r. do IV kwartału 2027 r., w tym kampanie uświadamiające, politykę szkoleniową, modernizację metod kontroli ryzyka i kontroli wewnętrznej, integrację zautomatyzowanych narzędzi wykrywania nadużyć finansowych, zmienione umowy o współpracy z OLAF-em i EPPO oraz zaktualizowane przepisy regulujące dochodzenia wewnętrzne</w:t>
            </w:r>
            <w:r>
              <w:t>; zachęca Komitet do informowania organu udzielającego absolutorium o dalszych działaniach w tej sprawie; z zadowoleniem przyjmuje fakt, że Komitet zorganizował dwa szkolenia prowadzone przez pracowników OLAF-u służące zwiększaniu wiedzy na temat nadużyć finansowych w zamówieniach publicznych i zapobiegania im, w których wzięło udział 21 uczestników, oraz jedno szkolenie uświadamiające zorganizowane wspólnie z EPPO w celu zapoznania pracowników Komitetu z mandatem EPPO i udzielenia wskazówek dotyczących zgłaszania potencjalnych przypadków do EPPO;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zauważa na podstawie kwestionariusza, że Komitet opracował strategię zwalczania nadużyć finansowych, którą przedłożono do konsultacji pomiędzy służbami i poddano </w:t>
            </w:r>
            <w:r>
              <w:rPr>
                <w:b/>
                <w:i/>
              </w:rPr>
              <w:t>procesowi</w:t>
            </w:r>
            <w:r>
              <w:t xml:space="preserve"> zatwierdzenia; zachęca Komitet do informowania organu udzielającego absolutorium o dalszych działaniach w tej sprawie; z zadowoleniem przyjmuje fakt, że Komitet zorganizował dwa szkolenia prowadzone przez pracowników OLAF-u służące zwiększaniu wiedzy na temat nadużyć finansowych w zamówieniach publicznych i zapobiegania im, w których wzięło udział 21 uczestników, oraz jedno szkolenie uświadamiające zorganizowane wspólnie z EPPO w celu zapoznania pracowników Komitetu z mandatem EPPO i udzielenia wskazówek dotyczących zgłaszania potencjalnych przypadków do EPPO;</w:t>
            </w:r>
          </w:p>
        </w:tc>
        <w:tc>
          <w:tcPr>
            <w:tcW w:w="4876" w:type="dxa"/>
            <w:tcBorders>
              <w:top w:val="nil"/>
              <w:left w:val="nil"/>
              <w:bottom w:val="nil"/>
              <w:right w:val="nil"/>
            </w:tcBorders>
          </w:tcPr>
          <w:p>
            <w:pPr>
              <w:pStyle w:val="Normal6a"/>
            </w:pPr>
            <w:r>
              <w:t>36.</w:t>
            </w:r>
            <w:r>
              <w:tab/>
            </w:r>
            <w:r>
              <w:rPr>
                <w:b/>
                <w:i/>
              </w:rPr>
              <w:t>z satysfakcją</w:t>
            </w:r>
            <w:r>
              <w:t xml:space="preserve"> zauważa na podstawie kwestionariusza, że </w:t>
            </w:r>
            <w:r>
              <w:rPr>
                <w:b/>
                <w:i/>
              </w:rPr>
              <w:t>w nawiązaniu do wcześniejszych apeli Parlamentu</w:t>
            </w:r>
            <w:r>
              <w:t xml:space="preserve"> Komitet opracował strategię zwalczania nadużyć finansowych, którą przedłożono do konsultacji pomiędzy służbami i poddano </w:t>
            </w:r>
            <w:r>
              <w:rPr>
                <w:b/>
                <w:i/>
              </w:rPr>
              <w:t>procedurze</w:t>
            </w:r>
            <w:r>
              <w:t xml:space="preserve"> zatwierdzenia</w:t>
            </w:r>
            <w:r>
              <w:rPr>
                <w:b/>
                <w:i/>
              </w:rPr>
              <w:t>;</w:t>
            </w:r>
            <w:r>
              <w:t xml:space="preserve"> </w:t>
            </w:r>
            <w:r>
              <w:rPr>
                <w:b/>
                <w:i/>
              </w:rPr>
              <w:t>wzywa Komitet do priorytetowego potraktowania przyjęcia i wdrożenia tej strategii, w tym oceny ryzyka, zapobiegania, wykrywania i działań następczych</w:t>
            </w:r>
            <w:r>
              <w:t>; zachęca Komitet do informowania organu udzielającego absolutorium o dalszych działaniach w tej sprawie; z zadowoleniem przyjmuje fakt, że Komitet zorganizował dwa szkolenia prowadzone przez pracowników OLAF-u służące zwiększaniu wiedzy na temat nadużyć finansowych w zamówieniach publicznych i zapobiegania im, w których wzięło udział 21 uczestników, oraz jedno szkolenie uświadamiające zorganizowane wspólnie z EPPO w celu zapoznania pracowników Komitetu z mandatem EPPO i udzielenia wskazówek dotyczących zgłaszania potencjalnych przypadków do EPPO;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zauważa na podstawie kwestionariusza, że Komitet opracował strategię zwalczania nadużyć finansowych, którą przedłożono do konsultacji pomiędzy służbami i poddano procesowi zatwierdzenia; zachęca Komitet do informowania organu udzielającego absolutorium o dalszych działaniach w tej sprawie; z zadowoleniem przyjmuje fakt, że Komitet zorganizował dwa szkolenia prowadzone przez pracowników OLAF-u służące zwiększaniu wiedzy na temat nadużyć finansowych w zamówieniach publicznych i zapobiegania im, w których wzięło udział 21 uczestników, oraz jedno szkolenie uświadamiające zorganizowane wspólnie z EPPO w celu zapoznania pracowników Komitetu z mandatem EPPO i udzielenia wskazówek dotyczących zgłaszania potencjalnych przypadków do EPPO;</w:t>
            </w:r>
          </w:p>
        </w:tc>
        <w:tc>
          <w:tcPr>
            <w:tcW w:w="4876" w:type="dxa"/>
            <w:tcBorders>
              <w:top w:val="nil"/>
              <w:left w:val="nil"/>
              <w:bottom w:val="nil"/>
              <w:right w:val="nil"/>
            </w:tcBorders>
          </w:tcPr>
          <w:p>
            <w:pPr>
              <w:pStyle w:val="Normal6a"/>
            </w:pPr>
            <w:r>
              <w:t>36.</w:t>
            </w:r>
            <w:r>
              <w:tab/>
            </w:r>
            <w:r>
              <w:t>zauważa na podstawie kwestionariusza, że Komitet opracował strategię zwalczania nadużyć finansowych, którą przedłożono do konsultacji pomiędzy służbami i poddano procesowi zatwierdzenia; zachęca Komitet do informowania organu udzielającego absolutorium o dalszych działaniach w tej sprawie; z zadowoleniem przyjmuje fakt, że Komitet zorganizował dwa szkolenia prowadzone przez pracowników OLAF-u służące zwiększaniu wiedzy na temat nadużyć finansowych w zamówieniach publicznych i zapobiegania im, w których wzięło udział 21 uczestników, oraz jedno szkolenie uświadamiające zorganizowane wspólnie z EPPO w celu zapoznania pracowników Komitetu z mandatem EPPO i udzielenia wskazówek dotyczących zgłaszania potencjalnych przypadków do EPPO</w:t>
            </w:r>
            <w:r>
              <w:rPr>
                <w:b/>
                <w:i/>
              </w:rPr>
              <w:t>, a także zaleca Komitetowi, aby kontynuował tę praktykę</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zauważa, że łączny budżet IT EKES-u i KR-u wyniósł w 2022 r. 13 700 000 EUR – w porównaniu z 12 700 000 EUR w 2023 r., co oznacza wzrost o 7,87 %, przy czym </w:t>
            </w:r>
            <w:r>
              <w:rPr>
                <w:b/>
                <w:i/>
              </w:rPr>
              <w:t>760 000</w:t>
            </w:r>
            <w:r>
              <w:t xml:space="preserve"> EUR z tego budżetu (czyli ok. 6 %) wypłacono w 2024 r. na cyberbezpieczeństwo; na podstawie kwestionariusza zauważa, że finansowanie projektów informatycznych wzrosło o 109 000 EUR w porównaniu z 2023 r., co stanowi wzrost o 4 %, głównie na wsparcie programu dotyczącego środowiska pracy M365 i programu na rzecz transformacji cyberbezpieczeństwa; zauważa ponadto, że wydatki na sprzęt wzrosły o 117 000 EUR (tj. o 20 %), głównie z powodu korekty cen i strategicznych inwestycji w infrastrukturę telefoniczną; przyjmuje do wiadomości obawy Komitetu dotyczące strukturalnego niedofinansowania w obszarach cyfryzacji i cyberbezpieczeństwa; w tym kontekście ubolewa, że władza budżetowa nie uwzględniła w budżecie Unii na 2026 r. kwoty 1 176 000 EUR niezbędnej Komitetowi (i KR-owi) do przeprowadzenia znaczącej modernizacji w zakresie cyberbezpieczeństwa, co uniemożliwia osiągnięcie celu, o którym mowa w rozporządzeniu (UE, Euratom) 2023/2841</w:t>
            </w:r>
            <w:r>
              <w:rPr>
                <w:vertAlign w:val="superscript"/>
              </w:rPr>
              <w:t>1</w:t>
            </w:r>
            <w:r>
              <w:t>, polegającego na przeznaczeniu około 10 % całkowitych wydatków na IT na cyberbezpieczeństwo;</w:t>
            </w:r>
          </w:p>
        </w:tc>
        <w:tc>
          <w:tcPr>
            <w:tcW w:w="4876" w:type="dxa"/>
            <w:tcBorders>
              <w:top w:val="nil"/>
              <w:left w:val="nil"/>
              <w:bottom w:val="nil"/>
              <w:right w:val="nil"/>
            </w:tcBorders>
          </w:tcPr>
          <w:p>
            <w:pPr>
              <w:pStyle w:val="Normal6a"/>
            </w:pPr>
            <w:r>
              <w:t>37.</w:t>
            </w:r>
            <w:r>
              <w:tab/>
            </w:r>
            <w:r>
              <w:t xml:space="preserve">zauważa, że łączny budżet IT EKES-u i KR-u wyniósł w 2022 r. 13 700 000 EUR – w porównaniu z 12 700 000 EUR w 2023 r., co oznacza wzrost o 7,87 %, przy czym </w:t>
            </w:r>
            <w:r>
              <w:rPr>
                <w:b/>
                <w:i/>
              </w:rPr>
              <w:t>760 000</w:t>
            </w:r>
            <w:r>
              <w:t> EUR z tego budżetu (czyli ok. 6 %) wypłacono w 2024 r. na cyberbezpieczeństwo; na podstawie kwestionariusza zauważa, że finansowanie projektów informatycznych wzrosło o 109 000 EUR w porównaniu z 2023 r., co stanowi wzrost o 4 %, głównie na wsparcie programu dotyczącego środowiska pracy M365 i programu na rzecz transformacji cyberbezpieczeństwa; zauważa ponadto, że wydatki na sprzęt wzrosły o 117 000 EUR (tj. o 20 %), głównie z powodu korekty cen i strategicznych inwestycji w infrastrukturę telefoniczną; przyjmuje do wiadomości obawy Komitetu dotyczące strukturalnego niedofinansowania w obszarach cyfryzacji i cyberbezpieczeństwa</w:t>
            </w:r>
            <w:r>
              <w:rPr>
                <w:b/>
                <w:i/>
              </w:rPr>
              <w:t>, i ostrzega, że utrzymujące się niedoinwestowanie cyberbezpieczeństwa stanowi strukturalne zagrożenie dla integralności instytucji UE</w:t>
            </w:r>
            <w:r>
              <w:t>; w tym kontekście ubolewa, że władza budżetowa nie uwzględniła w budżecie Unii na 2026 r. kwoty 1 176 000 EUR niezbędnej Komitetowi (i KR-owi) do przeprowadzenia znaczącej modernizacji w zakresie cyberbezpieczeństwa, co uniemożliwia osiągnięcie celu, o którym mowa w rozporządzeniu (UE, Euratom) 2023/2841</w:t>
            </w:r>
            <w:r>
              <w:rPr>
                <w:vertAlign w:val="superscript"/>
              </w:rPr>
              <w:t>1</w:t>
            </w:r>
            <w:r>
              <w:t>, polegającego na przeznaczeniu około 10 % całkowitych wydatków na IT na cyberbezpieczeństwo;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Rozporządzenie Parlamentu Europejskiego i Rady (UE, Euratom) 2023/2841 z dnia 13 grudnia 2023 r. w sprawie ustanowienia środków na rzecz wysokiego wspólnego poziomu cyberbezpieczeństwa w instytucjach, organach i jednostkach organizacyjnych Unii (Dz.U. L, 2023/2841, 18.12.2023,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Rozporządzenie Parlamentu Europejskiego i Rady (UE, Euratom) 2023/2841 z dnia 13 grudnia 2023 r. w sprawie ustanowienia środków na rzecz wysokiego wspólnego poziomu cyberbezpieczeństwa w instytucjach, organach i jednostkach organizacyjnych Unii (Dz.U.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zauważa, że łączny budżet IT EKES-u i KR-u wyniósł w </w:t>
            </w:r>
            <w:r>
              <w:rPr>
                <w:b/>
                <w:i/>
              </w:rPr>
              <w:t>2022</w:t>
            </w:r>
            <w:r>
              <w:t xml:space="preserve"> r. 13 700 000 EUR – w porównaniu z 12 700 000 EUR w 2023 r., co oznacza wzrost o 7,87 %, przy czym </w:t>
            </w:r>
            <w:r>
              <w:rPr>
                <w:b/>
                <w:i/>
              </w:rPr>
              <w:t>760 000</w:t>
            </w:r>
            <w:r>
              <w:t xml:space="preserve"> EUR z tego budżetu (czyli ok. 6 %) wypłacono w 2024 r. na cyberbezpieczeństwo; na podstawie kwestionariusza zauważa, że finansowanie projektów informatycznych wzrosło o 109 000 EUR w porównaniu z 2023 r., co stanowi wzrost o 4 %, głównie na wsparcie programu dotyczącego środowiska pracy M365 i programu na rzecz transformacji cyberbezpieczeństwa; zauważa ponadto, że wydatki na sprzęt wzrosły o 117 000 EUR (tj. o 20 %), głównie z powodu korekty cen i strategicznych inwestycji w infrastrukturę telefoniczną; przyjmuje do wiadomości obawy Komitetu dotyczące strukturalnego niedofinansowania w obszarach cyfryzacji i cyberbezpieczeństwa; w tym kontekście ubolewa, że władza budżetowa nie uwzględniła w budżecie Unii na 2026 r. kwoty 1 176 000 EUR niezbędnej Komitetowi (i KR-owi) do przeprowadzenia znaczącej modernizacji w zakresie cyberbezpieczeństwa, co uniemożliwia osiągnięcie celu, o którym mowa w rozporządzeniu (UE, Euratom) 2023/2841</w:t>
            </w:r>
            <w:r>
              <w:rPr>
                <w:vertAlign w:val="superscript"/>
              </w:rPr>
              <w:t>1</w:t>
            </w:r>
            <w:r>
              <w:t>, polegającego na przeznaczeniu około 10 % całkowitych wydatków na IT na cyberbezpieczeństwo;</w:t>
            </w:r>
          </w:p>
        </w:tc>
        <w:tc>
          <w:tcPr>
            <w:tcW w:w="4876" w:type="dxa"/>
            <w:tcBorders>
              <w:top w:val="nil"/>
              <w:left w:val="nil"/>
              <w:bottom w:val="nil"/>
              <w:right w:val="nil"/>
            </w:tcBorders>
          </w:tcPr>
          <w:p>
            <w:pPr>
              <w:pStyle w:val="Normal6a"/>
            </w:pPr>
            <w:r>
              <w:t>37.</w:t>
            </w:r>
            <w:r>
              <w:tab/>
            </w:r>
            <w:r>
              <w:t xml:space="preserve">zauważa, że łączny budżet IT EKES-u i KR-u wyniósł w </w:t>
            </w:r>
            <w:r>
              <w:rPr>
                <w:b/>
                <w:i/>
              </w:rPr>
              <w:t>2024</w:t>
            </w:r>
            <w:r>
              <w:t xml:space="preserve"> r. 13 700 000 EUR – w porównaniu z 12 700 000 EUR w 2023 r., co oznacza wzrost o 7,87 %, przy czym </w:t>
            </w:r>
            <w:r>
              <w:rPr>
                <w:b/>
                <w:i/>
              </w:rPr>
              <w:t>760 000</w:t>
            </w:r>
            <w:r>
              <w:t> EUR z tego budżetu (czyli ok. 6 %) wypłacono w 2024 r. na cyberbezpieczeństwo; na podstawie kwestionariusza zauważa, że finansowanie projektów informatycznych wzrosło o 109 000 EUR w porównaniu z 2023 r., co stanowi wzrost o 4 %, głównie na wsparcie programu dotyczącego środowiska pracy M365 i programu na rzecz transformacji cyberbezpieczeństwa; zauważa ponadto, że wydatki na sprzęt wzrosły o 117 000 EUR (tj. o 20 %), głównie z powodu korekty cen i strategicznych inwestycji w infrastrukturę telefoniczną; przyjmuje do wiadomości obawy Komitetu dotyczące strukturalnego niedofinansowania w obszarach cyfryzacji i cyberbezpieczeństwa; w tym kontekście ubolewa, że władza budżetowa nie uwzględniła w budżecie Unii na 2026 r. kwoty 1 176 000 EUR niezbędnej Komitetowi (i KR-owi) do przeprowadzenia znaczącej modernizacji w zakresie cyberbezpieczeństwa, co uniemożliwia osiągnięcie celu, o którym mowa w rozporządzeniu (UE, Euratom) 2023/2841</w:t>
            </w:r>
            <w:r>
              <w:rPr>
                <w:vertAlign w:val="superscript"/>
              </w:rPr>
              <w:t>1</w:t>
            </w:r>
            <w:r>
              <w:t xml:space="preserve">, polegającego na przeznaczeniu około 10 % całkowitych wydatków na IT na cyberbezpieczeństwo; </w:t>
            </w:r>
            <w:r>
              <w:rPr>
                <w:b/>
                <w:i/>
              </w:rPr>
              <w:t>apeluje o odpowiednie fundusze, aby umożliwić Komitetowi i KR-owi przeprowadzenie poważnej modernizacji cyberbezpieczeństwa;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Rozporządzenie Parlamentu Europejskiego i Rady (UE, Euratom) 2023/2841 z dnia 13 grudnia 2023 r. w sprawie ustanowienia środków na rzecz wysokiego wspólnego poziomu cyberbezpieczeństwa w instytucjach, organach i jednostkach organizacyjnych Unii (Dz.U. L, 2023/2841, 18.12.2023,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Rozporządzenie Parlamentu Europejskiego i Rady (UE, Euratom) 2023/2841 z dnia 13 grudnia 2023 r. w sprawie ustanowienia środków na rzecz wysokiego wspólnego poziomu cyberbezpieczeństwa w instytucjach, organach i jednostkach organizacyjnych Unii (Dz.U.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zauważa, że łączny budżet IT EKES-u i KR-u wyniósł w </w:t>
            </w:r>
            <w:r>
              <w:rPr>
                <w:b/>
                <w:i/>
              </w:rPr>
              <w:t>2022</w:t>
            </w:r>
            <w:r>
              <w:t xml:space="preserve"> r. 13 700 000 EUR – w porównaniu z 12 700 000 EUR w 2023 r., co oznacza wzrost o 7,87 %, przy czym </w:t>
            </w:r>
            <w:r>
              <w:rPr>
                <w:b/>
                <w:i/>
              </w:rPr>
              <w:t>760 000</w:t>
            </w:r>
            <w:r>
              <w:t xml:space="preserve"> EUR z tego budżetu (czyli ok. 6 %) wypłacono w 2024 r. na cyberbezpieczeństwo; na podstawie kwestionariusza zauważa, że finansowanie projektów informatycznych wzrosło o 109 000 EUR w porównaniu z 2023 r., co stanowi wzrost o 4 %, głównie na wsparcie programu dotyczącego środowiska pracy M365 i programu na rzecz transformacji cyberbezpieczeństwa; zauważa ponadto, że wydatki na sprzęt wzrosły o 117 000 EUR (tj. o 20 %), głównie z powodu korekty cen i strategicznych inwestycji w infrastrukturę telefoniczną; przyjmuje do wiadomości obawy Komitetu dotyczące strukturalnego niedofinansowania w obszarach cyfryzacji i cyberbezpieczeństwa; w tym kontekście ubolewa, że władza budżetowa nie uwzględniła w budżecie Unii na 2026 r. kwoty 1 176 000 EUR niezbędnej Komitetowi (i KR-owi) do przeprowadzenia znaczącej modernizacji w zakresie cyberbezpieczeństwa, co uniemożliwia osiągnięcie celu, o którym mowa w rozporządzeniu (UE, Euratom) 2023/2841</w:t>
            </w:r>
            <w:r>
              <w:rPr>
                <w:vertAlign w:val="superscript"/>
              </w:rPr>
              <w:t>1</w:t>
            </w:r>
            <w:r>
              <w:t>, polegającego na przeznaczeniu około 10 % całkowitych wydatków na IT na cyberbezpieczeństwo;</w:t>
            </w:r>
          </w:p>
        </w:tc>
        <w:tc>
          <w:tcPr>
            <w:tcW w:w="4876" w:type="dxa"/>
            <w:tcBorders>
              <w:top w:val="nil"/>
              <w:left w:val="nil"/>
              <w:bottom w:val="nil"/>
              <w:right w:val="nil"/>
            </w:tcBorders>
          </w:tcPr>
          <w:p>
            <w:pPr>
              <w:pStyle w:val="Normal6a"/>
            </w:pPr>
            <w:r>
              <w:t>37.</w:t>
            </w:r>
            <w:r>
              <w:tab/>
            </w:r>
            <w:r>
              <w:t xml:space="preserve">zauważa, że łączny budżet IT EKES-u i KR-u wyniósł w </w:t>
            </w:r>
            <w:r>
              <w:rPr>
                <w:b/>
                <w:i/>
              </w:rPr>
              <w:t>2024</w:t>
            </w:r>
            <w:r>
              <w:t xml:space="preserve"> r. 13 700 000 EUR – w porównaniu z 12 700 000 EUR w 2023 r., co oznacza wzrost o 7,87 %, przy czym </w:t>
            </w:r>
            <w:r>
              <w:rPr>
                <w:b/>
                <w:i/>
              </w:rPr>
              <w:t>760 000</w:t>
            </w:r>
            <w:r>
              <w:t> EUR z tego budżetu (czyli ok. 6 %) wypłacono w 2024 r. na cyberbezpieczeństwo; na podstawie kwestionariusza zauważa, że finansowanie projektów informatycznych wzrosło o 109 000 EUR w porównaniu z 2023 r., co stanowi wzrost o 4 %, głównie na wsparcie programu dotyczącego środowiska pracy M365 i programu na rzecz transformacji cyberbezpieczeństwa; zauważa ponadto, że wydatki na sprzęt wzrosły o 117 000 EUR (tj. o 20 %), głównie z powodu korekty cen i strategicznych inwestycji w infrastrukturę telefoniczną; przyjmuje do wiadomości obawy Komitetu dotyczące strukturalnego niedofinansowania w obszarach cyfryzacji i cyberbezpieczeństwa; w tym kontekście ubolewa, że władza budżetowa nie uwzględniła w budżecie Unii na 2026 r. kwoty 1 176 000 EUR niezbędnej Komitetowi (i KR-owi) do przeprowadzenia znaczącej modernizacji w zakresie cyberbezpieczeństwa, co uniemożliwia osiągnięcie celu, o którym mowa w rozporządzeniu (UE, Euratom) 2023/2841</w:t>
            </w:r>
            <w:r>
              <w:rPr>
                <w:vertAlign w:val="superscript"/>
              </w:rPr>
              <w:t>1</w:t>
            </w:r>
            <w:r>
              <w:t>, polegającego na przeznaczeniu około 10 % całkowitych wydatków na IT na cyberbezpieczeństwo;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Rozporządzenie Parlamentu Europejskiego i Rady (UE, Euratom) 2023/2841 z dnia 13 grudnia 2023 r. w sprawie ustanowienia środków na rzecz wysokiego wspólnego poziomu cyberbezpieczeństwa w instytucjach, organach i jednostkach organizacyjnych Unii (Dz.U. L, 2023/2841, 18.12.2023,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Rozporządzenie Parlamentu Europejskiego i Rady (UE, Euratom) 2023/2841 z dnia 13 grudnia 2023 r. w sprawie ustanowienia środków na rzecz wysokiego wspólnego poziomu cyberbezpieczeństwa w instytucjach, organach i jednostkach organizacyjnych Unii (Dz.U.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docenia wysiłki Komitetu w 2024 r. mające na celu zapewnienie pracownikom umiejętności cyfrowych niezbędnych w coraz bardziej cyfrowym środowisku pracy oraz realizację ukierunkowanych kampanii informacyjnych, oferowanie kompleksowego programu szkoleń i coachingu oraz utrzymywanie aktualnej bazy wiedzy IT z interfejsem opartym na sztucznej inteligencji w celu wspierania rozwoju pracowników;</w:t>
            </w:r>
          </w:p>
        </w:tc>
        <w:tc>
          <w:tcPr>
            <w:tcW w:w="4876" w:type="dxa"/>
            <w:tcBorders>
              <w:top w:val="nil"/>
              <w:left w:val="nil"/>
              <w:bottom w:val="nil"/>
              <w:right w:val="nil"/>
            </w:tcBorders>
          </w:tcPr>
          <w:p>
            <w:pPr>
              <w:pStyle w:val="Normal6a"/>
            </w:pPr>
            <w:r>
              <w:t>43.</w:t>
            </w:r>
            <w:r>
              <w:tab/>
            </w:r>
            <w:r>
              <w:t xml:space="preserve">docenia wysiłki Komitetu w 2024 r. mające na celu zapewnienie pracownikom umiejętności cyfrowych niezbędnych w coraz bardziej cyfrowym środowisku pracy oraz realizację ukierunkowanych kampanii informacyjnych, oferowanie kompleksowego programu szkoleń i coachingu oraz utrzymywanie aktualnej bazy wiedzy IT z interfejsem opartym na sztucznej inteligencji w celu wspierania rozwoju pracowników; </w:t>
            </w:r>
            <w:r>
              <w:rPr>
                <w:b/>
                <w:i/>
              </w:rPr>
              <w:t>zachęca do szkoleń w zakresie cyberbezpieczeństwa oraz bezpiecznego, etycznego i skutecznego korzystania ze sztucznej inteligencji;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 xml:space="preserve">na podstawie kwestionariusza odnotowuje spadek zużycia energii elektrycznej (-19 %), gazu (-13 %) i wody (-12 %) oraz wzrost zużycia papieru (+1 </w:t>
            </w:r>
            <w:r>
              <w:rPr>
                <w:b/>
                <w:i/>
              </w:rPr>
              <w:t>%) i ilości odpadów (-12</w:t>
            </w:r>
            <w:r>
              <w:t xml:space="preserve"> %) w 2024 r. w porównaniu z 2023 r.; z zadowoleniem przyjmuje dalszy spadek emisji dwutlenku węgla w przeliczeniu na ekwiwalent pełnego czasu pracy (EPC) o 4,30 % (nie uwzględniając emisji związanych z podróżami członków Komitetu) w tym samym okresie; na podstawie kwestionariusza zauważa działania Komitetu mające na celu propagowanie wśród jego pracowników i członków bardziej zrównoważonych możliwości podróżowania oraz trwający przegląd przewodnika dotyczącego podróży służbowych dla pracowników, którego kluczowym elementem będzie ślad środowiskowy; z zadowoleniem przyjmuje również fakt, że Komitet koncentruje się na gospodarowaniu odpadami i recyklingu w celu promowania kultury ograniczania ilości odpadów oraz zasobooszczędności;</w:t>
            </w:r>
          </w:p>
        </w:tc>
        <w:tc>
          <w:tcPr>
            <w:tcW w:w="4876" w:type="dxa"/>
            <w:tcBorders>
              <w:top w:val="nil"/>
              <w:left w:val="nil"/>
              <w:bottom w:val="nil"/>
              <w:right w:val="nil"/>
            </w:tcBorders>
          </w:tcPr>
          <w:p>
            <w:pPr>
              <w:pStyle w:val="Normal6a"/>
            </w:pPr>
            <w:r>
              <w:t>49.</w:t>
            </w:r>
            <w:r>
              <w:tab/>
            </w:r>
            <w:r>
              <w:t>na podstawie kwestionariusza odnotowuje spadek zużycia energii elektrycznej (-19 %), gazu (-13 %) i wody (-12 %)</w:t>
            </w:r>
            <w:r>
              <w:rPr>
                <w:b/>
                <w:i/>
              </w:rPr>
              <w:t>, a także spadek ilości odpadów (-12 %)</w:t>
            </w:r>
            <w:r>
              <w:t xml:space="preserve"> oraz wzrost zużycia papieru (+1 %) w 2024 r. w porównaniu z 2023 r.; z zadowoleniem przyjmuje dalszy spadek emisji dwutlenku węgla w przeliczeniu na ekwiwalent pełnego czasu pracy (EPC) o 4,30 % (nie uwzględniając emisji związanych z podróżami członków Komitetu) w tym samym okresie; na podstawie kwestionariusza zauważa działania Komitetu mające na celu propagowanie wśród jego pracowników i członków bardziej zrównoważonych możliwości podróżowania oraz trwający przegląd przewodnika dotyczącego podróży służbowych dla pracowników, którego kluczowym elementem będzie ślad środowiskowy; z zadowoleniem przyjmuje również fakt, że Komitet koncentruje się na gospodarowaniu odpadami i recyklingu w celu promowania kultury ograniczania ilości odpadów oraz zasobooszczędności;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z zadowoleniem zauważa, że wszystkie publikowane przez Komitet zaproszenia do składania ofert o wartości powyżej 60 000 EUR oraz zaproszenia o wartości powyżej 25 000 EUR, zarządzane wspólnie z KR-em, zawierają klauzule dotyczące zrównoważonego rozwoju zgodne z normami unii energetycznej, Europejskiego Zielonego Ładu i zasadami gospodarki o obiegu zamkniętym; zauważa, że nowa umowa ramowa Komitetu dotycząca usług cateringowych, która weszła w życie w sierpniu 2024 r., zawiera wymogi dotyczące produktów ekologicznych i lokalnych, darowizn żywności oraz sezonowych owoców i warzyw;</w:t>
            </w:r>
          </w:p>
        </w:tc>
        <w:tc>
          <w:tcPr>
            <w:tcW w:w="4876" w:type="dxa"/>
            <w:tcBorders>
              <w:top w:val="nil"/>
              <w:left w:val="nil"/>
              <w:bottom w:val="nil"/>
              <w:right w:val="nil"/>
            </w:tcBorders>
          </w:tcPr>
          <w:p>
            <w:pPr>
              <w:pStyle w:val="Normal6a"/>
            </w:pPr>
            <w:r>
              <w:t>50.</w:t>
            </w:r>
            <w:r>
              <w:tab/>
            </w:r>
            <w:r>
              <w:t xml:space="preserve">z zadowoleniem zauważa, że wszystkie publikowane przez Komitet zaproszenia do składania ofert o wartości powyżej 60 000 EUR oraz zaproszenia o wartości powyżej 25 000 EUR, zarządzane wspólnie z KR-em, zawierają klauzule dotyczące zrównoważonego rozwoju zgodne z normami unii energetycznej, Europejskiego Zielonego Ładu i zasadami gospodarki o obiegu zamkniętym; zauważa, że nowa umowa ramowa Komitetu dotycząca usług cateringowych, która weszła w życie w sierpniu 2024 r., zawiera wymogi dotyczące produktów ekologicznych i lokalnych, darowizn żywności oraz sezonowych owoców i warzyw; </w:t>
            </w:r>
            <w:r>
              <w:rPr>
                <w:b/>
                <w:i/>
              </w:rPr>
              <w:t>zwraca jednak uwagę, że wyższe standardy tzw. działań ekologicznych zwiększają koszty operacyjne instytucji, zmniejszając tym samym nie tylko dostępny budżet instytucji, ale również zwiększając koszty jej funkcjonowania ponoszone przez podatników;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podkreśla, że inicjatywy środowiskowe w instytucjach Unii muszą pozostać opłacalne i neutralne pod względem technologicznym;</w:t>
            </w:r>
            <w:r>
              <w:t xml:space="preserve"> </w:t>
            </w:r>
            <w:r>
              <w:rPr>
                <w:b/>
                <w:i/>
              </w:rPr>
              <w:t>wzywa Komitet do przedstawienia przejrzystej oceny kosztów i korzyści swoich zielonych inwestycji i praktyk w dziedzinie zamówień publicznych oraz do zadbania o to, aby względy środowiskowe nie przeważały nad skutecznością i dyscypliną budżetową;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zauważa, że Komitet odgrywa kluczową rolę w umacnianiu powiązań z krajowymi radami gospodarczo-społecznymi (KRSG) i pomiędzy nimi; w tym kontekście odnotowuje utworzenie nowej tematycznej grupy roboczej złożonej z 13 KRSG, opublikowanie 32 artykułów informacyjnych i 26 streszczeń sprawozdań przyjętych przez KRSG, zorganizowanie corocznego spotkania przewodniczących i sekretarzy generalnych KRSG w Brukseli oraz wspólnie zorganizowane seminarium z udziałem 100 uczestników reprezentujących europejskich partnerów społecznych, organizacje społeczeństwa obywatelskiego, instytucje unijne i środowisko akademickie w 2024 r.;</w:t>
            </w:r>
          </w:p>
        </w:tc>
        <w:tc>
          <w:tcPr>
            <w:tcW w:w="4876" w:type="dxa"/>
            <w:tcBorders>
              <w:top w:val="nil"/>
              <w:left w:val="nil"/>
              <w:bottom w:val="nil"/>
              <w:right w:val="nil"/>
            </w:tcBorders>
          </w:tcPr>
          <w:p>
            <w:pPr>
              <w:pStyle w:val="Normal6a"/>
            </w:pPr>
            <w:r>
              <w:t>60.</w:t>
            </w:r>
            <w:r>
              <w:tab/>
            </w:r>
            <w:r>
              <w:t xml:space="preserve">zauważa, że Komitet odgrywa kluczową rolę w umacnianiu powiązań z krajowymi radami gospodarczo-społecznymi (KRSG) i pomiędzy nimi; w tym kontekście odnotowuje utworzenie nowej tematycznej grupy roboczej złożonej z 13 KRSG, opublikowanie 32 artykułów informacyjnych i 26 streszczeń sprawozdań przyjętych przez KRSG, zorganizowanie corocznego spotkania przewodniczących i sekretarzy generalnych KRSG w Brukseli oraz wspólnie zorganizowane seminarium z udziałem 100 uczestników reprezentujących europejskich partnerów społecznych, organizacje społeczeństwa obywatelskiego, instytucje unijne i środowisko akademickie w 2024 r.; </w:t>
            </w:r>
            <w:r>
              <w:rPr>
                <w:b/>
                <w:i/>
              </w:rPr>
              <w:t>apeluje o dalszą współpracę w kwestiach będących przedmiotem wspólnego zainteresowania oraz o wymianę dobrych praktyk, podkreślając kluczową rolę społeczeństwa obywatelskiego w stawianiu czoła wyzwaniom, przed którymi stoi Unia;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 xml:space="preserve">docenia uruchomienie w maju 2024 r. platformy NaviGate; zauważa, że platforma ta, która zawiera linki do portalu EU Law Tracker Urzędu Publikacji Unii Europejskiej, znacznie zwiększyła widoczność prac Komitetu i poprawiła komfort użytkowania dla posłów, pracowników, gości z innych instytucji i ogółu społeczeństwa, osiągając w 2024 r. liczbę </w:t>
            </w:r>
            <w:r>
              <w:rPr>
                <w:b/>
                <w:i/>
              </w:rPr>
              <w:t>4 600 unikalnych</w:t>
            </w:r>
            <w:r>
              <w:t xml:space="preserve"> użytkowników;</w:t>
            </w:r>
          </w:p>
        </w:tc>
        <w:tc>
          <w:tcPr>
            <w:tcW w:w="4876" w:type="dxa"/>
            <w:tcBorders>
              <w:top w:val="nil"/>
              <w:left w:val="nil"/>
              <w:bottom w:val="nil"/>
              <w:right w:val="nil"/>
            </w:tcBorders>
          </w:tcPr>
          <w:p>
            <w:pPr>
              <w:pStyle w:val="Normal6a"/>
            </w:pPr>
            <w:r>
              <w:t>63.</w:t>
            </w:r>
            <w:r>
              <w:tab/>
            </w:r>
            <w:r>
              <w:rPr>
                <w:b/>
                <w:i/>
              </w:rPr>
              <w:t>z zadowoleniem przyjmuje wysiłki Komitetu na rzecz zwiększenia widoczności swojej pracy;</w:t>
            </w:r>
            <w:r>
              <w:t xml:space="preserve"> </w:t>
            </w:r>
            <w:r>
              <w:rPr>
                <w:b/>
                <w:i/>
              </w:rPr>
              <w:t>uważa jednak, że konieczne są dalsze wysiłki w celu zapewnienia, aby działania komunikacyjne jasno wyjaśniały rolę Komitetu i konkretny wkład w obecność UE w terenie, w sposób przystępny i znaczący dla obywateli;</w:t>
            </w:r>
            <w:r>
              <w:t xml:space="preserve"> docenia uruchomienie w maju 2024 r. platformy NaviGate; zauważa, że platforma ta, która zawiera linki do portalu EU Law Tracker Urzędu Publikacji Unii Europejskiej, znacznie zwiększyła widoczność prac Komitetu i poprawiła komfort użytkowania dla posłów </w:t>
            </w:r>
            <w:r>
              <w:rPr>
                <w:b/>
                <w:i/>
              </w:rPr>
              <w:t>i posłanek</w:t>
            </w:r>
            <w:r>
              <w:t xml:space="preserve">, pracowników, gości z innych instytucji i ogółu społeczeństwa, osiągając w 2024 r. liczbę </w:t>
            </w:r>
            <w:r>
              <w:rPr>
                <w:b/>
                <w:i/>
              </w:rPr>
              <w:t>4600 indywidualnych</w:t>
            </w:r>
            <w:r>
              <w:t xml:space="preserve"> użytkowników;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784.136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38</w:t>
    </w:r>
    <w:r>
      <w:fldChar w:fldCharType="end"/>
    </w:r>
    <w:r>
      <w:t>/</w:t>
    </w:r>
    <w:r>
      <w:fldChar w:fldCharType="begin"/>
    </w:r>
    <w:r>
      <w:instrText xml:space="preserve"> NUMPAGES </w:instrText>
    </w:r>
    <w:r>
      <w:fldChar w:fldCharType="separate"/>
    </w:r>
    <w:r>
      <w:t>38</w:t>
    </w:r>
    <w:r>
      <w:fldChar w:fldCharType="end"/>
    </w:r>
    <w:r>
      <w:tab/>
    </w:r>
    <w:r>
      <w:rPr>
        <w:rStyle w:val="HideTWBExt"/>
      </w:rPr>
      <w:t>&lt;PathFdR&gt;</w:t>
    </w:r>
    <w:r>
      <w:t>AM\1336221PL.docx</w:t>
    </w:r>
    <w:r>
      <w:rPr>
        <w:rStyle w:val="HideTWBExt"/>
      </w:rPr>
      <w:t>&lt;/PathFdR&gt;</w:t>
    </w:r>
  </w:p>
  <w:p>
    <w:pPr>
      <w:pStyle w:val="EPFooter2"/>
    </w:pPr>
    <w:r>
      <w:t>PL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AM\1336221PL.docx</w:t>
    </w:r>
    <w:r>
      <w:rPr>
        <w:rStyle w:val="HideTWBExt"/>
      </w:rPr>
      <w:t>&lt;/PathFdR&gt;</w:t>
    </w:r>
    <w:r>
      <w:tab/>
    </w:r>
    <w:r>
      <w:fldChar w:fldCharType="begin"/>
    </w:r>
    <w:r>
      <w:instrText xml:space="preserve"> PAGE </w:instrText>
    </w:r>
    <w:r>
      <w:fldChar w:fldCharType="separate"/>
    </w:r>
    <w:r>
      <w:t>37</w:t>
    </w:r>
    <w:r>
      <w:fldChar w:fldCharType="end"/>
    </w:r>
    <w:r>
      <w:t>/</w:t>
    </w:r>
    <w:r>
      <w:fldChar w:fldCharType="begin"/>
    </w:r>
    <w:r>
      <w:instrText xml:space="preserve"> NUMPAGES </w:instrText>
    </w:r>
    <w:r>
      <w:fldChar w:fldCharType="separate"/>
    </w:r>
    <w:r>
      <w:t>38</w:t>
    </w:r>
    <w:r>
      <w:fldChar w:fldCharType="end"/>
    </w:r>
    <w:r>
      <w:tab/>
    </w:r>
    <w:r>
      <w:t>PE</w:t>
    </w:r>
    <w:r>
      <w:rPr>
        <w:rStyle w:val="HideTWBExt"/>
      </w:rPr>
      <w:t>&lt;NoPE&gt;</w:t>
    </w:r>
    <w:r>
      <w:t>784.136</w:t>
    </w:r>
    <w:r>
      <w:rPr>
        <w:rStyle w:val="HideTWBExt"/>
      </w:rPr>
      <w:t>&lt;/NoPE&gt;</w:t>
    </w:r>
    <w:r>
      <w:rPr>
        <w:rStyle w:val="HideTWBExt"/>
      </w:rPr>
      <w:t>&lt;Version&gt;</w:t>
    </w:r>
    <w:r>
      <w:t>v01-00</w:t>
    </w:r>
    <w:r>
      <w:rPr>
        <w:rStyle w:val="HideTWBExt"/>
      </w:rPr>
      <w:t>&lt;/Version&gt;</w:t>
    </w:r>
  </w:p>
  <w:p>
    <w:pPr>
      <w:pStyle w:val="EPFooter2"/>
    </w:pPr>
    <w:r>
      <w:tab/>
    </w:r>
    <w:r>
      <w:tab/>
    </w:r>
    <w:r>
      <w:t>PL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AM\1336221PL.docx</w:t>
    </w:r>
    <w:r>
      <w:rPr>
        <w:rStyle w:val="HideTWBExt"/>
      </w:rPr>
      <w:t>&lt;/PathFdR&gt;</w:t>
    </w:r>
    <w:r>
      <w:tab/>
    </w:r>
    <w:r>
      <w:tab/>
    </w:r>
    <w:r>
      <w:t>PE</w:t>
    </w:r>
    <w:r>
      <w:rPr>
        <w:rStyle w:val="HideTWBExt"/>
      </w:rPr>
      <w:t>&lt;NoPE&gt;</w:t>
    </w:r>
    <w:r>
      <w:t>784.136</w:t>
    </w:r>
    <w:r>
      <w:rPr>
        <w:rStyle w:val="HideTWBExt"/>
      </w:rPr>
      <w:t>&lt;/NoPE&gt;</w:t>
    </w:r>
    <w:r>
      <w:rPr>
        <w:rStyle w:val="HideTWBExt"/>
      </w:rPr>
      <w:t>&lt;Version&gt;</w:t>
    </w:r>
    <w:r>
      <w:t>v01-00</w:t>
    </w:r>
    <w:r>
      <w:rPr>
        <w:rStyle w:val="HideTWBExt"/>
      </w:rPr>
      <w:t>&lt;/Version&gt;</w:t>
    </w:r>
  </w:p>
  <w:p>
    <w:pPr>
      <w:pStyle w:val="EPFooter2"/>
    </w:pPr>
    <w:r>
      <w:t>PL</w:t>
    </w:r>
    <w:r>
      <w:tab/>
    </w:r>
    <w:r>
      <w:rPr>
        <w:rStyle w:val="EPFooter2Motto"/>
      </w:rPr>
      <w:t>Zjednoczona w różnorodności</w:t>
    </w:r>
    <w:r>
      <w:tab/>
    </w:r>
    <w:r>
      <w:t>PL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38</Pages>
  <Words>10858</Words>
  <Characters>70915</Characters>
  <Application>Microsoft Office Word</Application>
  <DocSecurity>0</DocSecurity>
  <Lines>1</Lines>
  <Paragraphs>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1336221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373617</vt:lpwstr>
  </property>
  <property fmtid="{D5CDD505-2E9C-101B-9397-08002B2CF9AE}" pid="7" name="dmxml.render.traceId">
    <vt:lpwstr>698c39d502d4a4b33304921779252a3f</vt:lpwstr>
  </property>
  <property fmtid="{D5CDD505-2E9C-101B-9397-08002B2CF9AE}" pid="8" name="FooterPath">
    <vt:lpwstr>AM\1336221PL.docx</vt:lpwstr>
  </property>
  <property fmtid="{D5CDD505-2E9C-101B-9397-08002B2CF9AE}" pid="9" name="PE Number">
    <vt:lpwstr>784.136</vt:lpwstr>
  </property>
  <property fmtid="{D5CDD505-2E9C-101B-9397-08002B2CF9AE}" pid="10" name="UID">
    <vt:lpwstr>eu.europa.europarl-DIN1-2026-0000016192_01.00-pl-01.00_text-xml</vt:lpwstr>
  </property>
</Properties>
</file>