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Descărcarea de gestiune 2017: bugetul general al UE – Comitetul Economic și Social European</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în conformitate cu articolele 300 și 304 din Tratatul privind funcționarea Uniunii Europene, Comitetul Economic și Social European este un organ consultativ al cărui mandat constă în principal în emiterea de avize;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constată că Comitetul a trecut de la o abordare axată pe cheltuieli la una bazată pe gestionarea resurselor și stabilirea priorităților, fapt care se reflectă în pachetul financiar strategic aprobat de Biroul CESE și în introducerea unor exerciții de stabilire a priorităților;</w:t>
            </w:r>
            <w:r>
              <w:t xml:space="preserve"> </w:t>
            </w:r>
            <w:r>
              <w:rPr>
                <w:b/>
                <w:i/>
              </w:rPr>
              <w:t>observă că aceste măsuri vizează îmbunătățirea guvernanței financiare și alinierea deciziilor bugetare la obiectivele strategice;</w:t>
            </w:r>
            <w:r>
              <w:t xml:space="preserve"> </w:t>
            </w:r>
            <w:r>
              <w:rPr>
                <w:b/>
                <w:i/>
              </w:rPr>
              <w:t>ia act de eforturile de reducere a sarcinii administrative și de raționalizare a proceselor în vederea obținerii unui bun raport cost-eficacitate;</w:t>
            </w:r>
            <w:r>
              <w:t xml:space="preserve"> </w:t>
            </w:r>
            <w:r>
              <w:rPr>
                <w:b/>
                <w:i/>
              </w:rPr>
              <w:t>invită Comitetul să continue să consolideze această abordare prin integrarea unor indicatori de performanță și a unei planificări prospective în ciclul său financiar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felicită Comitetul pentru </w:t>
            </w:r>
            <w:r>
              <w:rPr>
                <w:b/>
                <w:i/>
              </w:rPr>
              <w:t>faptul că rata execuției bugetare</w:t>
            </w:r>
            <w:r>
              <w:t xml:space="preserve"> a creditelor de angajament din anul curent a crescut și mai mult, de la 98,70 % în 2023 la 99,21 % în 2024, datorită monitorizării cu succes a execuției sale bugetare, dar și datorită unei rate ridicate a inflației care afectează salariile personalului și costurile cu clădirile; ia act, în acest context, de eforturile de realocare ale Comitetului, care a recurs la transferuri bugetare în valoare totală de </w:t>
            </w:r>
            <w:r>
              <w:rPr>
                <w:b/>
                <w:i/>
              </w:rPr>
              <w:t>2 487 139</w:t>
            </w:r>
            <w:r>
              <w:t xml:space="preserve"> EUR (reprezentând 1,51 % din bugetul său pe 2024) la diferite linii bugetare, cele mai semnificative creșteri fiind legate de funcționarea și întreținerea sistemelor software (+ </w:t>
            </w:r>
            <w:r>
              <w:rPr>
                <w:b/>
                <w:i/>
              </w:rPr>
              <w:t>519 682</w:t>
            </w:r>
            <w:r>
              <w:t xml:space="preserve"> EUR) și a clădirilor (+ </w:t>
            </w:r>
            <w:r>
              <w:rPr>
                <w:b/>
                <w:i/>
              </w:rPr>
              <w:t>421 880</w:t>
            </w:r>
            <w:r>
              <w:t xml:space="preserve"> EUR); constată, de asemenea, cu satisfacție că rata de execuție a creditelor de plată pentru anul în curs a crescut de la 88,12 % în 2022 și de la 90,67 % în 2023 la 92,85 % în 2024, iar termenul mediu de plată a scăzut de la 20,14 zile în 2023 la 16,06 zile în 2024, ceea ce reprezintă cea mai bună performanță a Comitetului din 2021;</w:t>
            </w:r>
          </w:p>
        </w:tc>
        <w:tc>
          <w:tcPr>
            <w:tcW w:w="4876" w:type="dxa"/>
            <w:tcBorders>
              <w:top w:val="nil"/>
              <w:left w:val="nil"/>
              <w:bottom w:val="nil"/>
              <w:right w:val="nil"/>
            </w:tcBorders>
          </w:tcPr>
          <w:p>
            <w:pPr>
              <w:pStyle w:val="Normal6a"/>
            </w:pPr>
            <w:r>
              <w:t>5.</w:t>
            </w:r>
            <w:r>
              <w:tab/>
            </w:r>
            <w:r>
              <w:t xml:space="preserve">felicită Comitetul pentru </w:t>
            </w:r>
            <w:r>
              <w:rPr>
                <w:b/>
                <w:i/>
              </w:rPr>
              <w:t>nivelul ridicat de execuție bugetară</w:t>
            </w:r>
            <w:r>
              <w:t xml:space="preserve"> a creditelor de angajament din anul curent</w:t>
            </w:r>
            <w:r>
              <w:rPr>
                <w:b/>
                <w:i/>
              </w:rPr>
              <w:t>, care</w:t>
            </w:r>
            <w:r>
              <w:t xml:space="preserve"> a crescut și mai mult, de la 98,70 % în 2023 la 99,21 % în 2024, datorită monitorizării cu succes a execuției sale bugetare, dar și datorită unei rate ridicate a inflației care afectează salariile personalului și costurile cu clădirile; ia act, în acest context, de eforturile de realocare ale Comitetului, care a recurs la transferuri bugetare în valoare totală de </w:t>
            </w:r>
            <w:r>
              <w:rPr>
                <w:b/>
                <w:i/>
              </w:rPr>
              <w:t>2 487 139</w:t>
            </w:r>
            <w:r>
              <w:t> EUR (reprezentând 1,51 % din bugetul său pe 2024) la diferite linii bugetare, cele mai semnificative creșteri fiind legate de funcționarea și întreținerea sistemelor software (+ </w:t>
            </w:r>
            <w:r>
              <w:rPr>
                <w:b/>
                <w:i/>
              </w:rPr>
              <w:t>519 682</w:t>
            </w:r>
            <w:r>
              <w:t> EUR) și a clădirilor (+ </w:t>
            </w:r>
            <w:r>
              <w:rPr>
                <w:b/>
                <w:i/>
              </w:rPr>
              <w:t>421 880</w:t>
            </w:r>
            <w:r>
              <w:t xml:space="preserve"> EUR); constată, de asemenea, cu satisfacție că rata de execuție a creditelor de plată pentru anul în curs a crescut de la 88,12 % în 2022 și de la 90,67 % în 2023 la 92,85 % în 2024, iar termenul mediu de plată a scăzut de la 20,14 zile în 2023 la 16,06 zile în 2024, ceea ce reprezintă cea mai bună performanță a Comitetului din 2021; </w:t>
            </w:r>
            <w:r>
              <w:rPr>
                <w:b/>
                <w:i/>
              </w:rPr>
              <w:t>încurajează continuarea monitorizării eficiente, a limitării costurilor și a realocării strategice a resurselor pentru a asigura transparență și un raport optim calitate-preț;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ia act de faptul că, la 21 septembrie 2024, Consiliul a adoptat o nouă decizie privind acordarea diurnelor și rambursarea cheltuielilor de deplasare ale membrilor Comitetului și ale supleanților acestora, prin care diurna pentru beneficiarii care participă la reuniuni cu prezență fizică este stabilită la 367 EUR (în creștere de la 290 EUR), iar diurna pentru beneficiarii care participă la reuniuni de la distanță prin mijloace electronice este stabilită la 149 EUR (în creștere de la 145 EUR); constată, pe baza chestionarului, că, în 2024, Comitetul a rambursat pentru participarea de la distanță la reuniuni suma de </w:t>
            </w:r>
            <w:r>
              <w:rPr>
                <w:b/>
                <w:i/>
              </w:rPr>
              <w:t>259 669</w:t>
            </w:r>
            <w:r>
              <w:t xml:space="preserve"> EUR (</w:t>
            </w:r>
            <w:r>
              <w:rPr>
                <w:b/>
                <w:i/>
              </w:rPr>
              <w:t>294 930</w:t>
            </w:r>
            <w:r>
              <w:t xml:space="preserve"> EUR în 2023), echivalentul a </w:t>
            </w:r>
            <w:r>
              <w:rPr>
                <w:b/>
                <w:i/>
              </w:rPr>
              <w:t>1 744</w:t>
            </w:r>
            <w:r>
              <w:t xml:space="preserve"> de zile de reuniune (</w:t>
            </w:r>
            <w:r>
              <w:rPr>
                <w:b/>
                <w:i/>
              </w:rPr>
              <w:t>2 006</w:t>
            </w:r>
            <w:r>
              <w:t xml:space="preserve"> zile de reuniune în 2023), în timp ce valoarea totală a indemnizațiilor forfetare plătite pentru participarea fizică la reuniuni a fost de </w:t>
            </w:r>
            <w:r>
              <w:rPr>
                <w:b/>
                <w:i/>
              </w:rPr>
              <w:t>6 579 196</w:t>
            </w:r>
            <w:r>
              <w:t xml:space="preserve"> EUR în 2024 (în creștere de la </w:t>
            </w:r>
            <w:r>
              <w:rPr>
                <w:b/>
                <w:i/>
              </w:rPr>
              <w:t>5 902 963</w:t>
            </w:r>
            <w:r>
              <w:t xml:space="preserve"> EUR în 2023); constată, de asemenea, că Comitetul dispune de un sistem pentru a confirma participarea efectivă de la distanță la reuniuni prin mijloace electronice; consideră că</w:t>
            </w:r>
            <w:r>
              <w:rPr>
                <w:b/>
                <w:i/>
              </w:rPr>
              <w:t>, deși</w:t>
            </w:r>
            <w:r>
              <w:t xml:space="preserve"> participarea de la distanță este un instrument important pentru instituțiile moderne </w:t>
            </w:r>
            <w:r>
              <w:rPr>
                <w:b/>
                <w:i/>
              </w:rPr>
              <w:t>–</w:t>
            </w:r>
            <w:r>
              <w:t xml:space="preserve"> reducând costurile reuniunilor și permițând o participare mai largă </w:t>
            </w:r>
            <w:r>
              <w:rPr>
                <w:b/>
                <w:i/>
              </w:rPr>
              <w:t>– motivele alocării unei</w:t>
            </w:r>
            <w:r>
              <w:t xml:space="preserve"> indemnizații pentru participarea de la distanță la </w:t>
            </w:r>
            <w:r>
              <w:rPr>
                <w:b/>
                <w:i/>
              </w:rPr>
              <w:t>reuniuni sunt dificil de înțeles pentru public, chiar dacă valoarea acesteia este redusă și atribuirea ei este limitată la anumite tipuri</w:t>
            </w:r>
            <w:r>
              <w:t xml:space="preserve"> de evenimente;</w:t>
            </w:r>
          </w:p>
        </w:tc>
        <w:tc>
          <w:tcPr>
            <w:tcW w:w="4876" w:type="dxa"/>
            <w:tcBorders>
              <w:top w:val="nil"/>
              <w:left w:val="nil"/>
              <w:bottom w:val="nil"/>
              <w:right w:val="nil"/>
            </w:tcBorders>
          </w:tcPr>
          <w:p>
            <w:pPr>
              <w:pStyle w:val="Normal6a"/>
            </w:pPr>
            <w:r>
              <w:t>7.</w:t>
            </w:r>
            <w:r>
              <w:tab/>
            </w:r>
            <w:r>
              <w:t xml:space="preserve">ia act de faptul că, la 21 septembrie 2024, Consiliul a adoptat o nouă decizie privind acordarea diurnelor și rambursarea cheltuielilor de deplasare ale membrilor Comitetului și ale supleanților acestora, prin care diurna pentru beneficiarii care participă la reuniuni cu prezență fizică este stabilită la 367 EUR (în creștere de la 290 EUR), iar diurna pentru beneficiarii care participă la reuniuni de la distanță prin mijloace electronice este stabilită la 149 EUR (în creștere de la 145 EUR); constată, pe baza chestionarului, că, în 2024, Comitetul a rambursat pentru participarea de la distanță la reuniuni suma de </w:t>
            </w:r>
            <w:r>
              <w:rPr>
                <w:b/>
                <w:i/>
              </w:rPr>
              <w:t>259 669</w:t>
            </w:r>
            <w:r>
              <w:t> EUR (</w:t>
            </w:r>
            <w:r>
              <w:rPr>
                <w:b/>
                <w:i/>
              </w:rPr>
              <w:t>294 930</w:t>
            </w:r>
            <w:r>
              <w:t xml:space="preserve"> EUR în 2023), echivalentul a </w:t>
            </w:r>
            <w:r>
              <w:rPr>
                <w:b/>
                <w:i/>
              </w:rPr>
              <w:t>1 744</w:t>
            </w:r>
            <w:r>
              <w:t xml:space="preserve"> de zile de reuniune (</w:t>
            </w:r>
            <w:r>
              <w:rPr>
                <w:b/>
                <w:i/>
              </w:rPr>
              <w:t>2 006</w:t>
            </w:r>
            <w:r>
              <w:t xml:space="preserve"> zile de reuniune în 2023), în timp ce valoarea totală a indemnizațiilor forfetare plătite pentru participarea fizică la reuniuni a fost de </w:t>
            </w:r>
            <w:r>
              <w:rPr>
                <w:b/>
                <w:i/>
              </w:rPr>
              <w:t>6 579 196</w:t>
            </w:r>
            <w:r>
              <w:t xml:space="preserve"> EUR în 2024 (în creștere de la </w:t>
            </w:r>
            <w:r>
              <w:rPr>
                <w:b/>
                <w:i/>
              </w:rPr>
              <w:t>5 902 963</w:t>
            </w:r>
            <w:r>
              <w:t xml:space="preserve"> EUR în 2023); constată, de asemenea, că Comitetul dispune de un sistem pentru a confirma participarea efectivă de la distanță la reuniuni prin mijloace electronice; consideră că participarea de la distanță este un instrument important </w:t>
            </w:r>
            <w:r>
              <w:rPr>
                <w:b/>
                <w:i/>
              </w:rPr>
              <w:t>și valoros</w:t>
            </w:r>
            <w:r>
              <w:t xml:space="preserve"> pentru instituțiile moderne</w:t>
            </w:r>
            <w:r>
              <w:rPr>
                <w:b/>
                <w:i/>
              </w:rPr>
              <w:t>,</w:t>
            </w:r>
            <w:r>
              <w:t xml:space="preserve"> reducând costurile reuniunilor și permițând o participare mai largă</w:t>
            </w:r>
            <w:r>
              <w:rPr>
                <w:b/>
                <w:i/>
              </w:rPr>
              <w:t>;</w:t>
            </w:r>
            <w:r>
              <w:t xml:space="preserve"> </w:t>
            </w:r>
            <w:r>
              <w:rPr>
                <w:b/>
                <w:i/>
              </w:rPr>
              <w:t>salută abordarea Comitetului de a aloca</w:t>
            </w:r>
            <w:r>
              <w:t xml:space="preserve"> indemnizații pentru participarea de la distanță la </w:t>
            </w:r>
            <w:r>
              <w:rPr>
                <w:b/>
                <w:i/>
              </w:rPr>
              <w:t>un tip redus și limitat</w:t>
            </w:r>
            <w:r>
              <w:t xml:space="preserve"> de evenimente </w:t>
            </w:r>
            <w:r>
              <w:rPr>
                <w:b/>
                <w:i/>
              </w:rPr>
              <w:t>într-un mod echitabil și proporțional, reflectând responsabilitățile membrilor și cerințele de pregătire, asigurând și monitorizând în același timp transparența și eficiența din punctul de vedere al costurilor</w:t>
            </w:r>
            <w:r>
              <w:t xml:space="preserve">; </w:t>
            </w:r>
            <w:r>
              <w:rPr>
                <w:b/>
                <w:i/>
              </w:rPr>
              <w:t>reamintește că membrii Comitetului Economic și Social European nu primesc salariu pentru mandatul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Comitetul să reevalueze sistemul de indemnizații de participare de la distanță pentru a asigura transparența deplină, proporționalitatea și încrederea publicului;</w:t>
            </w:r>
            <w:r>
              <w:t xml:space="preserve"> </w:t>
            </w:r>
            <w:r>
              <w:rPr>
                <w:b/>
                <w:i/>
              </w:rPr>
              <w:t>subliniază că compensația financiară pentru participarea de la distanță trebuie să fie strict justificată, limitată ca domeniu de aplicare și să respecte principiul unui bun raport cost-eficacitate și principiul răspunderii;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își exprimă profunda îngrijorare cu privire la creșterea poverii datoriei UE și a costurilor îndatorării;</w:t>
            </w:r>
            <w:r>
              <w:t xml:space="preserve"> </w:t>
            </w:r>
            <w:r>
              <w:rPr>
                <w:b/>
                <w:i/>
              </w:rPr>
              <w:t>observă că, potrivit Raportului anual al Curții de Conturi Europene, cuantumul împrumuturilor în curs contractate de UE ar putea depăși 900 de miliarde EUR până în 2027, un nivel de aproape 10 ori mai mare decât cel din 2020, înainte de introducerea pachetului de redresare NGEU;</w:t>
            </w:r>
            <w:r>
              <w:t xml:space="preserve"> </w:t>
            </w:r>
            <w:r>
              <w:rPr>
                <w:b/>
                <w:i/>
              </w:rPr>
              <w:t>avertizează că creșterea costurilor îndatorării reprezintă un risc pentru bugetele viitoare și reduce marja de manevră bugetară pentru noi priorități;</w:t>
            </w:r>
            <w:r>
              <w:t xml:space="preserve"> </w:t>
            </w:r>
            <w:r>
              <w:rPr>
                <w:b/>
                <w:i/>
              </w:rPr>
              <w:t>insistă, prin urmare, că această presiune fiscală fără precedent impune o încercare strictă de a face economii în bugetul administrativ al Comitetului;</w:t>
            </w:r>
            <w:r>
              <w:t xml:space="preserve"> </w:t>
            </w:r>
            <w:r>
              <w:rPr>
                <w:b/>
                <w:i/>
              </w:rPr>
              <w:t>invită Secretarul General să prezinte un plan de reducere structurală a costurilor pentru a demonstra responsabilitatea instituțională în perioade caracterizate de niveluri ridicate ale datoriei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invită administrația Comitetului să identifice și să pună în aplicare în mod activ măsuri de reducere a costurilor, inclusiv prin folosirea mai frecventă a tehnologiilor pentru reuniuni hibride, optimizarea utilizării clădirilor, consolidarea activităților parlamentare și reducerea cheltuielilor logistice inutile;</w:t>
            </w:r>
            <w:r>
              <w:t xml:space="preserve"> </w:t>
            </w:r>
            <w:r>
              <w:rPr>
                <w:b/>
                <w:i/>
              </w:rPr>
              <w:t>solicită transmiterea de rapoarte periodice privind progresele înregistrate referitoare la măsurile puse în aplicare și la economiile realizate;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invită Comitetul să adopte o foaie de parcurs structurată pentru a atinge treptat pragul de referință de 10 % pentru cheltuielile în materie de securitate cibernetică, inclusiv obiective de etapă anuale, stabilirea priorităților în funcție de riscuri și raportarea periodică către autoritatea care acordă descărcarea de gestiune;</w:t>
            </w:r>
            <w:r>
              <w:t xml:space="preserve"> </w:t>
            </w:r>
            <w:r>
              <w:rPr>
                <w:b/>
                <w:i/>
              </w:rPr>
              <w:t>subliniază necesitatea unei cooperări consolidate cu CERT-UE și cu alte instituții ale Uniunii pentru a asigura o poziție coerentă și rezilientă în materie de securitate cibernetică.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observă că Comitetul are o contribuție fundamentală la elaborarea politicilor și la procesele decizionale ale Uniunii, reprezentând vocile tuturor domeniilor societății civile organizate din Uniune, aducând astfel Europa mai aproape de cetățenii săi și sporind legitimitatea democratică a legislației Uniunii; reamintește că programul anual de lucru al Comitetului include un sistem de monitorizare a performanței cu indicatori axați pe diferite domenii, cum ar fi IT, resursele umane, traducerea și comunicarea, structurat în jurul a cinci valori fundamentale și a cinci obiective strategice esențiale, în cadrul strategiei Secretariatului General pentru perioada 2021-2025; constată cu satisfacție, pe baza acțiunilor subsecvente întreprinse de Comitet pentru a da curs observațiilor din rezoluția Parlamentului referitoare la descărcarea de gestiune pentru exercițiul financiar 2023 („raportul de monitorizare”) și a chestionarului, că, în urma unui audit, Comitetul a lansat un proces structurat de îmbunătățire a monitorizării performanței sale prin alinierea cadrului său de performanță la obiectivele strategice prin indicatori-cheie de performanță și indicatori de impact care urmează să fie aliniați la viitoarele obiective strategice ale Comitetului, în timp ce personalul de conducere de nivel superior va juca un rol esențial în utilizarea acestor indicatori; se așteaptă să fie informat cu privire la rezultatul punerii în aplicare a acestui nou cadru prin intermediul viitoarelor rapoarte ale Comitetului către autoritatea care acordă descărcarea de gestiune;</w:t>
            </w:r>
          </w:p>
        </w:tc>
        <w:tc>
          <w:tcPr>
            <w:tcW w:w="4876" w:type="dxa"/>
            <w:tcBorders>
              <w:top w:val="nil"/>
              <w:left w:val="nil"/>
              <w:bottom w:val="nil"/>
              <w:right w:val="nil"/>
            </w:tcBorders>
          </w:tcPr>
          <w:p>
            <w:pPr>
              <w:pStyle w:val="Normal6a"/>
            </w:pPr>
            <w:r>
              <w:t>12.</w:t>
            </w:r>
            <w:r>
              <w:tab/>
            </w:r>
            <w:r>
              <w:t>observă că Comitetul are o contribuție fundamentală la elaborarea politicilor și la procesele decizionale ale Uniunii, reprezentând vocile tuturor domeniilor societății civile organizate din Uniune, aducând astfel Europa mai aproape de cetățenii săi și sporind legitimitatea democratică a legislației Uniunii; reamintește că programul anual de lucru al Comitetului include un sistem de monitorizare a performanței cu indicatori axați pe diferite domenii, cum ar fi IT, resursele umane, traducerea și comunicarea, structurat în jurul a cinci valori fundamentale și a cinci obiective strategice esențiale, în cadrul strategiei Secretariatului General pentru perioada 2021-2025</w:t>
            </w:r>
            <w:r>
              <w:rPr>
                <w:b/>
                <w:i/>
              </w:rPr>
              <w:t>;</w:t>
            </w:r>
            <w:r>
              <w:t xml:space="preserve"> </w:t>
            </w:r>
            <w:r>
              <w:rPr>
                <w:b/>
                <w:i/>
              </w:rPr>
              <w:t>consideră, totuși, că valoarea adăugată a activităților sale pentru cetățenii europeni rămâne în mare măsură subraportată;</w:t>
            </w:r>
            <w:r>
              <w:t xml:space="preserve"> </w:t>
            </w:r>
            <w:r>
              <w:rPr>
                <w:b/>
                <w:i/>
              </w:rPr>
              <w:t>invită Comitetul să continue să își consolideze cadrul de evaluare a impactului, demonstrând mai bine modul în care avizele și inițiativele sale se traduc în rezultate concrete ale politicilor și în beneficii concrete pentru cetățeni</w:t>
            </w:r>
            <w:r>
              <w:t>; constată cu satisfacție, pe baza acțiunilor subsecvente întreprinse de Comitet pentru a da curs observațiilor din rezoluția Parlamentului referitoare la descărcarea de gestiune pentru exercițiul financiar 2023 („raportul de monitorizare”) și a chestionarului, că, în urma unui audit, Comitetul a lansat un proces structurat de îmbunătățire a monitorizării performanței sale prin alinierea cadrului său de performanță la obiectivele strategice prin indicatori-cheie de performanță și indicatori de impact care urmează să fie aliniați la viitoarele obiective strategice ale Comitetului, în timp ce personalul de conducere de nivel superior va juca un rol esențial în utilizarea acestor indicatori; se așteaptă să fie informat cu privire la rezultatul punerii în aplicare a acestui nou cadru prin intermediul viitoarelor rapoarte ale Comitetului către autoritatea care acordă descărcarea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observă că Comitetul are o contribuție fundamentală la elaborarea politicilor și la procesele decizionale ale Uniunii, reprezentând vocile tuturor domeniilor societății civile organizate din Uniune, aducând astfel Europa mai aproape de cetățenii săi și sporind legitimitatea democratică a legislației Uniunii; reamintește că programul anual de lucru al Comitetului include un sistem de monitorizare a performanței cu indicatori axați pe diferite domenii, cum ar fi IT, resursele umane, traducerea și comunicarea, structurat în jurul a cinci valori fundamentale și a cinci obiective strategice esențiale, în cadrul strategiei Secretariatului General pentru perioada 2021-2025; constată cu satisfacție, pe baza acțiunilor subsecvente întreprinse de Comitet pentru a da curs observațiilor din rezoluția Parlamentului referitoare la descărcarea de gestiune pentru exercițiul financiar 2023 („raportul de monitorizare”) și a chestionarului, că, în urma unui audit, Comitetul a lansat un proces structurat de îmbunătățire a monitorizării performanței sale prin alinierea cadrului său de performanță la obiectivele strategice prin indicatori-cheie de performanță și indicatori de impact care urmează să fie aliniați la viitoarele obiective strategice ale Comitetului, în timp ce personalul de conducere de nivel superior va juca un rol esențial în utilizarea acestor indicatori; se așteaptă să fie informat cu privire la rezultatul punerii în aplicare a acestui nou cadru prin intermediul viitoarelor rapoarte ale Comitetului către autoritatea care acordă descărcarea de gestiune;</w:t>
            </w:r>
          </w:p>
        </w:tc>
        <w:tc>
          <w:tcPr>
            <w:tcW w:w="4876" w:type="dxa"/>
            <w:tcBorders>
              <w:top w:val="nil"/>
              <w:left w:val="nil"/>
              <w:bottom w:val="nil"/>
              <w:right w:val="nil"/>
            </w:tcBorders>
          </w:tcPr>
          <w:p>
            <w:pPr>
              <w:pStyle w:val="Normal6a"/>
            </w:pPr>
            <w:r>
              <w:t>12.</w:t>
            </w:r>
            <w:r>
              <w:tab/>
            </w:r>
            <w:r>
              <w:t xml:space="preserve">observă că Comitetul are o contribuție fundamentală la elaborarea politicilor și la procesele decizionale ale Uniunii, reprezentând vocile tuturor domeniilor societății civile organizate din Uniune, aducând astfel Europa mai aproape de cetățenii săi și sporind legitimitatea democratică a legislației Uniunii; reamintește că programul anual de lucru al Comitetului include un sistem de monitorizare a performanței cu indicatori axați pe diferite domenii, cum ar fi IT, resursele umane, traducerea și comunicarea, structurat în jurul a cinci valori fundamentale și a cinci obiective strategice esențiale, în cadrul strategiei Secretariatului General pentru perioada 2021-2025; constată cu satisfacție, pe baza acțiunilor subsecvente întreprinse de Comitet pentru a da curs observațiilor din rezoluția Parlamentului referitoare la descărcarea de gestiune pentru exercițiul financiar 2023 („raportul de monitorizare”) și a chestionarului, că, în urma unui audit, Comitetul a lansat un proces structurat de îmbunătățire a monitorizării performanței sale prin alinierea cadrului său de performanță la obiectivele strategice prin indicatori-cheie de performanță și indicatori de impact care urmează să fie aliniați la viitoarele obiective strategice ale Comitetului, în timp ce personalul de conducere de nivel superior va juca un rol esențial în utilizarea acestor indicatori; se așteaptă să fie informat cu privire la rezultatul punerii în aplicare a acestui nou cadru prin intermediul viitoarelor rapoarte ale Comitetului către autoritatea care acordă descărcarea de gestiune; </w:t>
            </w:r>
            <w:r>
              <w:rPr>
                <w:b/>
                <w:i/>
              </w:rPr>
              <w:t>salută eforturile Comitetului de a integra măsurarea impactului în procesul său decizional și solicită stabilirea unor indicatori-cheie de performanță clari și cuantificabili, precum și raportări periodice, pentru a asigura rezultate măsurabile și responsabilitate;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constată că Comitetul își realizează misiunea prin avize care se referă la propunerile legislative formulate de Comisie (elaborate în urma unor sesizări), avize din proprie inițiativă, care invită instituțiile Uniunii să ia măsuri, precum și avize exploratorii, care contribuie la activitatea Comisiei privind inițiativele sale planificate, și că pozițiile Comitetului pot fi evidențiate în rezoluții sau pot fi incluse în rapoarte de evaluare și informare; felicită Comitetul pentru modul eficient în care a sprijinit Parlamentul, Consiliul și Comisia în ciclul legislativ din 2024; observă, în acest context, că, în 2024, Comitetul a adoptat 142 de avize și rapoarte, înregistrând o scădere față de anul 2023, când a adoptat 213 avize și rapoarte, și a organizat 148 de audieri și 26 de conferințe, comparativ cu 146 de audieri și, respectiv, 24 de conferințe în 2023; ia act de faptul că reînnoirea legislaturii în 2024 a dus la reducerea numărului de sesizări și, prin urmare, a numărului de avize adoptate de Comitet în anul respectiv; ia act de faptul că membrii Comitetului au participat la 518 reuniuni la nivel înalt, summituri și conferințe în 2024, comparativ cu 429 în 2023;</w:t>
            </w:r>
          </w:p>
        </w:tc>
        <w:tc>
          <w:tcPr>
            <w:tcW w:w="4876" w:type="dxa"/>
            <w:tcBorders>
              <w:top w:val="nil"/>
              <w:left w:val="nil"/>
              <w:bottom w:val="nil"/>
              <w:right w:val="nil"/>
            </w:tcBorders>
          </w:tcPr>
          <w:p>
            <w:pPr>
              <w:pStyle w:val="Normal6a"/>
            </w:pPr>
            <w:r>
              <w:t>13.</w:t>
            </w:r>
            <w:r>
              <w:tab/>
            </w:r>
            <w:r>
              <w:t xml:space="preserve">constată că Comitetul își realizează misiunea prin avize care se referă la propunerile legislative formulate de Comisie (elaborate în urma unor sesizări), avize din proprie inițiativă, care invită instituțiile Uniunii să ia măsuri, precum și avize exploratorii, care contribuie la activitatea Comisiei privind inițiativele sale planificate, și că pozițiile Comitetului pot fi evidențiate în rezoluții sau pot fi incluse în rapoarte de evaluare și informare; felicită Comitetul pentru modul eficient în care a sprijinit Parlamentul, Consiliul și Comisia în ciclul legislativ din 2024; observă, în acest context, că, în 2024, Comitetul a adoptat 142 de avize și rapoarte, înregistrând o scădere față de anul 2023, când a adoptat 213 avize și rapoarte, și a organizat 148 de audieri și 26 de conferințe, comparativ cu 146 de audieri și, respectiv, 24 de conferințe în 2023; ia act de faptul că reînnoirea legislaturii în 2024 a dus la reducerea numărului de sesizări și, prin urmare, a numărului de avize adoptate de Comitet în anul respectiv; ia act de faptul că membrii Comitetului au participat la 518 reuniuni la nivel înalt, summituri și conferințe în 2024, comparativ cu 429 în 2023; </w:t>
            </w:r>
            <w:r>
              <w:rPr>
                <w:b/>
                <w:i/>
              </w:rPr>
              <w:t>încurajează acordarea de prioritate inițiativelor care sprijină creșterea economică, competitivitatea și autonomia strategică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încurajează Comitetul să își continue eforturile de a-și concentra activitatea asupra unor domenii în care poate aduce contribuții clare, măsurabile și relevante pentru elaborarea de politici și să dezvolte în continuare indicatori bazați pe performanță și pe impact care să depășească realizările bazate pe activități și să reflecte mai bine rezultatele și relevanța pentru cetățeni;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salută, pe baza raportului de monitorizare, angajamentul Comitetului de a formula avize privind drepturile lucrătorilor, incluziunea socială și încălcările drepturilor omului și de a extinde domeniul de aplicare al evaluărilor sale în ceea ce privește legislația și programele Uniunii, cu condiția să fie disponibile resurse adecvate;</w:t>
            </w:r>
          </w:p>
        </w:tc>
        <w:tc>
          <w:tcPr>
            <w:tcW w:w="4876" w:type="dxa"/>
            <w:tcBorders>
              <w:top w:val="nil"/>
              <w:left w:val="nil"/>
              <w:bottom w:val="nil"/>
              <w:right w:val="nil"/>
            </w:tcBorders>
          </w:tcPr>
          <w:p>
            <w:pPr>
              <w:pStyle w:val="Normal6a"/>
            </w:pPr>
            <w:r>
              <w:t>14.</w:t>
            </w:r>
            <w:r>
              <w:tab/>
            </w:r>
            <w:r>
              <w:t>salută, pe baza raportului de monitorizare, angajamentul Comitetului de a formula avize privind drepturile lucrătorilor, incluziunea socială și încălcările drepturilor omului și de a extinde domeniul de aplicare al evaluărilor sale în ceea ce privește legislația și programele Uniunii, cu condiția să fie disponibile resurse adecvate</w:t>
            </w:r>
            <w:r>
              <w:rPr>
                <w:b/>
                <w:i/>
              </w:rPr>
              <w:t>, reprezentând societatea civilă în sens larg</w:t>
            </w:r>
            <w:r>
              <w:t xml:space="preserve">; </w:t>
            </w:r>
            <w:r>
              <w:rPr>
                <w:b/>
                <w:i/>
              </w:rPr>
              <w:t>încurajează Comitetul să extindă domeniul de aplicare al avizelor pentru a include și alte acte legislative ale Uniunii legate de bunurile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apreciază acțiunile întreprinse de Comitet în 2024 pentru a îmbunătăți vizibilitatea și impactul activității sale în cadrul ciclului politic și legislativ; salută lansarea oficială, în urma unui proiect-pilot, a unui nou format de avize elaborate ca răspuns la sesizările obligatorii din partea Parlamentului, a Consiliului sau a Comisiei; ia act de faptul că noul format sporește posibilitatea de utilizare și facilitează utilizarea de către legiuitor a acestor avize, prioritizând, în același timp, în mai mare măsură activitatea Comitetului; constată, de asemenea, că, datorită monitorizării consolidate a avizelor selectate prin intermediul unei liste de verificare și al unor orientări, Comitetul se așteaptă ca acestea să rămână relevante și după adoptarea lor și să contribuie la procesele legislative pe mai multe niveluri; salută, de asemenea, integrarea avizelor Comitetului în instrumentul EU Law Tracker (EULT) începând din aprilie 2024, în urma acestei măsuri avizele apărând în prezent ca referințe în dosarele legislative; constată cu satisfacție că Comitetul a adoptat, de asemenea, un plan intern pentru a anticipa mai bine prioritățile Uniunii, a îmbunătăți coordonarea interinstituțională, a consolida diseminarea și monitorizarea și a măsura impactul într-un mod mai sistematic;</w:t>
            </w:r>
          </w:p>
        </w:tc>
        <w:tc>
          <w:tcPr>
            <w:tcW w:w="4876" w:type="dxa"/>
            <w:tcBorders>
              <w:top w:val="nil"/>
              <w:left w:val="nil"/>
              <w:bottom w:val="nil"/>
              <w:right w:val="nil"/>
            </w:tcBorders>
          </w:tcPr>
          <w:p>
            <w:pPr>
              <w:pStyle w:val="Normal6a"/>
            </w:pPr>
            <w:r>
              <w:t>15.</w:t>
            </w:r>
            <w:r>
              <w:tab/>
            </w:r>
            <w:r>
              <w:t>apreciază acțiunile întreprinse de Comitet în 2024 pentru a îmbunătăți vizibilitatea și impactul activității sale în cadrul ciclului politic și legislativ; salută lansarea oficială, în urma unui proiect-pilot, a unui nou format de avize elaborate ca răspuns la sesizările obligatorii din partea Parlamentului, a Consiliului sau a Comisiei; ia act de faptul că noul format sporește posibilitatea de utilizare și facilitează utilizarea de către legiuitor a acestor avize, prioritizând, în același timp, în mai mare măsură activitatea Comitetului; constată, de asemenea, că, datorită monitorizării consolidate a avizelor selectate prin intermediul unei liste de verificare și al unor orientări, Comitetul se așteaptă ca acestea să rămână relevante și după adoptarea lor și să contribuie la procesele legislative pe mai multe niveluri; salută, de asemenea, integrarea avizelor Comitetului în instrumentul EU Law Tracker (EULT) începând din aprilie 2024, în urma acestei măsuri avizele apărând în prezent ca referințe în dosarele legislative; constată cu satisfacție că Comitetul a adoptat, de asemenea, un plan intern pentru a anticipa mai bine prioritățile Uniunii, a îmbunătăți coordonarea interinstituțională, a consolida diseminarea și monitorizarea și a măsura impactul într-un mod mai sistematic;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apreciază acțiunile întreprinse de Comitet în 2024 pentru a îmbunătăți accesibilitatea, claritatea și utilizabilitatea avizelor sale pentru instituțiile Uniunii;</w:t>
            </w:r>
            <w:r>
              <w:t xml:space="preserve"> </w:t>
            </w:r>
            <w:r>
              <w:rPr>
                <w:b/>
                <w:i/>
              </w:rPr>
              <w:t>subliniază că astfel de acțiuni sunt menite să consolideze capacitatea legiuitorilor de a lua decizii în cunoștință de cauză;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constată cu satisfacție că Comitetul a promovat mai multe inițiative emblematice care au consolidat participarea, incluziunea și impactul politicilor în întreaga Uniune; ia act de faptul că, începând din septembrie 2024, Comitetul a preluat inițiativa în ceea ce privește aplicarea testului din perspectiva tinerilor privind politicile UE, implicând o rețea de 73 de organizații de tineret și testând din perspectiva tinerilor aproximativ 40 de avize; constată, de asemenea, că Comitetul și-a extins colaborarea cu țările candidate prin inițiativa privind membrii din țări candidate la aderare, permițând unui număr de 146 de reprezentanți ai societății civile să contribuie în mod direct la elaborarea avizelor Comitetului, prin participarea la grupuri de studiu, ședințe ale secțiunilor și sesiuni plenare (octombrie 2024); felicită Comitetul pentru promovarea inițiativei sale privind Pactul albastru european, fapt care contribuie la plasarea rezilienței în domeniul apei pe agenda Uniunii; subliniază că Comitetul a continuat să conducă Platforma europeană a părților interesate din economia circulară și a organizat în comun Premiile ecologice ale UE pentru 2024, consolidând legăturile cu actorii societății civile din domeniul agriculturii ecologice;</w:t>
            </w:r>
          </w:p>
        </w:tc>
        <w:tc>
          <w:tcPr>
            <w:tcW w:w="4876" w:type="dxa"/>
            <w:tcBorders>
              <w:top w:val="nil"/>
              <w:left w:val="nil"/>
              <w:bottom w:val="nil"/>
              <w:right w:val="nil"/>
            </w:tcBorders>
          </w:tcPr>
          <w:p>
            <w:pPr>
              <w:pStyle w:val="Normal6a"/>
            </w:pPr>
            <w:r>
              <w:t>16.</w:t>
            </w:r>
            <w:r>
              <w:tab/>
            </w:r>
            <w:r>
              <w:t xml:space="preserve">constată cu satisfacție că Comitetul a promovat mai multe inițiative emblematice care au consolidat participarea, incluziunea și impactul politicilor în întreaga Uniune; ia act de faptul că, începând din septembrie 2024, Comitetul a preluat inițiativa în ceea ce privește aplicarea testului din perspectiva tinerilor privind politicile UE, implicând o rețea de 73 de organizații de tineret și testând din perspectiva tinerilor aproximativ 40 de avize; constată, de asemenea, că Comitetul și-a extins colaborarea cu țările candidate prin inițiativa privind membrii din țări candidate la aderare, permițând unui număr de 146 de reprezentanți ai societății civile să contribuie în mod direct la elaborarea avizelor Comitetului, prin participarea la grupuri de studiu, ședințe ale secțiunilor și sesiuni plenare (octombrie 2024); </w:t>
            </w:r>
            <w:r>
              <w:rPr>
                <w:b/>
                <w:i/>
              </w:rPr>
              <w:t>salută această inițiativă ca o contribuție pozitivă la dialogul incluziv și la pregătirea pentru viitoarea extindere;</w:t>
            </w:r>
            <w:r>
              <w:t xml:space="preserve"> felicită Comitetul pentru promovarea inițiativei sale privind Pactul albastru european, fapt care contribuie la plasarea rezilienței în domeniul apei pe agenda Uniunii; subliniază că Comitetul a continuat să conducă Platforma europeană a părților interesate din economia circulară și a organizat în comun Premiile ecologice ale UE pentru 2024, consolidând legăturile cu actorii societății civile din domeniul agriculturii ecologice; </w:t>
            </w:r>
            <w:r>
              <w:rPr>
                <w:b/>
                <w:i/>
              </w:rPr>
              <w:t>încurajează alinierea continuă la obiectivele strategice de politică și la rezultatele măsurabile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constată cu satisfacție că Comitetul a promovat mai multe inițiative emblematice care au consolidat participarea, incluziunea și impactul politicilor în întreaga Uniune; ia act de faptul că, începând din septembrie 2024, Comitetul a preluat inițiativa în ceea ce privește aplicarea testului din perspectiva tinerilor privind politicile UE, implicând o rețea de 73 de organizații de tineret și testând din perspectiva tinerilor aproximativ 40 de avize; constată, de asemenea, că Comitetul și-a extins colaborarea cu țările candidate prin inițiativa privind membrii din țări candidate la aderare, permițând unui număr de 146 de reprezentanți ai societății civile să contribuie în mod direct la elaborarea avizelor Comitetului, prin participarea la grupuri de studiu, ședințe ale secțiunilor și sesiuni plenare (octombrie 2024); felicită Comitetul pentru promovarea inițiativei sale privind Pactul albastru european, fapt care contribuie la plasarea rezilienței în domeniul apei pe agenda Uniunii; subliniază că Comitetul a continuat să conducă Platforma europeană a părților interesate din economia circulară și a organizat în comun Premiile ecologice ale UE pentru 2024, consolidând legăturile cu actorii societății civile din domeniul agriculturii ecologice;</w:t>
            </w:r>
          </w:p>
        </w:tc>
        <w:tc>
          <w:tcPr>
            <w:tcW w:w="4876" w:type="dxa"/>
            <w:tcBorders>
              <w:top w:val="nil"/>
              <w:left w:val="nil"/>
              <w:bottom w:val="nil"/>
              <w:right w:val="nil"/>
            </w:tcBorders>
          </w:tcPr>
          <w:p>
            <w:pPr>
              <w:pStyle w:val="Normal6a"/>
            </w:pPr>
            <w:r>
              <w:t>16.</w:t>
            </w:r>
            <w:r>
              <w:tab/>
            </w:r>
            <w:r>
              <w:t>constată cu satisfacție că Comitetul a promovat mai multe inițiative emblematice care au consolidat participarea, incluziunea și impactul politicilor în întreaga Uniune; ia act de faptul că, începând din septembrie 2024, Comitetul a preluat inițiativa în ceea ce privește aplicarea testului din perspectiva tinerilor privind politicile UE, implicând o rețea de 73 de organizații de tineret și testând din perspectiva tinerilor aproximativ 40 de avize</w:t>
            </w:r>
            <w:r>
              <w:rPr>
                <w:b/>
                <w:i/>
              </w:rPr>
              <w:t>;</w:t>
            </w:r>
            <w:r>
              <w:t xml:space="preserve"> </w:t>
            </w:r>
            <w:r>
              <w:rPr>
                <w:b/>
                <w:i/>
              </w:rPr>
              <w:t>salută și sprijină inițiativele Comitetului menite să consolideze participarea tinerilor la procesul de elaborare a politicilor</w:t>
            </w:r>
            <w:r>
              <w:t>; constată, de asemenea, că Comitetul și-a extins colaborarea cu țările candidate prin inițiativa privind membrii din țări candidate la aderare, permițând unui număr de 146 de reprezentanți ai societății civile să contribuie în mod direct la elaborarea avizelor Comitetului, prin participarea la grupuri de studiu, ședințe ale secțiunilor și sesiuni plenare (octombrie 2024); felicită Comitetul pentru promovarea inițiativei sale privind Pactul albastru european, fapt care contribuie la plasarea rezilienței în domeniul apei pe agenda Uniunii; subliniază că Comitetul a continuat să conducă Platforma europeană a părților interesate din economia circulară și a organizat în comun Premiile ecologice ale UE pentru 2024, consolidând legăturile cu actorii societății civile din domeniul agriculturii ecologice;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ia act cu satisfacție, pe baza chestionarului, de acțiunile întreprinse de Comitet în 2024 prin care se urmărește reducerea sarcinii administrative și raționalizarea proceselor; salută, în acest sens, lansarea unui nou program, mai eficient, de înregistrare a vizitatorilor, utilizarea unui software colaborativ de către unii dintre membrii personalului Comitetului, activitatea desfășurată de grupul de lucru interdepartamental care reglementează utilizarea metodologiei de gestionare a proceselor operaționale ale Comitetului, simplificarea circuitului de verificare în ceea ce privește traducerile externalizate, fuzionarea mai multor unități lingvistice și simplificarea normelor de comunicare ale Comitetului, printre altele; constată </w:t>
            </w:r>
            <w:r>
              <w:rPr>
                <w:b/>
                <w:i/>
              </w:rPr>
              <w:t>cu interes</w:t>
            </w:r>
            <w:r>
              <w:t xml:space="preserve"> că, pentru a economisi resurse, Comitetul desfășoară o etapă-pilot care utilizează inteligența artificială (IA), cu scopul de a transforma Direcția Traducere; invită Comitetul să informeze autoritatea care acordă descărcarea de gestiune cu privire la progresele înregistrate în acest sens;</w:t>
            </w:r>
          </w:p>
        </w:tc>
        <w:tc>
          <w:tcPr>
            <w:tcW w:w="4876" w:type="dxa"/>
            <w:tcBorders>
              <w:top w:val="nil"/>
              <w:left w:val="nil"/>
              <w:bottom w:val="nil"/>
              <w:right w:val="nil"/>
            </w:tcBorders>
          </w:tcPr>
          <w:p>
            <w:pPr>
              <w:pStyle w:val="Normal6a"/>
            </w:pPr>
            <w:r>
              <w:t>17.</w:t>
            </w:r>
            <w:r>
              <w:tab/>
            </w:r>
            <w:r>
              <w:t xml:space="preserve">ia act cu satisfacție, pe baza chestionarului, de acțiunile întreprinse de Comitet în 2024 prin care se urmărește reducerea sarcinii administrative și raționalizarea proceselor; salută, în acest sens, lansarea unui nou program, mai eficient, de înregistrare a vizitatorilor, utilizarea unui software colaborativ de către unii dintre membrii personalului Comitetului, activitatea desfășurată de grupul de lucru interdepartamental care reglementează utilizarea metodologiei de gestionare a proceselor operaționale ale Comitetului, simplificarea circuitului de verificare în ceea ce privește traducerile externalizate, fuzionarea mai multor unități lingvistice și simplificarea normelor de comunicare ale Comitetului, printre altele; constată că, pentru a economisi resurse, Comitetul desfășoară o etapă-pilot care utilizează inteligența artificială (IA), cu scopul de a transforma Direcția Traducere; </w:t>
            </w:r>
            <w:r>
              <w:rPr>
                <w:b/>
                <w:i/>
              </w:rPr>
              <w:t>subliniază că utilizarea IA trebuie să se facă sub supraveghere umană;</w:t>
            </w:r>
            <w:r>
              <w:t xml:space="preserve"> invită Comitetul să informeze autoritatea care acordă descărcarea de gestiune cu privire la progresele înregistrate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Comitetul să consolideze dezvoltarea unei strategii cuprinzătoare de transformare digitală, care să acopere inteligența artificială, automatizarea, interoperabilitatea și guvernanța datelor, însoțită de un cadru etic care să asigure utilizarea sigură, responsabilă și transparentă a tehnologiilor emergente;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ia act cu interes, pe baza chestionarului, de eforturile Comitetului de a adopta o abordare mai strategică în ceea ce privește prioritizarea activității sale legate de impact și de a plasa activitatea de gestionare a impactului în centrul procesului decizional; ia act, în acest context, de organizarea a trei seminare strategice la nivel înalt cu participarea conducerii politice în 2024 și 2025, în cursul cărora exercițiile de analiză prospectivă au reprezentat nucleul elaborării de criterii pentru prioritizarea sau deprioritizarea inițiativelor și pentru asigurarea alinierii tematice la nevoile pe termen lung ale societății civile, printre alte obiective; ia act de faptul că acest exercițiu de stabilire a priorităților va fi integrat în activitățile de bază ale Comitetului, deoarece se va desfășura anual și va fi completat, o dată la 2,5 ani, de o revizuire a tuturor organelor, activităților și evenimentelor majore ale Comitetului;</w:t>
            </w:r>
          </w:p>
        </w:tc>
        <w:tc>
          <w:tcPr>
            <w:tcW w:w="4876" w:type="dxa"/>
            <w:tcBorders>
              <w:top w:val="nil"/>
              <w:left w:val="nil"/>
              <w:bottom w:val="nil"/>
              <w:right w:val="nil"/>
            </w:tcBorders>
          </w:tcPr>
          <w:p>
            <w:pPr>
              <w:pStyle w:val="Normal6a"/>
            </w:pPr>
            <w:r>
              <w:t>18.</w:t>
            </w:r>
            <w:r>
              <w:tab/>
            </w:r>
            <w:r>
              <w:t>ia act cu interes, pe baza chestionarului, de eforturile Comitetului de a adopta o abordare mai strategică în ceea ce privește prioritizarea activității sale legate de impact și de a plasa activitatea de gestionare a impactului în centrul procesului decizional; ia act, în acest context, de organizarea a trei seminare strategice la nivel înalt cu participarea conducerii politice în 2024 și 2025, în cursul cărora exercițiile de analiză prospectivă au reprezentat nucleul elaborării de criterii pentru prioritizarea sau deprioritizarea inițiativelor și pentru asigurarea alinierii tematice la nevoile pe termen lung ale societății civile, printre alte obiective; ia act de faptul că acest exercițiu de stabilire a priorităților va fi integrat în activitățile de bază ale Comitetului, deoarece se va desfășura anual și va fi completat, o dată la 2,5 ani, de o revizuire a tuturor organelor, activităților și evenimentelor majore ale Comitetului;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constată, în ceea ce privește exercițiul de conformitate din 2024, </w:t>
            </w:r>
            <w:r>
              <w:rPr>
                <w:b/>
                <w:i/>
              </w:rPr>
              <w:t>faptul</w:t>
            </w:r>
            <w:r>
              <w:t xml:space="preserve"> că s-a atins un nivel ridicat de conformitate, cu o rată medie de 85 % (87 % în 2023); regretă că eficacitatea sistemului de control intern a scăzut de la 78 % la 66 %; constată, în acest context, existența unui decalaj între conformitatea formală și eficacitatea practică în cadrul operațiunilor zilnice; </w:t>
            </w:r>
            <w:r>
              <w:rPr>
                <w:b/>
                <w:i/>
              </w:rPr>
              <w:t>constată că trebuie depuse eforturi în ceea ce privește comunicarea</w:t>
            </w:r>
            <w:r>
              <w:t xml:space="preserve"> internă</w:t>
            </w:r>
            <w:r>
              <w:rPr>
                <w:b/>
                <w:i/>
              </w:rPr>
              <w:t>, implicarea în sensibilizarea cu privire la riscuri și modernizarea</w:t>
            </w:r>
            <w:r>
              <w:t xml:space="preserve"> sistemelor de gestionare a documentelor și a informațiilor, printre altele; constată, de asemenea, că, în 2024, Comitetul a adoptat o decizie revizuită pentru simplificarea a 23 de tipuri de verificări, aplicabilă începând din ianuarie 2025; salută, pe baza chestionarului, faptul că controalele ex-post deja efectuate cu privire la aceste verificări au confirmat că simplificarea nu a introdus riscuri suplimentare;</w:t>
            </w:r>
          </w:p>
        </w:tc>
        <w:tc>
          <w:tcPr>
            <w:tcW w:w="4876" w:type="dxa"/>
            <w:tcBorders>
              <w:top w:val="nil"/>
              <w:left w:val="nil"/>
              <w:bottom w:val="nil"/>
              <w:right w:val="nil"/>
            </w:tcBorders>
          </w:tcPr>
          <w:p>
            <w:pPr>
              <w:pStyle w:val="Normal6a"/>
            </w:pPr>
            <w:r>
              <w:t>19.</w:t>
            </w:r>
            <w:r>
              <w:tab/>
            </w:r>
            <w:r>
              <w:t xml:space="preserve">constată, în ceea ce privește exercițiul de conformitate din 2024, că s-a atins un nivel ridicat de conformitate, cu o rată medie de 85 % (87 % în 2023); regretă că eficacitatea sistemului de control intern a scăzut de la 78 % la 66 %; constată, în acest context, existența unui decalaj între conformitatea formală și eficacitatea practică în cadrul operațiunilor zilnice; </w:t>
            </w:r>
            <w:r>
              <w:rPr>
                <w:b/>
                <w:i/>
              </w:rPr>
              <w:t>invită Comitetul să abordeze cauzele structurale ale scăderii eficacității controlului intern, în special prin consolidarea culturii conștientizării riscurilor, îmbunătățirea canalelor de comunicare</w:t>
            </w:r>
            <w:r>
              <w:t xml:space="preserve"> internă </w:t>
            </w:r>
            <w:r>
              <w:rPr>
                <w:b/>
                <w:i/>
              </w:rPr>
              <w:t>și accelerarea modernizării</w:t>
            </w:r>
            <w:r>
              <w:t xml:space="preserve"> sistemelor de gestionare a documentelor și a informațiilor, printre altele; constată, de asemenea, că, în 2024, Comitetul a adoptat o decizie revizuită pentru simplificarea a 23 de tipuri de verificări, aplicabilă începând din ianuarie 2025; salută, pe baza chestionarului, faptul că controalele ex-post deja efectuate cu privire la aceste verificări au confirmat că simplificarea nu a introdus riscuri suplimentare;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constată, în ceea ce privește exercițiul de conformitate din 2024, </w:t>
            </w:r>
            <w:r>
              <w:rPr>
                <w:b/>
                <w:i/>
              </w:rPr>
              <w:t>faptul</w:t>
            </w:r>
            <w:r>
              <w:t xml:space="preserve"> că s-a atins un nivel ridicat de conformitate, cu o rată medie de 85 % (87 % în 2023); regretă că eficacitatea sistemului de control intern a scăzut de la 78 % la 66 %; constată, în acest context, existența unui decalaj între conformitatea formală și eficacitatea practică în cadrul operațiunilor zilnice; constată că trebuie depuse eforturi în ceea ce privește comunicarea internă, implicarea în sensibilizarea cu privire la riscuri și modernizarea sistemelor de gestionare a documentelor și a informațiilor, printre altele; constată, de asemenea, că, în 2024, Comitetul a adoptat o decizie revizuită pentru simplificarea a 23 de tipuri de verificări, aplicabilă începând din ianuarie 2025; salută, pe baza chestionarului, faptul că controalele ex-post deja efectuate cu privire la aceste verificări au confirmat că simplificarea nu a introdus riscuri suplimentare;</w:t>
            </w:r>
          </w:p>
        </w:tc>
        <w:tc>
          <w:tcPr>
            <w:tcW w:w="4876" w:type="dxa"/>
            <w:tcBorders>
              <w:top w:val="nil"/>
              <w:left w:val="nil"/>
              <w:bottom w:val="nil"/>
              <w:right w:val="nil"/>
            </w:tcBorders>
          </w:tcPr>
          <w:p>
            <w:pPr>
              <w:pStyle w:val="Normal6a"/>
            </w:pPr>
            <w:r>
              <w:t>19.</w:t>
            </w:r>
            <w:r>
              <w:tab/>
            </w:r>
            <w:r>
              <w:t>constată, în ceea ce privește exercițiul de conformitate din 2024, că s-a atins un nivel ridicat de conformitate, cu o rată medie de 85 % (87 % în 2023); regretă că eficacitatea sistemului de control intern a scăzut de la 78 % la 66 %; constată, în acest context, existența unui decalaj între conformitatea formală și eficacitatea practică în cadrul operațiunilor zilnice; constată că trebuie depuse eforturi în ceea ce privește comunicarea internă, implicarea în sensibilizarea cu privire la riscuri și modernizarea sistemelor de gestionare a documentelor și a informațiilor, printre altele; constată, de asemenea, că, în 2024, Comitetul a adoptat o decizie revizuită pentru simplificarea a 23 de tipuri de verificări, aplicabilă începând din ianuarie 2025; salută, pe baza chestionarului, faptul că controalele ex-post deja efectuate cu privire la aceste verificări au confirmat că simplificarea nu a introdus riscuri suplimentare;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ia act de raportul anual de activitate al Comitetului pentru 2024 (denumit în continuare „raportul Comitetului”), potrivit căruia în 2024 au fost efectuate cinci noi audituri privind indemnizațiile de durată și de distanță, gestionarea riscurilor, sesizările, indicatorii-cheie de activitate și de performanță și cheltuielile de deplasare, ceea ce a condus la un total de 14 recomandări; ia act, în special, de constatările auditorului intern cu privire la indemnizațiile de durată și de distanță, spre exemplu de lipsa unei definiții clare a „locului obișnuit de reședință” și de lipsa cerințelor privind documentele justificative; constată totodată că 13 dintre recomandări au rămas deschise la sfârșitul lunii ianuarie 2025; constată, de asemenea, că șapte recomandări sunt încă deschise în urma auditurilor anterioare, ele vizând în special etica și integritatea, termenele de plată, autorizarea reuniunilor, delegații Comisiei consultative pentru mutații industriale (CCMI) și ciclul strategic; salută, în acest context, faptul că Comitetul a adoptat noi norme privind autorizarea reuniunilor și indemnizațiile și rambursările referitoare la reuniuni; invită Comitetul să </w:t>
            </w:r>
            <w:r>
              <w:rPr>
                <w:b/>
                <w:i/>
              </w:rPr>
              <w:t>continue</w:t>
            </w:r>
            <w:r>
              <w:t xml:space="preserve"> să informeze în </w:t>
            </w:r>
            <w:r>
              <w:rPr>
                <w:b/>
                <w:i/>
              </w:rPr>
              <w:t>mod periodic</w:t>
            </w:r>
            <w:r>
              <w:t xml:space="preserve"> autoritatea care acordă descărcarea de gestiune </w:t>
            </w:r>
            <w:r>
              <w:rPr>
                <w:b/>
                <w:i/>
              </w:rPr>
              <w:t>privind</w:t>
            </w:r>
            <w:r>
              <w:t xml:space="preserve"> progresele înregistrate în </w:t>
            </w:r>
            <w:r>
              <w:rPr>
                <w:b/>
                <w:i/>
              </w:rPr>
              <w:t>ceea ce privește toate recomandările încă deschise</w:t>
            </w:r>
            <w:r>
              <w:t>;</w:t>
            </w:r>
          </w:p>
        </w:tc>
        <w:tc>
          <w:tcPr>
            <w:tcW w:w="4876" w:type="dxa"/>
            <w:tcBorders>
              <w:top w:val="nil"/>
              <w:left w:val="nil"/>
              <w:bottom w:val="nil"/>
              <w:right w:val="nil"/>
            </w:tcBorders>
          </w:tcPr>
          <w:p>
            <w:pPr>
              <w:pStyle w:val="Normal6a"/>
            </w:pPr>
            <w:r>
              <w:t>20.</w:t>
            </w:r>
            <w:r>
              <w:tab/>
            </w:r>
            <w:r>
              <w:t xml:space="preserve">ia act de raportul anual de activitate al Comitetului pentru 2024 (denumit în continuare „raportul Comitetului”), potrivit căruia în 2024 au fost efectuate cinci noi audituri privind indemnizațiile de durată și de distanță, gestionarea riscurilor, sesizările, indicatorii-cheie de activitate și de performanță și cheltuielile de deplasare, ceea ce a condus la un total de 14 recomandări; ia act, în special, de constatările auditorului intern cu privire la indemnizațiile de durată și de distanță, spre exemplu de lipsa unei definiții clare a „locului obișnuit de reședință” și de lipsa cerințelor privind documentele justificative; constată totodată că 13 dintre recomandări au rămas deschise la sfârșitul lunii ianuarie 2025; constată, de asemenea, că șapte recomandări sunt încă deschise în urma auditurilor anterioare, ele vizând în special etica și integritatea, termenele de plată, autorizarea reuniunilor, delegații Comisiei consultative pentru mutații industriale (CCMI) și ciclul strategic; salută, în acest context, faptul că Comitetul a adoptat noi norme privind autorizarea reuniunilor și indemnizațiile și rambursările referitoare la reuniuni; invită Comitetul să </w:t>
            </w:r>
            <w:r>
              <w:rPr>
                <w:b/>
                <w:i/>
              </w:rPr>
              <w:t>asigure închiderea rapidă a tuturor recomandărilor de audit restante, în special a celor legate de indemnizații, etică și integritate, și</w:t>
            </w:r>
            <w:r>
              <w:t xml:space="preserve"> să informeze în </w:t>
            </w:r>
            <w:r>
              <w:rPr>
                <w:b/>
                <w:i/>
              </w:rPr>
              <w:t>continuare</w:t>
            </w:r>
            <w:r>
              <w:t xml:space="preserve"> autoritatea care acordă descărcarea de gestiune </w:t>
            </w:r>
            <w:r>
              <w:rPr>
                <w:b/>
                <w:i/>
              </w:rPr>
              <w:t>cu privire la</w:t>
            </w:r>
            <w:r>
              <w:t xml:space="preserve"> progresele înregistrate în </w:t>
            </w:r>
            <w:r>
              <w:rPr>
                <w:b/>
                <w:i/>
              </w:rPr>
              <w:t>punerea în aplicare a tuturor recomandărilor în curs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accentuează importanța achizițiilor publice ca instrument de promovare a obiectivelor de politică, inclusiv a obiectivelor sociale și de mediu;</w:t>
            </w:r>
            <w:r>
              <w:t xml:space="preserve"> </w:t>
            </w:r>
            <w:r>
              <w:rPr>
                <w:b/>
                <w:i/>
              </w:rPr>
              <w:t>invită Comitetul să consolideze includerea criteriilor strategice privind responsabilitatea socială și sustenabilitatea din punctul de vedere al mediului în procedurile sale de achiziții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constată că la sfârșitul anului 2024 Comitetul avea în total 713 angajați, comparativ cu 707 în 2023; reține, de asemenea, că în 2024 au fost angajați 48 de agenți contractuali și 144 de agenți temporari (din care 42 au fost recrutați în 2024), față de 49 de agenți contractuali și 130 de agenți temporari în 2023; subliniază </w:t>
            </w:r>
            <w:r>
              <w:rPr>
                <w:b/>
                <w:i/>
              </w:rPr>
              <w:t>că este important să se ofere</w:t>
            </w:r>
            <w:r>
              <w:t xml:space="preserve"> contracte </w:t>
            </w:r>
            <w:r>
              <w:rPr>
                <w:b/>
                <w:i/>
              </w:rPr>
              <w:t>permanente</w:t>
            </w:r>
            <w:r>
              <w:t xml:space="preserve"> pentru a </w:t>
            </w:r>
            <w:r>
              <w:rPr>
                <w:b/>
                <w:i/>
              </w:rPr>
              <w:t>păstra</w:t>
            </w:r>
            <w:r>
              <w:t xml:space="preserve"> competențele, continuitatea și un mediu de lucru productiv; observă, în plus, că Comitetul avea 10 furnizori de servicii și 14 angajați externi care lucrau în clădirile sale, pe lângă personalul de catering, întreținere, siguranță și pază; constată că rata de ocupare a fost de 96 % (95,50 % în 2023) și că rata de rotație a personalului a fost de 5,60 % în 2024 (în scădere de la 7 % în 2023);</w:t>
            </w:r>
          </w:p>
        </w:tc>
        <w:tc>
          <w:tcPr>
            <w:tcW w:w="4876" w:type="dxa"/>
            <w:tcBorders>
              <w:top w:val="nil"/>
              <w:left w:val="nil"/>
              <w:bottom w:val="nil"/>
              <w:right w:val="nil"/>
            </w:tcBorders>
          </w:tcPr>
          <w:p>
            <w:pPr>
              <w:pStyle w:val="Normal6a"/>
            </w:pPr>
            <w:r>
              <w:t>21.</w:t>
            </w:r>
            <w:r>
              <w:tab/>
            </w:r>
            <w:r>
              <w:t xml:space="preserve">constată că la sfârșitul anului 2024 Comitetul avea în total 713 angajați, comparativ cu 707 în 2023; reține, de asemenea, că în 2024 au fost angajați 48 de agenți contractuali și 144 de agenți temporari (din care 42 au fost recrutați în 2024), față de 49 de agenți contractuali și 130 de agenți temporari în 2023; subliniază </w:t>
            </w:r>
            <w:r>
              <w:rPr>
                <w:b/>
                <w:i/>
              </w:rPr>
              <w:t>importanța oferirii de</w:t>
            </w:r>
            <w:r>
              <w:t xml:space="preserve"> contracte </w:t>
            </w:r>
            <w:r>
              <w:rPr>
                <w:b/>
                <w:i/>
              </w:rPr>
              <w:t>pe durată nedeterminată</w:t>
            </w:r>
            <w:r>
              <w:t xml:space="preserve"> pentru a </w:t>
            </w:r>
            <w:r>
              <w:rPr>
                <w:b/>
                <w:i/>
              </w:rPr>
              <w:t>menține</w:t>
            </w:r>
            <w:r>
              <w:t xml:space="preserve"> competențele, continuitatea și un mediu de lucru productiv </w:t>
            </w:r>
            <w:r>
              <w:rPr>
                <w:b/>
                <w:i/>
              </w:rPr>
              <w:t>și stabil și avertizează cu privire la dependența excesivă de prestatorii externi de servicii</w:t>
            </w:r>
            <w:r>
              <w:t>; observă, în plus, că Comitetul avea 10 furnizori de servicii și 14 angajați externi care lucrau în clădirile sale, pe lângă personalul de catering, întreținere, siguranță și pază; constată că rata de ocupare a fost de 96 % (95,50 % în 2023) și că rata de rotație a personalului a fost de 5,60 % în 2024 (în scădere de la 7 % în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observă că în 2024 Comitetul avea angajați reprezentând toate naționalitățile Uniunii, unele dintre acestea fiind suprareprezentate; constată că 62,70 % din angajați erau femei, iar 37,30 %, bărbați; află din raportul de monitorizare că femeile ocupă 52 % din posturile de conducere, ceea ce face Comitetul un lider în această privință; regretă însă că procentul femeilor în posturi de conducere de nivel superior a rămas scăzut în 2024, doar două din șapte posturi de conducere de nivel superior fiind ocupate de femei, la fel ca în 2023; </w:t>
            </w:r>
            <w:r>
              <w:rPr>
                <w:b/>
                <w:i/>
              </w:rPr>
              <w:t>recunoaște că rata scăzută de rotație a angajaților, ce ține de dimensiunea Comitetului, este unul dintre motivele pentru care femeile au o pondere scăzută în aceste posturi;</w:t>
            </w:r>
            <w:r>
              <w:t xml:space="preserve"> </w:t>
            </w:r>
            <w:r>
              <w:rPr>
                <w:b/>
                <w:i/>
              </w:rPr>
              <w:t>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abilităților de conducere ale femeilor ce ocupă posturi de conducere de nivel mediu și avansarea lor în carieră;</w:t>
            </w:r>
          </w:p>
        </w:tc>
        <w:tc>
          <w:tcPr>
            <w:tcW w:w="4876" w:type="dxa"/>
            <w:tcBorders>
              <w:top w:val="nil"/>
              <w:left w:val="nil"/>
              <w:bottom w:val="nil"/>
              <w:right w:val="nil"/>
            </w:tcBorders>
          </w:tcPr>
          <w:p>
            <w:pPr>
              <w:pStyle w:val="Normal6a"/>
            </w:pPr>
            <w:r>
              <w:t>24.</w:t>
            </w:r>
            <w:r>
              <w:tab/>
            </w:r>
            <w:r>
              <w:t>observă că în 2024 Comitetul avea angajați reprezentând toate naționalitățile Uniunii, unele dintre acestea fiind suprareprezentate; constată că 62,70 % din angajați erau femei, iar 37,30 %, bărbați; află din raportul de monitorizare că femeile ocupă 52 % din posturile de conducere, ceea ce face Comitetul un lider în această privință; regretă însă că procentul femeilor în posturi de conducere de nivel superior a rămas scăzut în 2024, doar două din șapte posturi de conducere de nivel superior fiind ocupate de femei, la fel ca în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observă că în 2024 Comitetul avea angajați reprezentând toate naționalitățile Uniunii, unele dintre acestea fiind suprareprezentate; constată că 62,70 % din angajați erau femei, iar 37,30 %, bărbați; află din raportul de monitorizare că femeile ocupă 52 % din posturile de conducere, ceea ce face Comitetul un lider în această privință; regretă însă că procentul femeilor în posturi de conducere de nivel superior a rămas scăzut în 2024, doar două din șapte posturi de conducere de nivel superior fiind ocupate de femei, la fel ca în 2023; recunoaște că rata scăzută de rotație a angajaților, ce ține de dimensiunea Comitetului, este unul dintre motivele pentru care femeile au o pondere scăzută în aceste posturi; 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abilităților de conducere ale femeilor ce ocupă posturi de conducere de nivel mediu și avansarea lor în carieră;</w:t>
            </w:r>
          </w:p>
        </w:tc>
        <w:tc>
          <w:tcPr>
            <w:tcW w:w="4876" w:type="dxa"/>
            <w:tcBorders>
              <w:top w:val="nil"/>
              <w:left w:val="nil"/>
              <w:bottom w:val="nil"/>
              <w:right w:val="nil"/>
            </w:tcBorders>
          </w:tcPr>
          <w:p>
            <w:pPr>
              <w:pStyle w:val="Normal6a"/>
            </w:pPr>
            <w:r>
              <w:t>24.</w:t>
            </w:r>
            <w:r>
              <w:tab/>
            </w:r>
            <w:r>
              <w:t>observă că în 2024 Comitetul avea angajați reprezentând toate naționalitățile Uniunii, unele dintre acestea fiind suprareprezentate; constată că 62,70 % din angajați erau femei, iar 37,30 %, bărbați; află din raportul de monitorizare că femeile ocupă 52 % din posturile de conducere, ceea ce face Comitetul un lider în această privință; regretă însă că procentul femeilor în posturi de conducere de nivel superior a rămas scăzut în 2024, doar două din șapte posturi de conducere de nivel superior fiind ocupate de femei, la fel ca în 2023</w:t>
            </w:r>
            <w:r>
              <w:rPr>
                <w:b/>
                <w:i/>
              </w:rPr>
              <w:t>;</w:t>
            </w:r>
            <w:r>
              <w:t xml:space="preserve"> </w:t>
            </w:r>
            <w:r>
              <w:rPr>
                <w:b/>
                <w:i/>
              </w:rPr>
              <w:t>recunoaște progresele recente înregistrate în integrarea egalității de gen și a diversității ca priorități strategice pentru promovarea unei culturi incluzive și respectuoase la locul de muncă;</w:t>
            </w:r>
            <w:r>
              <w:t xml:space="preserve"> </w:t>
            </w:r>
            <w:r>
              <w:rPr>
                <w:b/>
                <w:i/>
              </w:rPr>
              <w:t>salută punerea în aplicare a strategiei și a planului de acțiune privind diversitatea și incluziunea, alături de programe specifice de mentorat și de dezvoltare a leadershipului destinate femeilor și grupurilor subreprezentate</w:t>
            </w:r>
            <w:r>
              <w:t>; recunoaște că rata scăzută de rotație a angajaților, ce ține de dimensiunea Comitetului, este unul dintre motivele pentru care femeile au o pondere scăzută în aceste posturi; 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abilităților de conducere ale femeilor ce ocupă posturi de conducere de nivel mediu și avansarea lor în carieră;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observă că în 2024 Comitetul avea angajați reprezentând toate naționalitățile Uniunii, unele dintre acestea fiind suprareprezentate; constată că 62,70 % din angajați erau femei, iar 37,30 %, bărbați; află din raportul de monitorizare că femeile ocupă 52 % din posturile de conducere, ceea ce face Comitetul un lider în această privință; regretă însă că procentul femeilor în posturi de conducere de nivel superior a rămas scăzut în 2024, doar două din șapte posturi de conducere de nivel superior fiind ocupate de femei, la fel ca în 2023; recunoaște că rata scăzută de rotație a angajaților, ce ține de dimensiunea Comitetului, este unul dintre motivele pentru care femeile au o pondere scăzută în aceste posturi; 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abilităților de conducere ale femeilor ce ocupă posturi de conducere de nivel mediu și avansarea lor în carieră;</w:t>
            </w:r>
          </w:p>
        </w:tc>
        <w:tc>
          <w:tcPr>
            <w:tcW w:w="4876" w:type="dxa"/>
            <w:tcBorders>
              <w:top w:val="nil"/>
              <w:left w:val="nil"/>
              <w:bottom w:val="nil"/>
              <w:right w:val="nil"/>
            </w:tcBorders>
          </w:tcPr>
          <w:p>
            <w:pPr>
              <w:pStyle w:val="Normal6a"/>
            </w:pPr>
            <w:r>
              <w:t>24.</w:t>
            </w:r>
            <w:r>
              <w:tab/>
            </w:r>
            <w:r>
              <w:t xml:space="preserve">observă că în 2024 Comitetul avea angajați reprezentând toate naționalitățile Uniunii, unele dintre acestea fiind suprareprezentate; constată că 62,70 % din angajați erau femei, iar 37,30 %, bărbați; află </w:t>
            </w:r>
            <w:r>
              <w:rPr>
                <w:b/>
                <w:i/>
              </w:rPr>
              <w:t>cu satisfacție</w:t>
            </w:r>
            <w:r>
              <w:t xml:space="preserve"> din raportul de monitorizare că femeile ocupă 52 % din posturile de conducere, ceea ce face Comitetul un lider în această privință</w:t>
            </w:r>
            <w:r>
              <w:rPr>
                <w:b/>
                <w:i/>
              </w:rPr>
              <w:t>;</w:t>
            </w:r>
            <w:r>
              <w:t xml:space="preserve"> </w:t>
            </w:r>
            <w:r>
              <w:rPr>
                <w:b/>
                <w:i/>
              </w:rPr>
              <w:t>reiterează faptul că salută numirea unei femei în funcția de secretar general în ianuarie 2024 ca un pas pozitiv în direcția realizării echilibrului de gen</w:t>
            </w:r>
            <w:r>
              <w:t>; regretă însă că procentul femeilor în posturi de conducere de nivel superior a rămas scăzut în 2024, doar două din șapte posturi de conducere de nivel superior fiind ocupate de femei, la fel ca în 2023; recunoaște că rata scăzută de rotație a angajaților, ce ține de dimensiunea Comitetului, este unul dintre motivele pentru care femeile au o pondere scăzută în aceste posturi; felicită Comitetul pentru că s-a angajat să sensibilizeze la această chestiune autoritățile împuternicite să facă numiri, să încurajeze numirile echilibrate din perspectiva genului și să se implice acțiuni cu țintă precisă prin Forumul femeilor și Forumul de management, care susțin dezvoltarea abilităților de conducere ale femeilor ce ocupă posturi de conducere de nivel mediu și avansarea lor în carieră;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reamintește inițiativa Comitetului de a introduce o nouă abordare a planificării strategice a forței de muncă și a alocării personalului, bazându-se pe colectarea de date despre competențele personalului, ascultarea activă în întreaga organizație și reflecțiile asupra priorităților strategice ale organismelor politice ale Comitetului; constată din raportul de monitorizare că acest nou tip de planificare va fi lansat printr-un proiect-pilot într-un număr restrâns de servicii selectate pe baza priorităților strategice; invită Comitetul să informeze în permanență autoritatea care acordă descărcarea de gestiune despre progresele înregistrate și despre evoluțiile ulterioare;</w:t>
            </w:r>
          </w:p>
        </w:tc>
        <w:tc>
          <w:tcPr>
            <w:tcW w:w="4876" w:type="dxa"/>
            <w:tcBorders>
              <w:top w:val="nil"/>
              <w:left w:val="nil"/>
              <w:bottom w:val="nil"/>
              <w:right w:val="nil"/>
            </w:tcBorders>
          </w:tcPr>
          <w:p>
            <w:pPr>
              <w:pStyle w:val="Normal6a"/>
            </w:pPr>
            <w:r>
              <w:t>25.</w:t>
            </w:r>
            <w:r>
              <w:tab/>
            </w:r>
            <w:r>
              <w:t xml:space="preserve">reamintește inițiativa Comitetului de a introduce o nouă abordare a planificării strategice a forței de muncă și a alocării personalului, bazându-se pe colectarea de date despre competențele personalului, ascultarea activă în întreaga organizație și reflecțiile asupra priorităților strategice ale organismelor politice ale Comitetului; constată din raportul de monitorizare că acest nou tip de planificare va fi lansat printr-un proiect-pilot într-un număr restrâns de servicii selectate pe baza priorităților strategice; invită Comitetul să informeze în permanență autoritatea care acordă descărcarea de gestiune despre progresele înregistrate și despre evoluțiile ulterioare; </w:t>
            </w:r>
            <w:r>
              <w:rPr>
                <w:b/>
                <w:i/>
              </w:rPr>
              <w:t>subliniază importanța planificării strategice a forței de muncă pentru a optimiza alocarea resurselor și a asigura alinierea la prioritățile de nivel înalt;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salută eforturile Comitetului de a crea un mediu de lucru sănătos pentru personalul său; salută mai cu seamă atenția acordată de Comitet sănătății fizice și psihice a personalului, precum și eforturile de informare despre problemele de sănătate; ia cunoștință de măsurile de gestionare a concediilor medicale luate de Comitet, cum ar fi munca cu fracțiune de normă și munca de la distanță extinsă din motive medicale, pentru ca personalul aflat în concediu medical de lungă durată să revină la locul de muncă în timp util; constată că a scăzut cu 7,50 % numărul total de zile de concediu medical înregistrate, de la </w:t>
            </w:r>
            <w:r>
              <w:rPr>
                <w:b/>
                <w:i/>
              </w:rPr>
              <w:t>10 552</w:t>
            </w:r>
            <w:r>
              <w:t xml:space="preserve"> de zile în 2023 la </w:t>
            </w:r>
            <w:r>
              <w:rPr>
                <w:b/>
                <w:i/>
              </w:rPr>
              <w:t>9 763</w:t>
            </w:r>
            <w:r>
              <w:t xml:space="preserve"> în 2024, precum și că a scăzut rata absențelor de la 4,08 % la 3,75 % în 2023 (cea mai scăzută din 2021); regretă că, încă o dată, Comitetul nu are capacitatea de a transmite date privind cazurile de epuizare profesională („burnout”); remarcă, printre argumentele Comitetului, acela că angajații nu sunt obligați să își dezvăluie datele medicale în prealabil, că epuizarea profesională nu este un diagnostic medical acceptat și că este posibil ca motivele epuizării să nu fie legate de muncă, precum și acela al secretului medical; constată că Comitetul colectează date statistice anonimizate privind problemele de sănătate psihică, dar datele disponibile nu permit să se facă distincție între epuizarea profesională și alte probleme care nu țin de muncă; reliefează însă că epuizarea profesională poate fi măsurată și în lipsa datelor medicale, fiindcă există instrumente de evaluare a epuizării profesionale, iar Agenția Europeană pentru Securitate și Sănătate în Muncă (EU-OSHA) susține folosirea chestionarelor anonime pentru a măsura factorii de stres profesional și de epuizare profesională separat de problemele de sănătate psihică ce nu țin de muncă; </w:t>
            </w:r>
            <w:r>
              <w:rPr>
                <w:b/>
                <w:i/>
              </w:rPr>
              <w:t>invită insistent</w:t>
            </w:r>
            <w:r>
              <w:t xml:space="preserve"> Comitetul să </w:t>
            </w:r>
            <w:r>
              <w:rPr>
                <w:b/>
                <w:i/>
              </w:rPr>
              <w:t>se</w:t>
            </w:r>
            <w:r>
              <w:t xml:space="preserve"> consulte </w:t>
            </w:r>
            <w:r>
              <w:rPr>
                <w:b/>
                <w:i/>
              </w:rPr>
              <w:t>și cu</w:t>
            </w:r>
            <w:r>
              <w:t xml:space="preserve"> Autoritatea Europeană pentru Protecția Datelor (AEPD) cu privire la colectarea datelor privind epuizarea </w:t>
            </w:r>
            <w:r>
              <w:rPr>
                <w:b/>
                <w:i/>
              </w:rPr>
              <w:t>profesională cu ajutorul</w:t>
            </w:r>
            <w:r>
              <w:t xml:space="preserve"> instrumentelor medicale sau nemedicale și să țină autoritatea care acordă descărcarea de gestiune </w:t>
            </w:r>
            <w:r>
              <w:rPr>
                <w:b/>
                <w:i/>
              </w:rPr>
              <w:t>la curent</w:t>
            </w:r>
            <w:r>
              <w:t xml:space="preserve"> cu acțiunile </w:t>
            </w:r>
            <w:r>
              <w:rPr>
                <w:b/>
                <w:i/>
              </w:rPr>
              <w:t>subsecvente</w:t>
            </w:r>
            <w:r>
              <w:t>;</w:t>
            </w:r>
          </w:p>
        </w:tc>
        <w:tc>
          <w:tcPr>
            <w:tcW w:w="4876" w:type="dxa"/>
            <w:tcBorders>
              <w:top w:val="nil"/>
              <w:left w:val="nil"/>
              <w:bottom w:val="nil"/>
              <w:right w:val="nil"/>
            </w:tcBorders>
          </w:tcPr>
          <w:p>
            <w:pPr>
              <w:pStyle w:val="Normal6a"/>
            </w:pPr>
            <w:r>
              <w:t>26.</w:t>
            </w:r>
            <w:r>
              <w:tab/>
            </w:r>
            <w:r>
              <w:t xml:space="preserve">salută eforturile Comitetului de a crea un mediu de lucru sănătos pentru personalul său; salută mai cu seamă atenția acordată de Comitet sănătății fizice și psihice a personalului, precum și eforturile de informare despre problemele de sănătate; ia cunoștință de măsurile de gestionare a concediilor medicale luate de Comitet, cum ar fi munca cu fracțiune de normă și munca de la distanță extinsă din motive medicale, pentru ca personalul aflat în concediu medical de lungă durată să revină la locul de muncă în timp util; constată că a scăzut cu 7,50 % numărul total de zile de concediu medical înregistrate, de la </w:t>
            </w:r>
            <w:r>
              <w:rPr>
                <w:b/>
                <w:i/>
              </w:rPr>
              <w:t>10 552</w:t>
            </w:r>
            <w:r>
              <w:t xml:space="preserve"> de zile în 2023 la </w:t>
            </w:r>
            <w:r>
              <w:rPr>
                <w:b/>
                <w:i/>
              </w:rPr>
              <w:t>9 763</w:t>
            </w:r>
            <w:r>
              <w:t xml:space="preserve"> în 2024, precum și că a scăzut rata absențelor de la 4,08 % la 3,75 % în 2023 (cea mai scăzută din 2021); regretă că, încă o dată, Comitetul nu are capacitatea de a transmite date privind cazurile de epuizare profesională („burnout”); remarcă, printre argumentele Comitetului, acela că angajații nu sunt obligați să își dezvăluie datele medicale în prealabil, că epuizarea profesională nu este un diagnostic medical acceptat și că este posibil ca motivele epuizării să nu fie legate de muncă, precum și acela al secretului medical; constată că Comitetul colectează date statistice anonimizate privind problemele de sănătate psihică, dar datele disponibile nu permit să se facă distincție între epuizarea profesională și alte probleme care nu țin de muncă; reliefează însă că epuizarea profesională poate fi măsurată și în lipsa datelor medicale, fiindcă există instrumente de evaluare a epuizării profesionale, iar Agenția Europeană pentru Securitate și Sănătate în Muncă (EU-OSHA) susține folosirea chestionarelor anonime pentru a măsura factorii de stres profesional și de epuizare profesională separat de problemele de sănătate psihică ce nu țin de muncă; </w:t>
            </w:r>
            <w:r>
              <w:rPr>
                <w:b/>
                <w:i/>
              </w:rPr>
              <w:t>îndeamnă</w:t>
            </w:r>
            <w:r>
              <w:t xml:space="preserve"> Comitetul să consulte</w:t>
            </w:r>
            <w:r>
              <w:rPr>
                <w:b/>
                <w:i/>
              </w:rPr>
              <w:t>, de asemenea,</w:t>
            </w:r>
            <w:r>
              <w:t xml:space="preserve"> Autoritatea Europeană pentru Protecția Datelor (AEPD) cu privire la colectarea datelor privind epuizarea </w:t>
            </w:r>
            <w:r>
              <w:rPr>
                <w:b/>
                <w:i/>
              </w:rPr>
              <w:t>prin intermediul</w:t>
            </w:r>
            <w:r>
              <w:t xml:space="preserve"> instrumentelor medicale sau nemedicale</w:t>
            </w:r>
            <w:r>
              <w:rPr>
                <w:b/>
                <w:i/>
              </w:rPr>
              <w:t>, să ia măsuri concrete și decisive pentru a asigura publicarea sistematică a datelor privind cazurile de epuizare</w:t>
            </w:r>
            <w:r>
              <w:t xml:space="preserve"> și să țină </w:t>
            </w:r>
            <w:r>
              <w:rPr>
                <w:b/>
                <w:i/>
              </w:rPr>
              <w:t>la curent</w:t>
            </w:r>
            <w:r>
              <w:t xml:space="preserve"> autoritatea care acordă descărcarea de gestiune cu </w:t>
            </w:r>
            <w:r>
              <w:rPr>
                <w:b/>
                <w:i/>
              </w:rPr>
              <w:t>privire la</w:t>
            </w:r>
            <w:r>
              <w:t xml:space="preserve"> acțiunile </w:t>
            </w:r>
            <w:r>
              <w:rPr>
                <w:b/>
                <w:i/>
              </w:rPr>
              <w:t>ulterioare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salută dialogul social solid și structurat desfășurat în cadrul proceselor de schimbare organizațională pe parcursul anului 2024;</w:t>
            </w:r>
            <w:r>
              <w:t xml:space="preserve"> </w:t>
            </w:r>
            <w:r>
              <w:rPr>
                <w:b/>
                <w:i/>
              </w:rPr>
              <w:t>încurajează Comitetul să mențină și să continue să consolideze implicarea sistematică a reprezentanților personalului în reformele legate, printre altele, de digitalizare, de reorganizarea internă și de noile metode de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află din chestionar că în 2024 s-au raportat două cazuri de presupusă hărțuire și că acestea au fost anchetate și închise în 2025, deoarece într-un caz nu s-a constatat că ar fi avut loc vreo hărțuire, iar în celălalt s-au acceptat scuze oficiale pentru comportamentul necorespunzător al persoanei în cauză; află și că s-a luat o decizie într-un alt caz, referitor la hărțuire în contextul unei proceduri disciplinare, prezentat înainte de 2024; află, de asemenea, că în 2024 nu s-a raportat niciun caz de hărțuire sexuală;</w:t>
            </w:r>
          </w:p>
        </w:tc>
        <w:tc>
          <w:tcPr>
            <w:tcW w:w="4876" w:type="dxa"/>
            <w:tcBorders>
              <w:top w:val="nil"/>
              <w:left w:val="nil"/>
              <w:bottom w:val="nil"/>
              <w:right w:val="nil"/>
            </w:tcBorders>
          </w:tcPr>
          <w:p>
            <w:pPr>
              <w:pStyle w:val="Normal6a"/>
            </w:pPr>
            <w:r>
              <w:t>31.</w:t>
            </w:r>
            <w:r>
              <w:tab/>
            </w:r>
            <w:r>
              <w:t xml:space="preserve">află din chestionar că în 2024 s-au raportat două cazuri de presupusă hărțuire și că acestea au fost anchetate și închise în 2025, deoarece într-un caz nu s-a constatat că ar fi avut loc vreo hărțuire, iar în celălalt s-au acceptat scuze oficiale pentru comportamentul necorespunzător al persoanei în cauză; află și că s-a luat o decizie într-un alt caz, referitor la hărțuire în contextul unei proceduri disciplinare, prezentat înainte de 2024; află, de asemenea, că în 2024 nu s-a raportat niciun caz de hărțuire sexuală; </w:t>
            </w:r>
            <w:r>
              <w:rPr>
                <w:b/>
                <w:i/>
              </w:rPr>
              <w:t>reiterează necesitatea unei politici de toleranță zero față de hărțuire pentru a asigura protecția stării de bine a personalului și reamintește că aceasta este o obligație care revine oricărui angajator;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observă că Comitetul este un lider în materie de transparență, pentru că este primul organism care a aderat la registrul de transparență al Uniunii în afară de semnatarii inițiali; felicită Comitetul pentru măsurile de transparență adoptate, printre care și recomandarea adresată membrilor săi de a se întâlni numai cu părțile interesate înscrise în registru, obligația membrilor săi de a-și publica reuniunile pe internet și posibilitatea ca raportorii Comitetului să anexeze la avizele lor o „amprentă legislativă”, inclusiv printr-un proiect pilot inițiat în 2025; reține că până în prezent avizele Comitetului sunt vizibile pentru că reprezintă etape ale dosarelor legislative din EULT; reține cu satisfacție din chestionar și acțiunile Comitetului privind transparența operațiunilor sale administrative de bază în domenii precum finanțele, achizițiile publice, resursele umane și accesul la documente;</w:t>
            </w:r>
          </w:p>
        </w:tc>
        <w:tc>
          <w:tcPr>
            <w:tcW w:w="4876" w:type="dxa"/>
            <w:tcBorders>
              <w:top w:val="nil"/>
              <w:left w:val="nil"/>
              <w:bottom w:val="nil"/>
              <w:right w:val="nil"/>
            </w:tcBorders>
          </w:tcPr>
          <w:p>
            <w:pPr>
              <w:pStyle w:val="Normal6a"/>
            </w:pPr>
            <w:r>
              <w:t>33.</w:t>
            </w:r>
            <w:r>
              <w:tab/>
            </w:r>
            <w:r>
              <w:t xml:space="preserve">observă </w:t>
            </w:r>
            <w:r>
              <w:rPr>
                <w:b/>
                <w:i/>
              </w:rPr>
              <w:t>cu satisfacție</w:t>
            </w:r>
            <w:r>
              <w:t xml:space="preserve"> că Comitetul este un lider în materie de transparență, pentru că este primul organism care a aderat la registrul de transparență al Uniunii în afară de semnatarii inițiali; felicită Comitetul pentru măsurile de transparență adoptate, printre care și recomandarea adresată membrilor săi de a se întâlni numai cu părțile interesate înscrise în registru, obligația membrilor săi de a-și publica reuniunile pe internet și posibilitatea ca raportorii Comitetului să anexeze la avizele lor o „amprentă legislativă”, inclusiv printr-un proiect pilot inițiat în 2025; reține că până în prezent avizele Comitetului sunt vizibile pentru că reprezintă etape ale dosarelor legislative din EULT; reține cu satisfacție din chestionar și acțiunile Comitetului privind transparența operațiunilor sale administrative de bază în domenii precum finanțele, achizițiile publice, resursele umane și accesul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află din chestionar că Comitetul a elaborat o strategie antifraudă care a fost supusă procesului de consultare și adoptare interservicii;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p>
        </w:tc>
        <w:tc>
          <w:tcPr>
            <w:tcW w:w="4876" w:type="dxa"/>
            <w:tcBorders>
              <w:top w:val="nil"/>
              <w:left w:val="nil"/>
              <w:bottom w:val="nil"/>
              <w:right w:val="nil"/>
            </w:tcBorders>
          </w:tcPr>
          <w:p>
            <w:pPr>
              <w:pStyle w:val="Normal6a"/>
            </w:pPr>
            <w:r>
              <w:t>36.</w:t>
            </w:r>
            <w:r>
              <w:tab/>
            </w:r>
            <w:r>
              <w:t>află din chestionar că Comitetul a elaborat o strategie antifraudă care a fost supusă procesului de consultare și adoptare interservicii</w:t>
            </w:r>
            <w:r>
              <w:rPr>
                <w:b/>
                <w:i/>
              </w:rPr>
              <w:t>;</w:t>
            </w:r>
            <w:r>
              <w:t xml:space="preserve"> </w:t>
            </w:r>
            <w:r>
              <w:rPr>
                <w:b/>
                <w:i/>
              </w:rPr>
              <w:t>salută planul de acțiune care o însoțește și care enumeră douăsprezece măsuri concrete ce urmează să fie puse în aplicare în perioada T4 2025-T4 2027, inclusiv campanii de sensibilizare, politici de formare, actualizări ale metodologiilor de evaluare a riscurilor și de control intern, integrarea unor instrumente automatizate de detectare a fraudelor, acorduri de cooperare revizuite cu OLAF și cu EPPO, precum și norme actualizate care reglementează investigațiile interne</w:t>
            </w:r>
            <w:r>
              <w:t>;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află din chestionar că Comitetul a elaborat o strategie antifraudă care a fost supusă procesului de consultare și adoptare interservicii;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p>
        </w:tc>
        <w:tc>
          <w:tcPr>
            <w:tcW w:w="4876" w:type="dxa"/>
            <w:tcBorders>
              <w:top w:val="nil"/>
              <w:left w:val="nil"/>
              <w:bottom w:val="nil"/>
              <w:right w:val="nil"/>
            </w:tcBorders>
          </w:tcPr>
          <w:p>
            <w:pPr>
              <w:pStyle w:val="Normal6a"/>
            </w:pPr>
            <w:r>
              <w:t>36.</w:t>
            </w:r>
            <w:r>
              <w:tab/>
            </w:r>
            <w:r>
              <w:t xml:space="preserve">află </w:t>
            </w:r>
            <w:r>
              <w:rPr>
                <w:b/>
                <w:i/>
              </w:rPr>
              <w:t>cu satisfacție</w:t>
            </w:r>
            <w:r>
              <w:t xml:space="preserve"> din chestionar că Comitetul a elaborat</w:t>
            </w:r>
            <w:r>
              <w:rPr>
                <w:b/>
                <w:i/>
              </w:rPr>
              <w:t>, ca urmare a solicitărilor anterioare ale Parlamentului,</w:t>
            </w:r>
            <w:r>
              <w:t> o strategie antifraudă care a fost supusă procesului de consultare și adoptare interservicii</w:t>
            </w:r>
            <w:r>
              <w:rPr>
                <w:b/>
                <w:i/>
              </w:rPr>
              <w:t>;</w:t>
            </w:r>
            <w:r>
              <w:t xml:space="preserve"> </w:t>
            </w:r>
            <w:r>
              <w:rPr>
                <w:b/>
                <w:i/>
              </w:rPr>
              <w:t>îndeamnă Comitetul să acorde prioritate adoptării și punerii în aplicare a acestei strategii, inclusiv măsurilor de evaluare, prevenire și detectare a riscurilor, precum și măsurilor subsecvente</w:t>
            </w:r>
            <w:r>
              <w:t>;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află din chestionar că Comitetul a elaborat o strategie antifraudă care a fost supusă procesului de consultare și adoptare interservicii;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p>
        </w:tc>
        <w:tc>
          <w:tcPr>
            <w:tcW w:w="4876" w:type="dxa"/>
            <w:tcBorders>
              <w:top w:val="nil"/>
              <w:left w:val="nil"/>
              <w:bottom w:val="nil"/>
              <w:right w:val="nil"/>
            </w:tcBorders>
          </w:tcPr>
          <w:p>
            <w:pPr>
              <w:pStyle w:val="Normal6a"/>
            </w:pPr>
            <w:r>
              <w:t>36.</w:t>
            </w:r>
            <w:r>
              <w:tab/>
            </w:r>
            <w:r>
              <w:t>află din chestionar că Comitetul a elaborat o strategie antifraudă care a fost supusă procesului de consultare și adoptare interservicii; invită Comitetului să informeze autoritatea care acordă descărcarea de gestiune despre acțiunile subsecvente acestui demers; felicită Comitetul pentru că a organizat două sesiuni de formare susținute de personalul OLAF referitoare la conștientizarea fraudelor în achizițiile publice și prevenirea lor, la care au asistat 21 de participanți, și o sesiune de sensibilizare organizată împreună cu EPPO pentru a prezenta mandatul EPPO personalului Comitetului și pentru a oferi orientări privind raportarea cazurilor potențiale către EPPO</w:t>
            </w:r>
            <w:r>
              <w:rPr>
                <w:b/>
                <w:i/>
              </w:rPr>
              <w:t>, și recomandă continuarea acestei practici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 milioane</w:t>
            </w:r>
            <w:r>
              <w:t xml:space="preserve"> EUR în 2022, față de </w:t>
            </w:r>
            <w:r>
              <w:rPr>
                <w:b/>
                <w:i/>
              </w:rPr>
              <w:t>12 700 000 milioane</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w:t>
            </w:r>
            <w:r>
              <w:rPr>
                <w:b/>
                <w:i/>
              </w:rPr>
              <w:t>îngrijorarea</w:t>
            </w:r>
            <w:r>
              <w:t xml:space="preserve"> Comitetului </w:t>
            </w:r>
            <w:r>
              <w:rPr>
                <w:b/>
                <w:i/>
              </w:rPr>
              <w:t>că este</w:t>
            </w:r>
            <w:r>
              <w:t xml:space="preserve"> subfinanțat </w:t>
            </w:r>
            <w:r>
              <w:rPr>
                <w:b/>
                <w:i/>
              </w:rPr>
              <w:t>structural</w:t>
            </w:r>
            <w:r>
              <w:t xml:space="preserve"> în domeniul digitalizării și al securității cibernetice; regretă în acest context că autoritatea bugetară nu a inclus în bugetul Uniunii pe 2026 suma de </w:t>
            </w:r>
            <w:r>
              <w:rPr>
                <w:b/>
                <w:i/>
              </w:rPr>
              <w:t>1 176 000</w:t>
            </w:r>
            <w:r>
              <w:t xml:space="preserve"> EUR, de care Comitetul (și CoR) au nevoie pentru a realiza o actualizare majoră a securității cibernetice, ceea ce face imposibil de atins obiectivul menționat în Regulamentul (UE, Euratom) 2023/2841</w:t>
            </w:r>
            <w:r>
              <w:rPr>
                <w:vertAlign w:val="superscript"/>
              </w:rPr>
              <w:t>1</w:t>
            </w:r>
            <w:r>
              <w:t>de a aloca securității cibernetice circa 10 % din totalul cheltuielilor sale informatice;</w:t>
            </w:r>
          </w:p>
        </w:tc>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w:t>
            </w:r>
            <w:r>
              <w:t xml:space="preserve"> EUR în 2022, față de </w:t>
            </w:r>
            <w:r>
              <w:rPr>
                <w:b/>
                <w:i/>
              </w:rPr>
              <w:t>12 700 000</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w:t>
            </w:r>
            <w:r>
              <w:rPr>
                <w:b/>
                <w:i/>
              </w:rPr>
              <w:t>preocuparea</w:t>
            </w:r>
            <w:r>
              <w:t xml:space="preserve"> Comitetului</w:t>
            </w:r>
            <w:r>
              <w:rPr>
                <w:b/>
                <w:i/>
              </w:rPr>
              <w:t>, care se consideră structural</w:t>
            </w:r>
            <w:r>
              <w:t xml:space="preserve"> subfinanțat în domeniul digitalizării și </w:t>
            </w:r>
            <w:r>
              <w:rPr>
                <w:b/>
                <w:i/>
              </w:rPr>
              <w:t>în cel</w:t>
            </w:r>
            <w:r>
              <w:t xml:space="preserve"> al securității cibernetice</w:t>
            </w:r>
            <w:r>
              <w:rPr>
                <w:b/>
                <w:i/>
              </w:rPr>
              <w:t>, și avertizează că persistența investițiilor insuficiente în securitatea cibernetică reprezintă un risc structural pentru integritatea instituțiilor UE</w:t>
            </w:r>
            <w:r>
              <w:t xml:space="preserve">; regretă în acest context că autoritatea bugetară nu a inclus în bugetul Uniunii pe 2026 suma de </w:t>
            </w:r>
            <w:r>
              <w:rPr>
                <w:b/>
                <w:i/>
              </w:rPr>
              <w:t>1 176 000</w:t>
            </w:r>
            <w:r>
              <w:t> EUR, de care Comitetul (și CoR) au nevoie pentru a realiza o actualizare majoră a securității cibernetice, ceea ce face imposibil de atins obiectivul menționat în Regulamentul (UE, Euratom) 2023/2841</w:t>
            </w:r>
            <w:r>
              <w:rPr>
                <w:vertAlign w:val="superscript"/>
              </w:rPr>
              <w:t>1</w:t>
            </w:r>
            <w:r>
              <w:t xml:space="preserve"> de a aloca securității cibernetice circa 10 % din totalul cheltuielilor sale informatice;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 milioane</w:t>
            </w:r>
            <w:r>
              <w:t xml:space="preserve"> EUR în </w:t>
            </w:r>
            <w:r>
              <w:rPr>
                <w:b/>
                <w:i/>
              </w:rPr>
              <w:t>2022</w:t>
            </w:r>
            <w:r>
              <w:t xml:space="preserve">, față de </w:t>
            </w:r>
            <w:r>
              <w:rPr>
                <w:b/>
                <w:i/>
              </w:rPr>
              <w:t>12 700 000 milioane</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îngrijorarea Comitetului că este subfinanțat structural în domeniul digitalizării și al securității cibernetice; regretă în acest context că autoritatea bugetară nu a inclus în bugetul Uniunii pe 2026 suma de </w:t>
            </w:r>
            <w:r>
              <w:rPr>
                <w:b/>
                <w:i/>
              </w:rPr>
              <w:t>1 176 000</w:t>
            </w:r>
            <w:r>
              <w:t xml:space="preserve"> EUR, de care Comitetul (și CoR) au nevoie pentru a realiza o actualizare majoră a securității cibernetice, ceea ce face imposibil de atins obiectivul menționat în Regulamentul (UE, Euratom) 2023/2841</w:t>
            </w:r>
            <w:r>
              <w:rPr>
                <w:vertAlign w:val="superscript"/>
              </w:rPr>
              <w:t>1</w:t>
            </w:r>
            <w:r>
              <w:t>de a aloca securității cibernetice circa 10 % din totalul cheltuielilor sale informatice;</w:t>
            </w:r>
          </w:p>
        </w:tc>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w:t>
            </w:r>
            <w:r>
              <w:t xml:space="preserve"> EUR în </w:t>
            </w:r>
            <w:r>
              <w:rPr>
                <w:b/>
                <w:i/>
              </w:rPr>
              <w:t>2024</w:t>
            </w:r>
            <w:r>
              <w:t xml:space="preserve">, față de </w:t>
            </w:r>
            <w:r>
              <w:rPr>
                <w:b/>
                <w:i/>
              </w:rPr>
              <w:t>12 700 000</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îngrijorarea Comitetului că este subfinanțat structural în domeniul digitalizării și al securității cibernetice; regretă în acest context că autoritatea bugetară nu a inclus în bugetul Uniunii pe 2026 suma de </w:t>
            </w:r>
            <w:r>
              <w:rPr>
                <w:b/>
                <w:i/>
              </w:rPr>
              <w:t>1 176 000</w:t>
            </w:r>
            <w:r>
              <w:t> EUR, de care Comitetul (și CoR) au nevoie pentru a realiza o actualizare majoră a securității cibernetice, ceea ce face imposibil de atins obiectivul menționat în Regulamentul (UE, Euratom) 2023/2841</w:t>
            </w:r>
            <w:r>
              <w:rPr>
                <w:vertAlign w:val="superscript"/>
              </w:rPr>
              <w:t>1</w:t>
            </w:r>
            <w:r>
              <w:t xml:space="preserve"> de a aloca securității cibernetice circa 10 % din totalul cheltuielilor sale informatice; </w:t>
            </w:r>
            <w:r>
              <w:rPr>
                <w:b/>
                <w:i/>
              </w:rPr>
              <w:t>solicită alocarea de fonduri adecvate pentru a permite Comitetului și CoR să efectueze o actualizare majoră în materie de securitate cibernetică;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 milioane</w:t>
            </w:r>
            <w:r>
              <w:t xml:space="preserve"> EUR în </w:t>
            </w:r>
            <w:r>
              <w:rPr>
                <w:b/>
                <w:i/>
              </w:rPr>
              <w:t>2022</w:t>
            </w:r>
            <w:r>
              <w:t xml:space="preserve">, față de </w:t>
            </w:r>
            <w:r>
              <w:rPr>
                <w:b/>
                <w:i/>
              </w:rPr>
              <w:t>12 700 000 milioane</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îngrijorarea Comitetului că este subfinanțat structural în domeniul digitalizării și al securității cibernetice; regretă în acest context că autoritatea bugetară nu a inclus în bugetul Uniunii pe 2026 suma de </w:t>
            </w:r>
            <w:r>
              <w:rPr>
                <w:b/>
                <w:i/>
              </w:rPr>
              <w:t>1 176 000</w:t>
            </w:r>
            <w:r>
              <w:t xml:space="preserve"> EUR, de care Comitetul (și CoR) au nevoie pentru a realiza o actualizare majoră a securității cibernetice, ceea ce face imposibil de atins obiectivul menționat în Regulamentul (UE, Euratom) 2023/2841</w:t>
            </w:r>
            <w:r>
              <w:rPr>
                <w:vertAlign w:val="superscript"/>
              </w:rPr>
              <w:t>1</w:t>
            </w:r>
            <w:r>
              <w:t>de a aloca securității cibernetice circa 10 % din totalul cheltuielilor sale informatice;</w:t>
            </w:r>
          </w:p>
        </w:tc>
        <w:tc>
          <w:tcPr>
            <w:tcW w:w="4876" w:type="dxa"/>
            <w:tcBorders>
              <w:top w:val="nil"/>
              <w:left w:val="nil"/>
              <w:bottom w:val="nil"/>
              <w:right w:val="nil"/>
            </w:tcBorders>
          </w:tcPr>
          <w:p>
            <w:pPr>
              <w:pStyle w:val="Normal6a"/>
            </w:pPr>
            <w:r>
              <w:t>37.</w:t>
            </w:r>
            <w:r>
              <w:tab/>
            </w:r>
            <w:r>
              <w:t xml:space="preserve">constată că bugetul combinat pentru IT al Comitetului și al CoR a fost de </w:t>
            </w:r>
            <w:r>
              <w:rPr>
                <w:b/>
                <w:i/>
              </w:rPr>
              <w:t>13 700 000</w:t>
            </w:r>
            <w:r>
              <w:t xml:space="preserve"> EUR în </w:t>
            </w:r>
            <w:r>
              <w:rPr>
                <w:b/>
                <w:i/>
              </w:rPr>
              <w:t>2024</w:t>
            </w:r>
            <w:r>
              <w:t xml:space="preserve">, față de </w:t>
            </w:r>
            <w:r>
              <w:rPr>
                <w:b/>
                <w:i/>
              </w:rPr>
              <w:t>12 700 000</w:t>
            </w:r>
            <w:r>
              <w:t xml:space="preserve"> EUR în 2023, ceea ce constituie o creștere de 7,87 %, în timp ce </w:t>
            </w:r>
            <w:r>
              <w:rPr>
                <w:b/>
                <w:i/>
              </w:rPr>
              <w:t>760 000</w:t>
            </w:r>
            <w:r>
              <w:t xml:space="preserve"> EUR din acest buget (sau circa 6 % din acesta) au fost plătiți pentru securitatea cibernetică în 2024; reține din chestionar că finanțarea proiectelor informatice a crescut cu </w:t>
            </w:r>
            <w:r>
              <w:rPr>
                <w:b/>
                <w:i/>
              </w:rPr>
              <w:t>109 000</w:t>
            </w:r>
            <w:r>
              <w:t xml:space="preserve"> EUR față de 2023, ceea ce reprezintă o creștere de 4 %, susținând în principal programul M365 privind locul de muncă și programul de transformare a securității cibernetice; reține și că cheltuielile cu echipamentele au crescut cu </w:t>
            </w:r>
            <w:r>
              <w:rPr>
                <w:b/>
                <w:i/>
              </w:rPr>
              <w:t>117 000</w:t>
            </w:r>
            <w:r>
              <w:t xml:space="preserve"> EUR (adică o creștere de 20 %), în principal din cauza ajustărilor de preț și a investițiilor strategice în infrastructura de telefonie; ia act de îngrijorarea Comitetului că este subfinanțat structural în domeniul digitalizării și al securității cibernetice; regretă în acest context că autoritatea bugetară nu a inclus în bugetul Uniunii pe 2026 suma de </w:t>
            </w:r>
            <w:r>
              <w:rPr>
                <w:b/>
                <w:i/>
              </w:rPr>
              <w:t>1 176 000</w:t>
            </w:r>
            <w:r>
              <w:t> EUR, de care Comitetul (și CoR) au nevoie pentru a realiza o actualizare majoră a securității cibernetice, ceea ce face imposibil de atins obiectivul menționat în Regulamentul (UE, Euratom) 2023/2841</w:t>
            </w:r>
            <w:r>
              <w:rPr>
                <w:vertAlign w:val="superscript"/>
              </w:rPr>
              <w:t>1</w:t>
            </w:r>
            <w:r>
              <w:t xml:space="preserve"> de a aloca securității cibernetice circa 10 % din totalul cheltuielilor sale informatice;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elogiază eforturile depuse de Comitet în 2024 pentru a se asigura că personalul dobândește competențele digitale necesare unui mediu de lucru tot mai digitalizat și pentru a realiza campanii de informare cu țintă precisă, oferind un program amplu de formare și îndrumare și ținând la zi o bază de cunoștințe IT, cu o interfață bazată pe IA, pentru a susține dezvoltarea personalului;</w:t>
            </w:r>
          </w:p>
        </w:tc>
        <w:tc>
          <w:tcPr>
            <w:tcW w:w="4876" w:type="dxa"/>
            <w:tcBorders>
              <w:top w:val="nil"/>
              <w:left w:val="nil"/>
              <w:bottom w:val="nil"/>
              <w:right w:val="nil"/>
            </w:tcBorders>
          </w:tcPr>
          <w:p>
            <w:pPr>
              <w:pStyle w:val="Normal6a"/>
            </w:pPr>
            <w:r>
              <w:t>43.</w:t>
            </w:r>
            <w:r>
              <w:tab/>
            </w:r>
            <w:r>
              <w:t xml:space="preserve">elogiază eforturile depuse de Comitet în 2024 pentru a se asigura că personalul dobândește competențele digitale necesare unui mediu de lucru tot mai digitalizat și pentru a realiza campanii de informare cu țintă precisă, oferind un program amplu de formare și îndrumare și ținând la zi o bază de cunoștințe IT, cu o interfață bazată pe IA, pentru a susține dezvoltarea personalului; </w:t>
            </w:r>
            <w:r>
              <w:rPr>
                <w:b/>
                <w:i/>
              </w:rPr>
              <w:t>încurajează organizarea de cursuri de formare privind securitatea cibernetică și utilizarea sigură, etică și eficientă a inteligenței artificiale;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observă din chestionar </w:t>
            </w:r>
            <w:r>
              <w:rPr>
                <w:b/>
                <w:i/>
              </w:rPr>
              <w:t>că a scăzut consumul</w:t>
            </w:r>
            <w:r>
              <w:t xml:space="preserve"> de energie electrică (-19 %), gaze (-13 %) și apă (-12 %) </w:t>
            </w:r>
            <w:r>
              <w:rPr>
                <w:b/>
                <w:i/>
              </w:rPr>
              <w:t>și că în 2024 au crescut consumul de hârtie (+ 1 %) și volumul</w:t>
            </w:r>
            <w:r>
              <w:t xml:space="preserve"> de deșeuri (12 %) comparativ cu 2023; consideră binevenită și scăderea cu 4,30 % a emisiilor de carbon per echivalent normă întreagă (fără emisiile generate de deplasările membrilor Comitetului) în aceeași perioadă; află din chestionar acțiunile întreprinse de Comitet pentru a promova opțiuni de deplasare mai sustenabile în rândul personalului și al membrilor și că este în curs de revizuire ghidul privind misiunile personalului, printre ale cărui componente-cheie se va număra amprenta de mediu; salută și faptul că Comitetul pune accentul pe gestionarea și reciclarea deșeurilor pentru a promova o cultură a reducerii deșeurilor și a utilizării eficiente a resurselor;</w:t>
            </w:r>
          </w:p>
        </w:tc>
        <w:tc>
          <w:tcPr>
            <w:tcW w:w="4876" w:type="dxa"/>
            <w:tcBorders>
              <w:top w:val="nil"/>
              <w:left w:val="nil"/>
              <w:bottom w:val="nil"/>
              <w:right w:val="nil"/>
            </w:tcBorders>
          </w:tcPr>
          <w:p>
            <w:pPr>
              <w:pStyle w:val="Normal6a"/>
            </w:pPr>
            <w:r>
              <w:t>49.</w:t>
            </w:r>
            <w:r>
              <w:tab/>
            </w:r>
            <w:r>
              <w:t xml:space="preserve">observă din chestionar </w:t>
            </w:r>
            <w:r>
              <w:rPr>
                <w:b/>
                <w:i/>
              </w:rPr>
              <w:t>o scădere a consumului</w:t>
            </w:r>
            <w:r>
              <w:t xml:space="preserve"> de energie electrică (-19 %), </w:t>
            </w:r>
            <w:r>
              <w:rPr>
                <w:b/>
                <w:i/>
              </w:rPr>
              <w:t>de</w:t>
            </w:r>
            <w:r>
              <w:t xml:space="preserve"> gaze (-13 %) și </w:t>
            </w:r>
            <w:r>
              <w:rPr>
                <w:b/>
                <w:i/>
              </w:rPr>
              <w:t>de</w:t>
            </w:r>
            <w:r>
              <w:t xml:space="preserve"> apă (-12 %)</w:t>
            </w:r>
            <w:r>
              <w:rPr>
                <w:b/>
                <w:i/>
              </w:rPr>
              <w:t>, precum și o reducere a volumelor</w:t>
            </w:r>
            <w:r>
              <w:t xml:space="preserve"> de deșeuri (</w:t>
            </w:r>
            <w:r>
              <w:rPr>
                <w:b/>
                <w:i/>
              </w:rPr>
              <w:t>–</w:t>
            </w:r>
            <w:r>
              <w:t xml:space="preserve">12 %) </w:t>
            </w:r>
            <w:r>
              <w:rPr>
                <w:b/>
                <w:i/>
              </w:rPr>
              <w:t>și o creștere a consumului de hârtie (+1 %) în 2024</w:t>
            </w:r>
            <w:r>
              <w:t xml:space="preserve"> comparativ cu 2023; consideră binevenită și scăderea cu 4,30 % a emisiilor de carbon per echivalent normă întreagă (fără emisiile generate de deplasările membrilor Comitetului) în aceeași perioadă; află din chestionar acțiunile întreprinse de Comitet pentru a promova opțiuni de deplasare mai sustenabile în rândul personalului și al membrilor și că este în curs de revizuire ghidul privind misiunile personalului, printre ale cărui componente-cheie se va număra amprenta de mediu; salută și faptul că Comitetul pune accentul pe gestionarea și reciclarea deșeurilor pentru a promova o cultură a reducerii deșeurilor și a utilizării eficiente a resurselor;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constată cu satisfacție că toate licitațiile Comitetului cu o valoare de peste </w:t>
            </w:r>
            <w:r>
              <w:rPr>
                <w:b/>
                <w:i/>
              </w:rPr>
              <w:t>60 000</w:t>
            </w:r>
            <w:r>
              <w:t xml:space="preserve"> EUR și cele cu o valoare de peste </w:t>
            </w:r>
            <w:r>
              <w:rPr>
                <w:b/>
                <w:i/>
              </w:rPr>
              <w:t>25 000</w:t>
            </w:r>
            <w:r>
              <w:t xml:space="preserve"> EUR gestionate în comun cu CoR prevăd clauze de sustenabilitate în concordanță cu standardele uniunii energetice, cu Pactul verde european și cu principiile economiei circulare; reține că noul contract-cadru pentru servicii de catering al Comitetului, care a intrat în vigoare în august 2024, prevede cerințe privind produsele ecologice și cele produse la nivel local, donațiile de alimente și fructele și legumele de sezon;</w:t>
            </w:r>
          </w:p>
        </w:tc>
        <w:tc>
          <w:tcPr>
            <w:tcW w:w="4876" w:type="dxa"/>
            <w:tcBorders>
              <w:top w:val="nil"/>
              <w:left w:val="nil"/>
              <w:bottom w:val="nil"/>
              <w:right w:val="nil"/>
            </w:tcBorders>
          </w:tcPr>
          <w:p>
            <w:pPr>
              <w:pStyle w:val="Normal6a"/>
            </w:pPr>
            <w:r>
              <w:t>50.</w:t>
            </w:r>
            <w:r>
              <w:tab/>
            </w:r>
            <w:r>
              <w:t xml:space="preserve">constată cu satisfacție că toate licitațiile Comitetului cu o valoare de peste </w:t>
            </w:r>
            <w:r>
              <w:rPr>
                <w:b/>
                <w:i/>
              </w:rPr>
              <w:t>60 000</w:t>
            </w:r>
            <w:r>
              <w:t xml:space="preserve"> EUR și cele cu o valoare de peste </w:t>
            </w:r>
            <w:r>
              <w:rPr>
                <w:b/>
                <w:i/>
              </w:rPr>
              <w:t>25 000</w:t>
            </w:r>
            <w:r>
              <w:t xml:space="preserve"> EUR gestionate în comun cu CoR prevăd clauze de sustenabilitate în concordanță cu standardele uniunii energetice, cu Pactul verde european și cu principiile economiei circulare; reține că noul contract-cadru pentru servicii de catering al Comitetului, care a intrat în vigoare în august 2024, prevede cerințe privind produsele ecologice și cele produse la nivel local, donațiile de alimente și fructele și legumele de sezon; </w:t>
            </w:r>
            <w:r>
              <w:rPr>
                <w:b/>
                <w:i/>
              </w:rPr>
              <w:t>evidențiază, cu toate acestea, că standardele mai ridicate ale așa-numitelor măsuri ecologice cresc costurile de funcționare ale instituției și astfel nu numai că reduc bugetul disponibil al instituției, dar și cresc costul funcționării acesteia pentru contribuabili;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accentuează că inițiativele de mediu din instituțiile Uniunii trebuie să rămână eficiente din punctul de vedere al costurilor și neutre din punct de vedere tehnologic;</w:t>
            </w:r>
            <w:r>
              <w:t xml:space="preserve"> </w:t>
            </w:r>
            <w:r>
              <w:rPr>
                <w:b/>
                <w:i/>
              </w:rPr>
              <w:t>invită Comitetul să prezinte o analiză cost-beneficiu transparentă a investițiilor verzi și a practicilor sale de achiziții publice și să se asigure că aspectele de mediu nu prevalează asupra eficienței sau a disciplinei bugetare;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reține rolul fundamental al Comitetului în consolidarea legăturilor cu consiliile economice și sociale naționale (CESN) din statele membre și a legăturilor dintre acestea; ia cunoștință, în acest context, de lansarea unui nou grup de lucru tematic alcătuit din 13 CESN, de publicarea a 32 de articole de știri și a 26 de rezumate ale rapoartelor adoptate de CESN, de organizarea reuniunii anuale a președinților și secretarilor generali ai CESN la Bruxelles și de un seminar organizat în comun cu 100 de participanți reprezentând parteneri sociali europeni, organizații ale societății civile, instituțiile Uniunii și cadrele universitare în 2024;</w:t>
            </w:r>
          </w:p>
        </w:tc>
        <w:tc>
          <w:tcPr>
            <w:tcW w:w="4876" w:type="dxa"/>
            <w:tcBorders>
              <w:top w:val="nil"/>
              <w:left w:val="nil"/>
              <w:bottom w:val="nil"/>
              <w:right w:val="nil"/>
            </w:tcBorders>
          </w:tcPr>
          <w:p>
            <w:pPr>
              <w:pStyle w:val="Normal6a"/>
            </w:pPr>
            <w:r>
              <w:t>60.</w:t>
            </w:r>
            <w:r>
              <w:tab/>
            </w:r>
            <w:r>
              <w:t xml:space="preserve">reține rolul fundamental al Comitetului în consolidarea legăturilor cu consiliile economice și sociale naționale (CESN) din statele membre și a legăturilor dintre acestea; ia cunoștință, în acest context, de lansarea unui nou grup de lucru tematic alcătuit din 13 CESN, de publicarea a 32 de articole de știri și a 26 de rezumate ale rapoartelor adoptate de CESN, de organizarea reuniunii anuale a președinților și secretarilor generali ai CESN la Bruxelles și de un seminar organizat în comun cu 100 de participanți reprezentând parteneri sociali europeni, organizații ale societății civile, instituțiile Uniunii și cadrele universitare în 2024; </w:t>
            </w:r>
            <w:r>
              <w:rPr>
                <w:b/>
                <w:i/>
              </w:rPr>
              <w:t>solicită continuarea cooperării pe teme de interes comun și schimbul de bune practici, subliniind rolul vital al societății civile în abordarea provocărilor actuale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apreciază lansarea platformei NaviGate în mai 2024; reține că această platformă, care alimentează cu linkuri EULT al Oficiului pentru Publicații al Uniunii, a făcut activitatea Comitetului mult mai vizibilă și a îmbunătățit experiența de utilizatori a membrilor, a personalului, a vizitatorilor din alte instituții și a publicului, ajungând să atragă </w:t>
            </w:r>
            <w:r>
              <w:rPr>
                <w:b/>
                <w:i/>
              </w:rPr>
              <w:t>4 600</w:t>
            </w:r>
            <w:r>
              <w:t xml:space="preserve"> de vizitatori unici în 2024;</w:t>
            </w:r>
          </w:p>
        </w:tc>
        <w:tc>
          <w:tcPr>
            <w:tcW w:w="4876" w:type="dxa"/>
            <w:tcBorders>
              <w:top w:val="nil"/>
              <w:left w:val="nil"/>
              <w:bottom w:val="nil"/>
              <w:right w:val="nil"/>
            </w:tcBorders>
          </w:tcPr>
          <w:p>
            <w:pPr>
              <w:pStyle w:val="Normal6a"/>
            </w:pPr>
            <w:r>
              <w:t>63.</w:t>
            </w:r>
            <w:r>
              <w:tab/>
            </w:r>
            <w:r>
              <w:rPr>
                <w:b/>
                <w:i/>
              </w:rPr>
              <w:t>salută eforturile depuse de Comitet pentru a spori vizibilitatea activității sale;</w:t>
            </w:r>
            <w:r>
              <w:t xml:space="preserve"> </w:t>
            </w:r>
            <w:r>
              <w:rPr>
                <w:b/>
                <w:i/>
              </w:rPr>
              <w:t>consideră, totuși, că sunt necesare eforturi suplimentare pentru a se asigura că activitățile de comunicare explică în mod clar rolul Comitetului și contribuțiile sale concrete la prezența UE pe teren, într-un mod accesibil și relevant pentru cetățeni;</w:t>
            </w:r>
            <w:r>
              <w:t xml:space="preserve"> apreciază lansarea platformei NaviGate în mai 2024; reține că această platformă, care alimentează cu linkuri EULT al Oficiului pentru Publicații al Uniunii, a făcut activitatea Comitetului mult mai vizibilă și a îmbunătățit experiența de utilizatori a membrilor, a personalului, a vizitatorilor din alte instituții și a publicului, ajungând să atragă </w:t>
            </w:r>
            <w:r>
              <w:rPr>
                <w:b/>
                <w:i/>
              </w:rPr>
              <w:t>4 600</w:t>
            </w:r>
            <w:r>
              <w:t xml:space="preserve"> de vizitatori unici în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37</w:t>
    </w:r>
    <w:r>
      <w:fldChar w:fldCharType="end"/>
    </w:r>
    <w:r>
      <w:tab/>
    </w:r>
    <w:r>
      <w:rPr>
        <w:rStyle w:val="HideTWBExt"/>
      </w:rPr>
      <w:t>&lt;PathFdR&gt;</w:t>
    </w:r>
    <w:r>
      <w:t>AM\1336221RO.docx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AM\1336221RO.docx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37</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AM\1336221RO.docx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37</Pages>
  <Words>12484</Words>
  <Characters>72308</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374839</vt:lpwstr>
  </property>
  <property fmtid="{D5CDD505-2E9C-101B-9397-08002B2CF9AE}" pid="7" name="dmxml.render.traceId">
    <vt:lpwstr>698c6007a20fb3a0427c36a6ab259ec2</vt:lpwstr>
  </property>
  <property fmtid="{D5CDD505-2E9C-101B-9397-08002B2CF9AE}" pid="8" name="FooterPath">
    <vt:lpwstr>AM\1336221RO.docx</vt:lpwstr>
  </property>
  <property fmtid="{D5CDD505-2E9C-101B-9397-08002B2CF9AE}" pid="9" name="PE Number">
    <vt:lpwstr>784.136</vt:lpwstr>
  </property>
  <property fmtid="{D5CDD505-2E9C-101B-9397-08002B2CF9AE}" pid="10" name="UID">
    <vt:lpwstr>eu.europa.europarl-DIN1-2026-0000016192_01.00-ro-01.00_text-xml</vt:lpwstr>
  </property>
</Properties>
</file>