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Výbor pre kontrolu rozpočtu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2025/2151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(DEC)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r>
        <w:t>28.1.2026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POZMEŇUJÚCE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45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správy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Pasquale Tridico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(PE778.063v01-00)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Absolutórium za rok 2024: všeobecný rozpočet EÚ – Európsky hospodársky a sociálny výbor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(2025/2151(DEC))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Virginie Joron, Julien Sanchez,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Ha.</w:t>
            </w:r>
            <w:r>
              <w:tab/>
            </w:r>
            <w:r>
              <w:rPr>
                <w:b/>
                <w:i/>
              </w:rPr>
              <w:t>keďže podľa článkov 300 a 304 Zmluvy o fungovaní Európskej únie je Európsky hospodársky a sociálny výbor poradný orgán, ktorého hlavným mandátom je vydávať stanoviská;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4a.‏</w:t>
            </w:r>
            <w:r>
              <w:tab/>
            </w:r>
            <w:r>
              <w:rPr>
                <w:b/>
                <w:i/>
              </w:rPr>
              <w:t>berie na vedomie posun výboru od prístupu orientovaného na výdavky k riadeniu zdrojov a stanovovaniu priorít, čo sa odráža v strategickom finančnom balíku schválenom predsedníctvom EHSV a zavedení stanovovania priorít;</w:t>
            </w:r>
            <w:r>
              <w:t xml:space="preserve"> </w:t>
            </w:r>
            <w:r>
              <w:rPr>
                <w:b/>
                <w:i/>
              </w:rPr>
              <w:t>konštatuje, že cieľom týchto opatrení je zlepšiť finančné riadenie a zosúladiť rozpočtové rozhodnutia so strategickými cieľmi;</w:t>
            </w:r>
            <w:r>
              <w:t xml:space="preserve"> </w:t>
            </w:r>
            <w:r>
              <w:rPr>
                <w:b/>
                <w:i/>
              </w:rPr>
              <w:t>berie na vedomie úsilie o zníženie administratívnej záťaže a zefektívnenie procesov v snahe o nákladovú efektívnosť;</w:t>
            </w:r>
            <w:r>
              <w:t xml:space="preserve"> </w:t>
            </w:r>
            <w:r>
              <w:rPr>
                <w:b/>
                <w:i/>
              </w:rPr>
              <w:t>vyzýva výbor, aby tento prístup ďalej konsolidoval tým, že do svojho ročného finančného cyklu začlení ukazovatele výkonnosti a výhľadové plánovanie;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chváli výbor za to, že plnenie jeho</w:t>
            </w:r>
            <w:r>
              <w:t xml:space="preserve"> rozpočtu viazaných rozpočtových prostriedkov v bežnom roku sa </w:t>
            </w:r>
            <w:r>
              <w:rPr>
                <w:b/>
                <w:i/>
              </w:rPr>
              <w:t>ďalej</w:t>
            </w:r>
            <w:r>
              <w:t xml:space="preserve"> zvýšilo z 98,70 % v roku 2023 na 99,21 % v roku 2024, a to vďaka úspešnému monitorovaniu plnenia rozpočtu, ale aj </w:t>
            </w:r>
            <w:r>
              <w:rPr>
                <w:b/>
                <w:i/>
              </w:rPr>
              <w:t>vďaka</w:t>
            </w:r>
            <w:r>
              <w:t xml:space="preserve"> vysokej miere inflácie, ktorá má vplyv na platy zamestnancov a náklady na budovy; v tejto súvislosti berie na vedomie úsilie výboru o prerozdelenie prostriedkov prostredníctvom rozpočtových presunov v celkovej výške </w:t>
            </w:r>
            <w:r>
              <w:rPr>
                <w:b/>
                <w:i/>
              </w:rPr>
              <w:t>2 487 139</w:t>
            </w:r>
            <w:r>
              <w:t xml:space="preserve"> EUR (čo predstavuje 1,51 % jeho rozpočtu na rok 2024) do rôznych rozpočtových riadkov, pričom najvýraznejšie zvýšenie sa týka prevádzky a údržby softvérových systémov (+ </w:t>
            </w:r>
            <w:r>
              <w:rPr>
                <w:b/>
                <w:i/>
              </w:rPr>
              <w:t>519 682</w:t>
            </w:r>
            <w:r>
              <w:t xml:space="preserve"> EUR) a budov (+ </w:t>
            </w:r>
            <w:r>
              <w:rPr>
                <w:b/>
                <w:i/>
              </w:rPr>
              <w:t>421 880</w:t>
            </w:r>
            <w:r>
              <w:t xml:space="preserve"> EUR); ďalej s uspokojením konštatuje, že miera plnenia platobných rozpočtových prostriedkov v bežnom roku sa zvýšila z 88,12 % v roku 2022 a 90,67 % v roku 2023 na 92,85 % v roku 2024 a priemerná lehota splatnosti sa znížila z 20,14 dní v roku 2023 na 16,06 dní v roku 2024, čo je najlepší výsledok výboru od roku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vyjadruje výboru uznanie za vysokú úroveň plnenia</w:t>
            </w:r>
            <w:r>
              <w:t xml:space="preserve"> rozpočtu</w:t>
            </w:r>
            <w:r>
              <w:rPr>
                <w:b/>
                <w:i/>
              </w:rPr>
              <w:t>, keď sa čerpanie</w:t>
            </w:r>
            <w:r>
              <w:t xml:space="preserve"> viazaných rozpočtových prostriedkov v bežnom roku sa zvýšilo z 98,70 % v roku 2023 na 99,21 % v roku 2024, a to vďaka úspešnému monitorovaniu plnenia rozpočtu, ale aj </w:t>
            </w:r>
            <w:r>
              <w:rPr>
                <w:b/>
                <w:i/>
              </w:rPr>
              <w:t>z dôvodu</w:t>
            </w:r>
            <w:r>
              <w:t xml:space="preserve"> vysokej miere inflácie, ktorá má vplyv na platy zamestnancov a náklady na budovy; v tejto súvislosti berie na vedomie úsilie výboru o prerozdelenie prostriedkov prostredníctvom rozpočtových presunov v celkovej výške </w:t>
            </w:r>
            <w:r>
              <w:rPr>
                <w:b/>
                <w:i/>
              </w:rPr>
              <w:t>2 487 139</w:t>
            </w:r>
            <w:r>
              <w:t xml:space="preserve"> EUR (čo predstavuje 1,51 % jeho rozpočtu na rok 2024) do rôznych rozpočtových riadkov, pričom najvýraznejšie zvýšenie sa týka prevádzky a údržby softvérových systémov (+ </w:t>
            </w:r>
            <w:r>
              <w:rPr>
                <w:b/>
                <w:i/>
              </w:rPr>
              <w:t>519 682</w:t>
            </w:r>
            <w:r>
              <w:t xml:space="preserve"> EUR) a budov (+ </w:t>
            </w:r>
            <w:r>
              <w:rPr>
                <w:b/>
                <w:i/>
              </w:rPr>
              <w:t>421 880</w:t>
            </w:r>
            <w:r>
              <w:t xml:space="preserve"> EUR); ďalej s uspokojením konštatuje, že miera plnenia platobných rozpočtových prostriedkov v bežnom roku sa zvýšila z 88,12 % v roku 2022 a 90,67 % v roku 2023 na 92,85 % v roku 2024 a priemerná lehota splatnosti sa znížila z 20,14 dní v roku 2023 na 16,06 dní v roku 2024, čo je najlepší výsledok výboru od roku 2021; </w:t>
            </w:r>
            <w:r>
              <w:rPr>
                <w:b/>
                <w:i/>
              </w:rPr>
              <w:t>nabáda na pokračovanie efektívneho monitorovania, obmedzovania nákladov a strategického prerozdelenia s cieľom zabezpečiť čo najvýhodnejší pomer ceny a kvality a transparentnosť;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berie na vedomie, že 21. septembra 2024 Rada prijala nové rozhodnutie o poskytovaní denných príspevkov a náhrade cestovných výdavkov členom výboru a ich náhradníkom, v ktorom sa denný príspevok pre príjemcov, ktorí sa zúčastňujú na osobných schôdzach, stanovuje na 367 EUR (oproti 290 EUR) a denný príspevok pre príjemcov, ktorí sa zúčastňujú na schôdzach na diaľku prostredníctvom elektronických prostriedkov, sa stanovuje na 149 EUR (oproti 145 EUR); na základe dotazníka konštatuje, že v roku 2024 výbor uhradil za účasť na zasadnutiach na diaľku </w:t>
            </w:r>
            <w:r>
              <w:rPr>
                <w:b/>
                <w:i/>
              </w:rPr>
              <w:t>259 669</w:t>
            </w:r>
            <w:r>
              <w:t xml:space="preserve"> EUR (</w:t>
            </w:r>
            <w:r>
              <w:rPr>
                <w:b/>
                <w:i/>
              </w:rPr>
              <w:t>294 930</w:t>
            </w:r>
            <w:r>
              <w:t xml:space="preserve"> EUR v roku 2023), čo zodpovedá </w:t>
            </w:r>
            <w:r>
              <w:rPr>
                <w:b/>
                <w:i/>
              </w:rPr>
              <w:t>1 744</w:t>
            </w:r>
            <w:r>
              <w:t xml:space="preserve"> zasadacím dňom (</w:t>
            </w:r>
            <w:r>
              <w:rPr>
                <w:b/>
                <w:i/>
              </w:rPr>
              <w:t>2 006</w:t>
            </w:r>
            <w:r>
              <w:t xml:space="preserve"> zasadacích dní v roku 2023), zatiaľ čo celková suma paušálnych príspevkov vyplatených za osobnú účasť na zasadnutiach v roku 2024 predstavovala </w:t>
            </w:r>
            <w:r>
              <w:rPr>
                <w:b/>
                <w:i/>
              </w:rPr>
              <w:t>6 579 196</w:t>
            </w:r>
            <w:r>
              <w:t xml:space="preserve"> EUR (v roku 2023 to bolo </w:t>
            </w:r>
            <w:r>
              <w:rPr>
                <w:b/>
                <w:i/>
              </w:rPr>
              <w:t>5 902 963</w:t>
            </w:r>
            <w:r>
              <w:t xml:space="preserve"> EUR); ďalej poznamenáva, že výbor má zavedený systém na potvrdzovanie skutočnej účasti na zasadnutiach na diaľku prostredníctvom elektronických prostriedkov; domnieva sa, že </w:t>
            </w:r>
            <w:r>
              <w:rPr>
                <w:b/>
                <w:i/>
              </w:rPr>
              <w:t>hoci je</w:t>
            </w:r>
            <w:r>
              <w:t xml:space="preserve"> účasť </w:t>
            </w:r>
            <w:r>
              <w:rPr>
                <w:b/>
                <w:i/>
              </w:rPr>
              <w:t>na zasadnutiach</w:t>
            </w:r>
            <w:r>
              <w:t xml:space="preserve"> na diaľku pre moderné inštitúcie </w:t>
            </w:r>
            <w:r>
              <w:rPr>
                <w:b/>
                <w:i/>
              </w:rPr>
              <w:t>dôležitým nástrojom, ktorý</w:t>
            </w:r>
            <w:r>
              <w:t xml:space="preserve"> znižuje náklady na zasadnutia a umožňuje širšiu účasť</w:t>
            </w:r>
            <w:r>
              <w:rPr>
                <w:b/>
                <w:i/>
              </w:rPr>
              <w:t>, pridelenie príspevku na</w:t>
            </w:r>
            <w:r>
              <w:t xml:space="preserve"> účasť </w:t>
            </w:r>
            <w:r>
              <w:rPr>
                <w:b/>
                <w:i/>
              </w:rPr>
              <w:t>na zasadnutiach</w:t>
            </w:r>
            <w:r>
              <w:t xml:space="preserve"> na diaľku</w:t>
            </w:r>
            <w:r>
              <w:rPr>
                <w:b/>
                <w:i/>
              </w:rPr>
              <w:t>, aj keď je</w:t>
            </w:r>
            <w:r>
              <w:t xml:space="preserve"> znížený a obmedzený </w:t>
            </w:r>
            <w:r>
              <w:rPr>
                <w:b/>
                <w:i/>
              </w:rPr>
              <w:t>na určité typy</w:t>
            </w:r>
            <w:r>
              <w:t xml:space="preserve"> podujatí</w:t>
            </w:r>
            <w:r>
              <w:rPr>
                <w:b/>
                <w:i/>
              </w:rPr>
              <w:t>, je pre verejnosť ťažko pochopiteľné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berie na vedomie, že 21. septembra 2024 Rada prijala nové rozhodnutie o poskytovaní denných príspevkov a náhrade cestovných výdavkov členom výboru a ich náhradníkom, v ktorom sa denný príspevok pre príjemcov, ktorí sa zúčastňujú na osobných schôdzach, stanovuje na 367 EUR (oproti 290 EUR) a denný príspevok pre príjemcov, ktorí sa zúčastňujú na schôdzach na diaľku prostredníctvom elektronických prostriedkov, sa stanovuje na 149 EUR (oproti 145 EUR); na základe dotazníka konštatuje, že v roku 2024 výbor uhradil za účasť na zasadnutiach na diaľku </w:t>
            </w:r>
            <w:r>
              <w:rPr>
                <w:b/>
                <w:i/>
              </w:rPr>
              <w:t>259 669</w:t>
            </w:r>
            <w:r>
              <w:t> EUR (</w:t>
            </w:r>
            <w:r>
              <w:rPr>
                <w:b/>
                <w:i/>
              </w:rPr>
              <w:t>294 930</w:t>
            </w:r>
            <w:r>
              <w:t xml:space="preserve"> EUR v roku 2023), čo zodpovedá </w:t>
            </w:r>
            <w:r>
              <w:rPr>
                <w:b/>
                <w:i/>
              </w:rPr>
              <w:t>1 744</w:t>
            </w:r>
            <w:r>
              <w:t xml:space="preserve"> zasadacím dňom (</w:t>
            </w:r>
            <w:r>
              <w:rPr>
                <w:b/>
                <w:i/>
              </w:rPr>
              <w:t>2 006</w:t>
            </w:r>
            <w:r>
              <w:t xml:space="preserve"> zasadacích dní v roku 2023), zatiaľ čo celková suma paušálnych príspevkov vyplatených za osobnú účasť na zasadnutiach v roku 2024 predstavovala </w:t>
            </w:r>
            <w:r>
              <w:rPr>
                <w:b/>
                <w:i/>
              </w:rPr>
              <w:t>6 579 196</w:t>
            </w:r>
            <w:r>
              <w:t xml:space="preserve"> EUR (v roku 2023 to bolo </w:t>
            </w:r>
            <w:r>
              <w:rPr>
                <w:b/>
                <w:i/>
              </w:rPr>
              <w:t>5 902 963</w:t>
            </w:r>
            <w:r>
              <w:t xml:space="preserve"> EUR); ďalej poznamenáva, že výbor má zavedený systém na potvrdzovanie skutočnej účasti na zasadnutiach na diaľku prostredníctvom elektronických prostriedkov; domnieva sa, že účasť na diaľku </w:t>
            </w:r>
            <w:r>
              <w:rPr>
                <w:b/>
                <w:i/>
              </w:rPr>
              <w:t>je dôležitým a cenným nástrojom</w:t>
            </w:r>
            <w:r>
              <w:t xml:space="preserve"> pre moderné inštitúcie </w:t>
            </w:r>
            <w:r>
              <w:rPr>
                <w:b/>
                <w:i/>
              </w:rPr>
              <w:t>–</w:t>
            </w:r>
            <w:r>
              <w:t xml:space="preserve"> znižuje náklady na zasadnutia a umožňuje širšiu účasť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víta prístup výboru k prideľovaniu príspevkov za</w:t>
            </w:r>
            <w:r>
              <w:t xml:space="preserve"> účasť na diaľku </w:t>
            </w:r>
            <w:r>
              <w:rPr>
                <w:b/>
                <w:i/>
              </w:rPr>
              <w:t>na</w:t>
            </w:r>
            <w:r>
              <w:t xml:space="preserve"> znížený </w:t>
            </w:r>
            <w:r>
              <w:rPr>
                <w:b/>
                <w:i/>
              </w:rPr>
              <w:t>počet</w:t>
            </w:r>
            <w:r>
              <w:t xml:space="preserve"> a obmedzený </w:t>
            </w:r>
            <w:r>
              <w:rPr>
                <w:b/>
                <w:i/>
              </w:rPr>
              <w:t>typ</w:t>
            </w:r>
            <w:r>
              <w:t xml:space="preserve"> podujatí </w:t>
            </w:r>
            <w:r>
              <w:rPr>
                <w:b/>
                <w:i/>
              </w:rPr>
              <w:t>spravodlivým a primeraným spôsobom, ktorý odráža povinnosti členov a požiadavky na prípravu, a zároveň zabezpečuje a monitoruje transparentnosť a nákladovú efektívnosť</w:t>
            </w:r>
            <w:r>
              <w:t xml:space="preserve">; </w:t>
            </w:r>
            <w:r>
              <w:rPr>
                <w:b/>
                <w:i/>
              </w:rPr>
              <w:t>pripomína, že členovia Európskeho hospodárskeho a sociálneho výboru nedostávajú za svoj mandát mzdu;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7a.‏</w:t>
            </w:r>
            <w:r>
              <w:tab/>
            </w:r>
            <w:r>
              <w:rPr>
                <w:b/>
                <w:i/>
              </w:rPr>
              <w:t>vyzýva výbor, aby prehodnotil systém príspevkov za účasť na diaľku s cieľom zabezpečiť úplnú transparentnosť, proporcionalitu a dôveru verejnosti;</w:t>
            </w:r>
            <w:r>
              <w:t xml:space="preserve"> </w:t>
            </w:r>
            <w:r>
              <w:rPr>
                <w:b/>
                <w:i/>
              </w:rPr>
              <w:t>zdôrazňuje, že finančná kompenzácia za účasť na diaľku musí byť prísne odôvodnená, obmedzená v rozsahu a v súlade so zásadami nákladovej efektívnosti a zodpovednosti.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8a.‏</w:t>
            </w:r>
            <w:r>
              <w:tab/>
            </w:r>
            <w:r>
              <w:rPr>
                <w:b/>
                <w:i/>
              </w:rPr>
              <w:t>vyjadruje hlboké znepokojenie nad rastúcim dlhovým bremenom EÚ a nákladmi na pôžičky;</w:t>
            </w:r>
            <w:r>
              <w:t xml:space="preserve"> </w:t>
            </w:r>
            <w:r>
              <w:rPr>
                <w:b/>
                <w:i/>
              </w:rPr>
              <w:t>konštatuje, že podľa výročnej správy Európskeho dvora audítorov by nesplatené pôžičky EÚ mohli do roku 2027 presiahnuť 900 miliárd EUR, čo je takmer desaťnásobok úrovne z roku 2020 pred zavedením balíka na podporu obnovy NextGenerationEU;</w:t>
            </w:r>
            <w:r>
              <w:t xml:space="preserve"> </w:t>
            </w:r>
            <w:r>
              <w:rPr>
                <w:b/>
                <w:i/>
              </w:rPr>
              <w:t>varuje, že rastúce náklady na prijaté úvery a pôžičky predstavujú riziko pre budúce rozpočty a znižujú fiškálny priestor pre nové priority;</w:t>
            </w:r>
            <w:r>
              <w:t xml:space="preserve"> </w:t>
            </w:r>
            <w:r>
              <w:rPr>
                <w:b/>
                <w:i/>
              </w:rPr>
              <w:t>trvá preto na tom, že tento bezprecedentný fiškálny tlak si vyžaduje prísne hľadanie úspor v rámci administratívneho rozpočtu výboru;</w:t>
            </w:r>
            <w:r>
              <w:t xml:space="preserve"> </w:t>
            </w:r>
            <w:r>
              <w:rPr>
                <w:b/>
                <w:i/>
              </w:rPr>
              <w:t>vyzýva generálneho tajomníka, aby predložil plán na štrukturálne zníženie nákladov s cieľom preukázať inštitucionálnu zodpovednosť v čase vysokého verejného dlhu;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Şerban Dimitrie Sturdza, Joachim Stanisław Brudziński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9a.‏</w:t>
            </w:r>
            <w:r>
              <w:tab/>
            </w:r>
            <w:r>
              <w:rPr>
                <w:b/>
                <w:i/>
              </w:rPr>
              <w:t>vyzýva administratívu výboru, aby aktívne identifikovala a vykonávala opatrenia na úsporu nákladov, a to aj prostredníctvom intenzívnejšieho využívania technológií hybridných schôdzí, optimalizácie využívania budov, konsolidácie činností výboru a znižovania zbytočných logistických výdavkov;</w:t>
            </w:r>
            <w:r>
              <w:t xml:space="preserve"> </w:t>
            </w:r>
            <w:r>
              <w:rPr>
                <w:b/>
                <w:i/>
              </w:rPr>
              <w:t>požaduje pravidelné správy o pokroku v súvislosti s vykonanými opatreniami a dosiahnutými úsporami;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vyzýva výbor, aby prijal štruktúrovaný plán na postupné dosiahnutie referenčnej hodnoty 10 % výdavkov na kybernetickú bezpečnosť vrátane ročných míľnikov, stanovenia priorít na základe rizika a pravidelného podávania správ orgánu udeľujúcemu absolutórium;</w:t>
            </w:r>
            <w:r>
              <w:t xml:space="preserve"> </w:t>
            </w:r>
            <w:r>
              <w:rPr>
                <w:b/>
                <w:i/>
              </w:rPr>
              <w:t>zdôrazňuje potrebu posilnenej spolupráce s tímom CERT-EU a ostatnými inštitúciami Únie s cieľom zabezpečiť súdržný a odolný prístup ku kybernetickej bezpečnosti.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uznáva, že výbor zohráva zásadnú úlohu pri prispievaní k rozvoju politiky a rozhodovacím procesom Únie tým, že zastupuje hlasy všetkých oblastí organizovanej občianskej spoločnosti v rámci Únie, čím približuje Európu jej občanom a zvyšuje demokratickú legitimitu právnych predpisov Únie; pripomína, že výbor má v rámci svojho ročného pracovného programu systém monitorovania výkonnosti s ukazovateľmi v rôznych oblastiach, ako sú IT, ľudské zdroje, prekladateľstvo a komunikácia, štruktúrovaný okolo piatich základných hodnôt a piatich kľúčových strategických cieľov v rámci stratégie generálneho sekretariátu na roky 2021 – 2025; s uspokojením berie na vedomie, že výbor v nadväznosti na pripomienky uvedené v uznesení Európskeho parlamentu o absolutóriu za plnenie rozpočtu za rok 2023 (ďalej len „správa o následných opatreniach“) a v dotazníku uviedol, že po audite začal štruktúrovaný proces na zlepšenie monitorovania svojej výkonnosti zosúladením svojho výkonnostného rámca so strategickými cieľmi prostredníctvom kľúčových ukazovateľov výkonnosti a ukazovateľov vplyvu, ktoré majú byť v súlade s budúcimi strategickými cieľmi výboru, pričom kľúčovú úlohu pri používaní týchto ukazovateľov bude zohrávať vyšší manažment; očakáva, že bude informovaný o výsledkoch vykonávania tohto nového rámca prostredníctvom budúcich správ výboru pre orgán udeľujúci absolutórium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uznáva, že výbor zohráva zásadnú úlohu pri prispievaní k rozvoju politiky a rozhodovacím procesom Únie tým, že zastupuje hlasy všetkých oblastí organizovanej občianskej spoločnosti v rámci Únie, čím približuje Európu jej občanom a zvyšuje demokratickú legitimitu právnych predpisov Únie; pripomína, že výbor má v rámci svojho ročného pracovného programu systém monitorovania výkonnosti s ukazovateľmi v rôznych oblastiach, ako sú IT, ľudské zdroje, prekladateľstvo a komunikácia, štruktúrovaný okolo piatich základných hodnôt a piatich kľúčových strategických cieľov v rámci stratégie generálneho sekretariátu na roky 2021 – 2025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domnieva sa však, že o pridanej hodnote jeho činností pre európskych občanov sa naďalej do veľkej miery informuje nedostatočne;</w:t>
            </w:r>
            <w:r>
              <w:t xml:space="preserve"> </w:t>
            </w:r>
            <w:r>
              <w:rPr>
                <w:b/>
                <w:i/>
              </w:rPr>
              <w:t>vyzýva výbor, aby ďalej posilňoval svoj rámec posudzovania vplyvu tým, že lepšie preukáže, ako sa jeho stanoviská a iniciatívy premietajú do konkrétnych politických výsledkov a hmatateľných prínosov pre občanov</w:t>
            </w:r>
            <w:r>
              <w:t>; s uspokojením berie na vedomie, že výbor v nadväznosti na pripomienky uvedené v uznesení Európskeho parlamentu o absolutóriu za plnenie rozpočtu za rok 2023 (ďalej len „správa o následných opatreniach“) a v dotazníku uviedol, že po audite začal štruktúrovaný proces na zlepšenie monitorovania svojej výkonnosti zosúladením svojho výkonnostného rámca so strategickými cieľmi prostredníctvom kľúčových ukazovateľov výkonnosti a ukazovateľov vplyvu, ktoré majú byť v súlade s budúcimi strategickými cieľmi výboru, pričom kľúčovú úlohu pri používaní týchto ukazovateľov bude zohrávať vyšší manažment; očakáva, že bude informovaný o výsledkoch vykonávania tohto nového rámca prostredníctvom budúcich správ výboru pre orgán udeľujúci absolutórium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uznáva, že výbor zohráva zásadnú úlohu pri prispievaní k rozvoju politiky a rozhodovacím procesom Únie tým, že zastupuje hlasy všetkých oblastí organizovanej občianskej spoločnosti v rámci Únie, čím približuje Európu jej občanom a zvyšuje demokratickú legitimitu právnych predpisov Únie; pripomína, že výbor má v rámci svojho ročného pracovného programu systém monitorovania výkonnosti s ukazovateľmi v rôznych oblastiach, ako sú IT, ľudské zdroje, prekladateľstvo a komunikácia, štruktúrovaný okolo piatich základných hodnôt a piatich kľúčových strategických cieľov v rámci stratégie generálneho sekretariátu na roky 2021 – 2025; s uspokojením berie na vedomie, že výbor v nadväznosti na pripomienky uvedené v uznesení Európskeho parlamentu o absolutóriu za plnenie rozpočtu za rok 2023 (ďalej len „správa o následných opatreniach“) a v dotazníku uviedol, že po audite začal štruktúrovaný proces na zlepšenie monitorovania svojej výkonnosti zosúladením svojho výkonnostného rámca so strategickými cieľmi prostredníctvom kľúčových ukazovateľov výkonnosti a ukazovateľov vplyvu, ktoré majú byť v súlade s budúcimi strategickými cieľmi výboru, pričom kľúčovú úlohu pri používaní týchto ukazovateľov bude zohrávať vyšší manažment; očakáva, že bude informovaný o výsledkoch vykonávania tohto nového rámca prostredníctvom budúcich správ výboru pre orgán udeľujúci absolutórium;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uznáva, že výbor zohráva zásadnú úlohu pri prispievaní k rozvoju politiky a rozhodovacím procesom Únie tým, že zastupuje hlasy všetkých oblastí organizovanej občianskej spoločnosti v rámci Únie, čím približuje Európu jej občanom a zvyšuje demokratickú legitimitu právnych predpisov Únie; pripomína, že výbor má v rámci svojho ročného pracovného programu systém monitorovania výkonnosti s ukazovateľmi v rôznych oblastiach, ako sú IT, ľudské zdroje, prekladateľstvo a komunikácia, štruktúrovaný okolo piatich základných hodnôt a piatich kľúčových strategických cieľov v rámci stratégie generálneho sekretariátu na roky 2021 – 2025; s uspokojením berie na vedomie, že výbor v nadväznosti na pripomienky uvedené v uznesení Európskeho parlamentu o absolutóriu za plnenie rozpočtu za rok 2023 (ďalej len „správa o následných opatreniach“) a v dotazníku uviedol, že po audite začal štruktúrovaný proces na zlepšenie monitorovania svojej výkonnosti zosúladením svojho výkonnostného rámca so strategickými cieľmi prostredníctvom kľúčových ukazovateľov výkonnosti a ukazovateľov vplyvu, ktoré majú byť v súlade s budúcimi strategickými cieľmi výboru, pričom kľúčovú úlohu pri používaní týchto ukazovateľov bude zohrávať vyšší manažment; očakáva, že bude informovaný o výsledkoch vykonávania tohto nového rámca prostredníctvom budúcich správ výboru pre orgán udeľujúci absolutórium</w:t>
            </w:r>
            <w:r>
              <w:rPr>
                <w:b/>
                <w:i/>
              </w:rPr>
              <w:t>, víta úsilie výboru začleniť meranie vplyvu do svojho rozhodovania a požaduje jasné, vyčísliteľné kľúčové ukazovatele výkonnosti a pravidelné podávanie správ s cieľom zabezpečiť merateľné výsledky a zodpovednosť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konštatuje, že výbor plní svoje poslanie prostredníctvom stanovísk, v ktorých sa odkazuje na legislatívne návrhy Komisie (žiadosti o vypracovanie stanoviska), a stanovísk z vlastnej iniciatívy, ktoré vyzývajú inštitúcie Únie, aby prijali opatrenia, ako aj prieskumných stanovísk, ktoré podporujú prácu Komisie na plánovaných iniciatívach, a že postoje výboru možno zdôrazňovať v uzneseniach alebo zahrnúť do hodnotiacich a informačných správ; oceňuje činnosť výboru pri poskytovaní pomoci Parlamentu, Rade a Komisii v legislatívnom cykle v roku 2024; v tejto súvislosti konštatuje, že v roku 2024 výbor prijal 142 stanovísk a správ, čo je pokles z 213 v roku 2023, a zorganizoval 148 vypočutí a 26 konferencií v porovnaní so 146 vypočutiami a 24 konferenciami v roku 2023; uznáva, že obnovenie legislatívy v roku 2024 viedlo k zníženiu počtu postúpení a následne aj počtu stanovísk, ktoré výbor v tomto roku prijal; konštatuje, že členovia výboru sa v roku 2024 zúčastnili na 518 schôdzach na vysokej úrovni, samitoch a konferenciách v porovnaní s 429 podujatiami v roku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konštatuje, že výbor plní svoje poslanie prostredníctvom stanovísk, v ktorých sa odkazuje na legislatívne návrhy Komisie (žiadosti o vypracovanie stanoviska), a stanovísk z vlastnej iniciatívy, ktoré vyzývajú inštitúcie Únie, aby prijali opatrenia, ako aj prieskumných stanovísk, ktoré podporujú prácu Komisie na plánovaných iniciatívach, a že postoje výboru možno zdôrazňovať v uzneseniach alebo zahrnúť do hodnotiacich a informačných správ; oceňuje činnosť výboru pri poskytovaní pomoci Parlamentu, Rade a Komisii v legislatívnom cykle v roku 2024; v tejto súvislosti konštatuje, že v roku 2024 výbor prijal 142 stanovísk a správ, čo je pokles z 213 v roku 2023, a zorganizoval 148 vypočutí a 26 konferencií v porovnaní so 146 vypočutiami a 24 konferenciami v roku 2023; uznáva, že obnovenie legislatívy v roku 2024 viedlo k zníženiu počtu postúpení a následne aj počtu stanovísk, ktoré výbor v tomto roku prijal; konštatuje, že členovia výboru sa v roku 2024 zúčastnili na 518 schôdzach na vysokej úrovni, samitoch a konferenciách v porovnaní s 429 podujatiami v roku 2023; </w:t>
            </w:r>
            <w:r>
              <w:rPr>
                <w:b/>
                <w:i/>
              </w:rPr>
              <w:t>nabáda na uprednostňovanie iniciatív, ktoré podporujú hospodársky rast, konkurencieschopnosť a strategickú autonómiu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 a.</w:t>
            </w:r>
            <w:r>
              <w:tab/>
            </w:r>
            <w:r>
              <w:rPr>
                <w:b/>
                <w:i/>
              </w:rPr>
              <w:t>nabáda výbor, aby pokračoval vo svojom úsilí zamerať svoju činnosť na oblasti, v ktorých môže poskytnúť jasné, merateľné a politicky relevantné príspevky, a aby ďalej rozvíjal ukazovatele založené na výkonnosti a vplyve, ktoré idú nad rámec výstupov založených na činnostiach a lepšie odrážajú výsledky a význam pre občanov;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víta záväzok výboru vyplývajúci zo správy o následných opatreniach vypracovať stanoviská k pracovným právam, sociálnemu začleneniu a porušovaniu ľudských práv a rozšíriť rozsah svojich hodnotení v súvislosti s právnymi predpismi a programami Únie za predpokladu, že budú k dispozícii primerané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víta záväzok výboru vyplývajúci zo správy o následných opatreniach vypracovať stanoviská k pracovným právam, sociálnemu začleneniu a porušovaniu ľudských práv a rozšíriť rozsah svojich hodnotení v súvislosti s právnymi predpismi a programami Únie za predpokladu, že budú k dispozícii primerané zdroje</w:t>
            </w:r>
            <w:r>
              <w:rPr>
                <w:b/>
                <w:i/>
              </w:rPr>
              <w:t>, a tak, aby zastupovali širokú občiansku spoločnosť</w:t>
            </w:r>
            <w:r>
              <w:t xml:space="preserve">; </w:t>
            </w:r>
            <w:r>
              <w:rPr>
                <w:b/>
                <w:i/>
              </w:rPr>
              <w:t>nabáda výbor, aby rozšíril rozsah pôsobnosti stanovísk tak, aby zahŕňali ďalšie právne predpisy Únie týkajúce sa verejných statkov;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oceňuje opatrenia, ktoré výbor prijal v roku 2024 s cieľom zlepšiť viditeľnosť a vplyv svojej práce v politickom a legislatívnom cykle; víta oficiálne zavedenie nového formátu stanovísk vypracovaných na základe povinných podnetov Parlamentu, Rady alebo </w:t>
            </w:r>
            <w:r>
              <w:rPr>
                <w:b/>
                <w:i/>
              </w:rPr>
              <w:t>Parlamentu</w:t>
            </w:r>
            <w:r>
              <w:t xml:space="preserve"> Komisie, ktoré sa uskutočnilo po pilotnom projekte; konštatuje, že nový formát zvyšuje užívateľskú prívetivosť a použiteľnosť pre zákonodarcu a zároveň zlepšuje stanovenie priorít práce výboru; ďalej konštatuje, že vďaka posilnenej kontrole vybraných stanovísk prostredníctvom kontrolného zoznamu a usmernení výbor očakáva, že tieto stanoviská zostanú relevantné aj po ich prijatí a budú súčasťou viacúrovňových legislatívnych procesov; ďalej víta začlenenie stanovísk výboru do nástroja EU Law Tracker (EULT) od apríla 2024, pričom už teraz sa objavujú ako odkazy v legislatívnych spisoch; s uznaním konštatuje, že výbor prijal aj interný plán na lepšie predvídanie priorít Únie, zlepšenie medziinštitucionálnej koordinácie, posilnenie šírenia informácií a následných opatrení a systematickejšie meranie vplyvu;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oceňuje opatrenia, ktoré výbor prijal v roku 2024 s cieľom zlepšiť viditeľnosť a vplyv svojej práce v politickom a legislatívnom cykle; víta oficiálne zavedenie nového formátu stanovísk vypracovaných na základe povinných podnetov Parlamentu, Rady alebo Komisie, ktoré sa uskutočnilo po pilotnom projekte; konštatuje, že nový formát zvyšuje užívateľskú prívetivosť a použiteľnosť pre zákonodarcu a zároveň zlepšuje stanovenie priorít práce výboru; ďalej konštatuje, že vďaka posilnenej kontrole vybraných stanovísk prostredníctvom kontrolného zoznamu a usmernení výbor očakáva, že tieto stanoviská zostanú relevantné aj po ich prijatí a budú súčasťou viacúrovňových legislatívnych procesov; ďalej víta začlenenie stanovísk výboru do nástroja EU Law Tracker (EULT) od apríla 2024, pričom už teraz sa objavujú ako odkazy v legislatívnych spisoch; s uznaním konštatuje, že výbor prijal aj interný plán na lepšie predvídanie priorít Únie, zlepšenie medziinštitucionálnej koordinácie, posilnenie šírenia informácií a následných opatrení a systematickejšie meranie vplyvu;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15a.‏</w:t>
            </w:r>
            <w:r>
              <w:tab/>
            </w:r>
            <w:r>
              <w:rPr>
                <w:b/>
                <w:i/>
              </w:rPr>
              <w:t>oceňuje opatrenia, ktoré výbor prijal v roku 2024 na zlepšenie prístupnosti, zrozumiteľnosti a použiteľnosti svojich stanovísk pre inštitúcie Únie;</w:t>
            </w:r>
            <w:r>
              <w:t xml:space="preserve"> </w:t>
            </w:r>
            <w:r>
              <w:rPr>
                <w:b/>
                <w:i/>
              </w:rPr>
              <w:t>zdôrazňuje, že cieľom takýchto opatrení je posilniť schopnosť zákonodarcov prijímať informované rozhodnutia;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s uznaním konštatuje, že výbor pokročil vo viacerých hlavných iniciatívach, ktoré posilnili účasť, začlenenie a politický vplyv v celej Únii; konštatuje, že výbor od septembra 2024 prevzal vedúcu úlohu pri uplatňovaní mládežníckeho testu EÚ vo svojom procese tvorby stanovísk, do ktorého sa zapojila sieť 73 mládežníckych organizácií, a otestoval približne 40 stanovísk mládeže; ďalej berie na vedomie, že výbor rozšíril svoju angažovanosť s kandidátskymi krajinami prostredníctvom iniciatívy členov z kandidátskej krajiny, ktorá umožňuje 146 zástupcom občianskej spoločnosti priamo prispievať k tvorbe stanovísk výboru prostredníctvom účasti v študijných skupinách, na zasadnutiach odbornej sekcie a na plenárnom zasadnutí (ktoré sa uskutočnilo v októbri 2024); oceňuje výbor za to, že presadzuje svoju európsku modrú dohodu, ktorá pomáha zaradiť odolnosť v oblasti vode do programu Únie; zdôrazňuje, že výbor naďalej viedol Európsku platformu pre obehové hospodárstvo a spoluorganizoval ekologické ocenenie EÚ v roku 2024, čím posilnil väzby so subjektmi občianskej spoločnosti v oblasti ekologického poľnohospodárstva;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s uznaním konštatuje, že výbor pokročil vo viacerých hlavných iniciatívach, ktoré posilnili účasť, začlenenie a politický vplyv v celej Únii; konštatuje, že výbor od septembra 2024 prevzal vedúcu úlohu pri uplatňovaní mládežníckeho testu EÚ vo svojom procese tvorby stanovísk, do ktorého sa zapojila sieť 73 mládežníckych organizácií, a otestoval približne 40 stanovísk mládeže; ďalej berie na vedomie, že výbor rozšíril svoju angažovanosť s kandidátskymi krajinami prostredníctvom iniciatívy členov z kandidátskej krajiny, ktorá umožňuje 146 zástupcom občianskej spoločnosti priamo prispievať k tvorbe stanovísk výboru prostredníctvom účasti v študijných skupinách, na zasadnutiach odbornej sekcie a na plenárnom zasadnutí (ktoré sa uskutočnilo v októbri 2024); </w:t>
            </w:r>
            <w:r>
              <w:rPr>
                <w:b/>
                <w:i/>
              </w:rPr>
              <w:t>víta túto iniciatívu ako pozitívny príspevok k inkluzívnemu dialógu a príprave na budúce rozšírenie;</w:t>
            </w:r>
            <w:r>
              <w:t xml:space="preserve"> oceňuje výbor za to, že presadzuje svoju európsku modrú dohodu, ktorá pomáha zaradiť odolnosť v oblasti vode do programu Únie; zdôrazňuje, že výbor naďalej viedol Európsku platformu pre obehové hospodárstvo a spoluorganizoval ekologické ocenenie EÚ v roku 2024, čím posilnil väzby so subjektmi občianskej spoločnosti v oblasti ekologického poľnohospodárstva; </w:t>
            </w:r>
            <w:r>
              <w:rPr>
                <w:b/>
                <w:i/>
              </w:rPr>
              <w:t>nabáda na neustály súlad so strategickými politickými cieľmi EÚ s merateľnými výsledkami;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s uznaním konštatuje, že výbor pokročil vo viacerých hlavných iniciatívach, ktoré posilnili účasť, začlenenie a politický vplyv v celej Únii; konštatuje, že výbor od septembra 2024 prevzal vedúcu úlohu pri uplatňovaní mládežníckeho testu EÚ vo svojom procese tvorby stanovísk, do ktorého sa zapojila sieť 73 mládežníckych organizácií, a otestoval približne 40 stanovísk mládeže; ďalej berie na vedomie, že výbor rozšíril svoju angažovanosť s kandidátskymi krajinami prostredníctvom iniciatívy členov z kandidátskej krajiny, ktorá umožňuje 146 zástupcom občianskej spoločnosti priamo prispievať k tvorbe stanovísk výboru prostredníctvom účasti v študijných skupinách, na zasadnutiach odbornej sekcie a na plenárnom zasadnutí (ktoré sa uskutočnilo v októbri 2024); oceňuje výbor za to, že presadzuje svoju európsku modrú dohodu, ktorá pomáha zaradiť odolnosť v oblasti vode do programu Únie; zdôrazňuje, že výbor naďalej viedol Európsku platformu pre obehové hospodárstvo a spoluorganizoval ekologické ocenenie EÚ v roku 2024, čím posilnil väzby so subjektmi občianskej spoločnosti v oblasti ekologického poľnohospodárstva;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s uznaním konštatuje, že výbor pokročil vo viacerých hlavných iniciatívach, ktoré posilnili účasť, začlenenie a politický vplyv v celej Únii; konštatuje, že výbor od septembra 2024 prevzal vedúcu úlohu pri uplatňovaní mládežníckeho testu EÚ vo svojom procese tvorby stanovísk, do ktorého sa zapojila sieť 73 mládežníckych organizácií, a otestoval približne 40 stanovísk mládeže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víta a podporuje iniciatívy výboru zamerané na posilnenie účasti mladých ľudí na procese tvorby politík</w:t>
            </w:r>
            <w:r>
              <w:t>; ďalej berie na vedomie, že výbor rozšíril svoju angažovanosť s kandidátskymi krajinami prostredníctvom iniciatívy členov z kandidátskej krajiny, ktorá umožňuje 146 zástupcom občianskej spoločnosti priamo prispievať k tvorbe stanovísk výboru prostredníctvom účasti v študijných skupinách, na zasadnutiach odbornej sekcie a na plenárnom zasadnutí (ktoré sa uskutočnilo v októbri 2024); oceňuje výbor za to, že presadzuje svoju európsku modrú dohodu, ktorá pomáha zaradiť odolnosť v oblasti vode do programu Únie; zdôrazňuje, že výbor naďalej viedol Európsku platformu pre obehové hospodárstvo a spoluorganizoval ekologické ocenenie EÚ v roku 2024, čím posilnil väzby so subjektmi občianskej spoločnosti v oblasti ekologického poľnohospodárstva;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s uspokojením berie na vedomie opatrenia výboru na zníženie administratívnej záťaže a zefektívnenie procesov v roku 2024 z dotazníka; v tomto zmysle víta okrem iného spustenie nového, efektívnejšieho programu registrácie návštevníkov, používanie kolaboratívneho softvéru niektorými zamestnancami, medziodborovú pracovnú skupinu, ktorá riadi používanie metodiky riadenia obchodných procesov výboru, zjednodušenie overovacieho okruhu v súvislosti s externými prekladmi, zlúčenie niekoľkých jazykových oddelení a zjednodušenie pravidiel komunikácie výboru; </w:t>
            </w:r>
            <w:r>
              <w:rPr>
                <w:b/>
                <w:i/>
              </w:rPr>
              <w:t>so záujmom</w:t>
            </w:r>
            <w:r>
              <w:t xml:space="preserve"> konštatuje, že výbor v záujme úspory zdrojov uskutočňuje pilotnú fázu využívania umelej inteligencie na transformáciu Riaditeľstva pre preklady; vyzýva výbor, aby orgán udeľujúci absolutórium priebežne informoval o pokroku v tejto veci;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s uspokojením berie na vedomie opatrenia výboru na zníženie administratívnej záťaže a zefektívnenie procesov v roku 2024 z dotazníka; v tomto zmysle víta okrem iného spustenie nového, efektívnejšieho programu registrácie návštevníkov, používanie kolaboratívneho softvéru niektorými zamestnancami, medziodborovú pracovnú skupinu, ktorá riadi používanie metodiky riadenia obchodných procesov výboru, zjednodušenie overovacieho okruhu v súvislosti s externými prekladmi, zlúčenie niekoľkých jazykových oddelení a zjednodušenie pravidiel komunikácie výboru; konštatuje, že výbor v záujme úspory zdrojov uskutočňuje pilotnú fázu využívania umelej inteligencie na transformáciu Riaditeľstva pre preklady; </w:t>
            </w:r>
            <w:r>
              <w:rPr>
                <w:b/>
                <w:i/>
              </w:rPr>
              <w:t>zdôrazňuje, že umelá inteligencia sa musí využívať pod ľudským dohľadom;</w:t>
            </w:r>
            <w:r>
              <w:t xml:space="preserve"> vyzýva výbor, aby orgán udeľujúci absolutórium priebežne informoval o pokroku v tejto veci;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17a.‏</w:t>
            </w:r>
            <w:r>
              <w:tab/>
            </w:r>
            <w:r>
              <w:rPr>
                <w:b/>
                <w:i/>
              </w:rPr>
              <w:t>vyzýva výbor, aby zlepšil vývoj komplexnej stratégie digitálnej transformácie, ktorá bude zahŕňať umelú inteligenciu, automatizáciu, interoperabilitu a správu údajov, spolu s etickým rámcom zaisťujúcim bezpečné, zodpovedné a transparentné využívanie vznikajúcich technológií;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so záujmom berie na vedomie snahu výboru z dotazníka prijať strategickejší prístup k stanoveniu priorít svojej práce súvisiacej s vplyvom a zaviesť riadenie vplyvu do centra rozhodovania; v tejto súvislosti poukazuje na zorganizovanie troch strategických seminárov na vysokej úrovni s politickým vedením v rokoch 2024 a 2025, počas ktorých sa v rámci prognózovania vypracovali kritériá na stanovenie alebo zrušenie priorít iniciatív a na zabezpečenie tematického súladu s dlhodobými potrebami občianskej spoločnosti, ako aj na ďalšie ciele; konštatuje, že toto stanovenie priorít bude začlenené do hlavných činností výboru, keďže sa bude vykonávať každoročne a každých 2,5 roka sa doplní o preskúmanie všetkých orgánov, činností a významných podujatí výboru;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(Netýka sa slovenskej verzie.)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 súvislosti s plnením v roku 2024 konštatuje vysokú úroveň plnenia s priemernou mierou 85 % (87 % v roku 2023); vyjadruje poľutovanie, že účinnosť systému vnútornej kontroly klesla zo 78 % na 66 %; v tejto súvislosti upozorňuje na rozdiel medzi formálnym dodržiavaním predpisov a praktickou účinnosťou v každodennej činnosti; </w:t>
            </w:r>
            <w:r>
              <w:rPr>
                <w:b/>
                <w:i/>
              </w:rPr>
              <w:t>konštatuje, že je potrebné vynaložiť úsilie okrem iného v oblasti internej komunikácie, zvyšovania</w:t>
            </w:r>
            <w:r>
              <w:t xml:space="preserve"> informovanosti o rizikách </w:t>
            </w:r>
            <w:r>
              <w:rPr>
                <w:b/>
                <w:i/>
              </w:rPr>
              <w:t>a</w:t>
            </w:r>
            <w:r>
              <w:t xml:space="preserve"> modernizácie systémov správy dokumentov a informácií; ďalej konštatuje, že v roku 2024 výbor prijal revidované rozhodnutie o zjednodušení 23 druhov overovania, ktoré sa bude uplatňovať od januára 2025; na základe dotazníka víta skutočnosť, že následné kontroly, ktoré sa už v súvislosti s týmito overovaniami vykonali, potvrdili, že zjednodušenie neprinieslo dodatočné riziká;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 súvislosti s plnením v roku 2024 konštatuje vysokú úroveň plnenia s priemernou mierou 85 % (87 % v roku 2023); vyjadruje poľutovanie, že účinnosť systému vnútornej kontroly klesla zo 78 % na 66 %; v tejto súvislosti upozorňuje na rozdiel medzi formálnym dodržiavaním predpisov a praktickou účinnosťou v každodennej činnosti; </w:t>
            </w:r>
            <w:r>
              <w:rPr>
                <w:b/>
                <w:i/>
              </w:rPr>
              <w:t>vyzýva výbor, aby riešil štrukturálne príčiny poklesu účinnosti vnútornej kontroly, a to najmä posilnením kultúry</w:t>
            </w:r>
            <w:r>
              <w:t xml:space="preserve"> informovanosti o rizikách</w:t>
            </w:r>
            <w:r>
              <w:rPr>
                <w:b/>
                <w:i/>
              </w:rPr>
              <w:t>, zlepšením interných komunikačných kanálov a urýchlením</w:t>
            </w:r>
            <w:r>
              <w:t xml:space="preserve"> modernizácie systémov správy dokumentov a informácií; ďalej konštatuje, že v roku 2024 výbor prijal revidované rozhodnutie o zjednodušení 23 druhov overovania, ktoré sa bude uplatňovať od januára 2025; na základe dotazníka víta skutočnosť, že následné kontroly, ktoré sa už v súvislosti s týmito overovaniami vykonali, potvrdili, že zjednodušenie neprinieslo dodatočné riziká;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 súvislosti s plnením v roku 2024 konštatuje vysokú úroveň plnenia s priemernou mierou 85 % (87 % v roku 2023); vyjadruje poľutovanie, že účinnosť systému vnútornej kontroly klesla zo 78 % na 66 %; v tejto súvislosti upozorňuje na rozdiel medzi formálnym dodržiavaním predpisov a praktickou účinnosťou v každodennej činnosti; konštatuje, že je potrebné vynaložiť úsilie okrem iného v oblasti internej komunikácie, zvyšovania informovanosti o rizikách a modernizácie systémov správy dokumentov a informácií; ďalej konštatuje, že v roku 2024 výbor prijal revidované rozhodnutie o zjednodušení 23 druhov overovania, ktoré sa bude uplatňovať od januára 2025; na základe dotazníka víta skutočnosť, že následné kontroly, ktoré sa už v súvislosti s týmito overovaniami vykonali, potvrdili, že zjednodušenie neprinieslo dodatočné riziká;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(Netýka sa slovenskej verzie.)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berie na vedomie výročnú správu o činnosti výboru za rok 2024 (ďalej len „správa výboru“), že v roku 2024 bolo vykonaných päť nových auditov týkajúcich sa príspevku na dĺžku trvania cesty a príspevku za vzdialenosť, riadenia rizík, odporúčaní, kľúčových ukazovateľov činnosti a výkonnosti a cestovných výdavkov – čo spolu viedlo k 14 odporúčaniam; berie na vedomie najmä zistenia vnútorného audítora týkajúce sa príspevku na dĺžku trvania cesty a príspevku za vzdialenosť, ako napríklad nedostatočne jasnú definíciu „obvyklého miesta pobytu“ a chýbajúce požiadavky na podpornú dokumentáciu; ďalej konštatuje, že 13 odporúčaní zostalo ku koncu januára 2025 otvorených; ďalej konštatuje, že sedem odporúčaní z predchádzajúcich auditov je stále otvorených, najmä pokiaľ ide o etiku a integritu, časy platieb, oprávnenia na zasadnutia, delegátov poradnej komisie pre priemyselné zmeny (CCMI) a strategický cyklus; v tejto súvislosti víta skutočnosť, že výbor prijal nové pravidlá týkajúce sa schvaľovania schôdzí, príspevkov a náhrad; vyzýva výbor, aby naďalej informoval orgán udeľujúci absolutórium o pokroku dosiahnutom pri vykonávaní všetkých prebiehajúcich odporúčaní;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berie na vedomie výročnú správu o činnosti výboru za rok 2024 (ďalej len „správa výboru“), že v roku 2024 bolo vykonaných päť nových auditov týkajúcich sa príspevku na dĺžku trvania cesty a príspevku za vzdialenosť, riadenia rizík, odporúčaní, kľúčových ukazovateľov činnosti a výkonnosti a cestovných výdavkov – čo spolu viedlo k 14 odporúčaniam; berie na vedomie najmä zistenia vnútorného audítora týkajúce sa príspevku na dĺžku trvania cesty a príspevku za vzdialenosť, ako napríklad nedostatočne jasnú definíciu „obvyklého miesta pobytu“ a chýbajúce požiadavky na podpornú dokumentáciu; ďalej konštatuje, že 13 odporúčaní zostalo ku koncu januára 2025 otvorených; ďalej konštatuje, že sedem odporúčaní z predchádzajúcich auditov je stále otvorených, najmä pokiaľ ide o etiku a integritu, časy platieb, oprávnenia na zasadnutia, delegátov poradnej komisie pre priemyselné zmeny (CCMI) a strategický cyklus; v tejto súvislosti víta skutočnosť, že výbor prijal nové pravidlá týkajúce sa schvaľovania schôdzí, príspevkov a náhrad; vyzýva výbor, aby </w:t>
            </w:r>
            <w:r>
              <w:rPr>
                <w:b/>
                <w:i/>
              </w:rPr>
              <w:t>zabezpečil rýchle uzavretie všetkých zostávajúcich odporúčaní auditu, najmä tých, ktoré sa týkajú príspevkov, etiky a integrity, a aby</w:t>
            </w:r>
            <w:r>
              <w:t xml:space="preserve"> naďalej informoval orgán udeľujúci absolutórium o pokroku dosiahnutom pri vykonávaní všetkých prebiehajúcich odporúčaní;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zdôrazňuje význam verejného obstarávania ako nástroja na presadzovanie strategických cieľov vrátane sociálnych a environmentálnych cieľov;</w:t>
            </w:r>
            <w:r>
              <w:t xml:space="preserve"> </w:t>
            </w:r>
            <w:r>
              <w:rPr>
                <w:b/>
                <w:i/>
              </w:rPr>
              <w:t>vyzýva výbor, aby posilnil začleňovanie strategických kritérií týkajúcich sa sociálnej zodpovednosti a environmentálnej udržateľnosti do svojich postupov verejného obstarávania;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konštatuje, že na konci roka 2024 mal výbor 713 zamestnancov v porovnaní so 707 v roku 2023; ďalej konštatuje, že v roku 2024 zamestnával 48 zmluvných zamestnancov a 144 dočasných zamestnancov (z toho 42 bolo prijatých v roku 2024) (v porovnaní so 49 zmluvnými zamestnancami a 130 dočasnými zamestnancami v roku 2023); zdôrazňuje, že je dôležité uzatvárať pracovné zmluvy na neurčitý čas</w:t>
            </w:r>
            <w:r>
              <w:rPr>
                <w:b/>
                <w:i/>
              </w:rPr>
              <w:t>,</w:t>
            </w:r>
            <w:r>
              <w:t xml:space="preserve"> s cieľom zachovať zručnosti, kontinuitu a produktívne pracovné prostredie; okrem toho konštatuje, že výbor zamestnával 10 poskytovateľov služieb a 14 externých pracovníkov, ktorí pracovali na vnútropodnikových staniciach, okrem pracovníkov v oblasti stravovania, údržby, ochrany a bezpečnosti; berie na vedomie, že miera zamestnanosti bola 96 % (95,50 % v roku 2023) a že miera fluktuácie zamestnancov bola 5,60 % v roku 2024 (pokles zo 7 % v roku 2023);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konštatuje, že na konci roka 2024 mal výbor 713 zamestnancov v porovnaní so 707 v roku 2023; ďalej konštatuje, že v roku 2024 zamestnával 48 zmluvných zamestnancov a 144 dočasných zamestnancov (z toho 42 bolo prijatých v roku 2024) (v porovnaní so 49 zmluvnými zamestnancami a 130 dočasnými zamestnancami v roku 2023); zdôrazňuje, že je dôležité uzatvárať pracovné zmluvy na neurčitý čas s cieľom zachovať zručnosti, kontinuitu a produktívne </w:t>
            </w:r>
            <w:r>
              <w:rPr>
                <w:b/>
                <w:i/>
              </w:rPr>
              <w:t>a stabilné</w:t>
            </w:r>
            <w:r>
              <w:t xml:space="preserve"> pracovné prostredie</w:t>
            </w:r>
            <w:r>
              <w:rPr>
                <w:b/>
                <w:i/>
              </w:rPr>
              <w:t>, a varuje pred nadmerným využívaním externých poskytovateľov služieb</w:t>
            </w:r>
            <w:r>
              <w:t>; okrem toho konštatuje, že výbor zamestnával 10 poskytovateľov služieb a 14 externých pracovníkov, ktorí pracovali na vnútropodnikových staniciach, okrem pracovníkov v oblasti stravovania, údržby, ochrany a bezpečnosti; berie na vedomie, že miera zamestnanosti bola 96 % (95,50 % v roku 2023) a že miera fluktuácie zamestnancov bola 5,60 % v roku 2024 (pokles zo 7 % v roku 2023);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Joachim Stanisław Brudziński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konštatuje, že v roku 2024 výbor zamestnával zamestnancov zastupujúcich všetky štátne príslušnosti EÚ, pričom niektoré z nich boli nadmerne zastúpené; konštatuje, že 62,70 % zamestnancov tvorili ženy a 37,30 % muži; na základe správy o následných opatreniach konštatuje, že ženy zastávajú 52 % riadiacich pozícií, čím sa výbor v tomto smere radí na popredné miesto; vyjadruje však poľutovanie nad tým, že percentuálny podiel žien vo vyššom manažmente zostal v roku 2024 nízky, pričom ženy v súčasnosti zastávajú len dve zo siedmich vyšších riadiacich pozícií, teda rovnako ako v roku 2023; </w:t>
            </w:r>
            <w:r>
              <w:rPr>
                <w:b/>
                <w:i/>
              </w:rPr>
              <w:t>uznáva, že nízka miera fluktuácie vyplývajúca z veľkosti výboru je jedným z dôvodov nízkeho podielu žien na týchto pozíciách;</w:t>
            </w:r>
            <w:r>
              <w:t xml:space="preserve"> </w:t>
            </w:r>
            <w:r>
              <w:rPr>
                <w:b/>
                <w:i/>
              </w:rPr>
              <w:t>víta záväzok výboru zvyšovať informovanosť menovacích orgánov o tejto problematike, podporovať menovanie žien a mužov a zapojiť sa do cielených opatrení prostredníctvom ženského fóra a fóra manažmentu, ktoré podporujú rozvoj vedúcich pozícií a kariérny postup žien v strednom manažmente;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konštatuje, že v roku 2024 výbor zamestnával zamestnancov zastupujúcich všetky štátne príslušnosti EÚ, pričom niektoré z nich boli nadmerne zastúpené; konštatuje, že 62,70 % zamestnancov tvorili ženy a 37,30 % muži; na základe správy o následných opatreniach konštatuje, že ženy zastávajú 52 % riadiacich pozícií, čím sa výbor v tomto smere radí na popredné miesto; vyjadruje však poľutovanie nad tým, že percentuálny podiel žien vo vyššom manažmente zostal v roku 2024 nízky, pričom ženy v súčasnosti zastávajú len dve zo siedmich vyšších riadiacich pozícií, teda rovnako ako v roku 2023;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konštatuje, že v roku 2024 výbor zamestnával zamestnancov zastupujúcich všetky štátne príslušnosti EÚ, pričom niektoré z nich boli nadmerne zastúpené; konštatuje, že 62,70 % zamestnancov tvorili ženy a 37,30 % muži; na základe správy o následných opatreniach konštatuje, že ženy zastávajú 52 % riadiacich pozícií, čím sa výbor v tomto smere radí na popredné miesto; vyjadruje však poľutovanie nad tým, že percentuálny podiel žien vo vyššom manažmente zostal v roku 2024 nízky, pričom ženy v súčasnosti zastávajú len dve zo siedmich vyšších riadiacich pozícií, teda rovnako ako v roku 2023; uznáva, že nízka miera fluktuácie vyplývajúca z veľkosti výboru je jedným z dôvodov nízkeho podielu žien na týchto pozíciách; víta záväzok výboru zvyšovať informovanosť menovacích orgánov o tejto problematike, podporovať menovanie žien a mužov a zapojiť sa do cielených opatrení prostredníctvom ženského fóra a fóra manažmentu, ktoré podporujú rozvoj vedúcich pozícií a kariérny postup žien v strednom manažmente;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konštatuje, že v roku 2024 výbor zamestnával zamestnancov zastupujúcich všetky štátne príslušnosti EÚ, pričom niektoré z nich boli nadmerne zastúpené; konštatuje, že 62,70 % zamestnancov tvorili ženy a 37,30 % muži; na základe správy o následných opatreniach konštatuje, že ženy zastávajú 52 % riadiacich pozícií, čím sa výbor v tomto smere radí na popredné miesto; vyjadruje však poľutovanie nad tým, že percentuálny podiel žien vo vyššom manažmente zostal v roku 2024 nízky, pričom ženy v súčasnosti zastávajú len dve zo siedmich vyšších riadiacich pozícií, teda rovnako ako v roku 2023; uznáva </w:t>
            </w:r>
            <w:r>
              <w:rPr>
                <w:b/>
                <w:i/>
              </w:rPr>
              <w:t>pokrok dosiahnutý v poslednom období pri uplatňovaní rodovej rovnosti a rozmanitosti ako strategických priorít na podporu kultúry začlenenia a úcty na pracovisku;</w:t>
            </w:r>
            <w:r>
              <w:t xml:space="preserve"> </w:t>
            </w:r>
            <w:r>
              <w:rPr>
                <w:b/>
                <w:i/>
              </w:rPr>
              <w:t>víta vykonávanie stratégie a akčného plánu pre rozmanitosť a začlenenie spolu s cielenými programami mentorstva a rozvoja vedenia pre ženy a nedostatočne zastúpené skupiny;</w:t>
            </w:r>
            <w:r>
              <w:t xml:space="preserve"> </w:t>
            </w:r>
            <w:r>
              <w:rPr>
                <w:b/>
                <w:i/>
              </w:rPr>
              <w:t>uznáva</w:t>
            </w:r>
            <w:r>
              <w:t>, že nízka miera fluktuácie vyplývajúca z veľkosti výboru je jedným z dôvodov nízkeho podielu žien na týchto pozíciách; víta záväzok výboru zvyšovať informovanosť menovacích orgánov o tejto problematike, podporovať menovanie žien a mužov a zapojiť sa do cielených opatrení prostredníctvom ženského fóra a fóra manažmentu, ktoré podporujú rozvoj vedúcich pozícií a kariérny postup žien v strednom manažmente;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konštatuje, že v roku 2024 výbor zamestnával zamestnancov zastupujúcich všetky štátne príslušnosti EÚ, pričom niektoré z nich boli nadmerne zastúpené; konštatuje, že 62,70 % zamestnancov tvorili ženy a 37,30 % muži; </w:t>
            </w:r>
            <w:r>
              <w:rPr>
                <w:b/>
                <w:i/>
              </w:rPr>
              <w:t>na základe</w:t>
            </w:r>
            <w:r>
              <w:t xml:space="preserve"> správy o následných opatreniach </w:t>
            </w:r>
            <w:r>
              <w:rPr>
                <w:b/>
                <w:i/>
              </w:rPr>
              <w:t>konštatuje, že</w:t>
            </w:r>
            <w:r>
              <w:t xml:space="preserve"> ženy zastávajú 52 % riadiacich pozícií, čím sa výbor v tomto smere radí na popredné miesto; vyjadruje však poľutovanie nad tým, že percentuálny podiel žien vo vyššom manažmente zostal v roku 2024 nízky, pričom ženy v súčasnosti zastávajú len dve zo siedmich vyšších riadiacich pozícií, teda rovnako ako v roku 2023; uznáva, že nízka miera fluktuácie vyplývajúca z veľkosti výboru je jedným z dôvodov nízkeho podielu žien na týchto pozíciách; víta záväzok výboru zvyšovať informovanosť menovacích orgánov o tejto problematike, podporovať menovanie žien a mužov a zapojiť sa do cielených opatrení prostredníctvom ženského fóra a fóra manažmentu, ktoré podporujú rozvoj vedúcich pozícií a kariérny postup žien v strednom manažmente;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konštatuje, že v roku 2024 výbor zamestnával zamestnancov zastupujúcich všetky štátne príslušnosti EÚ, pričom niektoré z nich boli nadmerne zastúpené; konštatuje, že 62,70 % zamestnancov tvorili ženy a 37,30 % muži; </w:t>
            </w:r>
            <w:r>
              <w:rPr>
                <w:b/>
                <w:i/>
              </w:rPr>
              <w:t>s uspokojením konštatuje, že podľa</w:t>
            </w:r>
            <w:r>
              <w:t xml:space="preserve"> správy o následných opatreniach ženy zastávajú 52 % riadiacich pozícií, čím sa výbor v tomto smere radí na popredné miesto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opätovne víta vymenovanie ženy do funkcie generálneho tajomníka v januári 2024 ako pozitívny krok k dosiahnutiu rodovej vyváženosti</w:t>
            </w:r>
            <w:r>
              <w:t>; vyjadruje však poľutovanie nad tým, že percentuálny podiel žien vo vyššom manažmente zostal v roku 2024 nízky, pričom ženy v súčasnosti zastávajú len dve zo siedmich vyšších riadiacich pozícií, teda rovnako ako v roku 2023; uznáva, že nízka miera fluktuácie vyplývajúca z veľkosti výboru je jedným z dôvodov nízkeho podielu žien na týchto pozíciách; víta záväzok výboru zvyšovať informovanosť menovacích orgánov o tejto problematike, podporovať menovanie žien a mužov a zapojiť sa do cielených opatrení prostredníctvom ženského fóra a fóra manažmentu, ktoré podporujú rozvoj vedúcich pozícií a kariérny postup žien v strednom manažmente;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pripomína iniciatívu výboru zaviesť nový prístup k strategickému plánovaniu pracovnej sily a prideľovaniu zamestnancov, využívať zber údajov o zručnostiach zamestnancov a aktívne načúvať celej organizácii, ako aj úvahy o strategických prioritách zo strany politických orgánov výboru; v správe o následných opatreniach sa uvádza, že tento nový typ plánovania sa začne prostredníctvom pilotného projektu v obmedzenom počte služieb vybraných na základe strategických priorít; vyzýva výbor, aby orgán udeľujúci absolutórium priebežne informoval o pokroku a ďalšom vývoji;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pripomína iniciatívu výboru zaviesť nový prístup k strategickému plánovaniu pracovnej sily a prideľovaniu zamestnancov, využívať zber údajov o zručnostiach zamestnancov a aktívne načúvať celej organizácii, ako aj úvahy o strategických prioritách zo strany politických orgánov výboru; v správe o následných opatreniach sa uvádza, že tento nový typ plánovania sa začne prostredníctvom pilotného projektu v obmedzenom počte služieb vybraných na základe strategických priorít; vyzýva výbor, aby orgán udeľujúci absolutórium priebežne informoval o pokroku a ďalšom vývoji; </w:t>
            </w:r>
            <w:r>
              <w:rPr>
                <w:b/>
                <w:i/>
              </w:rPr>
              <w:t>zdôrazňuje význam strategického plánovania pracovnej sily s cieľom optimalizovať prideľovanie zdrojov a zabezpečiť súlad s prioritami na vysokej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víta úsilie výboru o vytvorenie zdravého pracovného prostredia pre svojich zamestnancov; oceňuje najmä pozornosť, ktorú výbor venoval duševnému a fyzickému zdraviu zamestnancov, a úsilie vynaložené na zvyšovanie povedomia o otázkach súvisiacich so zdravím; berie na vedomie opatrenia výboru týkajúce sa riadenia práceneschopnosti, ako sú čiastočné úväzky zo zdravotných dôvodov a predĺžená práca na diaľku, s cieľom zabezpečiť, aby sa zamestnanci, ktorí sú dlhodobo práceneschopní, včas vrátili do práce; zaznamenáva pokles celkového počtu registrovaných dní práceneschopnosti o 7,50 % z </w:t>
            </w:r>
            <w:r>
              <w:rPr>
                <w:b/>
                <w:i/>
              </w:rPr>
              <w:t>10 552</w:t>
            </w:r>
            <w:r>
              <w:t xml:space="preserve"> dní v roku 2023 na </w:t>
            </w:r>
            <w:r>
              <w:rPr>
                <w:b/>
                <w:i/>
              </w:rPr>
              <w:t>9 763</w:t>
            </w:r>
            <w:r>
              <w:t xml:space="preserve"> dní v roku 2024, ako aj pokles miery absencie zo 4,08 % v roku 2023 na 3,75 % v roku 2023 (najnižší od roku 2021); vyjadruje poľutovanie nad tým, že výbor znovu nie je schopný poskytnúť údaje o prípadoch vyhorenia; spomedzi argumentov výboru uvádza, že zamestnanci nie sú povinní vopred zdieľať zdravotné údaje, že vyhorenie nie je uznanou lekárskou diagnózou a že príčiny vyhorenia nemusia súvisieť s prácou, ako aj lekárske tajomstvo; konštatuje, že výbor zhromažďuje anonymizované štatistické údaje o prípadoch duševného zdravia, ale dostupné údaje neumožňujú rozlišovať medzi vyhorením súvisiacim s prácou a inými problémami, ktoré nesúvisia s prácou; zdôrazňuje však, že vyhorenie možno merať aj bez lekárskych údajov, pričom existujú nástroje na hodnotenie vyhorenia súvisiaceho s prácou, ktoré možno použiť, a Európska agentúra pre bezpečnosť a ochranu zdravia pri práci (EU-OSHA) podporuje anonymné dotazníky na meranie stresu súvisiaceho s prácou a faktorov vyhorenia oddelene od duševných problémov nesúvisiacich s prácou; vyzýva výbor, aby sa v súvislosti so zberom údajov o vyhorení prostredníctvom lekárskych alebo nemedicínskych nástrojov poradil aj s európskym dozorným úradníkom pre ochranu údajov (EDPS) a aby orgán udeľujúci absolutórium informoval o následných opatreniach;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víta úsilie výboru o vytvorenie zdravého pracovného prostredia pre svojich zamestnancov; oceňuje najmä pozornosť, ktorú výbor venoval duševnému a fyzickému zdraviu zamestnancov, a úsilie vynaložené na zvyšovanie povedomia o otázkach súvisiacich so zdravím; berie na vedomie opatrenia výboru týkajúce sa riadenia práceneschopnosti, ako sú čiastočné úväzky zo zdravotných dôvodov a predĺžená práca na diaľku, s cieľom zabezpečiť, aby sa zamestnanci, ktorí sú dlhodobo práceneschopní, včas vrátili do práce; zaznamenáva pokles celkového počtu registrovaných dní práceneschopnosti o 7,50 % z </w:t>
            </w:r>
            <w:r>
              <w:rPr>
                <w:b/>
                <w:i/>
              </w:rPr>
              <w:t>10 552</w:t>
            </w:r>
            <w:r>
              <w:t xml:space="preserve"> dní v roku 2023 na </w:t>
            </w:r>
            <w:r>
              <w:rPr>
                <w:b/>
                <w:i/>
              </w:rPr>
              <w:t>9 763</w:t>
            </w:r>
            <w:r>
              <w:t xml:space="preserve"> dní v roku 2024, ako aj pokles miery absencie zo 4,08 % v roku 2023 na 3,75 % v roku 2023 (najnižší od roku 2021); vyjadruje poľutovanie nad tým, že výbor znovu nie je schopný poskytnúť údaje o prípadoch vyhorenia; spomedzi argumentov výboru uvádza, že zamestnanci nie sú povinní vopred zdieľať zdravotné údaje, že vyhorenie nie je uznanou lekárskou diagnózou a že príčiny vyhorenia nemusia súvisieť s prácou, ako aj lekárske tajomstvo; konštatuje, že výbor zhromažďuje anonymizované štatistické údaje o prípadoch duševného zdravia, ale dostupné údaje neumožňujú rozlišovať medzi vyhorením súvisiacim s prácou a inými problémami, ktoré nesúvisia s prácou; zdôrazňuje však, že vyhorenie možno merať aj bez lekárskych údajov, pričom existujú nástroje na hodnotenie vyhorenia súvisiaceho s prácou, ktoré možno použiť, a Európska agentúra pre bezpečnosť a ochranu zdravia pri práci (EU-OSHA) podporuje anonymné dotazníky na meranie stresu súvisiaceho s prácou a faktorov vyhorenia oddelene od duševných problémov nesúvisiacich s prácou; </w:t>
            </w:r>
            <w:r>
              <w:rPr>
                <w:b/>
                <w:i/>
              </w:rPr>
              <w:t>naliehavo</w:t>
            </w:r>
            <w:r>
              <w:t xml:space="preserve"> vyzýva výbor, aby sa v súvislosti so zberom údajov o vyhorení prostredníctvom lekárskych alebo nemedicínskych nástrojov poradil aj s európskym dozorným úradníkom pre ochranu údajov (EDPS)</w:t>
            </w:r>
            <w:r>
              <w:rPr>
                <w:b/>
                <w:i/>
              </w:rPr>
              <w:t>, aby prijal konkrétne a rozhodné kroky na zabezpečenie systematického zverejňovania údajov o prípadoch vyhorenia</w:t>
            </w:r>
            <w:r>
              <w:t xml:space="preserve"> a aby orgán udeľujúci absolutórium informoval o následných opatreniach;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28a.‏</w:t>
            </w:r>
            <w:r>
              <w:tab/>
            </w:r>
            <w:r>
              <w:rPr>
                <w:b/>
                <w:i/>
              </w:rPr>
              <w:t>víta intenzívny a štruktúrovaný sociálny dialóg v postupoch organizačných zmien v priebehu roka 2024;</w:t>
            </w:r>
            <w:r>
              <w:t xml:space="preserve"> </w:t>
            </w:r>
            <w:r>
              <w:rPr>
                <w:b/>
                <w:i/>
              </w:rPr>
              <w:t>nabáda výbor, aby zachoval a ďalej posilňoval systematické zapájanie zástupcov zamestnancov do reforiem súvisiacich okrem iného s digitalizáciou, vnútornou reorganizáciou a novými pracovnými metódami;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na základe dotazníka konštatuje, že v roku 2024 boli nahlásené dva prípady údajného obťažovania, ktoré boli prešetrené a uzavreté v roku 2025, pričom v jednom prípade nebolo zistené obťažovanie a v druhom prípade bolo prijaté formálne ospravedlnenie za nevhodné správanie dotknutej osoby; ďalej konštatuje, že bolo prijaté rozhodnutie v inom prípade, predloženom pred rokom 2024, o obťažovaní spojenom s disciplinárnym konaním; ďalej konštatuje, že v roku 2024 nebolo nahlásené žiadne sexuálne obťažovanie;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na základe dotazníka konštatuje, že v roku 2024 boli nahlásené dva prípady údajného obťažovania, ktoré boli prešetrené a uzavreté v roku 2025, pričom v jednom prípade nebolo zistené obťažovanie a v druhom prípade bolo prijaté formálne ospravedlnenie za nevhodné správanie dotknutej osoby; ďalej konštatuje, že bolo prijaté rozhodnutie v inom prípade, predloženom pred rokom 2024, o obťažovaní spojenom s disciplinárnym konaním; ďalej konštatuje, že v roku 2024 nebolo nahlásené žiadne sexuálne obťažovanie; </w:t>
            </w:r>
            <w:r>
              <w:rPr>
                <w:b/>
                <w:i/>
              </w:rPr>
              <w:t>opakuje, že je potrebná politika nulovej tolerancie voči obťažovaniu s cieľom zabezpečiť ochranu dobrých podmienok zamestnancov, a pripomína, že je to povinnosť každého zamestnávateľa;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33.</w:t>
            </w:r>
            <w:r>
              <w:tab/>
            </w:r>
            <w:r>
              <w:t>konštatuje, že výbor je lídrom v oblasti transparentnosti, keďže je prvým orgánom, ktorý sa okrem pôvodných signatárov pripojil k registru transparentnosti Únie; víta opatrenia transparentnosti, ktoré výbor prijal, vrátane odporúčania, aby sa členovia výboru stretávali len s registrovanými zainteresovanými stranami, povinnosti členov výboru zverejňovať svoje schôdze na internete a možnosti spravodajcov výboru, a to aj prostredníctvom pilotného projektu iniciovaného v roku 2025, pripojiť k svojim stanoviskám „legislatívnu stopu“; konštatuje, že stanoviská výboru sú v súčasnosti viditeľné ako míľniky v rámci legislatívnych spisov v nástroji EULT; ďalej s uspokojením berie na vedomie opatrenia výboru v oblasti transparentnosti, ktoré vyplývajú z dotazníka, pokiaľ ide o jeho základné administratívne operácie v oblastiach, ako sú financie, obstarávanie, ľudské zdroje a prístup k dokumentom;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33.</w:t>
            </w:r>
            <w:r>
              <w:tab/>
            </w:r>
            <w:r>
              <w:rPr>
                <w:b/>
                <w:i/>
              </w:rPr>
              <w:t>s uspokojením</w:t>
            </w:r>
            <w:r>
              <w:t xml:space="preserve"> konštatuje, že výbor je lídrom v oblasti transparentnosti, keďže je prvým orgánom, ktorý sa okrem pôvodných signatárov pripojil k registru transparentnosti Únie; víta opatrenia transparentnosti, ktoré výbor prijal, vrátane odporúčania, aby sa členovia výboru stretávali len s registrovanými zainteresovanými stranami, povinnosti členov výboru zverejňovať svoje schôdze na internete a možnosti spravodajcov výboru, a to aj prostredníctvom pilotného projektu iniciovaného v roku 2025, pripojiť k svojim stanoviskám „legislatívnu stopu“; konštatuje, že stanoviská výboru sú v súčasnosti viditeľné ako míľniky v rámci legislatívnych spisov v nástroji EULT; ďalej s uspokojením berie na vedomie opatrenia výboru v oblasti transparentnosti, ktoré vyplývajú z dotazníka, pokiaľ ide o jeho základné administratívne operácie v oblastiach, ako sú financie, obstarávanie, ľudské zdroje a prístup k dokumentom;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36.</w:t>
            </w:r>
            <w:r>
              <w:tab/>
            </w:r>
            <w:r>
              <w:t>na základe dotazníka konštatuje, že výbor vypracoval návrh stratégie boja proti podvodom, ktorý bol predložený na medziútvarovú konzultáciu a proces prijatia; žiada výbor, aby informoval orgán udeľujúci absolutórium o vývoji v týchto veciach; víta skutočnosť, že výbor zorganizoval dve školenia o informovanosti o podvodoch a ich prevencii vo verejnom obstarávaní, ktoré viedli zamestnanci úradu OLAF a na ktorých sa zúčastnilo 21 účastníkov, a jedno informačné stretnutie zorganizované spolu s úradom EPPO s cieľom oboznámiť zamestnancov výboru s mandátom Európskej prokuratúry a poskytnúť im usmernenia o tom, ako jej nahlasovať potenciálne prípady;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36.</w:t>
            </w:r>
            <w:r>
              <w:tab/>
            </w:r>
            <w:r>
              <w:t>na základe dotazníka konštatuje, že výbor vypracoval návrh stratégie boja proti podvodom, ktorý bol predložený na medziútvarovú konzultáciu a proces prijatia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víta sprievodný akčný plán, v ktorom sa uvádza dvanásť konkrétnych opatrení, ktoré sa majú vykonať od 4. štvrťroka 2025 do 4. štvrťroka 2027, vrátane kampaní na zvyšovanie informovanosti, politík odbornej prípravy, modernizácie metodík riadenia rizika a vnútornej kontroly, integrácie automatizovaných nástrojov na odhaľovanie podvodov, revidovaných dohôd o spolupráci s úradom OLAF a Európskou prokuratúrou a aktualizovaných pravidiel, ktorými sa riadia interné vyšetrovania</w:t>
            </w:r>
            <w:r>
              <w:t>; žiada výbor, aby informoval orgán udeľujúci absolutórium o vývoji v týchto veciach; víta skutočnosť, že výbor zorganizoval dve školenia o informovanosti o podvodoch a ich prevencii vo verejnom obstarávaní, ktoré viedli zamestnanci úradu OLAF a na ktorých sa zúčastnilo 21 účastníkov, a jedno informačné stretnutie zorganizované spolu s úradom EPPO s cieľom oboznámiť zamestnancov výboru s mandátom Európskej prokuratúry a poskytnúť im usmernenia o tom, ako jej nahlasovať potenciálne prípady;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36.</w:t>
            </w:r>
            <w:r>
              <w:tab/>
            </w:r>
            <w:r>
              <w:rPr>
                <w:b/>
                <w:i/>
              </w:rPr>
              <w:t>na základe dotazníka</w:t>
            </w:r>
            <w:r>
              <w:t xml:space="preserve"> konštatuje, že výbor vypracoval návrh stratégie boja proti podvodom, ktorý bol predložený na medziútvarovú konzultáciu a proces prijatia; žiada výbor, aby informoval orgán udeľujúci absolutórium o vývoji v týchto veciach; víta skutočnosť, že výbor zorganizoval dve školenia o informovanosti o podvodoch a ich prevencii vo verejnom obstarávaní, ktoré viedli zamestnanci úradu OLAF a na ktorých sa zúčastnilo 21 účastníkov, a jedno informačné stretnutie zorganizované spolu s úradom EPPO s cieľom oboznámiť zamestnancov výboru s mandátom Európskej prokuratúry a poskytnúť im usmernenia o tom, ako jej nahlasovať potenciálne prípady;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36.</w:t>
            </w:r>
            <w:r>
              <w:tab/>
            </w:r>
            <w:r>
              <w:rPr>
                <w:b/>
                <w:i/>
              </w:rPr>
              <w:t>s uspokojením</w:t>
            </w:r>
            <w:r>
              <w:t xml:space="preserve"> konštatuje, že </w:t>
            </w:r>
            <w:r>
              <w:rPr>
                <w:b/>
                <w:i/>
              </w:rPr>
              <w:t>podľa dotazníka</w:t>
            </w:r>
            <w:r>
              <w:t xml:space="preserve"> výbor </w:t>
            </w:r>
            <w:r>
              <w:rPr>
                <w:b/>
                <w:i/>
              </w:rPr>
              <w:t>v nadväznosti na predchádzajúce výzvy Parlamentu</w:t>
            </w:r>
            <w:r>
              <w:t xml:space="preserve"> vypracoval návrh stratégie boja proti podvodom, ktorý bol predložený na medziútvarovú konzultáciu a proces prijatia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naliehavo vyzýva výbor, aby uprednostnil prijatie a vykonávanie tejto stratégie vrátane hodnotenia rizík, prevencie, odhaľovania a následných opatrení</w:t>
            </w:r>
            <w:r>
              <w:t>; žiada výbor, aby informoval orgán udeľujúci absolutórium o vývoji v týchto veciach; víta skutočnosť, že výbor zorganizoval dve školenia o informovanosti o podvodoch a ich prevencii vo verejnom obstarávaní, ktoré viedli zamestnanci úradu OLAF a na ktorých sa zúčastnilo 21 účastníkov, a jedno informačné stretnutie zorganizované spolu s úradom EPPO s cieľom oboznámiť zamestnancov výboru s mandátom Európskej prokuratúry a poskytnúť im usmernenia o tom, ako jej nahlasovať potenciálne prípady;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36.</w:t>
            </w:r>
            <w:r>
              <w:tab/>
            </w:r>
            <w:r>
              <w:t>na základe dotazníka konštatuje, že výbor vypracoval návrh stratégie boja proti podvodom, ktorý bol predložený na medziútvarovú konzultáciu a proces prijatia; žiada výbor, aby informoval orgán udeľujúci absolutórium o vývoji v týchto veciach; víta skutočnosť, že výbor zorganizoval dve školenia o informovanosti o podvodoch a ich prevencii vo verejnom obstarávaní, ktoré viedli zamestnanci úradu OLAF a na ktorých sa zúčastnilo 21 účastníkov, a jedno informačné stretnutie zorganizované spolu s úradom EPPO s cieľom oboznámiť zamestnancov výboru s mandátom Európskej prokuratúry a poskytnúť im usmernenia o tom, ako jej nahlasovať potenciálne prípady;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36.</w:t>
            </w:r>
            <w:r>
              <w:tab/>
            </w:r>
            <w:r>
              <w:t>na základe dotazníka konštatuje, že výbor vypracoval návrh stratégie boja proti podvodom, ktorý bol predložený na medziútvarovú konzultáciu a proces prijatia; žiada výbor, aby informoval orgán udeľujúci absolutórium o vývoji v týchto veciach; víta skutočnosť, že výbor zorganizoval dve školenia o informovanosti o podvodoch a ich prevencii vo verejnom obstarávaní, ktoré viedli zamestnanci úradu OLAF a na ktorých sa zúčastnilo 21 účastníkov, a jedno informačné stretnutie zorganizované spolu s úradom EPPO s cieľom oboznámiť zamestnancov výboru s mandátom Európskej prokuratúry a poskytnúť im usmernenia o tom, ako jej nahlasovať potenciálne prípady</w:t>
            </w:r>
            <w:r>
              <w:rPr>
                <w:b/>
                <w:i/>
              </w:rPr>
              <w:t>, a odporúča, aby sa v tejto praxi pokračovalo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konštatuje, že kombinovaný rozpočet výboru a VR na IT v roku 2022 predstavoval </w:t>
            </w:r>
            <w:r>
              <w:rPr>
                <w:b/>
                <w:i/>
              </w:rPr>
              <w:t>13 700 000</w:t>
            </w:r>
            <w:r>
              <w:t xml:space="preserve"> EUR v porovnaní so sumou </w:t>
            </w:r>
            <w:r>
              <w:rPr>
                <w:b/>
                <w:i/>
              </w:rPr>
              <w:t>12 700 000</w:t>
            </w:r>
            <w:r>
              <w:t xml:space="preserve"> EUR v roku 2023, t. j. zvýšenie o 7,87 %, pričom </w:t>
            </w:r>
            <w:r>
              <w:rPr>
                <w:b/>
                <w:i/>
              </w:rPr>
              <w:t>760 000</w:t>
            </w:r>
            <w:r>
              <w:t xml:space="preserve"> EUR (alebo približne 6 %) z tohto rozpočtu bolo v roku 2024 vyplatených na kybernetickú bezpečnosť; na základe dotazníka konštatuje, že financovanie projektov v oblasti IT sa v porovnaní s rokom 2023 zvýšilo o </w:t>
            </w:r>
            <w:r>
              <w:rPr>
                <w:b/>
                <w:i/>
              </w:rPr>
              <w:t>109 000</w:t>
            </w:r>
            <w:r>
              <w:t xml:space="preserve"> EUR, čo predstavuje nárast o 4 %, a to najmä na podporu pracovného programu M365 a programu transformácie kybernetickej bezpečnosti; ďalej konštatuje, že výdavky na zariadenia vzrástli o </w:t>
            </w:r>
            <w:r>
              <w:rPr>
                <w:b/>
                <w:i/>
              </w:rPr>
              <w:t>117 000</w:t>
            </w:r>
            <w:r>
              <w:t xml:space="preserve"> EUR (t. j. o 20 %), najmä v dôsledku úpravy cien a strategických investícií do telefónnej infraštruktúry; berie na vedomie obavy výboru, že je štrukturálne nedostatočne financovaný v oblasti digitalizácie a kybernetickej bezpečnosti; v tejto súvislosti vyjadruje poľutovanie nad tým, že rozpočtový orgán nezaradil do rozpočtu Únie na rok 2026 sumu </w:t>
            </w:r>
            <w:r>
              <w:rPr>
                <w:b/>
                <w:i/>
              </w:rPr>
              <w:t>1 176 000</w:t>
            </w:r>
            <w:r>
              <w:t xml:space="preserve"> EUR potrebnú na to, aby výbor (a VR) mohol uskutočniť rozsiahlu modernizáciu kybernetickej bezpečnosti, čím sa stal cieľ uvedený v nariadení (EÚ, Euratom) 2023/2841</w:t>
            </w:r>
            <w:r>
              <w:rPr>
                <w:vertAlign w:val="superscript"/>
              </w:rPr>
              <w:t>1</w:t>
            </w:r>
            <w:r>
              <w:t>venovať približne 10 % svojich celkových výdavkov na IT v oblasti kybernetickej bezpečnosti nedosiahnuteľným;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konštatuje, že kombinovaný rozpočet výboru a VR na IT v roku 2022 predstavoval </w:t>
            </w:r>
            <w:r>
              <w:rPr>
                <w:b/>
                <w:i/>
              </w:rPr>
              <w:t>13 700 000</w:t>
            </w:r>
            <w:r>
              <w:t xml:space="preserve"> EUR v porovnaní so sumou </w:t>
            </w:r>
            <w:r>
              <w:rPr>
                <w:b/>
                <w:i/>
              </w:rPr>
              <w:t>12 700 000</w:t>
            </w:r>
            <w:r>
              <w:t xml:space="preserve"> EUR v roku 2023, t. j. zvýšenie o 7,87 %, pričom </w:t>
            </w:r>
            <w:r>
              <w:rPr>
                <w:b/>
                <w:i/>
              </w:rPr>
              <w:t>760 000</w:t>
            </w:r>
            <w:r>
              <w:t> EUR (alebo približne 6 %) z tohto rozpočtu bolo v roku 2024 vyplatených na kybernetickú bezpečnosť; na základe dotazníka konštatuje, že financovanie projektov v oblasti IT sa v porovnaní s rokom 2023 zvýšilo o </w:t>
            </w:r>
            <w:r>
              <w:rPr>
                <w:b/>
                <w:i/>
              </w:rPr>
              <w:t>109 000</w:t>
            </w:r>
            <w:r>
              <w:t> EUR, čo predstavuje nárast o 4 %, a to najmä na podporu pracovného programu M365 a programu transformácie kybernetickej bezpečnosti; ďalej konštatuje, že výdavky na zariadenia vzrástli o </w:t>
            </w:r>
            <w:r>
              <w:rPr>
                <w:b/>
                <w:i/>
              </w:rPr>
              <w:t>117 000</w:t>
            </w:r>
            <w:r>
              <w:t xml:space="preserve"> EUR (t. j. o 20 %), najmä v dôsledku úpravy cien a strategických investícií do telefónnej infraštruktúry; berie na vedomie obavy výboru, že je štrukturálne nedostatočne financovaný v oblasti digitalizácie a kybernetickej bezpečnosti</w:t>
            </w:r>
            <w:r>
              <w:rPr>
                <w:b/>
                <w:i/>
              </w:rPr>
              <w:t>, a varuje, že pretrvávajúce nedostatočné investície do kybernetickej bezpečnosti predstavujú štrukturálne riziko pre integritu inštitúcií EÚ</w:t>
            </w:r>
            <w:r>
              <w:t xml:space="preserve">; v tejto súvislosti vyjadruje poľutovanie nad tým, že rozpočtový orgán nezaradil do rozpočtu Únie na rok 2026 sumu </w:t>
            </w:r>
            <w:r>
              <w:rPr>
                <w:b/>
                <w:i/>
              </w:rPr>
              <w:t>1 176 000</w:t>
            </w:r>
            <w:r>
              <w:t xml:space="preserve"> EUR potrebnú na to, aby výbor (a VR) mohol uskutočniť rozsiahlu modernizáciu kybernetickej bezpečnosti, čím sa stal cieľ uvedený v nariadení (EÚ, Euratom) 2023/2841</w:t>
            </w:r>
            <w:r>
              <w:rPr>
                <w:vertAlign w:val="superscript"/>
              </w:rPr>
              <w:t>1</w:t>
            </w:r>
            <w:r>
              <w:t xml:space="preserve"> venovať približne 10 % svojich celkových výdavkov na IT v oblasti kybernetickej bezpečnosti nedosiahnuteľným;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Nariadenie Európskeho parlamentu a Rady (EÚ, Euratom) 2023/2841 z 13. decembra 2023, ktorým sa stanovujú opatrenia na zabezpečenie vysokej spoločnej úrovne kybernetickej bezpečnosti v inštitúciách, orgánoch, úradoch a agentúrach Únie (OJ L, 2023/2841, 18.12.2023, ELI: http://data.europa.eu/eli/reg/2023/2841/oj).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Nariadenie Európskeho parlamentu a Rady (EÚ, Euratom) 2023/2841 z 13. decembra 2023, ktorým sa stanovujú opatrenia na zabezpečenie vysokej spoločnej úrovne kybernetickej bezpečnosti v inštitúciách, orgánoch, úradoch a agentúrach Únie (OJ L, 2023/2841, 18.12.2023, ELI: http://data.europa.eu/eli/reg/2023/2841/oj).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konštatuje, že kombinovaný rozpočet výboru a VR na IT v roku </w:t>
            </w:r>
            <w:r>
              <w:rPr>
                <w:b/>
                <w:i/>
              </w:rPr>
              <w:t>2022</w:t>
            </w:r>
            <w:r>
              <w:t xml:space="preserve"> predstavoval </w:t>
            </w:r>
            <w:r>
              <w:rPr>
                <w:b/>
                <w:i/>
              </w:rPr>
              <w:t>13 700 000</w:t>
            </w:r>
            <w:r>
              <w:t xml:space="preserve"> EUR v porovnaní so sumou </w:t>
            </w:r>
            <w:r>
              <w:rPr>
                <w:b/>
                <w:i/>
              </w:rPr>
              <w:t>12 700 000</w:t>
            </w:r>
            <w:r>
              <w:t xml:space="preserve"> EUR v roku 2023, t. j. zvýšenie o 7,87 %, pričom </w:t>
            </w:r>
            <w:r>
              <w:rPr>
                <w:b/>
                <w:i/>
              </w:rPr>
              <w:t>760 000</w:t>
            </w:r>
            <w:r>
              <w:t xml:space="preserve"> EUR (alebo približne 6 %) z tohto rozpočtu bolo v roku 2024 vyplatených na kybernetickú bezpečnosť; na základe dotazníka konštatuje, že financovanie projektov v oblasti IT sa v porovnaní s rokom 2023 zvýšilo o </w:t>
            </w:r>
            <w:r>
              <w:rPr>
                <w:b/>
                <w:i/>
              </w:rPr>
              <w:t>109 000</w:t>
            </w:r>
            <w:r>
              <w:t xml:space="preserve"> EUR, čo predstavuje nárast o 4 %, a to najmä na podporu pracovného programu M365 a programu transformácie kybernetickej bezpečnosti; ďalej konštatuje, že výdavky na zariadenia vzrástli o </w:t>
            </w:r>
            <w:r>
              <w:rPr>
                <w:b/>
                <w:i/>
              </w:rPr>
              <w:t>117 000</w:t>
            </w:r>
            <w:r>
              <w:t xml:space="preserve"> EUR (t. j. o 20 %), najmä v dôsledku úpravy cien a strategických investícií do telefónnej infraštruktúry; berie na vedomie obavy výboru, že je štrukturálne nedostatočne financovaný v oblasti digitalizácie a kybernetickej bezpečnosti; v tejto súvislosti vyjadruje poľutovanie nad tým, že rozpočtový orgán nezaradil do rozpočtu Únie na rok 2026 sumu </w:t>
            </w:r>
            <w:r>
              <w:rPr>
                <w:b/>
                <w:i/>
              </w:rPr>
              <w:t>1 176 000</w:t>
            </w:r>
            <w:r>
              <w:t xml:space="preserve"> EUR potrebnú na to, aby výbor (a VR) mohol uskutočniť rozsiahlu modernizáciu kybernetickej bezpečnosti, čím sa stal cieľ uvedený v nariadení (EÚ, Euratom) 2023/2841</w:t>
            </w:r>
            <w:r>
              <w:rPr>
                <w:vertAlign w:val="superscript"/>
              </w:rPr>
              <w:t>1</w:t>
            </w:r>
            <w:r>
              <w:t>venovať približne 10 % svojich celkových výdavkov na IT v oblasti kybernetickej bezpečnosti nedosiahnuteľným;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konštatuje, že kombinovaný rozpočet výboru a VR na IT v roku </w:t>
            </w:r>
            <w:r>
              <w:rPr>
                <w:b/>
                <w:i/>
              </w:rPr>
              <w:t>2024</w:t>
            </w:r>
            <w:r>
              <w:t xml:space="preserve"> predstavoval </w:t>
            </w:r>
            <w:r>
              <w:rPr>
                <w:b/>
                <w:i/>
              </w:rPr>
              <w:t>13 700 000</w:t>
            </w:r>
            <w:r>
              <w:t xml:space="preserve"> EUR v porovnaní so sumou </w:t>
            </w:r>
            <w:r>
              <w:rPr>
                <w:b/>
                <w:i/>
              </w:rPr>
              <w:t>12 700 000</w:t>
            </w:r>
            <w:r>
              <w:t xml:space="preserve"> EUR v roku 2023, t. j. zvýšenie o 7,87 %, pričom </w:t>
            </w:r>
            <w:r>
              <w:rPr>
                <w:b/>
                <w:i/>
              </w:rPr>
              <w:t>760 000</w:t>
            </w:r>
            <w:r>
              <w:t> EUR (alebo približne 6 %) z tohto rozpočtu bolo v roku 2024 vyplatených na kybernetickú bezpečnosť; na základe dotazníka konštatuje, že financovanie projektov v oblasti IT sa v porovnaní s rokom 2023 zvýšilo o </w:t>
            </w:r>
            <w:r>
              <w:rPr>
                <w:b/>
                <w:i/>
              </w:rPr>
              <w:t>109 000</w:t>
            </w:r>
            <w:r>
              <w:t> EUR, čo predstavuje nárast o 4 %, a to najmä na podporu pracovného programu M365 a programu transformácie kybernetickej bezpečnosti; ďalej konštatuje, že výdavky na zariadenia vzrástli o </w:t>
            </w:r>
            <w:r>
              <w:rPr>
                <w:b/>
                <w:i/>
              </w:rPr>
              <w:t>117 000</w:t>
            </w:r>
            <w:r>
              <w:t xml:space="preserve"> EUR (t. j. o 20 %), najmä v dôsledku úpravy cien a strategických investícií do telefónnej infraštruktúry; berie na vedomie obavy výboru, že je štrukturálne nedostatočne financovaný v oblasti digitalizácie a kybernetickej bezpečnosti; v tejto súvislosti vyjadruje poľutovanie nad tým, že rozpočtový orgán nezaradil do rozpočtu Únie na rok 2026 sumu </w:t>
            </w:r>
            <w:r>
              <w:rPr>
                <w:b/>
                <w:i/>
              </w:rPr>
              <w:t>1 176 000</w:t>
            </w:r>
            <w:r>
              <w:t xml:space="preserve"> EUR potrebnú na to, aby výbor (a VR) mohol uskutočniť rozsiahlu modernizáciu kybernetickej bezpečnosti, čím sa stal cieľ uvedený v nariadení (EÚ, Euratom) 2023/2841</w:t>
            </w:r>
            <w:r>
              <w:rPr>
                <w:vertAlign w:val="superscript"/>
              </w:rPr>
              <w:t>1</w:t>
            </w:r>
            <w:r>
              <w:t xml:space="preserve"> venovať približne 10 % svojich celkových výdavkov na IT v oblasti kybernetickej bezpečnosti nedosiahnuteľným; </w:t>
            </w:r>
            <w:r>
              <w:rPr>
                <w:b/>
                <w:i/>
              </w:rPr>
              <w:t>požaduje primerané finančné prostriedky, ktoré by výboru a Výboru regiónov umožnili výrazne zlepšiť kybernetickú bezpečnosť;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Nariadenie Európskeho parlamentu a Rady (EÚ, Euratom) 2023/2841 z 13. decembra 2023, ktorým sa stanovujú opatrenia na zabezpečenie vysokej spoločnej úrovne kybernetickej bezpečnosti v inštitúciách, orgánoch, úradoch a agentúrach Únie (OJ L, 2023/2841, 18.12.2023, ELI: http://data.europa.eu/eli/reg/2023/2841/oj).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Nariadenie Európskeho parlamentu a Rady (EÚ, Euratom) 2023/2841 z 13. decembra 2023, ktorým sa stanovujú opatrenia na zabezpečenie vysokej spoločnej úrovne kybernetickej bezpečnosti v inštitúciách, orgánoch, úradoch a agentúrach Únie (OJ L, 2023/2841, 18.12.2023, ELI: http://data.europa.eu/eli/reg/2023/2841/oj).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konštatuje, že kombinovaný rozpočet výboru a VR na IT v roku </w:t>
            </w:r>
            <w:r>
              <w:rPr>
                <w:b/>
                <w:i/>
              </w:rPr>
              <w:t>2022</w:t>
            </w:r>
            <w:r>
              <w:t xml:space="preserve"> predstavoval </w:t>
            </w:r>
            <w:r>
              <w:rPr>
                <w:b/>
                <w:i/>
              </w:rPr>
              <w:t>13 700 000</w:t>
            </w:r>
            <w:r>
              <w:t xml:space="preserve"> EUR v porovnaní so sumou </w:t>
            </w:r>
            <w:r>
              <w:rPr>
                <w:b/>
                <w:i/>
              </w:rPr>
              <w:t>12 700 000</w:t>
            </w:r>
            <w:r>
              <w:t xml:space="preserve"> EUR v roku 2023, t. j. zvýšenie o 7,87 %, pričom </w:t>
            </w:r>
            <w:r>
              <w:rPr>
                <w:b/>
                <w:i/>
              </w:rPr>
              <w:t>760 000</w:t>
            </w:r>
            <w:r>
              <w:t xml:space="preserve"> EUR (alebo približne 6 %) z tohto rozpočtu bolo v roku 2024 vyplatených na kybernetickú bezpečnosť; na základe dotazníka konštatuje, že financovanie projektov v oblasti IT sa v porovnaní s rokom 2023 zvýšilo o </w:t>
            </w:r>
            <w:r>
              <w:rPr>
                <w:b/>
                <w:i/>
              </w:rPr>
              <w:t>109 000</w:t>
            </w:r>
            <w:r>
              <w:t xml:space="preserve"> EUR, čo predstavuje nárast o 4 %, a to najmä na podporu pracovného programu M365 a programu transformácie kybernetickej bezpečnosti; ďalej konštatuje, že výdavky na zariadenia vzrástli o </w:t>
            </w:r>
            <w:r>
              <w:rPr>
                <w:b/>
                <w:i/>
              </w:rPr>
              <w:t>117 000</w:t>
            </w:r>
            <w:r>
              <w:t xml:space="preserve"> EUR (t. j. o 20 %), najmä v dôsledku úpravy cien a strategických investícií do telefónnej infraštruktúry; berie na vedomie obavy výboru, že je štrukturálne nedostatočne financovaný v oblasti digitalizácie a kybernetickej bezpečnosti; v tejto súvislosti vyjadruje poľutovanie nad tým, že rozpočtový orgán nezaradil do rozpočtu Únie na rok 2026 sumu </w:t>
            </w:r>
            <w:r>
              <w:rPr>
                <w:b/>
                <w:i/>
              </w:rPr>
              <w:t>1 176 000</w:t>
            </w:r>
            <w:r>
              <w:t xml:space="preserve"> EUR potrebnú na to, aby výbor (a VR) mohol uskutočniť rozsiahlu modernizáciu kybernetickej bezpečnosti, čím sa stal cieľ uvedený v nariadení (EÚ, Euratom) 2023/2841</w:t>
            </w:r>
            <w:r>
              <w:rPr>
                <w:vertAlign w:val="superscript"/>
              </w:rPr>
              <w:t>1</w:t>
            </w:r>
            <w:r>
              <w:t>venovať približne 10 % svojich celkových výdavkov na IT v oblasti kybernetickej bezpečnosti nedosiahnuteľným;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konštatuje, že kombinovaný rozpočet výboru a VR na IT v roku </w:t>
            </w:r>
            <w:r>
              <w:rPr>
                <w:b/>
                <w:i/>
              </w:rPr>
              <w:t>2024</w:t>
            </w:r>
            <w:r>
              <w:t xml:space="preserve"> predstavoval </w:t>
            </w:r>
            <w:r>
              <w:rPr>
                <w:b/>
                <w:i/>
              </w:rPr>
              <w:t>13 700 000</w:t>
            </w:r>
            <w:r>
              <w:t xml:space="preserve"> EUR v porovnaní so sumou </w:t>
            </w:r>
            <w:r>
              <w:rPr>
                <w:b/>
                <w:i/>
              </w:rPr>
              <w:t>12 700 000</w:t>
            </w:r>
            <w:r>
              <w:t xml:space="preserve"> EUR v roku 2023, t. j. zvýšenie o 7,87 %, pričom </w:t>
            </w:r>
            <w:r>
              <w:rPr>
                <w:b/>
                <w:i/>
              </w:rPr>
              <w:t>760 000</w:t>
            </w:r>
            <w:r>
              <w:t> EUR (alebo približne 6 %) z tohto rozpočtu bolo v roku 2024 vyplatených na kybernetickú bezpečnosť; na základe dotazníka konštatuje, že financovanie projektov v oblasti IT sa v porovnaní s rokom 2023 zvýšilo o </w:t>
            </w:r>
            <w:r>
              <w:rPr>
                <w:b/>
                <w:i/>
              </w:rPr>
              <w:t>109 000</w:t>
            </w:r>
            <w:r>
              <w:t> EUR, čo predstavuje nárast o 4 %, a to najmä na podporu pracovného programu M365 a programu transformácie kybernetickej bezpečnosti; ďalej konštatuje, že výdavky na zariadenia vzrástli o </w:t>
            </w:r>
            <w:r>
              <w:rPr>
                <w:b/>
                <w:i/>
              </w:rPr>
              <w:t>117 000</w:t>
            </w:r>
            <w:r>
              <w:t xml:space="preserve"> EUR (t. j. o 20 %), najmä v dôsledku úpravy cien a strategických investícií do telefónnej infraštruktúry; berie na vedomie obavy výboru, že je štrukturálne nedostatočne financovaný v oblasti digitalizácie a kybernetickej bezpečnosti; v tejto súvislosti vyjadruje poľutovanie nad tým, že rozpočtový orgán nezaradil do rozpočtu Únie na rok 2026 sumu </w:t>
            </w:r>
            <w:r>
              <w:rPr>
                <w:b/>
                <w:i/>
              </w:rPr>
              <w:t>1 176 000</w:t>
            </w:r>
            <w:r>
              <w:t xml:space="preserve"> EUR potrebnú na to, aby výbor (a VR) mohol uskutočniť rozsiahlu modernizáciu kybernetickej bezpečnosti, čím sa stal cieľ uvedený v nariadení (EÚ, Euratom) 2023/2841</w:t>
            </w:r>
            <w:r>
              <w:rPr>
                <w:vertAlign w:val="superscript"/>
              </w:rPr>
              <w:t>1</w:t>
            </w:r>
            <w:r>
              <w:t xml:space="preserve"> venovať približne 10 % svojich celkových výdavkov na IT v oblasti kybernetickej bezpečnosti nedosiahnuteľným;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Nariadenie Európskeho parlamentu a Rady (EÚ, Euratom) 2023/2841 z 13. decembra 2023, ktorým sa stanovujú opatrenia na zabezpečenie vysokej spoločnej úrovne kybernetickej bezpečnosti v inštitúciách, orgánoch, úradoch a agentúrach Únie (OJ L, 2023/2841, 18.12.2023, ELI: http://data.europa.eu/eli/reg/2023/2841/oj).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Nariadenie Európskeho parlamentu a Rady (EÚ, Euratom) 2023/2841 z 13. decembra 2023, ktorým sa stanovujú opatrenia na zabezpečenie vysokej spoločnej úrovne kybernetickej bezpečnosti v inštitúciách, orgánoch, úradoch a agentúrach Únie (OJ L, 2023/2841, 18.12.2023, ELI: http://data.europa.eu/eli/reg/2023/2841/oj).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>oceňuje úsilie výboru v roku 2024 zabezpečiť, aby zamestnanci získali digitálne zručnosti potrebné pre čoraz viac digitalizované pracovné prostredie, a na realizáciu cielených informačných kampaní, ponuku komplexného programu odbornej prípravy a koučingu a udržiavanie aktuálnej znalostnej databázy IT s rozhraním využívajúcim umelú inteligenciu na podporu rozvoja zamestnancov;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 xml:space="preserve">oceňuje úsilie výboru v roku 2024 zabezpečiť, aby zamestnanci získali digitálne zručnosti potrebné pre čoraz viac digitalizované pracovné prostredie, a na realizáciu cielených informačných kampaní, ponuku komplexného programu odbornej prípravy a koučingu a udržiavanie aktuálnej znalostnej databázy IT s rozhraním využívajúcim umelú inteligenciu na podporu rozvoja zamestnancov; </w:t>
            </w:r>
            <w:r>
              <w:rPr>
                <w:b/>
                <w:i/>
              </w:rPr>
              <w:t>podporuje odbornú prípravu v oblasti kybernetickej bezpečnosti a bezpečného, etického a efektívneho využívania umelej inteligencie;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49.</w:t>
            </w:r>
            <w:r>
              <w:tab/>
            </w:r>
            <w:r>
              <w:t xml:space="preserve">na základe dotazníka konštatuje pokles spotreby elektrickej energie (–19 %), plynu (–13 %) a vody (–12 %) a nárast spotreby papiera (+1 </w:t>
            </w:r>
            <w:r>
              <w:rPr>
                <w:b/>
                <w:i/>
              </w:rPr>
              <w:t>%) a objemu odpadu (–12</w:t>
            </w:r>
            <w:r>
              <w:t xml:space="preserve"> %) v roku 2024 v porovnaní s rokom 2023; víta ďalšie zníženie emisií uhlíka na ekvivalent plného pracovného času o 4,30 % (bez započítania emisií z ciest členov výboru) v tom istom období; na základe dotazníka berie na vedomie opatrenia výboru na podporu udržateľnejších možností cestovania medzi jeho zamestnancami a členmi a prebiehajúcu revíziu príručky o služobných cestách pre zamestnancov, ktorej kľúčovým prvkom bude environmentálna stopa; víta ďalšie zameranie výboru na odpadové hospodárstvo a recykláciu s cieľom podporiť kultúru znižovania množstva odpadu a efektívneho využívania zdrojov;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49.</w:t>
            </w:r>
            <w:r>
              <w:tab/>
            </w:r>
            <w:r>
              <w:t>na základe dotazníka konštatuje pokles spotreby elektrickej energie (–19 %), plynu (–13 %) a vody (–12 %)</w:t>
            </w:r>
            <w:r>
              <w:rPr>
                <w:b/>
                <w:i/>
              </w:rPr>
              <w:t>, ako aj zníženie množstva odpadu (–12 %)</w:t>
            </w:r>
            <w:r>
              <w:t xml:space="preserve"> a nárast spotreby papiera (+1 %) v roku 2024 v porovnaní s rokom 2023; víta ďalšie zníženie emisií uhlíka na ekvivalent plného pracovného času o 4,30 % (bez započítania emisií z ciest členov výboru) v tom istom období; na základe dotazníka berie na vedomie opatrenia výboru na podporu udržateľnejších možností cestovania medzi jeho zamestnancami a členmi a prebiehajúcu revíziu príručky o služobných cestách pre zamestnancov, ktorej kľúčovým prvkom bude environmentálna stopa; víta ďalšie zameranie výboru na odpadové hospodárstvo a recykláciu s cieľom podporiť kultúru znižovania množstva odpadu a efektívneho využívania zdrojov;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Şerban Dimitrie Sturdza, Joachim Stanisław Brudziński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s uspokojením konštatuje, že všetky výzvy výboru na predkladanie ponúk nad </w:t>
            </w:r>
            <w:r>
              <w:rPr>
                <w:b/>
                <w:i/>
              </w:rPr>
              <w:t>60 000</w:t>
            </w:r>
            <w:r>
              <w:t xml:space="preserve"> EUR a výzvy nad </w:t>
            </w:r>
            <w:r>
              <w:rPr>
                <w:b/>
                <w:i/>
              </w:rPr>
              <w:t>25 000</w:t>
            </w:r>
            <w:r>
              <w:t xml:space="preserve"> EUR, ktoré sú riadené spoločne s VR, obsahujú doložky o udržateľnosti v súlade s normami energetickej únie, Európskou zelenou dohodou a zásadami obehového hospodárstva; konštatuje, že nová rámcová zmluva výboru o stravovacích službách, ktorá nadobudla platnosť v auguste 2024, obsahuje požiadavky na ekologické a miestne produkty, potravinové dary a sezónne ovocie a zeleninu;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s uspokojením konštatuje, že všetky výzvy výboru na predkladanie ponúk nad </w:t>
            </w:r>
            <w:r>
              <w:rPr>
                <w:b/>
                <w:i/>
              </w:rPr>
              <w:t>60 000</w:t>
            </w:r>
            <w:r>
              <w:t xml:space="preserve"> EUR a výzvy nad </w:t>
            </w:r>
            <w:r>
              <w:rPr>
                <w:b/>
                <w:i/>
              </w:rPr>
              <w:t>25 000</w:t>
            </w:r>
            <w:r>
              <w:t xml:space="preserve"> EUR, ktoré sú riadené spoločne s VR, obsahujú doložky o udržateľnosti v súlade s normami energetickej únie, Európskou zelenou dohodou a zásadami obehového hospodárstva; konštatuje, že nová rámcová zmluva výboru o stravovacích službách, ktorá nadobudla platnosť v auguste 2024, obsahuje požiadavky na ekologické a miestne produkty, potravinové dary a sezónne ovocie a zeleninu; </w:t>
            </w:r>
            <w:r>
              <w:rPr>
                <w:b/>
                <w:i/>
              </w:rPr>
              <w:t>poukazuje však na to, že vyššie normy tzv. ekologických opatrení zvyšujú prevádzkové náklady inštitúcie, čím nielen znižujú dostupný rozpočet inštitúcie, ale aj zvyšujú náklady na jej fungovanie pre daňovníkov;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Julien Sanchez, 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51a.</w:t>
            </w:r>
            <w:r>
              <w:tab/>
            </w:r>
            <w:r>
              <w:rPr>
                <w:b/>
                <w:i/>
              </w:rPr>
              <w:t>zdôrazňuje, že environmentálne iniciatívy v rámci inštitúcií Únie musia zostať nákladovo efektívne a technologicky neutrálne;</w:t>
            </w:r>
            <w:r>
              <w:t xml:space="preserve"> </w:t>
            </w:r>
            <w:r>
              <w:rPr>
                <w:b/>
                <w:i/>
              </w:rPr>
              <w:t>vyzýva výbor, aby poskytol transparentnú analýzu nákladov a prínosov svojich ekologických investícií a postupov verejného obstarávania a zabezpečil, aby environmentálne aspekty nemali prednosť pred efektívnosťou alebo rozpočtovou disciplínou;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60.</w:t>
            </w:r>
            <w:r>
              <w:tab/>
            </w:r>
            <w:r>
              <w:t>konštatuje, že výbor zohráva kľúčovú úlohu pri posilňovaní väzieb s národnými hospodárskymi a sociálnymi radami členských štátov a medzi nimi; v tejto súvislosti berie na vedomie začatie činnosti novej tematickej pracovnej skupiny zloženej z 13 národných hospodárskych a sociálnych rád, uverejnenie 32 spravodajských článkov a 26 zhrnutí správ prijatých národnými hospodárskymi a sociálnymi radami, zorganizovanie výročného stretnutia predsedov a generálnych tajomníkov národných hospodárskych a sociálnych rád v Bruseli a spoločne zorganizovaný seminár so 100 účastníkmi z radov európskych sociálnych partnerov, organizácií občianskej spoločnosti, zástupcov inštitúcií Únie a akademikov v roku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60.</w:t>
            </w:r>
            <w:r>
              <w:tab/>
            </w:r>
            <w:r>
              <w:t xml:space="preserve">konštatuje, že výbor zohráva kľúčovú úlohu pri posilňovaní väzieb s národnými hospodárskymi a sociálnymi radami členských štátov a medzi nimi; v tejto súvislosti berie na vedomie začatie činnosti novej tematickej pracovnej skupiny zloženej z 13 národných hospodárskych a sociálnych rád, uverejnenie 32 spravodajských článkov a 26 zhrnutí správ prijatých národnými hospodárskymi a sociálnymi radami, zorganizovanie výročného stretnutia predsedov a generálnych tajomníkov národných hospodárskych a sociálnych rád v Bruseli a spoločne zorganizovaný seminár so 100 účastníkmi z radov európskych sociálnych partnerov, organizácií občianskej spoločnosti, zástupcov inštitúcií Únie a akademikov v roku 2024; </w:t>
            </w:r>
            <w:r>
              <w:rPr>
                <w:b/>
                <w:i/>
              </w:rPr>
              <w:t>vyzýva, aby sa pokračovalo v spolupráci na témach spoločného záujmu a vo výmene osvedčených postupov, a to s dôrazom na kľúčovú úlohu občianskej spoločnosti pri riešení súčasných výziev Únie;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63.</w:t>
            </w:r>
            <w:r>
              <w:tab/>
            </w:r>
            <w:r>
              <w:t xml:space="preserve">oceňuje spustenie platformy NaviGate v máji 2024; konštatuje, že táto platforma, ktorá pridáva webové odkazy do nástroja Úradu pre vydávanie publikácií Únie EU Law Tracker, výrazne zviditeľnila prácu výboru a zlepšila používateľskú skúsenosť poslancov, zamestnancov, návštevníkov z iných inštitúcií a verejnosť, pričom v roku 2024 dosiahla </w:t>
            </w:r>
            <w:r>
              <w:rPr>
                <w:b/>
                <w:i/>
              </w:rPr>
              <w:t>4 600</w:t>
            </w:r>
            <w:r>
              <w:t xml:space="preserve"> jedinečných návštevníkov;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63.</w:t>
            </w:r>
            <w:r>
              <w:tab/>
            </w:r>
            <w:r>
              <w:rPr>
                <w:b/>
                <w:i/>
              </w:rPr>
              <w:t>víta úsilie výboru o zvýšenie viditeľnosti svojej práce;</w:t>
            </w:r>
            <w:r>
              <w:t xml:space="preserve"> </w:t>
            </w:r>
            <w:r>
              <w:rPr>
                <w:b/>
                <w:i/>
              </w:rPr>
              <w:t>domnieva sa však, že treba vyvinúť ďalšie úsilie na zabezpečenie toho, aby komunikačné činnosti jasne vysvetľovali úlohu výboru a konkrétne príspevky k pôsobeniu EÚ na mieste spôsobom, ktorý je prístupný a zmysluplný pre občanov;</w:t>
            </w:r>
            <w:r>
              <w:t xml:space="preserve"> oceňuje spustenie platformy NaviGate v máji 2024; konštatuje, že táto platforma, ktorá pridáva webové odkazy do nástroja Úradu pre vydávanie publikácií Únie EU Law Tracker, výrazne zviditeľnila prácu výboru a zlepšila používateľskú skúsenosť poslancov, zamestnancov, návštevníkov z iných inštitúcií a verejnosť, pričom v roku 2024 dosiahla </w:t>
            </w:r>
            <w:r>
              <w:rPr>
                <w:b/>
                <w:i/>
              </w:rPr>
              <w:t>4 600</w:t>
            </w:r>
            <w:r>
              <w:t xml:space="preserve"> jedinečných návštevníkov;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784.136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36</w:t>
    </w:r>
    <w:r>
      <w:fldChar w:fldCharType="end"/>
    </w:r>
    <w:r>
      <w:tab/>
    </w:r>
    <w:r>
      <w:rPr>
        <w:rStyle w:val="HideTWBExt"/>
      </w:rPr>
      <w:t>&lt;PathFdR&gt;</w:t>
    </w:r>
    <w:r>
      <w:t>AM\1336221SK.docx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AM\1336221SK.docx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784.136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SK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AM\1336221SK.docx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784.136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rStyle w:val="EPFooter2Motto"/>
      </w:rPr>
      <w:t>Zjednotení v rozmanitosti</w:t>
    </w:r>
    <w:r>
      <w:tab/>
    </w:r>
    <w:r>
      <w:t>SK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36</Pages>
  <Words>10702</Words>
  <Characters>64994</Characters>
  <Application>Microsoft Office Word</Application>
  <DocSecurity>0</DocSecurity>
  <Lines>1</Lines>
  <Paragraphs>418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1336221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372632</vt:lpwstr>
  </property>
  <property fmtid="{D5CDD505-2E9C-101B-9397-08002B2CF9AE}" pid="7" name="dmxml.render.traceId">
    <vt:lpwstr>698b7a92a899a43d1dc49ac305e6f19c</vt:lpwstr>
  </property>
  <property fmtid="{D5CDD505-2E9C-101B-9397-08002B2CF9AE}" pid="8" name="FooterPath">
    <vt:lpwstr>AM\1336221SK.docx</vt:lpwstr>
  </property>
  <property fmtid="{D5CDD505-2E9C-101B-9397-08002B2CF9AE}" pid="9" name="PE Number">
    <vt:lpwstr>784.136</vt:lpwstr>
  </property>
  <property fmtid="{D5CDD505-2E9C-101B-9397-08002B2CF9AE}" pid="10" name="UID">
    <vt:lpwstr>eu.europa.europarl-DIN1-2026-0000016192_01.00-sk-01.00_text-xml</vt:lpwstr>
  </property>
</Properties>
</file>