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Europaparlamentet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Budgetkontrollutskottet</w:t>
      </w:r>
      <w:r>
        <w:rPr>
          <w:rStyle w:val="HideTWBExt"/>
        </w:rPr>
        <w:t>&lt;/Commission&gt;</w:t>
      </w:r>
    </w:p>
    <w:p>
      <w:pPr>
        <w:pStyle w:val="LineBottom"/>
      </w:pPr>
      <w:r>
        <w:t xml:space="preserve"> </w:t>
      </w:r>
    </w:p>
    <w:p>
      <w:pPr>
        <w:pStyle w:val="CoverReference"/>
      </w:pPr>
      <w:r>
        <w:rPr>
          <w:rStyle w:val="HideTWBExt"/>
        </w:rPr>
        <w:t>&lt;RefProc&gt;</w:t>
      </w:r>
      <w:r>
        <w:t>2025/2151</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28.1.2026</w:t>
      </w:r>
      <w:r>
        <w:rPr>
          <w:rStyle w:val="HideTWBExt"/>
        </w:rPr>
        <w:t>&lt;/Date&gt;</w:t>
      </w:r>
    </w:p>
    <w:p>
      <w:pPr>
        <w:pStyle w:val="CoverDocType"/>
      </w:pPr>
      <w:r>
        <w:rPr>
          <w:rStyle w:val="HideTWBExt"/>
        </w:rPr>
        <w:t>&lt;TypeAM&gt;</w:t>
      </w:r>
      <w:r>
        <w:t>ÄNDRINGSFÖRSLAG</w:t>
      </w:r>
      <w:r>
        <w:rPr>
          <w:rStyle w:val="HideTWBExt"/>
        </w:rPr>
        <w:t>&lt;/TypeAM&gt;</w:t>
      </w:r>
    </w:p>
    <w:p>
      <w:pPr>
        <w:pStyle w:val="CoverDocType24a"/>
      </w:pPr>
      <w:r>
        <w:rPr>
          <w:rStyle w:val="HideTWBExt"/>
        </w:rPr>
        <w:t>&lt;RangeAM&gt;</w:t>
      </w:r>
      <w:r>
        <w:t>1</w:t>
      </w:r>
      <w:r>
        <w:t xml:space="preserve"> - </w:t>
      </w:r>
      <w:r>
        <w:t>45</w:t>
      </w:r>
      <w:r>
        <w:rPr>
          <w:rStyle w:val="HideTWBExt"/>
        </w:rPr>
        <w:t>&lt;/RangeAM&gt;</w:t>
      </w:r>
    </w:p>
    <w:p>
      <w:pPr>
        <w:pStyle w:val="CoverBold"/>
      </w:pPr>
      <w:r>
        <w:rPr>
          <w:rStyle w:val="HideTWBExt"/>
        </w:rPr>
        <w:t>&lt;TitreType&gt;</w:t>
      </w:r>
      <w:r>
        <w:t>Förslag till betänkande</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(PE778.063v01-00)</w:t>
      </w:r>
      <w:r>
        <w:rPr>
          <w:rStyle w:val="HideTWBExt"/>
        </w:rPr>
        <w:t>&lt;/DocRefPE&gt;</w:t>
      </w:r>
    </w:p>
    <w:p>
      <w:pPr>
        <w:pStyle w:val="CoverNormal"/>
      </w:pPr>
      <w:r>
        <w:rPr>
          <w:rStyle w:val="HideTWBExt"/>
        </w:rPr>
        <w:t>&lt;Titre&gt;</w:t>
      </w:r>
      <w:r>
        <w:t>Ansvarsfrihet 2024: EU:s allmänna budget – Europeiska ekonomiska och sociala kommittén</w:t>
      </w:r>
      <w:r>
        <w:rPr>
          <w:rStyle w:val="HideTWBExt"/>
        </w:rPr>
        <w:t>&lt;/Titre&gt;</w:t>
      </w:r>
    </w:p>
    <w:p>
      <w:pPr>
        <w:pStyle w:val="CoverNormal24a"/>
      </w:pPr>
      <w:r>
        <w:rPr>
          <w:rStyle w:val="HideTWBExt"/>
        </w:rPr>
        <w:t>&lt;DocRef&gt;</w:t>
      </w:r>
      <w:r>
        <w:t>(2025/2151(DEC))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Ändringsförslag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Ondřej Knotek, 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Ha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Enligt artiklarna 300 och 304 i fördraget om Europeiska unionens funktionssätt är Europeiska ekonomiska och sociala kommittén ett rådgivande organ vars främsta uppgift är att avge yttranden.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Europaparlamentet noterar kommitténs växling från en utgiftsorienterad strategi i riktning mot förvaltning och prioritering av resurser, vilket återspeglas genom det strategiska finansieringspaket som godkänts av EESK:s presidium och genom införandet av prioriteringsförfaranden.</w:t>
            </w:r>
            <w:r>
              <w:t xml:space="preserve"> </w:t>
            </w:r>
            <w:r>
              <w:rPr>
                <w:b/>
                <w:i/>
              </w:rPr>
              <w:t>Parlamentet konstaterar att dessa åtgärder syftar till att förbättra den finansiella styrningen och anpassa budgetbesluten till strategiska mål.</w:t>
            </w:r>
            <w:r>
              <w:t xml:space="preserve"> </w:t>
            </w:r>
            <w:r>
              <w:rPr>
                <w:b/>
                <w:i/>
              </w:rPr>
              <w:t>Parlamentet noterar insatserna för att minska den administrativa bördan och effektivisera processerna i strävan efter kostnadseffektivitet.</w:t>
            </w:r>
            <w:r>
              <w:t xml:space="preserve"> </w:t>
            </w:r>
            <w:r>
              <w:rPr>
                <w:b/>
                <w:i/>
              </w:rPr>
              <w:t>Parlamentet uppmanar kommittén att ytterligare befästa denna strategi genom att integrera prestationsindikatorer och framsynsplanering i sin årliga budgetcykel.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Europaparlamentet lovordar kommittén för att dess budgetgenomförande av åtagandebemyndigandena för det innevarande året ökade ytterligare från 98,70 % 2023 till 99,21 % 2024, tack vare den framgångsrika övervakningen av dess budgetgenomförande, men också på grund av en hög inflationstakt som påverkar personalens löner och byggnadskostnaderna. Parlamentet noterar i detta sammanhang kommitténs omfördelningar genom budgetöverföringar på totalt </w:t>
            </w:r>
            <w:r>
              <w:rPr>
                <w:b/>
                <w:i/>
              </w:rPr>
              <w:t>2 487 139</w:t>
            </w:r>
            <w:r>
              <w:t xml:space="preserve"> EUR (vilket motsvarar 1,51 % av dess budget för 2024) mellan olika budgetposter, med de största ökningarna avseende drift och underhåll av programvarusystem (+</w:t>
            </w:r>
            <w:r>
              <w:rPr>
                <w:b/>
                <w:i/>
              </w:rPr>
              <w:t>519 682</w:t>
            </w:r>
            <w:r>
              <w:t xml:space="preserve"> EUR) och byggnader (+</w:t>
            </w:r>
            <w:r>
              <w:rPr>
                <w:b/>
                <w:i/>
              </w:rPr>
              <w:t>421 880</w:t>
            </w:r>
            <w:r>
              <w:t xml:space="preserve"> EUR). Parlamentet noterar vidare med tillfredsställelse att genomförandegraden för betalningsbemyndigandena för det innevarande året ökade från 88,12 % 2022 och 90,67 % 2023 till 92,85 % 2024 och att den genomsnittliga betalningstiden minskade från 20,14 dagar 2023 till 16,06 dagar 2024, vilket är kommitténs bästa prestation sedan 2021.</w:t>
            </w:r>
          </w:p>
        </w:tc>
        <w:tc>
          <w:tcPr>
            <w:tcW w:w="4876" w:type="dxa"/>
            <w:tcBorders>
              <w:top w:val="nil"/>
              <w:left w:val="nil"/>
              <w:bottom w:val="nil"/>
              <w:right w:val="nil"/>
            </w:tcBorders>
          </w:tcPr>
          <w:p>
            <w:pPr>
              <w:pStyle w:val="Normal6a"/>
            </w:pPr>
            <w:r>
              <w:t>5.</w:t>
            </w:r>
            <w:r>
              <w:tab/>
            </w:r>
            <w:r>
              <w:t xml:space="preserve">Europaparlamentet lovordar kommittén för att </w:t>
            </w:r>
            <w:r>
              <w:rPr>
                <w:b/>
                <w:i/>
              </w:rPr>
              <w:t>den höga nivån på</w:t>
            </w:r>
            <w:r>
              <w:t xml:space="preserve"> dess budgetgenomförande av åtagandebemyndigandena för det innevarande året ökade ytterligare från 98,70 % 2023 till 99,21 % 2024, tack vare den framgångsrika övervakningen av dess budgetgenomförande, men också på grund av en hög inflationstakt som påverkar personalens löner och byggnadskostnaderna. Parlamentet noterar i detta sammanhang kommitténs omfördelningar genom budgetöverföringar på totalt </w:t>
            </w:r>
            <w:r>
              <w:rPr>
                <w:b/>
                <w:i/>
              </w:rPr>
              <w:t>2 487 139</w:t>
            </w:r>
            <w:r>
              <w:t> EUR (vilket motsvarar 1,51 % av dess budget för 2024) mellan olika budgetposter, med de största ökningarna avseende drift och underhåll av programvarusystem (+</w:t>
            </w:r>
            <w:r>
              <w:rPr>
                <w:b/>
                <w:i/>
              </w:rPr>
              <w:t>519 682</w:t>
            </w:r>
            <w:r>
              <w:t> EUR) och byggnader (+</w:t>
            </w:r>
            <w:r>
              <w:rPr>
                <w:b/>
                <w:i/>
              </w:rPr>
              <w:t>421 880</w:t>
            </w:r>
            <w:r>
              <w:t xml:space="preserve"> EUR). Parlamentet noterar vidare med tillfredsställelse att genomförandegraden för betalningsbemyndigandena för det innevarande året ökade från 88,12 % 2022 och 90,67 % 2023 till 92,85 % 2024 och att den genomsnittliga betalningstiden minskade från 20,14 dagar 2023 till 16,06 dagar 2024, vilket är kommitténs bästa prestation sedan 2021. </w:t>
            </w:r>
            <w:r>
              <w:rPr>
                <w:b/>
                <w:i/>
              </w:rPr>
              <w:t>Parlamentet uppmuntrar till fortsatt effektiv övervakning, kostnadsbegränsning och strategisk omfördelning för att säkerställa valuta för pengarna och transparens.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Europaparlamentet noterar att rådet den 21 september 2024 antog ett nytt beslut om beviljande av dagtraktamente och ersättning för resekostnader till kommitténs ledamöter och deras suppleanter, varigenom dagtraktamentet för ersättningsberättigade som närvarar vid möten med fysisk närvaro fastställs till 367 EUR (en ökning från 290 EUR) och dagtraktamentet för ersättningsberättigade som närvarar vid möten på distans med elektroniska medel fastställs till 149 EUR (en ökning från 145 EUR). Parlamentet noterar utifrån frågeformuläret att kommittén under 2024 ersatte </w:t>
            </w:r>
            <w:r>
              <w:rPr>
                <w:b/>
                <w:i/>
              </w:rPr>
              <w:t>259 669</w:t>
            </w:r>
            <w:r>
              <w:t xml:space="preserve"> EUR för deltagande på distans (</w:t>
            </w:r>
            <w:r>
              <w:rPr>
                <w:b/>
                <w:i/>
              </w:rPr>
              <w:t>294 930</w:t>
            </w:r>
            <w:r>
              <w:t xml:space="preserve"> EUR 2023), vilket motsvarar </w:t>
            </w:r>
            <w:r>
              <w:rPr>
                <w:b/>
                <w:i/>
              </w:rPr>
              <w:t>1 744</w:t>
            </w:r>
            <w:r>
              <w:t xml:space="preserve"> sammanträdesdagar (</w:t>
            </w:r>
            <w:r>
              <w:rPr>
                <w:b/>
                <w:i/>
              </w:rPr>
              <w:t>2 006</w:t>
            </w:r>
            <w:r>
              <w:t xml:space="preserve"> sammanträdesdagar 2023), medan det totala beloppet för schablonersättningar för deltagande i sammanträden på plats uppgick till </w:t>
            </w:r>
            <w:r>
              <w:rPr>
                <w:b/>
                <w:i/>
              </w:rPr>
              <w:t>6 579 196</w:t>
            </w:r>
            <w:r>
              <w:t xml:space="preserve"> EUR 2024 (en ökning från </w:t>
            </w:r>
            <w:r>
              <w:rPr>
                <w:b/>
                <w:i/>
              </w:rPr>
              <w:t>5 902 963</w:t>
            </w:r>
            <w:r>
              <w:t xml:space="preserve"> EUR 2023). Parlamentet noterar vidare att kommittén har ett system för att på elektronisk väg bekräfta den faktiska närvaron vid distansdeltagande i sammanträden. Parlamentet anser att </w:t>
            </w:r>
            <w:r>
              <w:rPr>
                <w:b/>
                <w:i/>
              </w:rPr>
              <w:t>även om</w:t>
            </w:r>
            <w:r>
              <w:t xml:space="preserve"> distansnärvaro är ett viktigt instrument för moderna institutioner – </w:t>
            </w:r>
            <w:r>
              <w:rPr>
                <w:b/>
                <w:i/>
              </w:rPr>
              <w:t>som minskar</w:t>
            </w:r>
            <w:r>
              <w:t xml:space="preserve"> sammanträdeskostnaderna och </w:t>
            </w:r>
            <w:r>
              <w:rPr>
                <w:b/>
                <w:i/>
              </w:rPr>
              <w:t>möjliggör</w:t>
            </w:r>
            <w:r>
              <w:t xml:space="preserve"> ett bredare deltagande </w:t>
            </w:r>
            <w:r>
              <w:rPr>
                <w:b/>
                <w:i/>
              </w:rPr>
              <w:t>– är det svårt för allmänheten att förstå varför traktamente betalas ut för deltagande i sammanträden på distans, även om det är reducerat och begränsat till vissa typer</w:t>
            </w:r>
            <w:r>
              <w:t xml:space="preserve"> av evenemang.</w:t>
            </w:r>
          </w:p>
        </w:tc>
        <w:tc>
          <w:tcPr>
            <w:tcW w:w="4876" w:type="dxa"/>
            <w:tcBorders>
              <w:top w:val="nil"/>
              <w:left w:val="nil"/>
              <w:bottom w:val="nil"/>
              <w:right w:val="nil"/>
            </w:tcBorders>
          </w:tcPr>
          <w:p>
            <w:pPr>
              <w:pStyle w:val="Normal6a"/>
            </w:pPr>
            <w:r>
              <w:t>7.</w:t>
            </w:r>
            <w:r>
              <w:tab/>
            </w:r>
            <w:r>
              <w:t xml:space="preserve">Europaparlamentet noterar att rådet den 21 september 2024 antog ett nytt beslut om beviljande av dagtraktamente och ersättning för resekostnader till kommitténs ledamöter och deras suppleanter, varigenom dagtraktamentet för ersättningsberättigade som närvarar vid möten med fysisk närvaro fastställs till 367 EUR (en ökning från 290 EUR) och dagtraktamentet för ersättningsberättigade som närvarar vid möten på distans med elektroniska medel fastställs till 149 EUR (en ökning från 145 EUR). Parlamentet noterar utifrån frågeformuläret att kommittén under 2024 ersatte </w:t>
            </w:r>
            <w:r>
              <w:rPr>
                <w:b/>
                <w:i/>
              </w:rPr>
              <w:t>259 669</w:t>
            </w:r>
            <w:r>
              <w:t> EUR för deltagande på distans (</w:t>
            </w:r>
            <w:r>
              <w:rPr>
                <w:b/>
                <w:i/>
              </w:rPr>
              <w:t>294 930</w:t>
            </w:r>
            <w:r>
              <w:t xml:space="preserve"> EUR 2023), vilket motsvarar </w:t>
            </w:r>
            <w:r>
              <w:rPr>
                <w:b/>
                <w:i/>
              </w:rPr>
              <w:t>1 744</w:t>
            </w:r>
            <w:r>
              <w:t xml:space="preserve"> sammanträdesdagar (</w:t>
            </w:r>
            <w:r>
              <w:rPr>
                <w:b/>
                <w:i/>
              </w:rPr>
              <w:t>2 006</w:t>
            </w:r>
            <w:r>
              <w:t xml:space="preserve"> sammanträdesdagar 2023), medan det totala beloppet för schablonersättningar för deltagande i sammanträden på plats uppgick till </w:t>
            </w:r>
            <w:r>
              <w:rPr>
                <w:b/>
                <w:i/>
              </w:rPr>
              <w:t>6 579 196</w:t>
            </w:r>
            <w:r>
              <w:t xml:space="preserve"> EUR 2024 (en ökning från </w:t>
            </w:r>
            <w:r>
              <w:rPr>
                <w:b/>
                <w:i/>
              </w:rPr>
              <w:t>5 902 963</w:t>
            </w:r>
            <w:r>
              <w:t xml:space="preserve"> EUR 2023). Parlamentet noterar vidare att kommittén har ett system för att på elektronisk väg bekräfta den faktiska närvaron vid distansdeltagande i sammanträden. Parlamentet anser att distansnärvaro är ett viktigt instrument </w:t>
            </w:r>
            <w:r>
              <w:rPr>
                <w:b/>
                <w:i/>
              </w:rPr>
              <w:t>och ett värdefullt verktyg</w:t>
            </w:r>
            <w:r>
              <w:t xml:space="preserve"> för moderna institutioner – </w:t>
            </w:r>
            <w:r>
              <w:rPr>
                <w:b/>
                <w:i/>
              </w:rPr>
              <w:t>att minska</w:t>
            </w:r>
            <w:r>
              <w:t xml:space="preserve"> sammanträdeskostnaderna och </w:t>
            </w:r>
            <w:r>
              <w:rPr>
                <w:b/>
                <w:i/>
              </w:rPr>
              <w:t>möjliggöra</w:t>
            </w:r>
            <w:r>
              <w:t xml:space="preserve"> ett bredare deltagande</w:t>
            </w:r>
            <w:r>
              <w:rPr>
                <w:b/>
                <w:i/>
              </w:rPr>
              <w:t>.</w:t>
            </w:r>
            <w:r>
              <w:t xml:space="preserve"> </w:t>
            </w:r>
            <w:r>
              <w:rPr>
                <w:b/>
                <w:i/>
              </w:rPr>
              <w:t>Europaparlamentet välkomnar kommitténs metod att tilldela traktamenten för distansdeltagande till en reducerad och begränsad typ</w:t>
            </w:r>
            <w:r>
              <w:t xml:space="preserve"> av evenemang </w:t>
            </w:r>
            <w:r>
              <w:rPr>
                <w:b/>
                <w:i/>
              </w:rPr>
              <w:t>på ett rättvist och proportionerligt sätt, som återspeglar ledamöternas ansvar och krav på förberedelser, samtidigt som transparens och kostnadseffektivitet säkerställs och följs upp</w:t>
            </w:r>
            <w:r>
              <w:t xml:space="preserve">. </w:t>
            </w:r>
            <w:r>
              <w:rPr>
                <w:b/>
                <w:i/>
              </w:rPr>
              <w:t>Parlamentet påminner om att Europeiska ekonomiska och sociala kommitténs ledamöter inte får någon lön för sitt mandat.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Parlamentet uppmanar kommittén att ompröva systemet med traktamenten för distanssammanträden för att säkerställa full transparens, proportionalitet och allmänhetens förtroende.</w:t>
            </w:r>
            <w:r>
              <w:t xml:space="preserve"> </w:t>
            </w:r>
            <w:r>
              <w:rPr>
                <w:b/>
                <w:i/>
              </w:rPr>
              <w:t>Parlamentet betonar att ekonomisk ersättning för distansnärvaro måste vara strikt motiverad, begränsad i omfattning och anpassad till principerna om kostnadseffektivitet och ansvarsskyldighet.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Dick Erixon,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Europaparlamentet uttrycker djup oro över EU:s ökande skuldbörda och lånekostnader.</w:t>
            </w:r>
            <w:r>
              <w:t xml:space="preserve"> </w:t>
            </w:r>
            <w:r>
              <w:rPr>
                <w:b/>
                <w:i/>
              </w:rPr>
              <w:t>Parlamentet noterar att utestående lån som lånats av EU enligt Europeiska revisionsrättens årsrapport skulle kunna överstiga 900 miljarder EUR 2027, vilket är nästan tio gånger högre än 2020 innan återhämtningspaketet NextGenerationEU infördes.</w:t>
            </w:r>
            <w:r>
              <w:t xml:space="preserve"> </w:t>
            </w:r>
            <w:r>
              <w:rPr>
                <w:b/>
                <w:i/>
              </w:rPr>
              <w:t>Parlamentet varnar för att stigande lånekostnader utgör en risk för framtida budgetar och minskar det finanspolitiska utrymmet för nya prioriteringar.</w:t>
            </w:r>
            <w:r>
              <w:t xml:space="preserve"> </w:t>
            </w:r>
            <w:r>
              <w:rPr>
                <w:b/>
                <w:i/>
              </w:rPr>
              <w:t>Parlamentet insisterar därför på att detta aldrig tidigare skådade finanspolitiska tryck kräver en strikt strävan efter besparingar inom kommitténs egen administrativa budget.</w:t>
            </w:r>
            <w:r>
              <w:t xml:space="preserve"> </w:t>
            </w:r>
            <w:r>
              <w:rPr>
                <w:b/>
                <w:i/>
              </w:rPr>
              <w:t>Parlamentet uppmanar generalsekreteraren att lägga fram en plan för strukturella kostnadsminskningar för att visa institutionellt ansvar i tider av hög offentlig skuldsättning.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Parlamentet uppmanar kommitténs administration att aktivt identifiera och genomföra kostnadsbesparande åtgärder, bland annat genom ökad användning av hybridsammanträdesteknik, optimering av användningen av byggnader, konsolidering av den parlamentariska verksamheten och minskning av onödiga logistikutgifter.</w:t>
            </w:r>
            <w:r>
              <w:t xml:space="preserve"> </w:t>
            </w:r>
            <w:r>
              <w:rPr>
                <w:b/>
                <w:i/>
              </w:rPr>
              <w:t>Parlamentet begär regelbundna lägesrapporter om de åtgärder som genomförts och de besparingar som gjorts.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Parlamentet uppmanar kommittén att anta en strukturerad färdplan för att gradvis uppnå utgiftsriktmärket för cybersäkerhet på 10 %, inbegripet årliga delmål, riskbaserad prioritering och regelbunden rapportering till den ansvarsfrihetsbeviljande myndigheten.</w:t>
            </w:r>
            <w:r>
              <w:t xml:space="preserve"> </w:t>
            </w:r>
            <w:r>
              <w:rPr>
                <w:b/>
                <w:i/>
              </w:rPr>
              <w:t>Parlamentet betonar behovet av ett stärkt samarbete med CERT-EU och andra unionsinstitutioner för att säkerställa en enhetlig och resilient cybersäkerhetshållning.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Europaparlamentet erkänner att kommittén spelar en fundamental roll när det gäller att bidra till unionens politiska utveckling och beslutsprocesser genom att företräda röster från alla delar av det organiserade civila samhället i unionen, och på så sätt föra Europa närmare medborgarna och öka unionslagstiftningens demokratiska legitimitet. Parlamentet påminner om att kommittén, som en del av sitt årliga arbetsprogram, har ett prestationsövervakningssystem med indikatorer på olika områden, såsom it, personal, översättning och kommunikation, som är strukturerat kring fem grundläggande värden och fem centrala strategiska mål, inom ramen för generalsekretariatets strategi för 2021–2025. Parlamentet noterar med tillfredsställelse utifrån kommitténs uppföljning av iakttagelserna i parlamentets resolution om ansvarsfrihet för 2023 (uppföljningsrapporten) och frågeformuläret att kommittén, efter en revision, inledde en strukturerad process för att förbättra sin prestationsövervakning genom att anpassa sin prestationsram till strategiska mål genom centrala prestationsindikatorer och effektindikatorer som ska linjeras med kommitténs framtida strategiska mål, medan den högsta ledningen kommer att spela en nyckelroll i användningen av dessa indikatorer. Parlamentet förväntar sig att bli informerat om utfallet av genomförandet av denna nya ram genom kommitténs framtida rapportering till den ansvarsfrihetsbeviljande myndigheten.</w:t>
            </w:r>
          </w:p>
        </w:tc>
        <w:tc>
          <w:tcPr>
            <w:tcW w:w="4876" w:type="dxa"/>
            <w:tcBorders>
              <w:top w:val="nil"/>
              <w:left w:val="nil"/>
              <w:bottom w:val="nil"/>
              <w:right w:val="nil"/>
            </w:tcBorders>
          </w:tcPr>
          <w:p>
            <w:pPr>
              <w:pStyle w:val="Normal6a"/>
            </w:pPr>
            <w:r>
              <w:t>12.</w:t>
            </w:r>
            <w:r>
              <w:tab/>
            </w:r>
            <w:r>
              <w:t>Europaparlamentet erkänner att kommittén spelar en fundamental roll när det gäller att bidra till unionens politiska utveckling och beslutsprocesser genom att företräda röster från alla delar av det organiserade civila samhället i unionen, och på så sätt föra Europa närmare medborgarna och öka unionslagstiftningens demokratiska legitimitet. Parlamentet påminner om att kommittén, som en del av sitt årliga arbetsprogram, har ett prestationsövervakningssystem med indikatorer på olika områden, såsom it, personal, översättning och kommunikation, som är strukturerat kring fem grundläggande värden och fem centrala strategiska mål, inom ramen för generalsekretariatets strategi för 2021–2025</w:t>
            </w:r>
            <w:r>
              <w:rPr>
                <w:b/>
                <w:i/>
              </w:rPr>
              <w:t>.</w:t>
            </w:r>
            <w:r>
              <w:t xml:space="preserve"> </w:t>
            </w:r>
            <w:r>
              <w:rPr>
                <w:b/>
                <w:i/>
              </w:rPr>
              <w:t>Parlamentet anser dock att mervärdet av dess verksamhet för EU-medborgarna fortfarande till stor del är underrapporterat.</w:t>
            </w:r>
            <w:r>
              <w:t xml:space="preserve"> </w:t>
            </w:r>
            <w:r>
              <w:rPr>
                <w:b/>
                <w:i/>
              </w:rPr>
              <w:t>Parlamentet uppmanar kommittén att ytterligare stärka sin ram för konsekvensbedömningar genom att bättre visa hur dess yttranden och initiativ omsätts i konkreta politiska resultat och påtagliga fördelar för medborgarna</w:t>
            </w:r>
            <w:r>
              <w:t>. Parlamentet noterar med tillfredsställelse utifrån kommitténs uppföljning av iakttagelserna i parlamentets resolution om ansvarsfrihet för 2023 (uppföljningsrapporten) och frågeformuläret att kommittén, efter en revision, inledde en strukturerad process för att förbättra sin prestationsövervakning genom att anpassa sin prestationsram till strategiska mål genom centrala prestationsindikatorer och effektindikatorer som ska linjeras med kommitténs framtida strategiska mål, medan den högsta ledningen kommer att spela en nyckelroll i användningen av dessa indikatorer. Parlamentet förväntar sig att bli informerat om utfallet av genomförandet av denna nya ram genom kommitténs framtida rapportering till den ansvarsfrihetsbeviljande myndigheten.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Europaparlamentet erkänner att kommittén spelar en fundamental roll när det gäller att bidra till unionens politiska utveckling och beslutsprocesser genom att företräda röster från alla delar av det organiserade civila samhället i unionen, och på så sätt föra Europa närmare medborgarna och öka unionslagstiftningens demokratiska legitimitet. Parlamentet påminner om att kommittén, som en del av sitt årliga arbetsprogram, har ett prestationsövervakningssystem med indikatorer på olika områden, såsom it, personal, översättning och kommunikation, som är strukturerat kring fem grundläggande värden och fem centrala strategiska mål, inom ramen för generalsekretariatets strategi för 2021–2025. Parlamentet noterar med tillfredsställelse utifrån kommitténs uppföljning av iakttagelserna i parlamentets resolution om ansvarsfrihet för 2023 (uppföljningsrapporten) och frågeformuläret att kommittén, efter en revision, inledde en strukturerad process för att förbättra sin prestationsövervakning genom att anpassa sin prestationsram till strategiska mål genom centrala prestationsindikatorer och effektindikatorer som ska linjeras med kommitténs framtida strategiska mål, medan den högsta ledningen kommer att spela en nyckelroll i användningen av dessa indikatorer. Parlamentet förväntar sig att bli informerat om utfallet av genomförandet av denna nya ram genom kommitténs framtida rapportering till den ansvarsfrihetsbeviljande myndigheten.</w:t>
            </w:r>
          </w:p>
        </w:tc>
        <w:tc>
          <w:tcPr>
            <w:tcW w:w="4876" w:type="dxa"/>
            <w:tcBorders>
              <w:top w:val="nil"/>
              <w:left w:val="nil"/>
              <w:bottom w:val="nil"/>
              <w:right w:val="nil"/>
            </w:tcBorders>
          </w:tcPr>
          <w:p>
            <w:pPr>
              <w:pStyle w:val="Normal6a"/>
            </w:pPr>
            <w:r>
              <w:t>12.</w:t>
            </w:r>
            <w:r>
              <w:tab/>
            </w:r>
            <w:r>
              <w:t xml:space="preserve">Europaparlamentet erkänner att kommittén spelar en fundamental roll när det gäller att bidra till unionens politiska utveckling och beslutsprocesser genom att företräda röster från alla delar av det organiserade civila samhället i unionen, och på så sätt föra Europa närmare medborgarna och öka unionslagstiftningens demokratiska legitimitet. Parlamentet påminner om att kommittén, som en del av sitt årliga arbetsprogram, har ett prestationsövervakningssystem med indikatorer på olika områden, såsom it, personal, översättning och kommunikation, som är strukturerat kring fem grundläggande värden och fem centrala strategiska mål, inom ramen för generalsekretariatets strategi för 2021–2025. Parlamentet noterar med tillfredsställelse utifrån kommitténs uppföljning av iakttagelserna i parlamentets resolution om ansvarsfrihet för 2023 (uppföljningsrapporten) och frågeformuläret att kommittén, efter en revision, inledde en strukturerad process för att förbättra sin prestationsövervakning genom att anpassa sin prestationsram till strategiska mål genom centrala prestationsindikatorer och effektindikatorer som ska linjeras med kommitténs framtida strategiska mål, medan den högsta ledningen kommer att spela en nyckelroll i användningen av dessa indikatorer. Parlamentet förväntar sig att bli informerat om utfallet av genomförandet av denna nya ram genom kommitténs framtida rapportering till den ansvarsfrihetsbeviljande myndigheten. </w:t>
            </w:r>
            <w:r>
              <w:rPr>
                <w:b/>
                <w:i/>
              </w:rPr>
              <w:t>Parlamentet välkomnar kommitténs insatser för att integrera effektmätning i sitt beslutsfattande och efterlyser tydliga kvantifierbara centrala resultatindikatorer och regelbunden rapportering för att säkerställa mätbara resultat och ansvarsskyldighet.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Europaparlamentet noterar att kommittén fullgör sitt uppdrag genom yttranden, som hänför sig till lagstiftningsförslag från kommissionen (remisser), yttranden på eget initiativ, där unionens institutioner uppmanas att vidta åtgärder, och förberedande yttranden, avsedda att bidra till kommissionens arbete med dess planerade initiativ, och att kommitténs ståndpunkter kan lyftas fram i resolutioner eller ingå i utvärderings- och informationsrapporter. Parlamentet lovordar kommittén för dess prestationer vad gällde att bistå parlamentet, rådet och kommissionen i lagstiftningscykeln under 2024. Parlamentet noterar i detta sammanhang att kommittén under 2024 antog 142 yttranden och rapporter, vilket är en minskning från 213 under 2023, och att kommittén anordnade 148 hearingar och 26 konferenser, jämfört med 146 respektive 24 under 2023. Parlamentet konstaterar att den nya mandatperioden 2024 ledde till ett minskat antal remisser och följaktligen till ett minskat antal yttranden som kommittén antog det året. Parlamentet noterar att kommitténs ledamöter deltog i 518 högnivåmöten, toppmöten och konferenser under 2024, jämfört med 429 under 2023.</w:t>
            </w:r>
          </w:p>
        </w:tc>
        <w:tc>
          <w:tcPr>
            <w:tcW w:w="4876" w:type="dxa"/>
            <w:tcBorders>
              <w:top w:val="nil"/>
              <w:left w:val="nil"/>
              <w:bottom w:val="nil"/>
              <w:right w:val="nil"/>
            </w:tcBorders>
          </w:tcPr>
          <w:p>
            <w:pPr>
              <w:pStyle w:val="Normal6a"/>
            </w:pPr>
            <w:r>
              <w:t>13.</w:t>
            </w:r>
            <w:r>
              <w:tab/>
            </w:r>
            <w:r>
              <w:t xml:space="preserve">Europaparlamentet noterar att kommittén fullgör sitt uppdrag genom yttranden, som hänför sig till lagstiftningsförslag från kommissionen (remisser), yttranden på eget initiativ, där unionens institutioner uppmanas att vidta åtgärder, och förberedande yttranden, avsedda att bidra till kommissionens arbete med dess planerade initiativ, och att kommitténs ståndpunkter kan lyftas fram i resolutioner eller ingå i utvärderings- och informationsrapporter. Parlamentet lovordar kommittén för dess prestationer vad gällde att bistå parlamentet, rådet och kommissionen i lagstiftningscykeln under 2024. Parlamentet noterar i detta sammanhang att kommittén under 2024 antog 142 yttranden och rapporter, vilket är en minskning från 213 under 2023, och att kommittén anordnade 148 hearingar och 26 konferenser, jämfört med 146 respektive 24 under 2023. Parlamentet konstaterar att den nya mandatperioden 2024 ledde till ett minskat antal remisser och följaktligen till ett minskat antal yttranden som kommittén antog det året. Parlamentet noterar att kommitténs ledamöter deltog i 518 högnivåmöten, toppmöten och konferenser under 2024, jämfört med 429 under 2023. </w:t>
            </w:r>
            <w:r>
              <w:rPr>
                <w:b/>
                <w:i/>
              </w:rPr>
              <w:t>Parlamentet uppmuntrar till prioritering av initiativ som stöder ekonomisk tillväxt, konkurrenskraft och EU:s strategiska oberoende.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13a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Parlamentet uppmuntrar kommittén att fortsätta sina ansträngningar för att fokusera sitt arbete på områden där den kan tillhandahålla tydliga, mätbara och politiskt relevanta bidrag, och att vidareutveckla prestations- och effektbaserade indikatorer som går utöver verksamhetsbaserade resultat och bättre återspeglar resultat och relevans för medborgarna.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Europaparlamentet välkomnar på grundval av uppföljningsrapporten kommitténs åtagande att utarbeta yttranden om arbetstagares rättigheter, social inkludering och kränkningar av de mänskliga rättigheterna, och att utvidga omfattningen av sina utvärderingar med avseende på unionens lagstiftning och program, förutsatt att tillräckliga resurser finns tillgängliga.</w:t>
            </w:r>
          </w:p>
        </w:tc>
        <w:tc>
          <w:tcPr>
            <w:tcW w:w="4876" w:type="dxa"/>
            <w:tcBorders>
              <w:top w:val="nil"/>
              <w:left w:val="nil"/>
              <w:bottom w:val="nil"/>
              <w:right w:val="nil"/>
            </w:tcBorders>
          </w:tcPr>
          <w:p>
            <w:pPr>
              <w:pStyle w:val="Normal6a"/>
            </w:pPr>
            <w:r>
              <w:t>14.</w:t>
            </w:r>
            <w:r>
              <w:tab/>
            </w:r>
            <w:r>
              <w:t xml:space="preserve">Europaparlamentet välkomnar på grundval av uppföljningsrapporten kommitténs åtagande att utarbeta yttranden om arbetstagares rättigheter, social inkludering och kränkningar av de mänskliga rättigheterna, och att utvidga omfattningen av sina utvärderingar med avseende på unionens lagstiftning och program, förutsatt att tillräckliga resurser finns tillgängliga </w:t>
            </w:r>
            <w:r>
              <w:rPr>
                <w:b/>
                <w:i/>
              </w:rPr>
              <w:t>och representerar det breda civila samhället</w:t>
            </w:r>
            <w:r>
              <w:t xml:space="preserve">. </w:t>
            </w:r>
            <w:r>
              <w:rPr>
                <w:b/>
                <w:i/>
              </w:rPr>
              <w:t>Parlamentet uppmuntrar kommittén att utvidga yttrandenas tillämpningsområde till att omfatta ytterligare unionslagstiftning som rör kollektiva nyttigheter.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Europaparlamentet uppskattar de åtgärder som kommittén vidtog 2024 för att förbättra synligheten och genomslagskraften för sitt arbete i den politiska cykeln och lagstiftningscykeln. Parlamentet välkomnar den officiella lanseringen, efter ett pilotprojekt, av ett nytt format för yttranden som utarbetas som svar på obligatoriska remisser från parlamentet, rådet eller kommissionen. Parlamentet noterar att det nya formatet ökar lagstiftarens användarvänlighet och användbarhet, samtidigt som kommitténs arbete prioriteras bättre. Parlamentet noterar vidare att kommittén, tack vare en förstärkt uppföljning av utvalda yttranden med hjälp av en checklista och vägledning, förväntar sig att de kommer att förbli relevanta även efter antagandet och bidra till lagstiftningsprocesser på flera nivåer. Parlamentet välkomnar vidare integreringen av kommitténs yttranden i unionens Law Tracker (EULT) från och med april 2024, varigenom de nu förekommer som hänvisningar i lagstiftningsärenden. Parlamentet noterar med tillfredsställelse att kommittén också antog en intern plan för att bättre förutse unionens prioriteringar, förbättra den interinstitutionella samordningen, stärka spridningen och uppföljningen och mäta effekterna mer systematiskt.</w:t>
            </w:r>
          </w:p>
        </w:tc>
        <w:tc>
          <w:tcPr>
            <w:tcW w:w="4876" w:type="dxa"/>
            <w:tcBorders>
              <w:top w:val="nil"/>
              <w:left w:val="nil"/>
              <w:bottom w:val="nil"/>
              <w:right w:val="nil"/>
            </w:tcBorders>
          </w:tcPr>
          <w:p>
            <w:pPr>
              <w:pStyle w:val="Normal6a"/>
            </w:pPr>
            <w:r>
              <w:rPr>
                <w:i/>
              </w:rPr>
              <w:t>(Berör inte den svenska versionen.)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Europaparlamentet uppskattar de åtgärder som kommittén vidtog 2024 för att göra sina yttranden mer tillgängliga, tydliga och användbara för unionens institutioner.</w:t>
            </w:r>
            <w:r>
              <w:t xml:space="preserve"> </w:t>
            </w:r>
            <w:r>
              <w:rPr>
                <w:b/>
                <w:i/>
              </w:rPr>
              <w:t>Parlamentet understryker att sådana åtgärder är avsedda att öka lagstiftarnas förmåga att fatta välgrundade beslut.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Europaparlamentet noterar med tillfredsställelse att kommittén förde fram flera flaggskeppsinitiativ som stärkte deltagandet, inkluderingen och den politiska genomslagskraften i hela unionen. Parlamentet noterar att kommittén i september 2024 tog ledningen när det gäller att tillämpa EU:s ungdomstest i sin opinionsbildningsprocess, med ett nätverk av 73 ungdomsorganisationer och ungdomstester av omkring 40 yttranden. Parlamentet noterar vidare att kommittén utökade sitt samarbete med kandidatländerna genom initiativet med kandidatlandsledamöter, vilket gjorde det möjligt för 146 företrädare för det civila samhället att bidra direkt till kommitténs yttranden, genom deltagande i studiegrupper, sektionssammanträden och plenarsessioner (som hölls i oktober 2024). Parlamentet lovordar kommittén för att ha främjat EU:s blå giv och bidragit till att sätta vattenresiliens på unionens agenda. Parlamentet understryker att kommittén fortsatte att leda Europeiska plattformen för berörda aktörer inom den cirkulära ekonomin och samorganiserade EU:s ekopris 2024, vilket stärkte kopplingarna till det civila samhällets aktörer inom ekologiskt jordbruk.</w:t>
            </w:r>
          </w:p>
        </w:tc>
        <w:tc>
          <w:tcPr>
            <w:tcW w:w="4876" w:type="dxa"/>
            <w:tcBorders>
              <w:top w:val="nil"/>
              <w:left w:val="nil"/>
              <w:bottom w:val="nil"/>
              <w:right w:val="nil"/>
            </w:tcBorders>
          </w:tcPr>
          <w:p>
            <w:pPr>
              <w:pStyle w:val="Normal6a"/>
            </w:pPr>
            <w:r>
              <w:t>16.</w:t>
            </w:r>
            <w:r>
              <w:tab/>
            </w:r>
            <w:r>
              <w:t xml:space="preserve">Europaparlamentet noterar med tillfredsställelse att kommittén förde fram flera flaggskeppsinitiativ som stärkte deltagandet, inkluderingen och den politiska genomslagskraften i hela unionen. Parlamentet noterar att kommittén i september 2024 tog ledningen när det gäller att tillämpa EU:s ungdomstest i sin opinionsbildningsprocess, med ett nätverk av 73 ungdomsorganisationer och ungdomstester av omkring 40 yttranden. Parlamentet noterar vidare att kommittén utökade sitt samarbete med kandidatländerna genom initiativet med kandidatlandsledamöter, vilket gjorde det möjligt för 146 företrädare för det civila samhället att bidra direkt till kommitténs yttranden, genom deltagande i studiegrupper, sektionssammanträden och plenarsessioner (som hölls i oktober 2024). Parlamentet </w:t>
            </w:r>
            <w:r>
              <w:rPr>
                <w:b/>
                <w:i/>
              </w:rPr>
              <w:t>välkomnar detta initiativ som ett positivt bidrag till en inkluderande dialog och förberedelser inför framtida utvidgningar.</w:t>
            </w:r>
            <w:r>
              <w:t xml:space="preserve"> </w:t>
            </w:r>
            <w:r>
              <w:rPr>
                <w:b/>
                <w:i/>
              </w:rPr>
              <w:t>Parlamentet</w:t>
            </w:r>
            <w:r>
              <w:t xml:space="preserve"> lovordar kommittén för att ha främjat EU:s blå giv och bidragit till att sätta vattenresiliens på unionens agenda. Parlamentet understryker att kommittén fortsatte att leda Europeiska plattformen för berörda aktörer inom den cirkulära ekonomin och samorganiserade EU:s ekopris 2024, vilket stärkte kopplingarna till det civila samhällets aktörer inom ekologiskt jordbruk. </w:t>
            </w:r>
            <w:r>
              <w:rPr>
                <w:b/>
                <w:i/>
              </w:rPr>
              <w:t>Parlamentet uppmuntrar till fortsatt linjering med EU:s strategiska politiska mål och till mätbara resultat.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Europaparlamentet noterar med tillfredsställelse att kommittén förde fram flera flaggskeppsinitiativ som stärkte deltagandet, inkluderingen och den politiska genomslagskraften i hela unionen. Parlamentet noterar att kommittén i september 2024 tog ledningen när det gäller att tillämpa EU:s ungdomstest i sin opinionsbildningsprocess, med ett nätverk av 73 ungdomsorganisationer och ungdomstester av omkring 40 yttranden. Parlamentet noterar vidare att kommittén utökade sitt samarbete med kandidatländerna genom initiativet med kandidatlandsledamöter, vilket gjorde det möjligt för 146 företrädare för det civila samhället att bidra direkt till kommitténs yttranden, genom deltagande i studiegrupper, sektionssammanträden och plenarsessioner (som hölls i oktober 2024). Parlamentet lovordar kommittén för att ha främjat EU:s blå giv och bidragit till att sätta vattenresiliens på unionens agenda. Parlamentet understryker att kommittén fortsatte att leda Europeiska plattformen för berörda aktörer inom den cirkulära ekonomin och samorganiserade EU:s ekopris 2024, vilket stärkte kopplingarna till det civila samhällets aktörer inom ekologiskt jordbruk.</w:t>
            </w:r>
          </w:p>
        </w:tc>
        <w:tc>
          <w:tcPr>
            <w:tcW w:w="4876" w:type="dxa"/>
            <w:tcBorders>
              <w:top w:val="nil"/>
              <w:left w:val="nil"/>
              <w:bottom w:val="nil"/>
              <w:right w:val="nil"/>
            </w:tcBorders>
          </w:tcPr>
          <w:p>
            <w:pPr>
              <w:pStyle w:val="Normal6a"/>
            </w:pPr>
            <w:r>
              <w:t>16.</w:t>
            </w:r>
            <w:r>
              <w:tab/>
            </w:r>
            <w:r>
              <w:t>Europaparlamentet noterar med tillfredsställelse att kommittén förde fram flera flaggskeppsinitiativ som stärkte deltagandet, inkluderingen och den politiska genomslagskraften i hela unionen. Parlamentet noterar att kommittén i september 2024 tog ledningen när det gäller att tillämpa EU:s ungdomstest i sin opinionsbildningsprocess, med ett nätverk av 73 ungdomsorganisationer och ungdomstester av omkring 40 yttranden</w:t>
            </w:r>
            <w:r>
              <w:rPr>
                <w:b/>
                <w:i/>
              </w:rPr>
              <w:t>.</w:t>
            </w:r>
            <w:r>
              <w:t xml:space="preserve"> </w:t>
            </w:r>
            <w:r>
              <w:rPr>
                <w:b/>
                <w:i/>
              </w:rPr>
              <w:t>Parlamentet välkomnar och stöder kommitténs initiativ som syftar till att stärka ungdomars deltagande i den politiska beslutsprocessen</w:t>
            </w:r>
            <w:r>
              <w:t>. Parlamentet noterar vidare att kommittén utökade sitt samarbete med kandidatländerna genom initiativet med kandidatlandsledamöter, vilket gjorde det möjligt för 146 företrädare för det civila samhället att bidra direkt till kommitténs yttranden, genom deltagande i studiegrupper, sektionssammanträden och plenarsessioner (som hölls i oktober 2024). Parlamentet lovordar kommittén för att ha främjat EU:s blå giv och bidragit till att sätta vattenresiliens på unionens agenda. Parlamentet understryker att kommittén fortsatte att leda Europeiska plattformen för berörda aktörer inom den cirkulära ekonomin och samorganiserade EU:s ekopris 2024, vilket stärkte kopplingarna till det civila samhällets aktörer inom ekologiskt jordbruk.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Europaparlamentet noterar med tillfredsställelse, på grundval av frågeformuläret, kommitténs åtgärder för att minska den administrativa bördan och effektivisera processerna under 2024. Parlamentet välkomnar i detta avseende bland annat lanseringen av ett nytt, effektivare besöksregistreringsprogram, användningen av samarbetsprogramvara av en del av dess personal, den arbetsgrupp mellan direktoraten som reglerar användningen av kommitténs metod för hantering av verksamhetsprocesser, förenklingen av verifieringskedjan när det gäller utkontrakterade översättningar, sammanslagningen av flera språkenheter och förenklingen av kommitténs kommunikationsregler, med mera. Parlamentet noterar </w:t>
            </w:r>
            <w:r>
              <w:rPr>
                <w:b/>
                <w:i/>
              </w:rPr>
              <w:t>med intresse</w:t>
            </w:r>
            <w:r>
              <w:t xml:space="preserve"> att kommittén för att spara resurser genomför en pilotfas med hjälp av artificiell intelligens (AI) för att omvandla direktoratet för översättning. Parlamentet uppmanar kommittén att hålla den ansvarsbefrielsebeviljande myndigheten informerad om de framsteg som görs i detta avseende.</w:t>
            </w:r>
          </w:p>
        </w:tc>
        <w:tc>
          <w:tcPr>
            <w:tcW w:w="4876" w:type="dxa"/>
            <w:tcBorders>
              <w:top w:val="nil"/>
              <w:left w:val="nil"/>
              <w:bottom w:val="nil"/>
              <w:right w:val="nil"/>
            </w:tcBorders>
          </w:tcPr>
          <w:p>
            <w:pPr>
              <w:pStyle w:val="Normal6a"/>
            </w:pPr>
            <w:r>
              <w:t>17.</w:t>
            </w:r>
            <w:r>
              <w:tab/>
            </w:r>
            <w:r>
              <w:t xml:space="preserve">Europaparlamentet noterar med tillfredsställelse, på grundval av frågeformuläret, kommitténs åtgärder för att minska den administrativa bördan och effektivisera processerna under 2024. Parlamentet välkomnar i detta avseende bland annat lanseringen av ett nytt, effektivare besöksregistreringsprogram, användningen av samarbetsprogramvara av en del av dess personal, den arbetsgrupp mellan direktoraten som reglerar användningen av kommitténs metod för hantering av verksamhetsprocesser, förenklingen av verifieringskedjan när det gäller utkontrakterade översättningar, sammanslagningen av flera språkenheter och förenklingen av kommitténs kommunikationsregler, med mera. Parlamentet noterar att kommittén för att spara resurser genomför en pilotfas med hjälp av artificiell intelligens (AI) för att omvandla direktoratet för översättning. Parlamentet </w:t>
            </w:r>
            <w:r>
              <w:rPr>
                <w:b/>
                <w:i/>
              </w:rPr>
              <w:t>betonar att användningen av AI måste ske under mänsklig tillsyn.</w:t>
            </w:r>
            <w:r>
              <w:t xml:space="preserve"> </w:t>
            </w:r>
            <w:r>
              <w:rPr>
                <w:b/>
                <w:i/>
              </w:rPr>
              <w:t>Parlamentet</w:t>
            </w:r>
            <w:r>
              <w:t xml:space="preserve"> uppmanar kommittén att hålla den ansvarsbefrielsebeviljande myndigheten informerad om de framsteg som görs i detta avseende.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Europaparlamentet uppmanar kommittén att förbättra utvecklingen av en övergripande strategi för digital omvandling som omfattar artificiell intelligens, automatisering, interoperabilitet och dataförvaltning, åtföljd av en etisk ram som garanterar säker, ansvarsfull och transparent användning av ny teknik.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Europaparlamentet noterar med intresse, på grundval av frågeformuläret, kommitténs insatser för att anta ett mer strategiskt tillvägagångssätt för att prioritera sitt effektdrivna arbete och införa effekthantering i centrum för beslutsfattandet. Parlamentet noterar i detta sammanhang anordnandet av tre strategiska seminarier på hög nivå med politiskt ledarskap under 2024 och 2025, under vilka framsynsövningar var centrala för att bland annat utveckla kriterier för prioritering eller nedprioritering av initiativ och för att säkerställa tematisk anpassning till det civila samhällets långsiktiga behov. Parlamentet noterar att denna prioritering kommer att integreras i kommitténs kärnverksamhet, eftersom den kommer att genomföras årligen och vart 2,5:e år kompletteras med en översyn av alla kommitténs organ, verksamheter och större evenemang.</w:t>
            </w:r>
          </w:p>
        </w:tc>
        <w:tc>
          <w:tcPr>
            <w:tcW w:w="4876" w:type="dxa"/>
            <w:tcBorders>
              <w:top w:val="nil"/>
              <w:left w:val="nil"/>
              <w:bottom w:val="nil"/>
              <w:right w:val="nil"/>
            </w:tcBorders>
          </w:tcPr>
          <w:p>
            <w:pPr>
              <w:pStyle w:val="Normal6a"/>
            </w:pPr>
            <w:r>
              <w:rPr>
                <w:i/>
              </w:rPr>
              <w:t>(Berör inte den svenska versionen.)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Europaparlamentet noterar när det gäller 2024 års efterlevnadsarbete en hög grad av efterlevnad med en genomsnittlig grad på 85 % (87 % 2023). Parlamentet beklagar att internkontrollsystemets effektivitet minskade från 78 % till 66 %. Parlamentet noterar i detta sammanhang en klyfta mellan formell efterlevnad och praktisk effektivitet i den dagliga verksamheten. Parlamentet </w:t>
            </w:r>
            <w:r>
              <w:rPr>
                <w:b/>
                <w:i/>
              </w:rPr>
              <w:t>noterar att insatser måste göras</w:t>
            </w:r>
            <w:r>
              <w:t xml:space="preserve"> bland annat </w:t>
            </w:r>
            <w:r>
              <w:rPr>
                <w:b/>
                <w:i/>
              </w:rPr>
              <w:t>när det gäller intern kommunikation, riskmedvetenhet och modernisering</w:t>
            </w:r>
            <w:r>
              <w:t xml:space="preserve"> av dokument- och informationshanteringssystem. Parlamentet noterar vidare att kommittén 2024 antog ett reviderat beslut om förenkling av 23 typer av kontroller, som är tillämpligt från och med januari 2025. Parlamentet välkomnar att det av frågeformuläret framgår att de efterhandskontroller som redan utförts med avseende på dessa kontroller bekräftade att förenklingen inte medförde några ytterligare risker.</w:t>
            </w:r>
          </w:p>
        </w:tc>
        <w:tc>
          <w:tcPr>
            <w:tcW w:w="4876" w:type="dxa"/>
            <w:tcBorders>
              <w:top w:val="nil"/>
              <w:left w:val="nil"/>
              <w:bottom w:val="nil"/>
              <w:right w:val="nil"/>
            </w:tcBorders>
          </w:tcPr>
          <w:p>
            <w:pPr>
              <w:pStyle w:val="Normal6a"/>
            </w:pPr>
            <w:r>
              <w:t>19.</w:t>
            </w:r>
            <w:r>
              <w:tab/>
            </w:r>
            <w:r>
              <w:t xml:space="preserve">Europaparlamentet noterar när det gäller 2024 års efterlevnadsarbete en hög grad av efterlevnad med en genomsnittlig grad på 85 % (87 % 2023). Parlamentet beklagar att internkontrollsystemets effektivitet minskade från 78 % till 66 %. Parlamentet noterar i detta sammanhang en klyfta mellan formell efterlevnad och praktisk effektivitet i den dagliga verksamheten. Parlamentet </w:t>
            </w:r>
            <w:r>
              <w:rPr>
                <w:b/>
                <w:i/>
              </w:rPr>
              <w:t>uppmanar kommittén att ta itu med de strukturella orsakerna till den minskade effektiviteten i den interna kontrollen,</w:t>
            </w:r>
            <w:r>
              <w:t xml:space="preserve"> bland annat </w:t>
            </w:r>
            <w:r>
              <w:rPr>
                <w:b/>
                <w:i/>
              </w:rPr>
              <w:t>genom att stärka riskmedvetenhetskulturen, förbättra de interna kommunikationskanalerna och påskynda moderniseringen</w:t>
            </w:r>
            <w:r>
              <w:t xml:space="preserve"> av dokument- och informationshanteringssystem. Parlamentet noterar vidare att kommittén 2024 antog ett reviderat beslut om förenkling av 23 typer av kontroller, som är tillämpligt från och med januari 2025. Parlamentet välkomnar att det av frågeformuläret framgår att de efterhandskontroller som redan utförts med avseende på dessa kontroller bekräftade att förenklingen inte medförde några ytterligare risker.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Europaparlamentet noterar när det gäller 2024 års efterlevnadsarbete en hög grad av efterlevnad med en genomsnittlig grad på 85 % (87 % 2023). Parlamentet beklagar att internkontrollsystemets effektivitet minskade från 78 % till 66 %. Parlamentet noterar i detta sammanhang en klyfta mellan formell efterlevnad och praktisk effektivitet i den dagliga verksamheten. Parlamentet noterar att insatser måste göras bland annat när det gäller intern kommunikation, riskmedvetenhet och modernisering av dokument- och informationshanteringssystem. Parlamentet noterar vidare att kommittén 2024 antog ett reviderat beslut om förenkling av 23 typer av kontroller, som är tillämpligt från och med januari 2025. Parlamentet välkomnar att det av frågeformuläret framgår att de efterhandskontroller som redan utförts med avseende på dessa kontroller bekräftade att förenklingen inte medförde några ytterligare risker.</w:t>
            </w:r>
          </w:p>
        </w:tc>
        <w:tc>
          <w:tcPr>
            <w:tcW w:w="4876" w:type="dxa"/>
            <w:tcBorders>
              <w:top w:val="nil"/>
              <w:left w:val="nil"/>
              <w:bottom w:val="nil"/>
              <w:right w:val="nil"/>
            </w:tcBorders>
          </w:tcPr>
          <w:p>
            <w:pPr>
              <w:pStyle w:val="Normal6a"/>
            </w:pPr>
            <w:r>
              <w:rPr>
                <w:i/>
              </w:rPr>
              <w:t>(Berör inte den svenska versionen.)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Europaparlamentet noterar utifrån kommitténs årliga verksamhetsrapport för 2024 (kommitténs rapport) att fem nya revisioner genomfördes under 2024 om tids- och avståndsbaserad ersättning, riskhantering, remisser, centrala verksamhets- och prestationsindikatorer och resekostnader – vilket ledde till totalt 14 rekommendationer. Parlamentet noterar särskilt internrevisorns iakttagelser när det gäller tids- och avståndsbaserad ersättning, såsom avsaknaden av en tydlig definition av ”stadigvarande bosättning” och avsaknaden av krav på styrkande handlingar. Parlamentet noterar vidare att 13 av rekommendationerna fortfarande var oavslutade i slutet av januari 2025. Parlamentet noterar vidare att sju rekommendationer fortfarande är oavslutade från tidigare revisioner, särskilt när det gäller etik och integritet, betalningstider, sammanträdestillstånd, delegater i det rådgivande utskottet för industriell omvandling (CCMI) och den strategiska cykeln. Parlamentet välkomnar i detta sammanhang att kommittén har antagit nya bestämmelser om sammanträdestillstånd, traktamenten och ersättningar. Parlamentet uppmanar kommittén att fortsätta att hålla den ansvarsfrihetsbeviljande myndigheten informerad om de framsteg som görs i genomförandet av alla pågående rekommendationer.</w:t>
            </w:r>
          </w:p>
        </w:tc>
        <w:tc>
          <w:tcPr>
            <w:tcW w:w="4876" w:type="dxa"/>
            <w:tcBorders>
              <w:top w:val="nil"/>
              <w:left w:val="nil"/>
              <w:bottom w:val="nil"/>
              <w:right w:val="nil"/>
            </w:tcBorders>
          </w:tcPr>
          <w:p>
            <w:pPr>
              <w:pStyle w:val="Normal6a"/>
            </w:pPr>
            <w:r>
              <w:t>20.</w:t>
            </w:r>
            <w:r>
              <w:tab/>
            </w:r>
            <w:r>
              <w:t xml:space="preserve">Europaparlamentet noterar utifrån kommitténs årliga verksamhetsrapport för 2024 (kommitténs rapport) att fem nya revisioner genomfördes under 2024 om tids- och avståndsbaserad ersättning, riskhantering, remisser, centrala verksamhets- och prestationsindikatorer och resekostnader – vilket ledde till totalt 14 rekommendationer. Parlamentet noterar särskilt internrevisorns iakttagelser när det gäller tids- och avståndsbaserad ersättning, såsom avsaknaden av en tydlig definition av ”stadigvarande bosättning” och avsaknaden av krav på styrkande handlingar. Parlamentet noterar vidare att 13 av rekommendationerna fortfarande var oavslutade i slutet av januari 2025. Parlamentet noterar vidare att sju rekommendationer fortfarande är oavslutade från tidigare revisioner, särskilt när det gäller etik och integritet, betalningstider, sammanträdestillstånd, delegater i det rådgivande utskottet för industriell omvandling (CCMI) och den strategiska cykeln. Parlamentet välkomnar i detta sammanhang att kommittén har antagit nya bestämmelser om sammanträdestillstånd, traktamenten och ersättningar. Parlamentet uppmanar kommittén att </w:t>
            </w:r>
            <w:r>
              <w:rPr>
                <w:b/>
                <w:i/>
              </w:rPr>
              <w:t>säkerställa ett snabbt avslutande av alla kvarstående revisionsrekommendationer, särskilt de som rör ersättningar, etik och integritet, och att</w:t>
            </w:r>
            <w:r>
              <w:t xml:space="preserve"> fortsätta att hålla den ansvarsfrihetsbeviljande myndigheten informerad om de framsteg som görs i genomförandet av alla pågående rekommendationer.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20a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Europaparlamentet betonar att upphandling är ett viktigt verktyg för att främja politiska mål, inte minst sociala och miljömässiga mål.</w:t>
            </w:r>
            <w:r>
              <w:t xml:space="preserve"> </w:t>
            </w:r>
            <w:r>
              <w:rPr>
                <w:b/>
                <w:i/>
              </w:rPr>
              <w:t>Parlamentet uppmanar kommittén att i högre grad inkludera strategiska kriterier för socialt ansvar och miljömässig hållbarhet i sina upphandlingsförfaranden.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Europaparlamentet noterar att kommittén i slutet av 2024 hade 713 anställda, jämfört med 707 under 2023. Parlamentet noterar vidare att 48 kontraktsanställda och 144 tillfälligt anställda (varav 42 rekryterades 2024) var anställda 2024 (jämfört med 49 kontraktsanställda och 130 tillfälligt anställda 2023). Parlamentet </w:t>
            </w:r>
            <w:r>
              <w:rPr>
                <w:b/>
                <w:i/>
              </w:rPr>
              <w:t>påminner om</w:t>
            </w:r>
            <w:r>
              <w:t xml:space="preserve"> vikten av att erbjuda fast anställning för att behålla kompetens, upprätthålla kontinuitet och sörja för en produktiv arbetsmiljö. Parlamentet noterar dessutom att kommittén sysselsatte 10 tjänsteleverantörer och 14 externa anställda som arbetade internt, med undantag för personal inom områdena catering, underhåll, säkerhet och skydd. Parlamentet noterar att tillsättningsgraden var 96 % (95,50 % 2023) och att personalomsättningen var 5,60 % 2024 (en minskning från 7 % 2023).</w:t>
            </w:r>
          </w:p>
        </w:tc>
        <w:tc>
          <w:tcPr>
            <w:tcW w:w="4876" w:type="dxa"/>
            <w:tcBorders>
              <w:top w:val="nil"/>
              <w:left w:val="nil"/>
              <w:bottom w:val="nil"/>
              <w:right w:val="nil"/>
            </w:tcBorders>
          </w:tcPr>
          <w:p>
            <w:pPr>
              <w:pStyle w:val="Normal6a"/>
            </w:pPr>
            <w:r>
              <w:t>21.</w:t>
            </w:r>
            <w:r>
              <w:tab/>
            </w:r>
            <w:r>
              <w:t xml:space="preserve">Europaparlamentet noterar att kommittén i slutet av 2024 hade 713 anställda, jämfört med 707 under 2023. Parlamentet noterar vidare att 48 kontraktsanställda och 144 tillfälligt anställda (varav 42 rekryterades 2024) var anställda 2024 (jämfört med 49 kontraktsanställda och 130 tillfälligt anställda 2023). Parlamentet </w:t>
            </w:r>
            <w:r>
              <w:rPr>
                <w:b/>
                <w:i/>
              </w:rPr>
              <w:t>betonar</w:t>
            </w:r>
            <w:r>
              <w:t xml:space="preserve"> vikten av att erbjuda fast anställning för att behålla kompetens, upprätthålla kontinuitet och sörja för en produktiv </w:t>
            </w:r>
            <w:r>
              <w:rPr>
                <w:b/>
                <w:i/>
              </w:rPr>
              <w:t>och stabil</w:t>
            </w:r>
            <w:r>
              <w:t xml:space="preserve"> arbetsmiljö</w:t>
            </w:r>
            <w:r>
              <w:rPr>
                <w:b/>
                <w:i/>
              </w:rPr>
              <w:t>, och varnar för ett alltför stort beroende av externa tjänsteleverantörer</w:t>
            </w:r>
            <w:r>
              <w:t>. Parlamentet noterar dessutom att kommittén sysselsatte 10 tjänsteleverantörer och 14 externa anställda som arbetade internt, med undantag för personal inom områdena catering, underhåll, säkerhet och skydd. Parlamentet noterar att tillsättningsgraden var 96 % (95,50 % 2023) och att personalomsättningen var 5,60 % 2024 (en minskning från 7 %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Europaparlamentet noterar att kommittén under 2024 anställde personal som representerade alla EU-nationaliteter, och att vissa av dem var överrepresenterade. Parlamentet noterar att 62,70 % av personalen var kvinnor och 37,30 % män. Parlamentet noterar utifrån uppföljningsrapporten att kvinnor innehar 52 % av de ledande befattningarna, vilket gör kommittén till en föregångare i detta avseende. Parlamentet beklagar dock att andelen kvinnor i den högsta ledningen förblev låg under 2024, och att endast två av sju högre chefsbefattningar för närvarande innehas av kvinnor, samma antal som 2023. </w:t>
            </w:r>
            <w:r>
              <w:rPr>
                <w:b/>
                <w:i/>
              </w:rPr>
              <w:t>Parlamentet konstaterar att den låga personalomsättningen till följd av kommitténs storlek är en av orsakerna till den låga andelen kvinnor i dessa befattningar.</w:t>
            </w:r>
            <w:r>
              <w:t xml:space="preserve"> </w:t>
            </w:r>
            <w:r>
              <w:rPr>
                <w:b/>
                <w:i/>
              </w:rPr>
              <w:t>Parlamentet välkomnar kommitténs åtagande att öka medvetenheten om denna fråga bland tillsättningsmyndigheterna, främja könsbalanserade utnämningar och delta i riktade åtgärder genom kvinnoforumet och ledningsforumet som stöder ledarskapsutveckling och karriärutveckling för kvinnor på mellanchefsnivå.</w:t>
            </w:r>
          </w:p>
        </w:tc>
        <w:tc>
          <w:tcPr>
            <w:tcW w:w="4876" w:type="dxa"/>
            <w:tcBorders>
              <w:top w:val="nil"/>
              <w:left w:val="nil"/>
              <w:bottom w:val="nil"/>
              <w:right w:val="nil"/>
            </w:tcBorders>
          </w:tcPr>
          <w:p>
            <w:pPr>
              <w:pStyle w:val="Normal6a"/>
            </w:pPr>
            <w:r>
              <w:t>24.</w:t>
            </w:r>
            <w:r>
              <w:tab/>
            </w:r>
            <w:r>
              <w:t>Europaparlamentet noterar att kommittén under 2024 anställde personal som representerade alla EU-nationaliteter, och att vissa av dem var överrepresenterade. Parlamentet noterar att 62,70 % av personalen var kvinnor och 37,30 % män. Parlamentet noterar utifrån uppföljningsrapporten att kvinnor innehar 52 % av de ledande befattningarna, vilket gör kommittén till en föregångare i detta avseende. Parlamentet beklagar dock att andelen kvinnor i den högsta ledningen förblev låg under 2024, och att endast två av sju högre chefsbefattningar för närvarande innehas av kvinnor, samma antal som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Europaparlamentet noterar att kommittén under 2024 anställde personal som representerade alla EU-nationaliteter, och att vissa av dem var överrepresenterade. Parlamentet noterar att 62,70 % av personalen var kvinnor och 37,30 % män. Parlamentet noterar utifrån uppföljningsrapporten att kvinnor innehar 52 % av de ledande befattningarna, vilket gör kommittén till en föregångare i detta avseende. Parlamentet beklagar dock att andelen kvinnor i den högsta ledningen förblev låg under 2024, och att endast två av sju högre chefsbefattningar för närvarande innehas av kvinnor, samma antal som 2023. Parlamentet konstaterar att den låga personalomsättningen till följd av kommitténs storlek är en av orsakerna till den låga andelen kvinnor i dessa befattningar. Parlamentet välkomnar kommitténs åtagande att öka medvetenheten om denna fråga bland tillsättningsmyndigheterna, främja könsbalanserade utnämningar och delta i riktade åtgärder genom kvinnoforumet och ledningsforumet som stöder ledarskapsutveckling och karriärutveckling för kvinnor på mellanchefsnivå.</w:t>
            </w:r>
          </w:p>
        </w:tc>
        <w:tc>
          <w:tcPr>
            <w:tcW w:w="4876" w:type="dxa"/>
            <w:tcBorders>
              <w:top w:val="nil"/>
              <w:left w:val="nil"/>
              <w:bottom w:val="nil"/>
              <w:right w:val="nil"/>
            </w:tcBorders>
          </w:tcPr>
          <w:p>
            <w:pPr>
              <w:pStyle w:val="Normal6a"/>
            </w:pPr>
            <w:r>
              <w:t>24.</w:t>
            </w:r>
            <w:r>
              <w:tab/>
            </w:r>
            <w:r>
              <w:t xml:space="preserve">Europaparlamentet noterar att kommittén under 2024 anställde personal som representerade alla EU-nationaliteter, och att vissa av dem var överrepresenterade. Parlamentet noterar att 62,70 % av personalen var kvinnor och 37,30 % män. Parlamentet noterar utifrån uppföljningsrapporten att kvinnor innehar 52 % av de ledande befattningarna, vilket gör kommittén till en föregångare i detta avseende. Parlamentet beklagar dock att andelen kvinnor i den högsta ledningen förblev låg under 2024, och att endast två av sju högre chefsbefattningar för närvarande innehas av kvinnor, samma antal som 2023. Parlamentet </w:t>
            </w:r>
            <w:r>
              <w:rPr>
                <w:b/>
                <w:i/>
              </w:rPr>
              <w:t>erkänner den senaste tidens framsteg med att integrera jämställdhet och mångfald som strategiska prioriteringar för att främja en inkluderande och respektfull arbetsplatskultur.</w:t>
            </w:r>
            <w:r>
              <w:t xml:space="preserve"> </w:t>
            </w:r>
            <w:r>
              <w:rPr>
                <w:b/>
                <w:i/>
              </w:rPr>
              <w:t>Parlamentet välkomnar genomförandet av strategin och handlingsplanen för mångfald och inkludering, tillsammans med riktade program för mentorskap och ledarskapsutveckling för kvinnor och underrepresenterade grupper.</w:t>
            </w:r>
            <w:r>
              <w:t xml:space="preserve"> </w:t>
            </w:r>
            <w:r>
              <w:rPr>
                <w:b/>
                <w:i/>
              </w:rPr>
              <w:t>Parlamentet</w:t>
            </w:r>
            <w:r>
              <w:t xml:space="preserve"> konstaterar att den låga personalomsättningen till följd av kommitténs storlek är en av orsakerna till den låga andelen kvinnor i dessa befattningar. Parlamentet välkomnar kommitténs åtagande att öka medvetenheten om denna fråga bland tillsättningsmyndigheterna, främja könsbalanserade utnämningar och delta i riktade åtgärder genom kvinnoforumet och ledningsforumet som stöder ledarskapsutveckling och karriärutveckling för kvinnor på mellanchefsnivå.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Europaparlamentet noterar att kommittén under 2024 anställde personal som representerade alla EU-nationaliteter, och att vissa av dem var överrepresenterade. Parlamentet noterar att 62,70 % av personalen var kvinnor och 37,30 % män. Parlamentet noterar utifrån uppföljningsrapporten att kvinnor innehar 52 % av de ledande befattningarna, vilket gör kommittén till en föregångare i detta avseende. Parlamentet beklagar dock att andelen kvinnor i den högsta ledningen förblev låg under 2024, och att endast två av sju högre chefsbefattningar för närvarande innehas av kvinnor, samma antal som 2023. Parlamentet konstaterar att den låga personalomsättningen till följd av kommitténs storlek är en av orsakerna till den låga andelen kvinnor i dessa befattningar. Parlamentet välkomnar kommitténs åtagande att öka medvetenheten om denna fråga bland tillsättningsmyndigheterna, främja könsbalanserade utnämningar och delta i riktade åtgärder genom kvinnoforumet och ledningsforumet som stöder ledarskapsutveckling och karriärutveckling för kvinnor på mellanchefsnivå.</w:t>
            </w:r>
          </w:p>
        </w:tc>
        <w:tc>
          <w:tcPr>
            <w:tcW w:w="4876" w:type="dxa"/>
            <w:tcBorders>
              <w:top w:val="nil"/>
              <w:left w:val="nil"/>
              <w:bottom w:val="nil"/>
              <w:right w:val="nil"/>
            </w:tcBorders>
          </w:tcPr>
          <w:p>
            <w:pPr>
              <w:pStyle w:val="Normal6a"/>
            </w:pPr>
            <w:r>
              <w:t>24.</w:t>
            </w:r>
            <w:r>
              <w:tab/>
            </w:r>
            <w:r>
              <w:t xml:space="preserve">Europaparlamentet noterar att kommittén under 2024 anställde personal som representerade alla EU-nationaliteter, och att vissa av dem var överrepresenterade. Parlamentet noterar att 62,70 % av personalen var kvinnor och 37,30 % män. Parlamentet noterar </w:t>
            </w:r>
            <w:r>
              <w:rPr>
                <w:b/>
                <w:i/>
              </w:rPr>
              <w:t>med tillfredsställelse</w:t>
            </w:r>
            <w:r>
              <w:t xml:space="preserve"> utifrån uppföljningsrapporten att kvinnor innehar 52 % av de ledande befattningarna, vilket gör kommittén till en föregångare i detta avseende</w:t>
            </w:r>
            <w:r>
              <w:rPr>
                <w:b/>
                <w:i/>
              </w:rPr>
              <w:t>.</w:t>
            </w:r>
            <w:r>
              <w:t xml:space="preserve"> </w:t>
            </w:r>
            <w:r>
              <w:rPr>
                <w:b/>
                <w:i/>
              </w:rPr>
              <w:t>Parlamentet upprepar sitt välkomnande av utnämningen av en kvinnlig generalsekreterare i januari 2024 som ett positivt steg mot att uppnå en jämn könsfördelning</w:t>
            </w:r>
            <w:r>
              <w:t>. Parlamentet beklagar dock att andelen kvinnor i den högsta ledningen förblev låg under 2024, och att endast två av sju högre chefsbefattningar för närvarande innehas av kvinnor, samma antal som 2023. Parlamentet konstaterar att den låga personalomsättningen till följd av kommitténs storlek är en av orsakerna till den låga andelen kvinnor i dessa befattningar. Parlamentet välkomnar kommitténs åtagande att öka medvetenheten om denna fråga bland tillsättningsmyndigheterna, främja könsbalanserade utnämningar och delta i riktade åtgärder genom kvinnoforumet och ledningsforumet som stöder ledarskapsutveckling och karriärutveckling för kvinnor på mellanchefsnivå.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Europaparlamentet påminner om kommitténs initiativ att införa en ny strategi för strategisk personalplanering och personalfördelning, dra nytta av datainsamling om personalens kompetensområden, aktivt lyssna i hela organisationen och reflektera över strategiska prioriteringar i kommitténs politiska organ. Parlamentet noterar utifrån uppföljningsrapporten att denna nya typ av planering kommer att inledas genom ett pilotprojekt inom ett begränsat antal tjänster som väljs ut på grundval av strategiska prioriteringar. Parlamentet uppmanar kommittén att hålla den ansvarsfrihetsbeviljande myndigheten informerad om framstegen och den efterföljande utvecklingen.</w:t>
            </w:r>
          </w:p>
        </w:tc>
        <w:tc>
          <w:tcPr>
            <w:tcW w:w="4876" w:type="dxa"/>
            <w:tcBorders>
              <w:top w:val="nil"/>
              <w:left w:val="nil"/>
              <w:bottom w:val="nil"/>
              <w:right w:val="nil"/>
            </w:tcBorders>
          </w:tcPr>
          <w:p>
            <w:pPr>
              <w:pStyle w:val="Normal6a"/>
            </w:pPr>
            <w:r>
              <w:t>25.</w:t>
            </w:r>
            <w:r>
              <w:tab/>
            </w:r>
            <w:r>
              <w:t xml:space="preserve">Europaparlamentet påminner om kommitténs initiativ att införa en ny strategi för strategisk personalplanering och personalfördelning, dra nytta av datainsamling om personalens kompetensområden, aktivt lyssna i hela organisationen och reflektera över strategiska prioriteringar i kommitténs politiska organ. Parlamentet noterar utifrån uppföljningsrapporten att denna nya typ av planering kommer att inledas genom ett pilotprojekt inom ett begränsat antal tjänster som väljs ut på grundval av strategiska prioriteringar. Parlamentet uppmanar kommittén att hålla den ansvarsfrihetsbeviljande myndigheten informerad om framstegen och den efterföljande utvecklingen. </w:t>
            </w:r>
            <w:r>
              <w:rPr>
                <w:b/>
                <w:i/>
              </w:rPr>
              <w:t>Parlamentet betonar vikten av strategisk personalplanering för att optimera resursfördelningen och säkerställa linjering med högnivåprioriteringar.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Europaparlamentet välkomnar kommitténs insatser för att skapa en sund arbetsmiljö för sin personal. Parlamentet lovordar särskilt den uppmärksamhet som kommittén ägnat åt personalens psykiska och fysiska hälsa och de insatser som gjorts för att öka medvetenheten om hälsorelaterade frågor. Parlamentet noterar kommitténs åtgärder för sjukskrivningshantering, såsom medicinskt deltidsarbete och utökat distansarbete, för att säkerställa att personal som är frånvarande på grund av långvarig sjukdom återvänder till arbetet i rätt tid. Parlamentet noterar en minskning med 7,50 % av det totala antalet registrerade sjukdagar från </w:t>
            </w:r>
            <w:r>
              <w:rPr>
                <w:b/>
                <w:i/>
              </w:rPr>
              <w:t>10 552</w:t>
            </w:r>
            <w:r>
              <w:t xml:space="preserve"> dagar 2023 till </w:t>
            </w:r>
            <w:r>
              <w:rPr>
                <w:b/>
                <w:i/>
              </w:rPr>
              <w:t>9 763</w:t>
            </w:r>
            <w:r>
              <w:t xml:space="preserve"> dagar 2024, samt en minskning av frånvarofrekvensen från 4,08 % 2023 till 3,75 % 2023 (den lägsta sedan 2021). Parlamentet beklagar att kommittén ännu en gång inte kan tillhandahålla uppgifter om fall av utbrändhet. Parlamentet noterar bland kommitténs argument att personalen inte är skyldig att självmant dela medicinska uppgifter, att utbrändhet inte är en erkänd medicinsk diagnos och att orsakerna till utbrändhet kanske inte är arbetsrelaterade samt medicinsk sekretess. Parlamentet noterar att kommittén samlar in anonymiserade statistiska uppgifter om fall av psykisk ohälsa, men att tillgängliga uppgifter inte gör det möjligt att skilja mellan arbetsrelaterad utbrändhet och andra problem som inte är arbetsrelaterade. Parlamentet understryker dock att utbrändhet också kan mätas utan medicinska uppgifter, att det finns arbetsrelaterade verktyg för bedömning av utbrändhet som kan användas och att Europeiska arbetsmiljöbyrån (</w:t>
            </w:r>
            <w:r>
              <w:rPr>
                <w:b/>
                <w:i/>
              </w:rPr>
              <w:t>EU‑Osha</w:t>
            </w:r>
            <w:r>
              <w:t>) stöder anonyma frågeformulär för att mäta arbetsrelaterad stress och utbrändhetsfaktorer separat från icke-arbetsrelaterade psykiska hälsoproblem. Parlamentet uppmanar med kraft kommittén att även samråda med Europeiska datatillsynsmannen (EDPS) om insamlingen av uppgifter om utbrändhet med hjälp av medicinska eller icke-medicinska verktyg, och att hålla den ansvarsfrihetsbeviljande myndigheten uppdaterad om uppföljningen.</w:t>
            </w:r>
          </w:p>
        </w:tc>
        <w:tc>
          <w:tcPr>
            <w:tcW w:w="4876" w:type="dxa"/>
            <w:tcBorders>
              <w:top w:val="nil"/>
              <w:left w:val="nil"/>
              <w:bottom w:val="nil"/>
              <w:right w:val="nil"/>
            </w:tcBorders>
          </w:tcPr>
          <w:p>
            <w:pPr>
              <w:pStyle w:val="Normal6a"/>
            </w:pPr>
            <w:r>
              <w:t>26.</w:t>
            </w:r>
            <w:r>
              <w:tab/>
            </w:r>
            <w:r>
              <w:t xml:space="preserve">Europaparlamentet välkomnar kommitténs insatser för att skapa en sund arbetsmiljö för sin personal. Parlamentet lovordar särskilt den uppmärksamhet som kommittén ägnat åt personalens psykiska och fysiska hälsa och de insatser som gjorts för att öka medvetenheten om hälsorelaterade frågor. Parlamentet noterar kommitténs åtgärder för sjukskrivningshantering, såsom medicinskt deltidsarbete och utökat distansarbete, för att säkerställa att personal som är frånvarande på grund av långvarig sjukdom återvänder till arbetet i rätt tid. Parlamentet noterar en minskning med 7,50 % av det totala antalet registrerade sjukdagar från </w:t>
            </w:r>
            <w:r>
              <w:rPr>
                <w:b/>
                <w:i/>
              </w:rPr>
              <w:t>10 552</w:t>
            </w:r>
            <w:r>
              <w:t xml:space="preserve"> dagar 2023 till </w:t>
            </w:r>
            <w:r>
              <w:rPr>
                <w:b/>
                <w:i/>
              </w:rPr>
              <w:t>9 763</w:t>
            </w:r>
            <w:r>
              <w:t> dagar 2024, samt en minskning av frånvarofrekvensen från 4,08 % 2023 till 3,75 % 2023 (den lägsta sedan 2021). Parlamentet beklagar att kommittén ännu en gång inte kan tillhandahålla uppgifter om fall av utbrändhet. Parlamentet noterar bland kommitténs argument att personalen inte är skyldig att självmant dela medicinska uppgifter, att utbrändhet inte är en erkänd medicinsk diagnos och att orsakerna till utbrändhet kanske inte är arbetsrelaterade samt medicinsk sekretess. Parlamentet noterar att kommittén samlar in anonymiserade statistiska uppgifter om fall av psykisk ohälsa, men att tillgängliga uppgifter inte gör det möjligt att skilja mellan arbetsrelaterad utbrändhet och andra problem som inte är arbetsrelaterade. Parlamentet understryker dock att utbrändhet också kan mätas utan medicinska uppgifter, att det finns arbetsrelaterade verktyg för bedömning av utbrändhet som kan användas och att Europeiska arbetsmiljöbyrån (</w:t>
            </w:r>
            <w:r>
              <w:rPr>
                <w:b/>
                <w:i/>
              </w:rPr>
              <w:t>EU-Osha</w:t>
            </w:r>
            <w:r>
              <w:t xml:space="preserve">) stöder anonyma frågeformulär för att mäta arbetsrelaterad stress och utbrändhetsfaktorer separat från icke-arbetsrelaterade psykiska hälsoproblem. parlamentet uppmanar med kraft kommittén att även samråda med Europeiska datatillsynsmannen (EDPS) om insamlingen av uppgifter om utbrändhet med hjälp av medicinska eller icke-medicinska verktyg, </w:t>
            </w:r>
            <w:r>
              <w:rPr>
                <w:b/>
                <w:i/>
              </w:rPr>
              <w:t>att vidta konkreta och beslutsamma åtgärder för att säkerställa ett systematiskt offentliggörande av uppgifter om fall av utbrändhet</w:t>
            </w:r>
            <w:r>
              <w:t xml:space="preserve"> och att hålla den ansvarsfrihetsbeviljande myndigheten uppdaterad om uppföljningen.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28a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Europaparlamentet välkomnar den starka och strukturerade sociala dialogen i organisatoriska förändringsprocesser under hela 2024.</w:t>
            </w:r>
            <w:r>
              <w:t xml:space="preserve"> </w:t>
            </w:r>
            <w:r>
              <w:rPr>
                <w:b/>
                <w:i/>
              </w:rPr>
              <w:t>Parlamentet uppmuntrar kommittén att upprätthålla och ytterligare stärka personalföreträdarnas systematiska deltagande i reformer som bland annat rör digitalisering, intern omorganisation och nya arbetsmetoder.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Europaparlamentet noterar utifrån frågeformuläret att två fall av påstådda trakasserier rapporterades 2024 och utreddes och avslutades 2025, medan det i det ena fallet inte kunde konstateras några trakasserier och i det andra godtogs en formell ursäkt för olämpligt beteende från den berörda personens sida. Parlamentet noterar vidare att ett beslut fattades om ett annat fall, som lämnades in före 2024, om trakasserier i samband med ett disciplinärt förfarande. Parlamentet noterar vidare att inga sexuella trakasserier rapporterades under 2024.</w:t>
            </w:r>
          </w:p>
        </w:tc>
        <w:tc>
          <w:tcPr>
            <w:tcW w:w="4876" w:type="dxa"/>
            <w:tcBorders>
              <w:top w:val="nil"/>
              <w:left w:val="nil"/>
              <w:bottom w:val="nil"/>
              <w:right w:val="nil"/>
            </w:tcBorders>
          </w:tcPr>
          <w:p>
            <w:pPr>
              <w:pStyle w:val="Normal6a"/>
            </w:pPr>
            <w:r>
              <w:t>31.</w:t>
            </w:r>
            <w:r>
              <w:tab/>
            </w:r>
            <w:r>
              <w:t xml:space="preserve">Europaparlamentet noterar utifrån frågeformuläret att två fall av påstådda trakasserier rapporterades 2024 och utreddes och avslutades 2025, medan det i det ena fallet inte kunde konstateras några trakasserier och i det andra godtogs en formell ursäkt för olämpligt beteende från den berörda personens sida. Parlamentet noterar vidare att ett beslut fattades om ett annat fall, som lämnades in före 2024, om trakasserier i samband med ett disciplinärt förfarande. Parlamentet noterar vidare att inga sexuella trakasserier rapporterades under 2024. </w:t>
            </w:r>
            <w:r>
              <w:rPr>
                <w:b/>
                <w:i/>
              </w:rPr>
              <w:t>Parlamentet upprepar behovet av nolltolerans mot trakasserier för att säkerställa skyddet av personalens välbefinnande och påminner om att detta är en skyldighet som åligger alla arbetsgivare.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Europaparlamentet noterar att kommittén är en föregångare när det gäller transparens, eftersom det är det första organ, utöver de ursprungliga signatärerna, som har anslutit sig till unionens öppenhetsregister. Parlamentet välkomnar de transparensåtgärder som kommittén antagit, inbegripet rekommendationen att kommitténs ledamöter endast ska träffa registrerade intressenter, skyldigheten för dess ledamöter att offentliggöra sina sammanträden online och möjligheten för kommitténs föredragande, bland annat genom ett pilotprojekt som inleddes 2025, att bifoga ett ”lagstiftningsfotavtryck” till sina yttranden. Parlamentet noterar att kommitténs yttranden nu är synliga som milstolpar i lagstiftningsärenden i EULT. Parlamentet noterar vidare med tillfredsställelse utifrån frågeformuläret kommitténs transparensåtgärder när det gäller dess centrala administrativa verksamhet på områden som finansiering, upphandling, personal och tillgång till handlingar.</w:t>
            </w:r>
          </w:p>
        </w:tc>
        <w:tc>
          <w:tcPr>
            <w:tcW w:w="4876" w:type="dxa"/>
            <w:tcBorders>
              <w:top w:val="nil"/>
              <w:left w:val="nil"/>
              <w:bottom w:val="nil"/>
              <w:right w:val="nil"/>
            </w:tcBorders>
          </w:tcPr>
          <w:p>
            <w:pPr>
              <w:pStyle w:val="Normal6a"/>
            </w:pPr>
            <w:r>
              <w:t>33.</w:t>
            </w:r>
            <w:r>
              <w:tab/>
            </w:r>
            <w:r>
              <w:t xml:space="preserve">Europaparlamentet noterar </w:t>
            </w:r>
            <w:r>
              <w:rPr>
                <w:b/>
                <w:i/>
              </w:rPr>
              <w:t>med tillfredsställelse</w:t>
            </w:r>
            <w:r>
              <w:t xml:space="preserve"> att kommittén är en föregångare när det gäller transparens, eftersom det är det första organ, utöver de ursprungliga signatärerna, som har anslutit sig till unionens öppenhetsregister. Parlamentet välkomnar de transparensåtgärder som kommittén antagit, inbegripet rekommendationen att kommitténs ledamöter endast ska träffa registrerade intressenter, skyldigheten för dess ledamöter att offentliggöra sina sammanträden online och möjligheten för kommitténs föredragande, bland annat genom ett pilotprojekt som inleddes 2025, att bifoga ett ”lagstiftningsfotavtryck” till sina yttranden. Parlamentet noterar att kommitténs yttranden nu är synliga som milstolpar i lagstiftningsärenden i EULT. Parlamentet noterar vidare med tillfredsställelse utifrån frågeformuläret kommitténs transparensåtgärder när det gäller dess centrala administrativa verksamhet på områden som finansiering, upphandling, personal och tillgång till handlingar.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Europaparlamentet noterar utifrån frågeformuläret att kommittén utarbetade en strategi för bedrägeribekämpning som har lagts fram för avdelningsövergripande samråd och antagande. Parlamentet uppmanar kommittén att informera den ansvarsfrihetsbeviljande myndigheten om uppföljningen av detta. Parlamentet välkomnar att det vid kommittén anordnades två utbildningstillfällen av Olafs personal om medvetenhet om och förebyggande av bedrägerier vid offentlig upphandling, med 21 deltagare, och en informationssession, som anordnades tillsammans med Eppo, för att göra kommitténs personal förtrogen med Eppos mandat och ge vägledning om hur potentiella fall ska rapporteras till Eppo.</w:t>
            </w:r>
          </w:p>
        </w:tc>
        <w:tc>
          <w:tcPr>
            <w:tcW w:w="4876" w:type="dxa"/>
            <w:tcBorders>
              <w:top w:val="nil"/>
              <w:left w:val="nil"/>
              <w:bottom w:val="nil"/>
              <w:right w:val="nil"/>
            </w:tcBorders>
          </w:tcPr>
          <w:p>
            <w:pPr>
              <w:pStyle w:val="Normal6a"/>
            </w:pPr>
            <w:r>
              <w:t>36.</w:t>
            </w:r>
            <w:r>
              <w:tab/>
            </w:r>
            <w:r>
              <w:t>Europaparlamentet noterar utifrån frågeformuläret att kommittén utarbetade en strategi för bedrägeribekämpning som har lagts fram för avdelningsövergripande samråd och antagande</w:t>
            </w:r>
            <w:r>
              <w:rPr>
                <w:b/>
                <w:i/>
              </w:rPr>
              <w:t>.</w:t>
            </w:r>
            <w:r>
              <w:t xml:space="preserve"> </w:t>
            </w:r>
            <w:r>
              <w:rPr>
                <w:b/>
                <w:i/>
              </w:rPr>
              <w:t>Europaparlamentet välkomnar den åtföljande handlingsplanen med tolv konkreta åtgärder som ska genomföras från fjärde kvartalet 2025 fram till fjärde kvartalet 2027, inbegripet informationskampanjer, utbildningspolitik, uppgraderingar av risk- och internkontrollmetoder, integrering av automatiserade verktyg för upptäckt av bedrägerier, reviderade samarbetsavtal med Olaf och Eppo samt uppdaterade regler för interna utredningar</w:t>
            </w:r>
            <w:r>
              <w:t>. Parlamentet uppmanar kommittén att informera den ansvarsfrihetsbeviljande myndigheten om uppföljningen av detta. Parlamentet välkomnar att det vid kommittén anordnades två utbildningstillfällen av Olafs personal om medvetenhet om och förebyggande av bedrägerier vid offentlig upphandling, med 21 deltagare, och en informationssession, som anordnades tillsammans med Eppo, för att göra kommitténs personal förtrogen med Eppos mandat och ge vägledning om hur potentiella fall ska rapporteras till Eppo.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Europaparlamentet noterar utifrån frågeformuläret att kommittén utarbetade en strategi för bedrägeribekämpning som har lagts fram för avdelningsövergripande samråd och antagande. Parlamentet uppmanar kommittén att informera den ansvarsfrihetsbeviljande myndigheten om uppföljningen av detta. Parlamentet välkomnar att det vid kommittén anordnades två utbildningstillfällen av Olafs personal om medvetenhet om och förebyggande av bedrägerier vid offentlig upphandling, med 21 deltagare, och en informationssession, som anordnades tillsammans med Eppo, för att göra kommitténs personal förtrogen med Eppos mandat och ge vägledning om hur potentiella fall ska rapporteras till Eppo.</w:t>
            </w:r>
          </w:p>
        </w:tc>
        <w:tc>
          <w:tcPr>
            <w:tcW w:w="4876" w:type="dxa"/>
            <w:tcBorders>
              <w:top w:val="nil"/>
              <w:left w:val="nil"/>
              <w:bottom w:val="nil"/>
              <w:right w:val="nil"/>
            </w:tcBorders>
          </w:tcPr>
          <w:p>
            <w:pPr>
              <w:pStyle w:val="Normal6a"/>
            </w:pPr>
            <w:r>
              <w:t>36.</w:t>
            </w:r>
            <w:r>
              <w:tab/>
            </w:r>
            <w:r>
              <w:t xml:space="preserve">Europaparlamentet noterar </w:t>
            </w:r>
            <w:r>
              <w:rPr>
                <w:b/>
                <w:i/>
              </w:rPr>
              <w:t>med tillfredsställelse</w:t>
            </w:r>
            <w:r>
              <w:t xml:space="preserve"> utifrån frågeformuläret att kommittén</w:t>
            </w:r>
            <w:r>
              <w:rPr>
                <w:b/>
                <w:i/>
              </w:rPr>
              <w:t>, efter parlamentets tidigare uppmaningar,</w:t>
            </w:r>
            <w:r>
              <w:t xml:space="preserve"> utarbetade en strategi för bedrägeribekämpning som har lagts fram för avdelningsövergripande samråd och antagande</w:t>
            </w:r>
            <w:r>
              <w:rPr>
                <w:b/>
                <w:i/>
              </w:rPr>
              <w:t>.</w:t>
            </w:r>
            <w:r>
              <w:t xml:space="preserve"> </w:t>
            </w:r>
            <w:r>
              <w:rPr>
                <w:b/>
                <w:i/>
              </w:rPr>
              <w:t>Parlamentet uppmanar med kraft kommittén att prioritera antagandet och genomförandet av denna strategi, inbegripet riskbedömnings-, förebyggande-, upptäckts- och uppföljningsåtgärder</w:t>
            </w:r>
            <w:r>
              <w:t>. Parlamentet uppmanar kommittén att informera den ansvarsfrihetsbeviljande myndigheten om uppföljningen av detta. Parlamentet välkomnar att det vid kommittén anordnades två utbildningstillfällen av Olafs personal om medvetenhet om och förebyggande av bedrägerier vid offentlig upphandling, med 21 deltagare, och en informationssession, som anordnades tillsammans med Eppo, för att göra kommitténs personal förtrogen med Eppos mandat och ge vägledning om hur potentiella fall ska rapporteras till Eppo.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Europaparlamentet noterar utifrån frågeformuläret att kommittén utarbetade en strategi för bedrägeribekämpning som har lagts fram för avdelningsövergripande samråd och antagande. Parlamentet uppmanar kommittén att informera den ansvarsfrihetsbeviljande myndigheten om uppföljningen av detta. Parlamentet välkomnar att det vid kommittén anordnades två utbildningstillfällen av Olafs personal om medvetenhet om och förebyggande av bedrägerier vid offentlig upphandling, med 21 deltagare, och en informationssession, som anordnades tillsammans med Eppo, för att göra kommitténs personal förtrogen med Eppos mandat och ge vägledning om hur potentiella fall ska rapporteras till Eppo.</w:t>
            </w:r>
          </w:p>
        </w:tc>
        <w:tc>
          <w:tcPr>
            <w:tcW w:w="4876" w:type="dxa"/>
            <w:tcBorders>
              <w:top w:val="nil"/>
              <w:left w:val="nil"/>
              <w:bottom w:val="nil"/>
              <w:right w:val="nil"/>
            </w:tcBorders>
          </w:tcPr>
          <w:p>
            <w:pPr>
              <w:pStyle w:val="Normal6a"/>
            </w:pPr>
            <w:r>
              <w:t>36.</w:t>
            </w:r>
            <w:r>
              <w:tab/>
            </w:r>
            <w:r>
              <w:t>Europaparlamentet noterar utifrån frågeformuläret att kommittén utarbetade en strategi för bedrägeribekämpning som har lagts fram för avdelningsövergripande samråd och antagande. Parlamentet uppmanar kommittén att informera den ansvarsfrihetsbeviljande myndigheten om uppföljningen av detta. Parlamentet välkomnar att det vid kommittén anordnades två utbildningstillfällen av Olafs personal om medvetenhet om och förebyggande av bedrägerier vid offentlig upphandling, med 21 deltagare, och en informationssession, som anordnades tillsammans med Eppo, för att göra kommitténs personal förtrogen med Eppos mandat och ge vägledning om hur potentiella fall ska rapporteras till Eppo</w:t>
            </w:r>
            <w:r>
              <w:rPr>
                <w:b/>
                <w:i/>
              </w:rPr>
              <w:t>, och parlamentet rekommenderar att denna praxis upprätthålls kontinuerligt</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Europaparlamentet noterar att kommitténs och ReK:s sammanlagda it-budget för 2022 uppgick till </w:t>
            </w:r>
            <w:r>
              <w:rPr>
                <w:b/>
                <w:i/>
              </w:rPr>
              <w:t>13 700 000</w:t>
            </w:r>
            <w:r>
              <w:t xml:space="preserve"> EUR, jämfört med 12 700 000 EUR för 2023, vilket innebär en ökning med 7,87 %, och att </w:t>
            </w:r>
            <w:r>
              <w:rPr>
                <w:b/>
                <w:i/>
              </w:rPr>
              <w:t>760 000</w:t>
            </w:r>
            <w:r>
              <w:t xml:space="preserve"> EUR av den budgeten (eller 6 %) gick till cybersäkerhet under 2024. Parlamentet noterar utifrån frågeformuläret att finansieringen av it-projekt ökade med </w:t>
            </w:r>
            <w:r>
              <w:rPr>
                <w:b/>
                <w:i/>
              </w:rPr>
              <w:t>109 000</w:t>
            </w:r>
            <w:r>
              <w:t xml:space="preserve"> EUR jämfört med 2023, vilket motsvarar en ökning med 4 %, främst till stöd för arbetsplatsprogrammet M365 och omvandlingsprogrammet för cybersäkerhet (Cybersecurity Transformation Programme). Parlamentet noterar vidare att utgifterna för utrustning ökade med </w:t>
            </w:r>
            <w:r>
              <w:rPr>
                <w:b/>
                <w:i/>
              </w:rPr>
              <w:t>117 000</w:t>
            </w:r>
            <w:r>
              <w:t xml:space="preserve"> EUR (dvs. en ökning med 20 %), främst på grund av prisjusteringar och strategiska investeringar i telefoniinfrastruktur. Parlamentet erkänner kommitténs oro över att den är strukturellt underfinansierad på områdena digitalisering och cybersäkerhet. Parlamentet beklagar i detta sammanhang att budgetmyndigheten i unionens budget för 2026 inte inkluderade det belopp på </w:t>
            </w:r>
            <w:r>
              <w:rPr>
                <w:b/>
                <w:i/>
              </w:rPr>
              <w:t>1 176 000</w:t>
            </w:r>
            <w:r>
              <w:t xml:space="preserve"> EUR som krävs för att kommittén (och ReK) ska kunna genomföra en större uppgradering av cybersäkerheten, vilket gör det omöjligt att uppnå det mål som avses i förordning (EU, Euratom) 2023/2841</w:t>
            </w:r>
            <w:r>
              <w:rPr>
                <w:vertAlign w:val="superscript"/>
              </w:rPr>
              <w:t>1</w:t>
            </w:r>
            <w:r>
              <w:t>om att avsätta omkring 10 % av sina totala it‑utgifter till cybersäkerhet.</w:t>
            </w:r>
          </w:p>
        </w:tc>
        <w:tc>
          <w:tcPr>
            <w:tcW w:w="4876" w:type="dxa"/>
            <w:tcBorders>
              <w:top w:val="nil"/>
              <w:left w:val="nil"/>
              <w:bottom w:val="nil"/>
              <w:right w:val="nil"/>
            </w:tcBorders>
          </w:tcPr>
          <w:p>
            <w:pPr>
              <w:pStyle w:val="Normal6a"/>
            </w:pPr>
            <w:r>
              <w:t>37.</w:t>
            </w:r>
            <w:r>
              <w:tab/>
            </w:r>
            <w:r>
              <w:t xml:space="preserve">Europaparlamentet noterar att kommitténs och ReK:s sammanlagda it-budget för 2022 uppgick till </w:t>
            </w:r>
            <w:r>
              <w:rPr>
                <w:b/>
                <w:i/>
              </w:rPr>
              <w:t>13 700 000</w:t>
            </w:r>
            <w:r>
              <w:t xml:space="preserve"> EUR, jämfört med 12 700 000 EUR för 2023, vilket innebär en ökning med 7,87 %, och att </w:t>
            </w:r>
            <w:r>
              <w:rPr>
                <w:b/>
                <w:i/>
              </w:rPr>
              <w:t>760 000</w:t>
            </w:r>
            <w:r>
              <w:t xml:space="preserve"> EUR av den budgeten (eller 6 %) gick till cybersäkerhet under 2024. Parlamentet noterar utifrån frågeformuläret att finansieringen av it-projekt ökade med </w:t>
            </w:r>
            <w:r>
              <w:rPr>
                <w:b/>
                <w:i/>
              </w:rPr>
              <w:t>109 000</w:t>
            </w:r>
            <w:r>
              <w:t xml:space="preserve"> EUR jämfört med 2023, vilket motsvarar en ökning med 4 %, främst till stöd för arbetsplatsprogrammet M365 och omvandlingsprogrammet för cybersäkerhet (Cybersecurity Transformation Programme). Parlamentet noterar vidare att utgifterna för utrustning ökade med </w:t>
            </w:r>
            <w:r>
              <w:rPr>
                <w:b/>
                <w:i/>
              </w:rPr>
              <w:t>117 000</w:t>
            </w:r>
            <w:r>
              <w:t> EUR (dvs. en ökning med 20 %), främst på grund av prisjusteringar och strategiska investeringar i telefoniinfrastruktur. Parlamentet erkänner kommitténs oro över att den är strukturellt underfinansierad på områdena digitalisering och cybersäkerhet</w:t>
            </w:r>
            <w:r>
              <w:rPr>
                <w:b/>
                <w:i/>
              </w:rPr>
              <w:t>, och varnar för att ihållande underinvesteringar i cybersäkerhet utgör en strukturell risk för EU-institutionernas integritet</w:t>
            </w:r>
            <w:r>
              <w:t xml:space="preserve">. Parlamentet beklagar i detta sammanhang att budgetmyndigheten i unionens budget för 2026 inte inkluderade det belopp på </w:t>
            </w:r>
            <w:r>
              <w:rPr>
                <w:b/>
                <w:i/>
              </w:rPr>
              <w:t>1 176 000</w:t>
            </w:r>
            <w:r>
              <w:t> EUR som krävs för att kommittén (och ReK) ska kunna genomföra en större uppgradering av cybersäkerheten, vilket gör det omöjligt att uppnå det mål som avses i förordning (EU, Euratom) 2023/2841</w:t>
            </w:r>
            <w:r>
              <w:rPr>
                <w:vertAlign w:val="superscript"/>
              </w:rPr>
              <w:t>1</w:t>
            </w:r>
            <w:r>
              <w:t xml:space="preserve"> om att avsätta omkring 10 % av sina totala it‑utgifter till cybersäkerhet.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Europaparlamentets och rådets förordning (EU, Euratom) 2023/2841 av den 13 december 2023 om åtgärder för en hög gemensam cybersäkerhetsnivå vid unionens institutioner, organ och byråer (</w:t>
            </w:r>
            <w:r>
              <w:rPr>
                <w:b/>
                <w:i/>
              </w:rPr>
              <w:t>EUT</w:t>
            </w:r>
            <w:r>
              <w:t xml:space="preserve"> L, 2023/2841, 18.12.2023, ELI: http://data.europa.eu/eli/reg/2023/2841/oj).</w:t>
            </w:r>
          </w:p>
        </w:tc>
        <w:tc>
          <w:tcPr>
            <w:tcW w:w="4876" w:type="dxa"/>
            <w:tcBorders>
              <w:top w:val="nil"/>
              <w:left w:val="nil"/>
              <w:bottom w:val="nil"/>
              <w:right w:val="nil"/>
            </w:tcBorders>
          </w:tcPr>
          <w:p>
            <w:pPr>
              <w:pStyle w:val="Normal6a"/>
            </w:pPr>
            <w:r>
              <w:rPr>
                <w:vertAlign w:val="superscript"/>
              </w:rPr>
              <w:t>1</w:t>
            </w:r>
            <w:r>
              <w:t xml:space="preserve"> </w:t>
            </w:r>
            <w:r>
              <w:t>Europaparlamentets och rådets förordning (EU, Euratom) 2023/2841 av den 13 december 2023 om åtgärder för en hög gemensam cybersäkerhetsnivå vid unionens institutioner, organ och byråer (</w:t>
            </w:r>
            <w:r>
              <w:rPr>
                <w:b/>
                <w:i/>
              </w:rPr>
              <w:t>OJ</w:t>
            </w:r>
            <w:r>
              <w:t xml:space="preserve"> L, 2023/2841, 18.12.2023, ELI: http://data.europa.eu/eli/reg/2023/2841/oj).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Europaparlamentet noterar att kommitténs och ReK:s sammanlagda it-budget för </w:t>
            </w:r>
            <w:r>
              <w:rPr>
                <w:b/>
                <w:i/>
              </w:rPr>
              <w:t>2022</w:t>
            </w:r>
            <w:r>
              <w:t xml:space="preserve"> uppgick till </w:t>
            </w:r>
            <w:r>
              <w:rPr>
                <w:b/>
                <w:i/>
              </w:rPr>
              <w:t>13 700 000</w:t>
            </w:r>
            <w:r>
              <w:t xml:space="preserve"> EUR, jämfört med 12 700 000 EUR för 2023, vilket innebär en ökning med 7,87 %, och att </w:t>
            </w:r>
            <w:r>
              <w:rPr>
                <w:b/>
                <w:i/>
              </w:rPr>
              <w:t>760 000</w:t>
            </w:r>
            <w:r>
              <w:t xml:space="preserve"> EUR av den budgeten (eller 6 %) gick till cybersäkerhet under 2024. Parlamentet noterar utifrån frågeformuläret att finansieringen av it-projekt ökade med </w:t>
            </w:r>
            <w:r>
              <w:rPr>
                <w:b/>
                <w:i/>
              </w:rPr>
              <w:t>109 000</w:t>
            </w:r>
            <w:r>
              <w:t xml:space="preserve"> EUR jämfört med 2023, vilket motsvarar en ökning med 4 %, främst till stöd för arbetsplatsprogrammet M365 och omvandlingsprogrammet för cybersäkerhet (Cybersecurity Transformation Programme). Parlamentet noterar vidare att utgifterna för utrustning ökade med </w:t>
            </w:r>
            <w:r>
              <w:rPr>
                <w:b/>
                <w:i/>
              </w:rPr>
              <w:t>117 000</w:t>
            </w:r>
            <w:r>
              <w:t xml:space="preserve"> EUR (dvs. en ökning med 20 %), främst på grund av prisjusteringar och strategiska investeringar i telefoniinfrastruktur. Parlamentet erkänner kommitténs oro över att den är strukturellt underfinansierad på områdena digitalisering och cybersäkerhet. Parlamentet beklagar i detta sammanhang att budgetmyndigheten i unionens budget för 2026 inte inkluderade det belopp på </w:t>
            </w:r>
            <w:r>
              <w:rPr>
                <w:b/>
                <w:i/>
              </w:rPr>
              <w:t>1 176 000</w:t>
            </w:r>
            <w:r>
              <w:t xml:space="preserve"> EUR som krävs för att kommittén (och ReK) ska kunna genomföra en större uppgradering av cybersäkerheten, vilket gör det omöjligt att uppnå det mål som avses i förordning (EU, Euratom) 2023/2841</w:t>
            </w:r>
            <w:r>
              <w:rPr>
                <w:vertAlign w:val="superscript"/>
              </w:rPr>
              <w:t>1</w:t>
            </w:r>
            <w:r>
              <w:t>om att avsätta omkring 10 % av sina totala it‑utgifter till cybersäkerhet.</w:t>
            </w:r>
          </w:p>
        </w:tc>
        <w:tc>
          <w:tcPr>
            <w:tcW w:w="4876" w:type="dxa"/>
            <w:tcBorders>
              <w:top w:val="nil"/>
              <w:left w:val="nil"/>
              <w:bottom w:val="nil"/>
              <w:right w:val="nil"/>
            </w:tcBorders>
          </w:tcPr>
          <w:p>
            <w:pPr>
              <w:pStyle w:val="Normal6a"/>
            </w:pPr>
            <w:r>
              <w:t>37.</w:t>
            </w:r>
            <w:r>
              <w:tab/>
            </w:r>
            <w:r>
              <w:t xml:space="preserve">Europaparlamentet noterar att kommitténs och ReK:s sammanlagda it-budget för </w:t>
            </w:r>
            <w:r>
              <w:rPr>
                <w:b/>
                <w:i/>
              </w:rPr>
              <w:t>2024</w:t>
            </w:r>
            <w:r>
              <w:t xml:space="preserve"> uppgick till </w:t>
            </w:r>
            <w:r>
              <w:rPr>
                <w:b/>
                <w:i/>
              </w:rPr>
              <w:t>13 700 000</w:t>
            </w:r>
            <w:r>
              <w:t xml:space="preserve"> EUR, jämfört med 12 700 000 EUR för 2023, vilket innebär en ökning med 7,87 %, och att </w:t>
            </w:r>
            <w:r>
              <w:rPr>
                <w:b/>
                <w:i/>
              </w:rPr>
              <w:t>760 000</w:t>
            </w:r>
            <w:r>
              <w:t xml:space="preserve"> EUR av den budgeten (eller 6 %) gick till cybersäkerhet under 2024. Parlamentet noterar utifrån frågeformuläret att finansieringen av it-projekt ökade med </w:t>
            </w:r>
            <w:r>
              <w:rPr>
                <w:b/>
                <w:i/>
              </w:rPr>
              <w:t>109 000</w:t>
            </w:r>
            <w:r>
              <w:t xml:space="preserve"> EUR jämfört med 2023, vilket motsvarar en ökning med 4 %, främst till stöd för arbetsplatsprogrammet M365 och omvandlingsprogrammet för cybersäkerhet (Cybersecurity Transformation Programme). Parlamentet noterar vidare att utgifterna för utrustning ökade med </w:t>
            </w:r>
            <w:r>
              <w:rPr>
                <w:b/>
                <w:i/>
              </w:rPr>
              <w:t>117 000</w:t>
            </w:r>
            <w:r>
              <w:t xml:space="preserve"> EUR (dvs. en ökning med 20 %), främst på grund av prisjusteringar och strategiska investeringar i telefoniinfrastruktur. Parlamentet erkänner kommitténs oro över att den är strukturellt underfinansierad på områdena digitalisering och cybersäkerhet. Parlamentet beklagar i detta sammanhang att budgetmyndigheten i unionens budget för 2026 inte inkluderade det belopp på </w:t>
            </w:r>
            <w:r>
              <w:rPr>
                <w:b/>
                <w:i/>
              </w:rPr>
              <w:t>1 176 000</w:t>
            </w:r>
            <w:r>
              <w:t> EUR som krävs för att kommittén (och ReK) ska kunna genomföra en större uppgradering av cybersäkerheten, vilket gör det omöjligt att uppnå det mål som avses i förordning (EU, Euratom) 2023/2841</w:t>
            </w:r>
            <w:r>
              <w:rPr>
                <w:vertAlign w:val="superscript"/>
              </w:rPr>
              <w:t>1</w:t>
            </w:r>
            <w:r>
              <w:t xml:space="preserve"> om att avsätta omkring 10 % av sina totala it‑utgifter till cybersäkerhet. </w:t>
            </w:r>
            <w:r>
              <w:rPr>
                <w:b/>
                <w:i/>
              </w:rPr>
              <w:t>Parlamentet efterlyser lämpliga medel för att göra det möjligt för kommittén och ReK att genomföra en omfattande uppgradering av cybersäkerheten.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Europaparlamentets och rådets förordning (EU, Euratom) 2023/2841 av den 13 december 2023 om åtgärder för en hög gemensam cybersäkerhetsnivå vid unionens institutioner, organ och byråer (</w:t>
            </w:r>
            <w:r>
              <w:rPr>
                <w:b/>
                <w:i/>
              </w:rPr>
              <w:t>EUT</w:t>
            </w:r>
            <w:r>
              <w:t xml:space="preserve"> L, 2023/2841, 18.12.2023, ELI: http://data.europa.eu/eli/reg/2023/2841/oj).</w:t>
            </w:r>
          </w:p>
        </w:tc>
        <w:tc>
          <w:tcPr>
            <w:tcW w:w="4876" w:type="dxa"/>
            <w:tcBorders>
              <w:top w:val="nil"/>
              <w:left w:val="nil"/>
              <w:bottom w:val="nil"/>
              <w:right w:val="nil"/>
            </w:tcBorders>
          </w:tcPr>
          <w:p>
            <w:pPr>
              <w:pStyle w:val="Normal6a"/>
            </w:pPr>
            <w:r>
              <w:rPr>
                <w:vertAlign w:val="superscript"/>
              </w:rPr>
              <w:t>1</w:t>
            </w:r>
            <w:r>
              <w:t xml:space="preserve"> </w:t>
            </w:r>
            <w:r>
              <w:t>Europaparlamentets och rådets förordning (EU, Euratom) 2023/2841 av den 13 december 2023 om åtgärder för en hög gemensam cybersäkerhetsnivå vid unionens institutioner, organ och byråer (</w:t>
            </w:r>
            <w:r>
              <w:rPr>
                <w:b/>
                <w:i/>
              </w:rPr>
              <w:t>OJ</w:t>
            </w:r>
            <w:r>
              <w:t xml:space="preserve"> L, 2023/2841, 18.12.2023, ELI: http://data.europa.eu/eli/reg/2023/2841/oj).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Europaparlamentet noterar att kommitténs och ReK:s sammanlagda it-budget för </w:t>
            </w:r>
            <w:r>
              <w:rPr>
                <w:b/>
                <w:i/>
              </w:rPr>
              <w:t>2022</w:t>
            </w:r>
            <w:r>
              <w:t xml:space="preserve"> uppgick till </w:t>
            </w:r>
            <w:r>
              <w:rPr>
                <w:b/>
                <w:i/>
              </w:rPr>
              <w:t>13 700 000</w:t>
            </w:r>
            <w:r>
              <w:t xml:space="preserve"> EUR, jämfört med 12 700 000 EUR för 2023, vilket innebär en ökning med 7,87 %, och att </w:t>
            </w:r>
            <w:r>
              <w:rPr>
                <w:b/>
                <w:i/>
              </w:rPr>
              <w:t>760 000</w:t>
            </w:r>
            <w:r>
              <w:t xml:space="preserve"> EUR av den budgeten (eller 6 %) gick till cybersäkerhet under 2024. Parlamentet noterar utifrån frågeformuläret att finansieringen av it-projekt ökade med </w:t>
            </w:r>
            <w:r>
              <w:rPr>
                <w:b/>
                <w:i/>
              </w:rPr>
              <w:t>109 000</w:t>
            </w:r>
            <w:r>
              <w:t xml:space="preserve"> EUR jämfört med 2023, vilket motsvarar en ökning med 4 %, främst till stöd för arbetsplatsprogrammet M365 och omvandlingsprogrammet för cybersäkerhet (Cybersecurity Transformation Programme). Parlamentet noterar vidare att utgifterna för utrustning ökade med </w:t>
            </w:r>
            <w:r>
              <w:rPr>
                <w:b/>
                <w:i/>
              </w:rPr>
              <w:t>117 000</w:t>
            </w:r>
            <w:r>
              <w:t xml:space="preserve"> EUR (dvs. en ökning med 20 %), främst på grund av prisjusteringar och strategiska investeringar i telefoniinfrastruktur. Parlamentet erkänner kommitténs oro över att den är strukturellt underfinansierad på områdena digitalisering och cybersäkerhet. Parlamentet beklagar i detta sammanhang att budgetmyndigheten i unionens budget för 2026 inte inkluderade det belopp på </w:t>
            </w:r>
            <w:r>
              <w:rPr>
                <w:b/>
                <w:i/>
              </w:rPr>
              <w:t>1 176 000</w:t>
            </w:r>
            <w:r>
              <w:t xml:space="preserve"> EUR som krävs för att kommittén (och ReK) ska kunna genomföra en större uppgradering av cybersäkerheten, vilket gör det omöjligt att uppnå det mål som avses i förordning (EU, Euratom) 2023/2841</w:t>
            </w:r>
            <w:r>
              <w:rPr>
                <w:vertAlign w:val="superscript"/>
              </w:rPr>
              <w:t>1</w:t>
            </w:r>
            <w:r>
              <w:t>om att avsätta omkring 10 % av sina totala it‑utgifter till cybersäkerhet.</w:t>
            </w:r>
          </w:p>
        </w:tc>
        <w:tc>
          <w:tcPr>
            <w:tcW w:w="4876" w:type="dxa"/>
            <w:tcBorders>
              <w:top w:val="nil"/>
              <w:left w:val="nil"/>
              <w:bottom w:val="nil"/>
              <w:right w:val="nil"/>
            </w:tcBorders>
          </w:tcPr>
          <w:p>
            <w:pPr>
              <w:pStyle w:val="Normal6a"/>
            </w:pPr>
            <w:r>
              <w:t>37.</w:t>
            </w:r>
            <w:r>
              <w:tab/>
            </w:r>
            <w:r>
              <w:t xml:space="preserve">Europaparlamentet noterar att kommitténs och ReK:s sammanlagda it-budget för </w:t>
            </w:r>
            <w:r>
              <w:rPr>
                <w:b/>
                <w:i/>
              </w:rPr>
              <w:t>2024</w:t>
            </w:r>
            <w:r>
              <w:t xml:space="preserve"> uppgick till </w:t>
            </w:r>
            <w:r>
              <w:rPr>
                <w:b/>
                <w:i/>
              </w:rPr>
              <w:t>13 700 000</w:t>
            </w:r>
            <w:r>
              <w:t xml:space="preserve"> EUR, jämfört med 12 700 000 EUR för 2023, vilket innebär en ökning med 7,87 %, och att </w:t>
            </w:r>
            <w:r>
              <w:rPr>
                <w:b/>
                <w:i/>
              </w:rPr>
              <w:t>760 000</w:t>
            </w:r>
            <w:r>
              <w:t xml:space="preserve"> EUR av den budgeten (eller 6 %) gick till cybersäkerhet under 2024. Parlamentet noterar utifrån frågeformuläret att finansieringen av it-projekt ökade med </w:t>
            </w:r>
            <w:r>
              <w:rPr>
                <w:b/>
                <w:i/>
              </w:rPr>
              <w:t>109 000</w:t>
            </w:r>
            <w:r>
              <w:t xml:space="preserve"> EUR jämfört med 2023, vilket motsvarar en ökning med 4 %, främst till stöd för arbetsplatsprogrammet M365 och omvandlingsprogrammet för cybersäkerhet (Cybersecurity Transformation Programme). Parlamentet noterar vidare att utgifterna för utrustning ökade med </w:t>
            </w:r>
            <w:r>
              <w:rPr>
                <w:b/>
                <w:i/>
              </w:rPr>
              <w:t>117 000</w:t>
            </w:r>
            <w:r>
              <w:t xml:space="preserve"> EUR (dvs. en ökning med 20 %), främst på grund av prisjusteringar och strategiska investeringar i telefoniinfrastruktur. Parlamentet erkänner kommitténs oro över att den är strukturellt underfinansierad på områdena digitalisering och cybersäkerhet. Parlamentet beklagar i detta sammanhang att budgetmyndigheten i unionens budget för 2026 inte inkluderade det belopp på </w:t>
            </w:r>
            <w:r>
              <w:rPr>
                <w:b/>
                <w:i/>
              </w:rPr>
              <w:t>1 176 000</w:t>
            </w:r>
            <w:r>
              <w:t> EUR som krävs för att kommittén (och ReK) ska kunna genomföra en större uppgradering av cybersäkerheten, vilket gör det omöjligt att uppnå det mål som avses i förordning (EU, Euratom) 2023/2841</w:t>
            </w:r>
            <w:r>
              <w:rPr>
                <w:vertAlign w:val="superscript"/>
              </w:rPr>
              <w:t>1</w:t>
            </w:r>
            <w:r>
              <w:t xml:space="preserve"> om att avsätta omkring 10 % av sina totala it‑utgifter till cybersäkerhet.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Europaparlamentets och rådets förordning (EU, Euratom) 2023/2841 av den 13 december 2023 om åtgärder för en hög gemensam cybersäkerhetsnivå vid unionens institutioner, organ och byråer (</w:t>
            </w:r>
            <w:r>
              <w:rPr>
                <w:b/>
                <w:i/>
              </w:rPr>
              <w:t>EUT</w:t>
            </w:r>
            <w:r>
              <w:t xml:space="preserve"> L, 2023/2841, 18.12.2023, ELI: http://data.europa.eu/eli/reg/2023/2841/oj).</w:t>
            </w:r>
          </w:p>
        </w:tc>
        <w:tc>
          <w:tcPr>
            <w:tcW w:w="4876" w:type="dxa"/>
            <w:tcBorders>
              <w:top w:val="nil"/>
              <w:left w:val="nil"/>
              <w:bottom w:val="nil"/>
              <w:right w:val="nil"/>
            </w:tcBorders>
          </w:tcPr>
          <w:p>
            <w:pPr>
              <w:pStyle w:val="Normal6a"/>
            </w:pPr>
            <w:r>
              <w:rPr>
                <w:vertAlign w:val="superscript"/>
              </w:rPr>
              <w:t>1</w:t>
            </w:r>
            <w:r>
              <w:t xml:space="preserve"> </w:t>
            </w:r>
            <w:r>
              <w:t>Europaparlamentets och rådets förordning (EU, Euratom) 2023/2841 av den 13 december 2023 om åtgärder för en hög gemensam cybersäkerhetsnivå vid unionens institutioner, organ och byråer (</w:t>
            </w:r>
            <w:r>
              <w:rPr>
                <w:b/>
                <w:i/>
              </w:rPr>
              <w:t>OJ</w:t>
            </w:r>
            <w:r>
              <w:t xml:space="preserve"> L, 2023/2841, 18.12.2023, ELI: http://data.europa.eu/eli/reg/2023/2841/oj).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Europaparlamentet lovordar kommitténs insatser under 2024 för att säkerställa att personalen förvärvar de digitala färdigheter som krävs för en alltmer digitaliserad arbetsmiljö och för att genomföra riktade informationskampanjer, erbjuda ett omfattande utbildnings- och coachningsprogram och upprätthålla en uppdaterad it‑kunskapsbas med ett AI-drivet gränssnitt för att stödja personalutvecklingen.</w:t>
            </w:r>
          </w:p>
        </w:tc>
        <w:tc>
          <w:tcPr>
            <w:tcW w:w="4876" w:type="dxa"/>
            <w:tcBorders>
              <w:top w:val="nil"/>
              <w:left w:val="nil"/>
              <w:bottom w:val="nil"/>
              <w:right w:val="nil"/>
            </w:tcBorders>
          </w:tcPr>
          <w:p>
            <w:pPr>
              <w:pStyle w:val="Normal6a"/>
            </w:pPr>
            <w:r>
              <w:t>43.</w:t>
            </w:r>
            <w:r>
              <w:tab/>
            </w:r>
            <w:r>
              <w:t xml:space="preserve">Europaparlamentet lovordar kommitténs insatser under 2024 för att säkerställa att personalen förvärvar de digitala färdigheter som krävs för en alltmer digitaliserad arbetsmiljö och för att genomföra riktade informationskampanjer, erbjuda ett omfattande utbildnings- och coachningsprogram och upprätthålla en uppdaterad it‑kunskapsbas med ett AI-drivet gränssnitt för att stödja personalutvecklingen. </w:t>
            </w:r>
            <w:r>
              <w:rPr>
                <w:b/>
                <w:i/>
              </w:rPr>
              <w:t>Parlamentet uppmuntrar till utbildning om cybersäkerhet och säker, etisk och effektiv användning av artificiell intelligens.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 xml:space="preserve">Europaparlamentet noterar utifrån frågeformuläret en minskning av förbrukningen av el (-19 %), gas (-13 %) och vatten (-12 %) och en ökning av pappersförbrukningen (+1 </w:t>
            </w:r>
            <w:r>
              <w:rPr>
                <w:b/>
                <w:i/>
              </w:rPr>
              <w:t>%) och avfallsvolymerna (-12</w:t>
            </w:r>
            <w:r>
              <w:t xml:space="preserve"> %) under 2024 jämfört med 2023. Parlamentet välkomnar vidare en minskning av koldioxidutsläppen per heltidsekvivalent med 4,30 % (utsläpp från kommittéledamöternas resor ingår inte) under samma period. Parlamentet noterar utifrån frågeformuläret kommitténs åtgärder för att främja mer hållbara resealternativ bland sin personal och sina ledamöter och den pågående översynen av uppdragsguiden för personalen, som kommer att inbegripa miljöavtryck som en viktig del. Parlamentet välkomnar vidare kommitténs fokus på avfallshantering och återvinning för att främja en kultur av avfallsminskning och resurseffektivitet.</w:t>
            </w:r>
          </w:p>
        </w:tc>
        <w:tc>
          <w:tcPr>
            <w:tcW w:w="4876" w:type="dxa"/>
            <w:tcBorders>
              <w:top w:val="nil"/>
              <w:left w:val="nil"/>
              <w:bottom w:val="nil"/>
              <w:right w:val="nil"/>
            </w:tcBorders>
          </w:tcPr>
          <w:p>
            <w:pPr>
              <w:pStyle w:val="Normal6a"/>
            </w:pPr>
            <w:r>
              <w:t>49.</w:t>
            </w:r>
            <w:r>
              <w:tab/>
            </w:r>
            <w:r>
              <w:t xml:space="preserve">Europaparlamentet noterar utifrån frågeformuläret en minskning av förbrukningen av el (-19 %), gas (-13 %) och vatten (-12 %) </w:t>
            </w:r>
            <w:r>
              <w:rPr>
                <w:b/>
                <w:i/>
              </w:rPr>
              <w:t>samt av avfallsvolymerna (-12 %)</w:t>
            </w:r>
            <w:r>
              <w:t xml:space="preserve"> och en ökning av pappersförbrukningen (+1 %) under 2024 jämfört med 2023. Parlamentet välkomnar vidare en minskning av koldioxidutsläppen per heltidsekvivalent med 4,30 % (utsläpp från kommittéledamöternas resor ingår inte) under samma period. Parlamentet noterar utifrån frågeformuläret kommitténs åtgärder för att främja mer hållbara resealternativ bland sin personal och sina ledamöter och den pågående översynen av uppdragsguiden för personalen, som kommer att inbegripa miljöavtryck som en viktig del. Parlamentet välkomnar vidare kommitténs fokus på avfallshantering och återvinning för att främja en kultur av avfallsminskning och resurseffektivitet.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Europaparlamentet noterar med tillfredsställelse att alla kommitténs anbudsinfordringar som överstiger </w:t>
            </w:r>
            <w:r>
              <w:rPr>
                <w:b/>
                <w:i/>
              </w:rPr>
              <w:t>60 000</w:t>
            </w:r>
            <w:r>
              <w:t xml:space="preserve"> EUR och de som överstiger </w:t>
            </w:r>
            <w:r>
              <w:rPr>
                <w:b/>
                <w:i/>
              </w:rPr>
              <w:t>25 000</w:t>
            </w:r>
            <w:r>
              <w:t xml:space="preserve"> EUR och som förvaltas tillsammans med ReK innehåller hållbarhetsklausuler i linje med standarderna för energiunionen, den europeiska gröna given och principerna för den cirkulära ekonomin. Parlamentet noterar att kommitténs nya ramavtal för cateringtjänster trädde i kraft i augusti 2024 och innehåller krav på ekologiska och lokalt producerade produkter, livsmedelsdonationer och säsongsbetonade frukter och grönsaker.</w:t>
            </w:r>
          </w:p>
        </w:tc>
        <w:tc>
          <w:tcPr>
            <w:tcW w:w="4876" w:type="dxa"/>
            <w:tcBorders>
              <w:top w:val="nil"/>
              <w:left w:val="nil"/>
              <w:bottom w:val="nil"/>
              <w:right w:val="nil"/>
            </w:tcBorders>
          </w:tcPr>
          <w:p>
            <w:pPr>
              <w:pStyle w:val="Normal6a"/>
            </w:pPr>
            <w:r>
              <w:t>50.</w:t>
            </w:r>
            <w:r>
              <w:tab/>
            </w:r>
            <w:r>
              <w:t xml:space="preserve">Europaparlamentet noterar med tillfredsställelse att alla kommitténs anbudsinfordringar som överstiger </w:t>
            </w:r>
            <w:r>
              <w:rPr>
                <w:b/>
                <w:i/>
              </w:rPr>
              <w:t>60 000</w:t>
            </w:r>
            <w:r>
              <w:t xml:space="preserve"> EUR och de som överstiger </w:t>
            </w:r>
            <w:r>
              <w:rPr>
                <w:b/>
                <w:i/>
              </w:rPr>
              <w:t>25 000</w:t>
            </w:r>
            <w:r>
              <w:t xml:space="preserve"> EUR och som förvaltas tillsammans med ReK innehåller hållbarhetsklausuler i linje med standarderna för energiunionen, den europeiska gröna given och principerna för den cirkulära ekonomin. Parlamentet noterar att kommitténs nya ramavtal för cateringtjänster trädde i kraft i augusti 2024 och innehåller krav på ekologiska och lokalt producerade produkter, livsmedelsdonationer och säsongsbetonade frukter och grönsaker. </w:t>
            </w:r>
            <w:r>
              <w:rPr>
                <w:b/>
                <w:i/>
              </w:rPr>
              <w:t>Parlamentet påpekar dock att de högre standarderna för så kallade gröna åtgärder ökar institutionens driftskostnader, vilket inte bara minskar institutionens tillgängliga budget utan också ökar kostnaderna för dess funktioner för skattebetalarna.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Ondřej Knotek, 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51a.</w:t>
            </w:r>
            <w:r>
              <w:tab/>
            </w:r>
            <w:r>
              <w:rPr>
                <w:b/>
                <w:i/>
              </w:rPr>
              <w:t>Europaparlamentet betonar att miljöinitiativ inom unionens institutioner måste förbli kostnadseffektiva och teknikneutrala.</w:t>
            </w:r>
            <w:r>
              <w:t xml:space="preserve"> </w:t>
            </w:r>
            <w:r>
              <w:rPr>
                <w:b/>
                <w:i/>
              </w:rPr>
              <w:t>Parlamentet uppmanar kommittén att tillhandahålla en transparent kostnads-nyttoanalys av sina gröna investeringar och upphandlingsmetoder och att säkerställa att miljöhänsyn inte väger tyngre än effektivitet eller budgetdisciplin.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Europaparlamentet noterar att kommittén spelar en avgörande roll när det gäller att stärka förbindelserna med och mellan de nationella ekonomiska och sociala råden i medlemsstaterna. Parlamentet noterar i detta sammanhang inrättandet av en ny tematisk arbetsgrupp bestående av 13 nationella ekonomiska och sociala råd, offentliggörandet av 32 nyhetsartiklar och 26 sammanfattningar av de rapporter som antagits av de nationella ekonomiska och sociala råden, anordnandet av det årliga mötet mellan ordförandena och generalsekreterarna för de nationella ekonomiska och sociala råden i Bryssel och ett gemensamt anordnat seminarium med 100 deltagare från europeiska arbetsmarknadsparter, organisationer i det civila samhället, företrädare för unionens institutioner och akademiker under 2024.</w:t>
            </w:r>
          </w:p>
        </w:tc>
        <w:tc>
          <w:tcPr>
            <w:tcW w:w="4876" w:type="dxa"/>
            <w:tcBorders>
              <w:top w:val="nil"/>
              <w:left w:val="nil"/>
              <w:bottom w:val="nil"/>
              <w:right w:val="nil"/>
            </w:tcBorders>
          </w:tcPr>
          <w:p>
            <w:pPr>
              <w:pStyle w:val="Normal6a"/>
            </w:pPr>
            <w:r>
              <w:t>60.</w:t>
            </w:r>
            <w:r>
              <w:tab/>
            </w:r>
            <w:r>
              <w:t xml:space="preserve">Europaparlamentet noterar att kommittén spelar en avgörande roll när det gäller att stärka förbindelserna med och mellan de nationella ekonomiska och sociala råden i medlemsstaterna. Parlamentet noterar i detta sammanhang inrättandet av en ny tematisk arbetsgrupp bestående av 13 nationella ekonomiska och sociala råd, offentliggörandet av 32 nyhetsartiklar och 26 sammanfattningar av de rapporter som antagits av de nationella ekonomiska och sociala råden, anordnandet av det årliga mötet mellan ordförandena och generalsekreterarna för de nationella ekonomiska och sociala råden i Bryssel och ett gemensamt anordnat seminarium med 100 deltagare från europeiska arbetsmarknadsparter, organisationer i det civila samhället, företrädare för unionens institutioner och akademiker under 2024. </w:t>
            </w:r>
            <w:r>
              <w:rPr>
                <w:b/>
                <w:i/>
              </w:rPr>
              <w:t>Parlamentet efterlyser fortsatt samarbete i frågor av gemensamt intresse och utbyte av bästa praxis, och betonar det civila samhällets avgörande roll när det gäller att ta itu med de utmaningar som unionen står inför.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63.</w:t>
            </w:r>
            <w:r>
              <w:tab/>
            </w:r>
            <w:r>
              <w:t xml:space="preserve">Europaparlamentet uppskattar lanseringen av NaviGate-plattformen i maj 2024. Parlamentet noterar att denna plattform, som matas med webblänkar till publikationsbyråns EULT, avsevärt har ökat synligheten för kommitténs arbete och förbättrat användarupplevelsen för ledamöter, personal, besökare från andra institutioner och allmänheten, och nådde </w:t>
            </w:r>
            <w:r>
              <w:rPr>
                <w:b/>
                <w:i/>
              </w:rPr>
              <w:t>4 600</w:t>
            </w:r>
            <w:r>
              <w:t xml:space="preserve"> unika besökare 2024.</w:t>
            </w:r>
          </w:p>
        </w:tc>
        <w:tc>
          <w:tcPr>
            <w:tcW w:w="4876" w:type="dxa"/>
            <w:tcBorders>
              <w:top w:val="nil"/>
              <w:left w:val="nil"/>
              <w:bottom w:val="nil"/>
              <w:right w:val="nil"/>
            </w:tcBorders>
          </w:tcPr>
          <w:p>
            <w:pPr>
              <w:pStyle w:val="Normal6a"/>
            </w:pPr>
            <w:r>
              <w:t>63</w:t>
            </w:r>
            <w:r>
              <w:rPr>
                <w:b/>
                <w:i/>
              </w:rPr>
              <w:t>.</w:t>
            </w:r>
            <w:r>
              <w:tab/>
            </w:r>
            <w:r>
              <w:rPr>
                <w:b/>
                <w:i/>
              </w:rPr>
              <w:t>Parlamentet välkomnar kommitténs insatser för att öka synligheten för sitt arbete.</w:t>
            </w:r>
            <w:r>
              <w:t xml:space="preserve"> </w:t>
            </w:r>
            <w:r>
              <w:rPr>
                <w:b/>
                <w:i/>
              </w:rPr>
              <w:t>Parlamentet anser dock att det krävs ytterligare insatser för att säkerställa att kommunikationsverksamheten tydligt förklarar kommitténs roll och konkreta bidrag till EU:s närvaro på plats, på ett sätt som är tillgängligt och meningsfullt för medborgarna</w:t>
            </w:r>
            <w:r>
              <w:t xml:space="preserve">. Europaparlamentet uppskattar lanseringen av NaviGate-plattformen i maj 2024. Parlamentet noterar att denna plattform, som matas med webblänkar till publikationsbyråns EULT, avsevärt har ökat synligheten för kommitténs arbete och förbättrat användarupplevelsen för ledamöter, personal, besökare från andra institutioner och allmänheten, och nådde </w:t>
            </w:r>
            <w:r>
              <w:rPr>
                <w:b/>
                <w:i/>
              </w:rPr>
              <w:t>4 600</w:t>
            </w:r>
            <w:r>
              <w:t xml:space="preserve"> unika besökare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784.136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38</w:t>
    </w:r>
    <w:r>
      <w:fldChar w:fldCharType="end"/>
    </w:r>
    <w:r>
      <w:t>/</w:t>
    </w:r>
    <w:r>
      <w:fldChar w:fldCharType="begin"/>
    </w:r>
    <w:r>
      <w:instrText xml:space="preserve"> NUMPAGES </w:instrText>
    </w:r>
    <w:r>
      <w:fldChar w:fldCharType="separate"/>
    </w:r>
    <w:r>
      <w:t>38</w:t>
    </w:r>
    <w:r>
      <w:fldChar w:fldCharType="end"/>
    </w:r>
    <w:r>
      <w:tab/>
    </w:r>
    <w:r>
      <w:rPr>
        <w:rStyle w:val="HideTWBExt"/>
      </w:rPr>
      <w:t>&lt;PathFdR&gt;</w:t>
    </w:r>
    <w:r>
      <w:t>AM\1336221SV.docx</w:t>
    </w:r>
    <w:r>
      <w:rPr>
        <w:rStyle w:val="HideTWBExt"/>
      </w:rPr>
      <w:t>&lt;/PathFdR&gt;</w:t>
    </w:r>
  </w:p>
  <w:p>
    <w:pPr>
      <w:pStyle w:val="EPFooter2"/>
    </w:pPr>
    <w:r>
      <w:t>SV</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AM\1336221SV.docx</w:t>
    </w:r>
    <w:r>
      <w:rPr>
        <w:rStyle w:val="HideTWBExt"/>
      </w:rPr>
      <w:t>&lt;/PathFdR&gt;</w:t>
    </w:r>
    <w:r>
      <w:tab/>
    </w:r>
    <w:r>
      <w:fldChar w:fldCharType="begin"/>
    </w:r>
    <w:r>
      <w:instrText xml:space="preserve"> PAGE </w:instrText>
    </w:r>
    <w:r>
      <w:fldChar w:fldCharType="separate"/>
    </w:r>
    <w:r>
      <w:t>37</w:t>
    </w:r>
    <w:r>
      <w:fldChar w:fldCharType="end"/>
    </w:r>
    <w:r>
      <w:t>/</w:t>
    </w:r>
    <w:r>
      <w:fldChar w:fldCharType="begin"/>
    </w:r>
    <w:r>
      <w:instrText xml:space="preserve"> NUMPAGES </w:instrText>
    </w:r>
    <w:r>
      <w:fldChar w:fldCharType="separate"/>
    </w:r>
    <w:r>
      <w:t>38</w:t>
    </w:r>
    <w:r>
      <w:fldChar w:fldCharType="end"/>
    </w:r>
    <w:r>
      <w:tab/>
    </w:r>
    <w:r>
      <w:t>PE</w:t>
    </w:r>
    <w:r>
      <w:rPr>
        <w:rStyle w:val="HideTWBExt"/>
      </w:rPr>
      <w:t>&lt;NoPE&gt;</w:t>
    </w:r>
    <w:r>
      <w:t>784.136</w:t>
    </w:r>
    <w:r>
      <w:rPr>
        <w:rStyle w:val="HideTWBExt"/>
      </w:rPr>
      <w:t>&lt;/NoPE&gt;</w:t>
    </w:r>
    <w:r>
      <w:rPr>
        <w:rStyle w:val="HideTWBExt"/>
      </w:rPr>
      <w:t>&lt;Version&gt;</w:t>
    </w:r>
    <w:r>
      <w:t>v01-00</w:t>
    </w:r>
    <w:r>
      <w:rPr>
        <w:rStyle w:val="HideTWBExt"/>
      </w:rPr>
      <w:t>&lt;/Version&gt;</w:t>
    </w:r>
  </w:p>
  <w:p>
    <w:pPr>
      <w:pStyle w:val="EPFooter2"/>
    </w:pPr>
    <w:r>
      <w:tab/>
    </w:r>
    <w:r>
      <w:tab/>
    </w:r>
    <w:r>
      <w:t>SV</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AM\1336221SV.docx</w:t>
    </w:r>
    <w:r>
      <w:rPr>
        <w:rStyle w:val="HideTWBExt"/>
      </w:rPr>
      <w:t>&lt;/PathFdR&gt;</w:t>
    </w:r>
    <w:r>
      <w:tab/>
    </w:r>
    <w:r>
      <w:tab/>
    </w:r>
    <w:r>
      <w:t>PE</w:t>
    </w:r>
    <w:r>
      <w:rPr>
        <w:rStyle w:val="HideTWBExt"/>
      </w:rPr>
      <w:t>&lt;NoPE&gt;</w:t>
    </w:r>
    <w:r>
      <w:t>784.136</w:t>
    </w:r>
    <w:r>
      <w:rPr>
        <w:rStyle w:val="HideTWBExt"/>
      </w:rPr>
      <w:t>&lt;/NoPE&gt;</w:t>
    </w:r>
    <w:r>
      <w:rPr>
        <w:rStyle w:val="HideTWBExt"/>
      </w:rPr>
      <w:t>&lt;Version&gt;</w:t>
    </w:r>
    <w:r>
      <w:t>v01-00</w:t>
    </w:r>
    <w:r>
      <w:rPr>
        <w:rStyle w:val="HideTWBExt"/>
      </w:rPr>
      <w:t>&lt;/Version&gt;</w:t>
    </w:r>
  </w:p>
  <w:p>
    <w:pPr>
      <w:pStyle w:val="EPFooter2"/>
    </w:pPr>
    <w:r>
      <w:t>SV</w:t>
    </w:r>
    <w:r>
      <w:tab/>
    </w:r>
    <w:r>
      <w:rPr>
        <w:rStyle w:val="EPFooter2Motto"/>
      </w:rPr>
      <w:t>Förenade i mångfalden</w:t>
    </w:r>
    <w:r>
      <w:tab/>
    </w:r>
    <w:r>
      <w:t>SV</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38</Pages>
  <Words>10367</Words>
  <Characters>69172</Characters>
  <Application>Microsoft Office Word</Application>
  <DocSecurity>0</DocSecurity>
  <Lines>1</Lines>
  <Paragraphs>418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1336221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369190</vt:lpwstr>
  </property>
  <property fmtid="{D5CDD505-2E9C-101B-9397-08002B2CF9AE}" pid="7" name="dmxml.render.traceId">
    <vt:lpwstr>698aec4f6030deb045d3301071c8b62d</vt:lpwstr>
  </property>
  <property fmtid="{D5CDD505-2E9C-101B-9397-08002B2CF9AE}" pid="8" name="FooterPath">
    <vt:lpwstr>AM\1336221SV.docx</vt:lpwstr>
  </property>
  <property fmtid="{D5CDD505-2E9C-101B-9397-08002B2CF9AE}" pid="9" name="PE Number">
    <vt:lpwstr>784.136</vt:lpwstr>
  </property>
  <property fmtid="{D5CDD505-2E9C-101B-9397-08002B2CF9AE}" pid="10" name="UID">
    <vt:lpwstr>eu.europa.europarl-DIN1-2026-0000016192_01.00-sv-01.00_text-xml</vt:lpwstr>
  </property>
</Properties>
</file>