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88071B" w14:paraId="63C4F0B8" w14:textId="77777777" w:rsidTr="00730E82">
        <w:trPr>
          <w:trHeight w:hRule="exact" w:val="1418"/>
        </w:trPr>
        <w:tc>
          <w:tcPr>
            <w:tcW w:w="6804" w:type="dxa"/>
            <w:shd w:val="clear" w:color="auto" w:fill="auto"/>
            <w:vAlign w:val="center"/>
          </w:tcPr>
          <w:p w14:paraId="3A95BEC0" w14:textId="77777777" w:rsidR="0088071B" w:rsidRPr="00C574C2" w:rsidRDefault="0088071B" w:rsidP="00730E82">
            <w:pPr>
              <w:pStyle w:val="EPName"/>
            </w:pPr>
            <w:r>
              <w:t>Europski parlament</w:t>
            </w:r>
          </w:p>
          <w:p w14:paraId="1DC395A2" w14:textId="77777777" w:rsidR="0088071B" w:rsidRPr="00C574C2" w:rsidRDefault="0088071B" w:rsidP="00730E82">
            <w:pPr>
              <w:pStyle w:val="EPTerm"/>
            </w:pPr>
            <w:r>
              <w:t>2024-2029</w:t>
            </w:r>
          </w:p>
        </w:tc>
        <w:tc>
          <w:tcPr>
            <w:tcW w:w="2268" w:type="dxa"/>
            <w:shd w:val="clear" w:color="auto" w:fill="auto"/>
          </w:tcPr>
          <w:p w14:paraId="73501F12" w14:textId="77777777" w:rsidR="0088071B" w:rsidRPr="00C574C2" w:rsidRDefault="0088071B" w:rsidP="00730E82">
            <w:pPr>
              <w:pStyle w:val="EPLogo"/>
            </w:pPr>
            <w:r w:rsidRPr="00C574C2">
              <w:rPr>
                <w:noProof/>
              </w:rPr>
              <w:drawing>
                <wp:inline distT="0" distB="0" distL="0" distR="0" wp14:anchorId="02981A79" wp14:editId="203C34E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553B45D" w14:textId="77777777" w:rsidR="0088071B" w:rsidRPr="00C574C2" w:rsidRDefault="0088071B" w:rsidP="0088071B">
      <w:pPr>
        <w:pStyle w:val="LineTop"/>
      </w:pPr>
    </w:p>
    <w:p w14:paraId="473B0E61" w14:textId="77777777" w:rsidR="0088071B" w:rsidRPr="00C574C2" w:rsidRDefault="0088071B" w:rsidP="0088071B">
      <w:pPr>
        <w:pStyle w:val="EPBody"/>
      </w:pPr>
      <w:r>
        <w:rPr>
          <w:rStyle w:val="HideTWBExt"/>
        </w:rPr>
        <w:t>&lt;</w:t>
      </w:r>
      <w:r>
        <w:rPr>
          <w:rStyle w:val="HideTWBExt"/>
          <w:i w:val="0"/>
        </w:rPr>
        <w:t>Commission</w:t>
      </w:r>
      <w:r>
        <w:rPr>
          <w:rStyle w:val="HideTWBExt"/>
        </w:rPr>
        <w:t>&gt;</w:t>
      </w:r>
      <w:r>
        <w:rPr>
          <w:rStyle w:val="HideTWBInt"/>
          <w:color w:val="auto"/>
        </w:rPr>
        <w:t>{CONT}</w:t>
      </w:r>
      <w:r>
        <w:t>Odbor za proračunski nadzor</w:t>
      </w:r>
      <w:r>
        <w:rPr>
          <w:rStyle w:val="HideTWBExt"/>
        </w:rPr>
        <w:t>&lt;/</w:t>
      </w:r>
      <w:proofErr w:type="spellStart"/>
      <w:r>
        <w:rPr>
          <w:rStyle w:val="HideTWBExt"/>
          <w:i w:val="0"/>
        </w:rPr>
        <w:t>Commission</w:t>
      </w:r>
      <w:proofErr w:type="spellEnd"/>
      <w:r>
        <w:rPr>
          <w:rStyle w:val="HideTWBExt"/>
        </w:rPr>
        <w:t>&gt;</w:t>
      </w:r>
    </w:p>
    <w:p w14:paraId="3FA37ABA" w14:textId="77777777" w:rsidR="0088071B" w:rsidRPr="00C574C2" w:rsidRDefault="0088071B" w:rsidP="0088071B">
      <w:pPr>
        <w:pStyle w:val="LineBottom"/>
      </w:pPr>
    </w:p>
    <w:p w14:paraId="7DA80317" w14:textId="77777777" w:rsidR="0088071B" w:rsidRPr="00C574C2" w:rsidRDefault="0088071B" w:rsidP="0088071B">
      <w:pPr>
        <w:pStyle w:val="CoverReference"/>
      </w:pPr>
      <w:r>
        <w:rPr>
          <w:rStyle w:val="HideTWBExt"/>
          <w:b w:val="0"/>
        </w:rPr>
        <w:t>&lt;RefProc&gt;</w:t>
      </w:r>
      <w:r>
        <w:t>2025/2155</w:t>
      </w:r>
      <w:r>
        <w:rPr>
          <w:rStyle w:val="HideTWBExt"/>
          <w:b w:val="0"/>
        </w:rPr>
        <w:t>&lt;/</w:t>
      </w:r>
      <w:proofErr w:type="spellStart"/>
      <w:r>
        <w:rPr>
          <w:rStyle w:val="HideTWBExt"/>
          <w:b w:val="0"/>
        </w:rPr>
        <w:t>RefProc</w:t>
      </w:r>
      <w:proofErr w:type="spellEnd"/>
      <w:r>
        <w:rPr>
          <w:rStyle w:val="HideTWBExt"/>
          <w:b w:val="0"/>
        </w:rPr>
        <w:t>&gt;&lt;RefTypeProc&gt;</w:t>
      </w:r>
      <w:r>
        <w:t>(DEC)</w:t>
      </w:r>
      <w:r>
        <w:rPr>
          <w:rStyle w:val="HideTWBExt"/>
          <w:b w:val="0"/>
        </w:rPr>
        <w:t>&lt;/</w:t>
      </w:r>
      <w:proofErr w:type="spellStart"/>
      <w:r>
        <w:rPr>
          <w:rStyle w:val="HideTWBExt"/>
          <w:b w:val="0"/>
        </w:rPr>
        <w:t>RefTypeProc</w:t>
      </w:r>
      <w:proofErr w:type="spellEnd"/>
      <w:r>
        <w:rPr>
          <w:rStyle w:val="HideTWBExt"/>
          <w:b w:val="0"/>
        </w:rPr>
        <w:t>&gt;</w:t>
      </w:r>
    </w:p>
    <w:p w14:paraId="318B7B2C" w14:textId="77777777" w:rsidR="0088071B" w:rsidRPr="00C574C2" w:rsidRDefault="0088071B" w:rsidP="0088071B">
      <w:pPr>
        <w:pStyle w:val="CoverDate"/>
      </w:pPr>
      <w:r>
        <w:rPr>
          <w:rStyle w:val="HideTWBExt"/>
        </w:rPr>
        <w:t>&lt;Date&gt;</w:t>
      </w:r>
      <w:r>
        <w:rPr>
          <w:rStyle w:val="HideTWBInt"/>
          <w:color w:val="auto"/>
        </w:rPr>
        <w:t>{28/01/2026}</w:t>
      </w:r>
      <w:r>
        <w:t>28.1.2026</w:t>
      </w:r>
      <w:r>
        <w:rPr>
          <w:rStyle w:val="HideTWBExt"/>
        </w:rPr>
        <w:t>&lt;/Date&gt;</w:t>
      </w:r>
    </w:p>
    <w:p w14:paraId="4F011D87" w14:textId="77777777" w:rsidR="0088071B" w:rsidRPr="00C574C2" w:rsidRDefault="0088071B" w:rsidP="0088071B">
      <w:pPr>
        <w:pStyle w:val="CoverDocType"/>
      </w:pPr>
      <w:r>
        <w:rPr>
          <w:rStyle w:val="HideTWBExt"/>
          <w:b w:val="0"/>
        </w:rPr>
        <w:t>&lt;TypeAM&gt;</w:t>
      </w:r>
      <w:r>
        <w:t>AMANDMANI</w:t>
      </w:r>
      <w:r>
        <w:rPr>
          <w:rStyle w:val="HideTWBExt"/>
          <w:b w:val="0"/>
        </w:rPr>
        <w:t>&lt;/</w:t>
      </w:r>
      <w:proofErr w:type="spellStart"/>
      <w:r>
        <w:rPr>
          <w:rStyle w:val="HideTWBExt"/>
          <w:b w:val="0"/>
        </w:rPr>
        <w:t>TypeAM</w:t>
      </w:r>
      <w:proofErr w:type="spellEnd"/>
      <w:r>
        <w:rPr>
          <w:rStyle w:val="HideTWBExt"/>
          <w:b w:val="0"/>
        </w:rPr>
        <w:t>&gt;</w:t>
      </w:r>
    </w:p>
    <w:p w14:paraId="78D69603" w14:textId="77777777" w:rsidR="0088071B" w:rsidRPr="00C574C2" w:rsidRDefault="0088071B" w:rsidP="0088071B">
      <w:pPr>
        <w:pStyle w:val="CoverDocType24a"/>
      </w:pPr>
      <w:r>
        <w:rPr>
          <w:rStyle w:val="HideTWBExt"/>
          <w:b w:val="0"/>
        </w:rPr>
        <w:t>&lt;RangeAM&gt;</w:t>
      </w:r>
      <w:r>
        <w:t>1 - 69</w:t>
      </w:r>
      <w:r>
        <w:rPr>
          <w:rStyle w:val="HideTWBExt"/>
          <w:b w:val="0"/>
        </w:rPr>
        <w:t>&lt;/</w:t>
      </w:r>
      <w:proofErr w:type="spellStart"/>
      <w:r>
        <w:rPr>
          <w:rStyle w:val="HideTWBExt"/>
          <w:b w:val="0"/>
        </w:rPr>
        <w:t>RangeAM</w:t>
      </w:r>
      <w:proofErr w:type="spellEnd"/>
      <w:r>
        <w:rPr>
          <w:rStyle w:val="HideTWBExt"/>
          <w:b w:val="0"/>
        </w:rPr>
        <w:t>&gt;</w:t>
      </w:r>
    </w:p>
    <w:p w14:paraId="5B45E65A" w14:textId="77777777" w:rsidR="0088071B" w:rsidRPr="00C574C2" w:rsidRDefault="0088071B" w:rsidP="0088071B">
      <w:pPr>
        <w:pStyle w:val="CoverBold"/>
      </w:pPr>
      <w:r>
        <w:rPr>
          <w:rStyle w:val="HideTWBExt"/>
          <w:b w:val="0"/>
        </w:rPr>
        <w:t>&lt;TitreType&gt;</w:t>
      </w:r>
      <w:r>
        <w:t>Nacrt izvješća</w:t>
      </w:r>
      <w:r>
        <w:rPr>
          <w:rStyle w:val="HideTWBExt"/>
          <w:b w:val="0"/>
        </w:rPr>
        <w:t>&lt;/</w:t>
      </w:r>
      <w:proofErr w:type="spellStart"/>
      <w:r>
        <w:rPr>
          <w:rStyle w:val="HideTWBExt"/>
          <w:b w:val="0"/>
        </w:rPr>
        <w:t>TitreType</w:t>
      </w:r>
      <w:proofErr w:type="spellEnd"/>
      <w:r>
        <w:rPr>
          <w:rStyle w:val="HideTWBExt"/>
          <w:b w:val="0"/>
        </w:rPr>
        <w:t>&gt;</w:t>
      </w:r>
    </w:p>
    <w:p w14:paraId="23A2EEE0" w14:textId="77777777" w:rsidR="0088071B" w:rsidRPr="00C574C2" w:rsidRDefault="0088071B" w:rsidP="0088071B">
      <w:pPr>
        <w:pStyle w:val="CoverBold"/>
      </w:pPr>
      <w:r>
        <w:rPr>
          <w:rStyle w:val="HideTWBExt"/>
          <w:b w:val="0"/>
        </w:rPr>
        <w:t>&lt;Rapporteur&gt;</w:t>
      </w:r>
      <w:proofErr w:type="spellStart"/>
      <w:r>
        <w:t>Pasquale</w:t>
      </w:r>
      <w:proofErr w:type="spellEnd"/>
      <w:r>
        <w:t xml:space="preserve"> </w:t>
      </w:r>
      <w:proofErr w:type="spellStart"/>
      <w:r>
        <w:t>Tridico</w:t>
      </w:r>
      <w:proofErr w:type="spellEnd"/>
      <w:r>
        <w:rPr>
          <w:rStyle w:val="HideTWBExt"/>
          <w:b w:val="0"/>
        </w:rPr>
        <w:t>&lt;/Rapporteur&gt;</w:t>
      </w:r>
    </w:p>
    <w:p w14:paraId="3CB2DB98" w14:textId="77777777" w:rsidR="0088071B" w:rsidRPr="00C574C2" w:rsidRDefault="0088071B" w:rsidP="0088071B">
      <w:pPr>
        <w:pStyle w:val="CoverNormal24a"/>
      </w:pPr>
      <w:r>
        <w:rPr>
          <w:rStyle w:val="HideTWBExt"/>
        </w:rPr>
        <w:t>&lt;DocRefPE&gt;</w:t>
      </w:r>
      <w:r>
        <w:t>(PE784.137v01-00)</w:t>
      </w:r>
      <w:r>
        <w:rPr>
          <w:rStyle w:val="HideTWBExt"/>
        </w:rPr>
        <w:t>&lt;/</w:t>
      </w:r>
      <w:proofErr w:type="spellStart"/>
      <w:r>
        <w:rPr>
          <w:rStyle w:val="HideTWBExt"/>
        </w:rPr>
        <w:t>DocRefPE</w:t>
      </w:r>
      <w:proofErr w:type="spellEnd"/>
      <w:r>
        <w:rPr>
          <w:rStyle w:val="HideTWBExt"/>
        </w:rPr>
        <w:t>&gt;</w:t>
      </w:r>
    </w:p>
    <w:p w14:paraId="349F365A" w14:textId="77777777" w:rsidR="0088071B" w:rsidRPr="00C574C2" w:rsidRDefault="0088071B" w:rsidP="0088071B">
      <w:pPr>
        <w:pStyle w:val="CoverNormal"/>
      </w:pPr>
      <w:r>
        <w:rPr>
          <w:rStyle w:val="HideTWBExt"/>
        </w:rPr>
        <w:t>&lt;Titre&gt;</w:t>
      </w:r>
      <w:r>
        <w:t>Razrješnica za 2024.: Opći proračun EU-a – Ured europskog javnog tužitelja (EPPO)</w:t>
      </w:r>
      <w:r>
        <w:rPr>
          <w:rStyle w:val="HideTWBExt"/>
        </w:rPr>
        <w:t>&lt;/</w:t>
      </w:r>
      <w:proofErr w:type="spellStart"/>
      <w:r>
        <w:rPr>
          <w:rStyle w:val="HideTWBExt"/>
        </w:rPr>
        <w:t>Titre</w:t>
      </w:r>
      <w:proofErr w:type="spellEnd"/>
      <w:r>
        <w:rPr>
          <w:rStyle w:val="HideTWBExt"/>
        </w:rPr>
        <w:t>&gt;</w:t>
      </w:r>
    </w:p>
    <w:p w14:paraId="5AF4F642" w14:textId="77777777" w:rsidR="0088071B" w:rsidRPr="00C574C2" w:rsidRDefault="0088071B" w:rsidP="0088071B">
      <w:pPr>
        <w:pStyle w:val="CoverNormal24a"/>
      </w:pPr>
      <w:r>
        <w:rPr>
          <w:rStyle w:val="HideTWBExt"/>
        </w:rPr>
        <w:t>&lt;DocRef&gt;</w:t>
      </w:r>
      <w:r>
        <w:t>(2025/2155(DEC))</w:t>
      </w:r>
      <w:r>
        <w:rPr>
          <w:rStyle w:val="HideTWBExt"/>
        </w:rPr>
        <w:t>&lt;/</w:t>
      </w:r>
      <w:proofErr w:type="spellStart"/>
      <w:r>
        <w:rPr>
          <w:rStyle w:val="HideTWBExt"/>
        </w:rPr>
        <w:t>DocRef</w:t>
      </w:r>
      <w:proofErr w:type="spellEnd"/>
      <w:r>
        <w:rPr>
          <w:rStyle w:val="HideTWBExt"/>
        </w:rPr>
        <w:t>&gt;</w:t>
      </w:r>
    </w:p>
    <w:p w14:paraId="748C3096" w14:textId="77777777" w:rsidR="00794E41" w:rsidRPr="00C574C2" w:rsidRDefault="00C574C2" w:rsidP="008B040A">
      <w:pPr>
        <w:widowControl/>
        <w:tabs>
          <w:tab w:val="center" w:pos="4677"/>
        </w:tabs>
      </w:pPr>
      <w:r w:rsidRPr="00C574C2">
        <w:br w:type="page"/>
      </w:r>
      <w:proofErr w:type="spellStart"/>
      <w:r w:rsidRPr="00C574C2">
        <w:lastRenderedPageBreak/>
        <w:t>AM_Com_NonLegReport</w:t>
      </w:r>
      <w:proofErr w:type="spellEnd"/>
    </w:p>
    <w:p w14:paraId="04DDB358" w14:textId="1218E8BE" w:rsidR="0088071B" w:rsidRPr="00C574C2" w:rsidRDefault="00C574C2" w:rsidP="0088071B">
      <w:pPr>
        <w:pStyle w:val="AmNumberTabs"/>
      </w:pPr>
      <w:r w:rsidRPr="00C574C2">
        <w:br w:type="page"/>
      </w:r>
      <w:r w:rsidR="0088071B" w:rsidRPr="0088071B">
        <w:rPr>
          <w:rStyle w:val="HideTWBExt"/>
          <w:b w:val="0"/>
        </w:rPr>
        <w:lastRenderedPageBreak/>
        <w:t>&lt;RepeatBlock-Amend&gt;</w:t>
      </w:r>
      <w:r w:rsidR="0088071B">
        <w:rPr>
          <w:rStyle w:val="HideTWBExt"/>
        </w:rPr>
        <w:t>&lt;Amend&gt;</w:t>
      </w:r>
      <w:r w:rsidR="0088071B">
        <w:t>Amandman</w:t>
      </w:r>
      <w:r w:rsidR="0088071B">
        <w:tab/>
      </w:r>
      <w:r w:rsidR="0088071B">
        <w:tab/>
      </w:r>
      <w:r w:rsidR="0088071B">
        <w:rPr>
          <w:rStyle w:val="HideTWBExt"/>
        </w:rPr>
        <w:t>&lt;NumAm&gt;</w:t>
      </w:r>
      <w:r w:rsidR="0088071B">
        <w:t>1</w:t>
      </w:r>
      <w:r w:rsidR="0088071B">
        <w:rPr>
          <w:rStyle w:val="HideTWBExt"/>
        </w:rPr>
        <w:t>&lt;/</w:t>
      </w:r>
      <w:proofErr w:type="spellStart"/>
      <w:r w:rsidR="0088071B">
        <w:rPr>
          <w:rStyle w:val="HideTWBExt"/>
        </w:rPr>
        <w:t>NumAm</w:t>
      </w:r>
      <w:proofErr w:type="spellEnd"/>
      <w:r w:rsidR="0088071B">
        <w:rPr>
          <w:rStyle w:val="HideTWBExt"/>
        </w:rPr>
        <w:t>&gt;</w:t>
      </w:r>
    </w:p>
    <w:p w14:paraId="4835F4DC"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58FF771C" w14:textId="77777777" w:rsidR="0088071B" w:rsidRPr="00C574C2" w:rsidRDefault="0088071B" w:rsidP="0088071B">
      <w:pPr>
        <w:pStyle w:val="NormalBold"/>
      </w:pPr>
      <w:r>
        <w:rPr>
          <w:rStyle w:val="HideTWBExt"/>
          <w:b w:val="0"/>
        </w:rPr>
        <w:t>&lt;/RepeatBlock-By&gt;</w:t>
      </w:r>
    </w:p>
    <w:p w14:paraId="5B89492F"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CC96C03" w14:textId="77777777" w:rsidR="0088071B" w:rsidRPr="00C574C2" w:rsidRDefault="0088071B" w:rsidP="0088071B">
      <w:pPr>
        <w:pStyle w:val="NormalBold"/>
      </w:pPr>
      <w:r>
        <w:rPr>
          <w:rStyle w:val="HideTWBExt"/>
        </w:rPr>
        <w:t>&lt;Article&gt;</w:t>
      </w:r>
      <w:r>
        <w:t>Uvodna izjava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A740C89" w14:textId="77777777" w:rsidTr="00730E82">
        <w:trPr>
          <w:trHeight w:val="240"/>
          <w:jc w:val="center"/>
        </w:trPr>
        <w:tc>
          <w:tcPr>
            <w:tcW w:w="9752" w:type="dxa"/>
            <w:gridSpan w:val="2"/>
            <w:tcBorders>
              <w:top w:val="nil"/>
              <w:left w:val="nil"/>
              <w:bottom w:val="nil"/>
              <w:right w:val="nil"/>
            </w:tcBorders>
          </w:tcPr>
          <w:p w14:paraId="16418410" w14:textId="77777777" w:rsidR="0088071B" w:rsidRPr="00C574C2" w:rsidRDefault="0088071B" w:rsidP="00730E82"/>
        </w:tc>
      </w:tr>
      <w:tr w:rsidR="0088071B" w14:paraId="5FD62C04" w14:textId="77777777" w:rsidTr="00730E82">
        <w:trPr>
          <w:trHeight w:val="240"/>
          <w:jc w:val="center"/>
        </w:trPr>
        <w:tc>
          <w:tcPr>
            <w:tcW w:w="4876" w:type="dxa"/>
            <w:tcBorders>
              <w:top w:val="nil"/>
              <w:left w:val="nil"/>
              <w:bottom w:val="nil"/>
              <w:right w:val="nil"/>
            </w:tcBorders>
            <w:hideMark/>
          </w:tcPr>
          <w:p w14:paraId="0111E2DA"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26387B12" w14:textId="77777777" w:rsidR="0088071B" w:rsidRPr="00C574C2" w:rsidRDefault="0088071B" w:rsidP="00730E82">
            <w:pPr>
              <w:pStyle w:val="AmColumnHeading"/>
            </w:pPr>
            <w:r>
              <w:t>Izmjena</w:t>
            </w:r>
          </w:p>
        </w:tc>
      </w:tr>
      <w:tr w:rsidR="0088071B" w14:paraId="0BD0E115" w14:textId="77777777" w:rsidTr="00730E82">
        <w:trPr>
          <w:jc w:val="center"/>
        </w:trPr>
        <w:tc>
          <w:tcPr>
            <w:tcW w:w="4876" w:type="dxa"/>
            <w:tcBorders>
              <w:top w:val="nil"/>
              <w:left w:val="nil"/>
              <w:bottom w:val="nil"/>
              <w:right w:val="nil"/>
            </w:tcBorders>
            <w:hideMark/>
          </w:tcPr>
          <w:p w14:paraId="36638FED" w14:textId="77777777" w:rsidR="0088071B" w:rsidRPr="00C574C2" w:rsidRDefault="0088071B" w:rsidP="00730E82">
            <w:pPr>
              <w:pStyle w:val="Normal6a"/>
            </w:pPr>
            <w:r>
              <w:t>B.</w:t>
            </w:r>
            <w:r>
              <w:tab/>
              <w:t>budući da nadležnost EPPO-a obuhvaća nekoliko vrsta prevara te uključuje prevare u vezi s PDV-om sa štetom većom od 10 milijuna EUR, pranje novca, korupciju i druga kaznena djela u pogledu kojih EPPO obavlja funkcije tužitelja pred nadležnim sudovima država članica sudionica do zaključenja predmeta;</w:t>
            </w:r>
          </w:p>
        </w:tc>
        <w:tc>
          <w:tcPr>
            <w:tcW w:w="4876" w:type="dxa"/>
            <w:tcBorders>
              <w:top w:val="nil"/>
              <w:left w:val="nil"/>
              <w:bottom w:val="nil"/>
              <w:right w:val="nil"/>
            </w:tcBorders>
            <w:hideMark/>
          </w:tcPr>
          <w:p w14:paraId="249539A3" w14:textId="77777777" w:rsidR="0088071B" w:rsidRPr="00C574C2" w:rsidRDefault="0088071B" w:rsidP="00730E82">
            <w:pPr>
              <w:pStyle w:val="Normal6a"/>
            </w:pPr>
            <w:r>
              <w:t>B.</w:t>
            </w:r>
            <w:r>
              <w:tab/>
              <w:t xml:space="preserve">budući da nadležnost EPPO-a obuhvaća nekoliko vrsta prevara te uključuje </w:t>
            </w:r>
            <w:r>
              <w:rPr>
                <w:b/>
                <w:i/>
              </w:rPr>
              <w:t xml:space="preserve">prekogranične </w:t>
            </w:r>
            <w:r>
              <w:t>prevare u vezi s PDV-om sa štetom većom od 10 milijuna EUR, pranje novca, korupciju i druga kaznena djela u pogledu kojih EPPO obavlja funkcije tužitelja pred nadležnim sudovima država članica sudionica do zaključenja predmeta;</w:t>
            </w:r>
          </w:p>
        </w:tc>
      </w:tr>
    </w:tbl>
    <w:p w14:paraId="6757A550"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86DE13B" w14:textId="77777777" w:rsidR="0088071B" w:rsidRPr="00C574C2" w:rsidRDefault="0088071B" w:rsidP="0088071B">
      <w:r>
        <w:rPr>
          <w:rStyle w:val="HideTWBExt"/>
        </w:rPr>
        <w:t>&lt;/Amend&gt;</w:t>
      </w:r>
    </w:p>
    <w:p w14:paraId="65127E62" w14:textId="77777777" w:rsidR="0088071B" w:rsidRPr="00C574C2" w:rsidRDefault="0088071B" w:rsidP="0088071B">
      <w:pPr>
        <w:pStyle w:val="AmNumberTabs"/>
      </w:pPr>
      <w:r>
        <w:rPr>
          <w:rStyle w:val="HideTWBExt"/>
        </w:rPr>
        <w:t>&lt;Amend&gt;</w:t>
      </w:r>
      <w:r>
        <w:t>Amandman</w:t>
      </w:r>
      <w:r>
        <w:tab/>
      </w:r>
      <w:r>
        <w:tab/>
      </w:r>
      <w:r>
        <w:rPr>
          <w:rStyle w:val="HideTWBExt"/>
        </w:rPr>
        <w:t>&lt;NumAm&gt;</w:t>
      </w:r>
      <w:r>
        <w:t>2</w:t>
      </w:r>
      <w:r>
        <w:rPr>
          <w:rStyle w:val="HideTWBExt"/>
        </w:rPr>
        <w:t>&lt;/</w:t>
      </w:r>
      <w:proofErr w:type="spellStart"/>
      <w:r>
        <w:rPr>
          <w:rStyle w:val="HideTWBExt"/>
        </w:rPr>
        <w:t>NumAm</w:t>
      </w:r>
      <w:proofErr w:type="spellEnd"/>
      <w:r>
        <w:rPr>
          <w:rStyle w:val="HideTWBExt"/>
        </w:rPr>
        <w:t>&gt;</w:t>
      </w:r>
    </w:p>
    <w:p w14:paraId="1187676C" w14:textId="77777777" w:rsidR="0088071B" w:rsidRPr="00C574C2" w:rsidRDefault="0088071B" w:rsidP="0088071B">
      <w:pPr>
        <w:pStyle w:val="NormalBold"/>
      </w:pPr>
      <w:r>
        <w:rPr>
          <w:rStyle w:val="HideTWBExt"/>
          <w:b w:val="0"/>
        </w:rPr>
        <w:t>&lt;RepeatBlock-By&gt;&lt;Members&gt;</w:t>
      </w:r>
      <w:proofErr w:type="spellStart"/>
      <w:r>
        <w:t>Ondřej</w:t>
      </w:r>
      <w:proofErr w:type="spellEnd"/>
      <w:r>
        <w:t xml:space="preserve"> </w:t>
      </w:r>
      <w:proofErr w:type="spellStart"/>
      <w:r>
        <w:t>Knotek</w:t>
      </w:r>
      <w:proofErr w:type="spellEnd"/>
      <w:r>
        <w:t xml:space="preserve">, </w:t>
      </w:r>
      <w:proofErr w:type="spellStart"/>
      <w:r>
        <w:t>Virginie</w:t>
      </w:r>
      <w:proofErr w:type="spellEnd"/>
      <w:r>
        <w:t xml:space="preserve"> </w:t>
      </w:r>
      <w:proofErr w:type="spellStart"/>
      <w:r>
        <w:t>Joron</w:t>
      </w:r>
      <w:proofErr w:type="spellEnd"/>
      <w:r>
        <w:t>, Julien Sanchez</w:t>
      </w:r>
      <w:r>
        <w:rPr>
          <w:rStyle w:val="HideTWBExt"/>
          <w:b w:val="0"/>
        </w:rPr>
        <w:t>&lt;/</w:t>
      </w:r>
      <w:proofErr w:type="spellStart"/>
      <w:r>
        <w:rPr>
          <w:rStyle w:val="HideTWBExt"/>
          <w:b w:val="0"/>
        </w:rPr>
        <w:t>Members</w:t>
      </w:r>
      <w:proofErr w:type="spellEnd"/>
      <w:r>
        <w:rPr>
          <w:rStyle w:val="HideTWBExt"/>
          <w:b w:val="0"/>
        </w:rPr>
        <w:t>&gt;</w:t>
      </w:r>
    </w:p>
    <w:p w14:paraId="12974A57" w14:textId="77777777" w:rsidR="0088071B" w:rsidRPr="00C574C2" w:rsidRDefault="0088071B" w:rsidP="0088071B">
      <w:pPr>
        <w:pStyle w:val="NormalBold"/>
      </w:pPr>
      <w:r>
        <w:rPr>
          <w:rStyle w:val="HideTWBExt"/>
          <w:b w:val="0"/>
        </w:rPr>
        <w:t>&lt;/RepeatBlock-By&gt;</w:t>
      </w:r>
    </w:p>
    <w:p w14:paraId="510BB69C"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96951B1" w14:textId="77777777" w:rsidR="0088071B" w:rsidRPr="00C574C2" w:rsidRDefault="0088071B" w:rsidP="0088071B">
      <w:pPr>
        <w:pStyle w:val="NormalBold"/>
      </w:pPr>
      <w:r>
        <w:rPr>
          <w:rStyle w:val="HideTWBExt"/>
        </w:rPr>
        <w:t>&lt;Article&gt;</w:t>
      </w:r>
      <w:r>
        <w:t>Uvodna izjava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5991EAE" w14:textId="77777777" w:rsidTr="00730E82">
        <w:trPr>
          <w:trHeight w:val="240"/>
          <w:jc w:val="center"/>
        </w:trPr>
        <w:tc>
          <w:tcPr>
            <w:tcW w:w="9752" w:type="dxa"/>
            <w:gridSpan w:val="2"/>
            <w:tcBorders>
              <w:top w:val="nil"/>
              <w:left w:val="nil"/>
              <w:bottom w:val="nil"/>
              <w:right w:val="nil"/>
            </w:tcBorders>
          </w:tcPr>
          <w:p w14:paraId="686FD707" w14:textId="77777777" w:rsidR="0088071B" w:rsidRPr="00C574C2" w:rsidRDefault="0088071B" w:rsidP="00730E82"/>
        </w:tc>
      </w:tr>
      <w:tr w:rsidR="0088071B" w14:paraId="609351CB" w14:textId="77777777" w:rsidTr="00730E82">
        <w:trPr>
          <w:trHeight w:val="240"/>
          <w:jc w:val="center"/>
        </w:trPr>
        <w:tc>
          <w:tcPr>
            <w:tcW w:w="4876" w:type="dxa"/>
            <w:tcBorders>
              <w:top w:val="nil"/>
              <w:left w:val="nil"/>
              <w:bottom w:val="nil"/>
              <w:right w:val="nil"/>
            </w:tcBorders>
            <w:hideMark/>
          </w:tcPr>
          <w:p w14:paraId="7E3ACBB4"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30A5B812" w14:textId="77777777" w:rsidR="0088071B" w:rsidRPr="00C574C2" w:rsidRDefault="0088071B" w:rsidP="00730E82">
            <w:pPr>
              <w:pStyle w:val="AmColumnHeading"/>
            </w:pPr>
            <w:r>
              <w:t>Izmjena</w:t>
            </w:r>
          </w:p>
        </w:tc>
      </w:tr>
      <w:tr w:rsidR="0088071B" w14:paraId="757F4735" w14:textId="77777777" w:rsidTr="00730E82">
        <w:trPr>
          <w:jc w:val="center"/>
        </w:trPr>
        <w:tc>
          <w:tcPr>
            <w:tcW w:w="4876" w:type="dxa"/>
            <w:tcBorders>
              <w:top w:val="nil"/>
              <w:left w:val="nil"/>
              <w:bottom w:val="nil"/>
              <w:right w:val="nil"/>
            </w:tcBorders>
            <w:hideMark/>
          </w:tcPr>
          <w:p w14:paraId="0EB5CEFC" w14:textId="77777777" w:rsidR="0088071B" w:rsidRPr="00C574C2" w:rsidRDefault="0088071B" w:rsidP="00730E82">
            <w:pPr>
              <w:pStyle w:val="Normal6a"/>
            </w:pPr>
            <w:r>
              <w:t>D.</w:t>
            </w:r>
            <w:r>
              <w:tab/>
              <w:t xml:space="preserve">budući da EPPO intervenira u situacijama u kojima ovlasti nacionalnih tijela koja istražuju i kazneno gone predmetna kaznena djela prestaju na granicama njihove zemlje, a druge organizacije kao što su </w:t>
            </w:r>
            <w:proofErr w:type="spellStart"/>
            <w:r>
              <w:t>Eurojust</w:t>
            </w:r>
            <w:proofErr w:type="spellEnd"/>
            <w:r>
              <w:t xml:space="preserve">, OLAF i </w:t>
            </w:r>
            <w:proofErr w:type="spellStart"/>
            <w:r>
              <w:t>Europol</w:t>
            </w:r>
            <w:proofErr w:type="spellEnd"/>
            <w:r>
              <w:t xml:space="preserve"> nemaju potrebne ovlasti za provedbu relevantnih kaznenih istraga i progona;</w:t>
            </w:r>
          </w:p>
        </w:tc>
        <w:tc>
          <w:tcPr>
            <w:tcW w:w="4876" w:type="dxa"/>
            <w:tcBorders>
              <w:top w:val="nil"/>
              <w:left w:val="nil"/>
              <w:bottom w:val="nil"/>
              <w:right w:val="nil"/>
            </w:tcBorders>
            <w:hideMark/>
          </w:tcPr>
          <w:p w14:paraId="6FD26526" w14:textId="77777777" w:rsidR="0088071B" w:rsidRPr="00C574C2" w:rsidRDefault="0088071B" w:rsidP="00730E82">
            <w:pPr>
              <w:pStyle w:val="Normal6a"/>
            </w:pPr>
            <w:r>
              <w:t>D.</w:t>
            </w:r>
            <w:r>
              <w:tab/>
              <w:t xml:space="preserve">budući da EPPO intervenira u situacijama u kojima ovlasti nacionalnih tijela koja istražuju i kazneno gone predmetna kaznena djela prestaju na granicama njihove zemlje, a druge organizacije kao što su </w:t>
            </w:r>
            <w:proofErr w:type="spellStart"/>
            <w:r>
              <w:t>Eurojust</w:t>
            </w:r>
            <w:proofErr w:type="spellEnd"/>
            <w:r>
              <w:t xml:space="preserve">, OLAF i </w:t>
            </w:r>
            <w:proofErr w:type="spellStart"/>
            <w:r>
              <w:t>Europol</w:t>
            </w:r>
            <w:proofErr w:type="spellEnd"/>
            <w:r>
              <w:t xml:space="preserve"> nemaju potrebne ovlasti za provedbu relevantnih kaznenih istraga i progona; </w:t>
            </w:r>
            <w:r>
              <w:rPr>
                <w:b/>
                <w:i/>
              </w:rPr>
              <w:t>budući da izvršavanje tužiteljskih ovlasti na razini Unije zahtijeva stroga jamstva povjerljivosti i diskrecije, kao i snažne zaštitne mjere za sprečavanje bilo kakvog oblika političkog utjecaja ili uplitanja;</w:t>
            </w:r>
          </w:p>
        </w:tc>
      </w:tr>
    </w:tbl>
    <w:p w14:paraId="2EDBA561"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B644E15" w14:textId="77777777" w:rsidR="0088071B" w:rsidRPr="00C574C2" w:rsidRDefault="0088071B" w:rsidP="0088071B">
      <w:r>
        <w:rPr>
          <w:rStyle w:val="HideTWBExt"/>
        </w:rPr>
        <w:t>&lt;/Amend&gt;</w:t>
      </w:r>
    </w:p>
    <w:p w14:paraId="0A48BA2A" w14:textId="77777777" w:rsidR="0088071B" w:rsidRPr="00C574C2" w:rsidRDefault="0088071B" w:rsidP="0088071B">
      <w:pPr>
        <w:pStyle w:val="AmNumberTabs"/>
      </w:pPr>
      <w:r>
        <w:rPr>
          <w:rStyle w:val="HideTWBExt"/>
        </w:rPr>
        <w:lastRenderedPageBreak/>
        <w:t>&lt;Amend&gt;</w:t>
      </w:r>
      <w:r>
        <w:t>Amandman</w:t>
      </w:r>
      <w:r>
        <w:tab/>
      </w:r>
      <w:r>
        <w:tab/>
      </w:r>
      <w:r>
        <w:rPr>
          <w:rStyle w:val="HideTWBExt"/>
        </w:rPr>
        <w:t>&lt;NumAm&gt;</w:t>
      </w:r>
      <w:r>
        <w:t>3</w:t>
      </w:r>
      <w:r>
        <w:rPr>
          <w:rStyle w:val="HideTWBExt"/>
        </w:rPr>
        <w:t>&lt;/</w:t>
      </w:r>
      <w:proofErr w:type="spellStart"/>
      <w:r>
        <w:rPr>
          <w:rStyle w:val="HideTWBExt"/>
        </w:rPr>
        <w:t>NumAm</w:t>
      </w:r>
      <w:proofErr w:type="spellEnd"/>
      <w:r>
        <w:rPr>
          <w:rStyle w:val="HideTWBExt"/>
        </w:rPr>
        <w:t>&gt;</w:t>
      </w:r>
    </w:p>
    <w:p w14:paraId="231A9C33"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4EE71A2E" w14:textId="77777777" w:rsidR="0088071B" w:rsidRPr="00C574C2" w:rsidRDefault="0088071B" w:rsidP="0088071B">
      <w:pPr>
        <w:pStyle w:val="NormalBold"/>
      </w:pPr>
      <w:r>
        <w:rPr>
          <w:rStyle w:val="HideTWBExt"/>
          <w:b w:val="0"/>
        </w:rPr>
        <w:t>&lt;/RepeatBlock-By&gt;</w:t>
      </w:r>
    </w:p>
    <w:p w14:paraId="12E445C2"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A54DE4B" w14:textId="77777777" w:rsidR="0088071B" w:rsidRPr="00C574C2" w:rsidRDefault="0088071B" w:rsidP="0088071B">
      <w:pPr>
        <w:pStyle w:val="NormalBold"/>
      </w:pPr>
      <w:r>
        <w:rPr>
          <w:rStyle w:val="HideTWBExt"/>
        </w:rPr>
        <w:t>&lt;Article&gt;</w:t>
      </w:r>
      <w:r>
        <w:t>Uvodna izjava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023FFBD" w14:textId="77777777" w:rsidTr="00730E82">
        <w:trPr>
          <w:trHeight w:val="240"/>
          <w:jc w:val="center"/>
        </w:trPr>
        <w:tc>
          <w:tcPr>
            <w:tcW w:w="9752" w:type="dxa"/>
            <w:gridSpan w:val="2"/>
            <w:tcBorders>
              <w:top w:val="nil"/>
              <w:left w:val="nil"/>
              <w:bottom w:val="nil"/>
              <w:right w:val="nil"/>
            </w:tcBorders>
          </w:tcPr>
          <w:p w14:paraId="04E0D3A4" w14:textId="77777777" w:rsidR="0088071B" w:rsidRPr="00C574C2" w:rsidRDefault="0088071B" w:rsidP="00730E82"/>
        </w:tc>
      </w:tr>
      <w:tr w:rsidR="0088071B" w14:paraId="10BFC1BB" w14:textId="77777777" w:rsidTr="00730E82">
        <w:trPr>
          <w:trHeight w:val="240"/>
          <w:jc w:val="center"/>
        </w:trPr>
        <w:tc>
          <w:tcPr>
            <w:tcW w:w="4876" w:type="dxa"/>
            <w:tcBorders>
              <w:top w:val="nil"/>
              <w:left w:val="nil"/>
              <w:bottom w:val="nil"/>
              <w:right w:val="nil"/>
            </w:tcBorders>
            <w:hideMark/>
          </w:tcPr>
          <w:p w14:paraId="4016C23D"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4266A10" w14:textId="77777777" w:rsidR="0088071B" w:rsidRPr="00C574C2" w:rsidRDefault="0088071B" w:rsidP="00730E82">
            <w:pPr>
              <w:pStyle w:val="AmColumnHeading"/>
            </w:pPr>
            <w:r>
              <w:t>Izmjena</w:t>
            </w:r>
          </w:p>
        </w:tc>
      </w:tr>
      <w:tr w:rsidR="0088071B" w14:paraId="6D27CC10" w14:textId="77777777" w:rsidTr="00730E82">
        <w:trPr>
          <w:jc w:val="center"/>
        </w:trPr>
        <w:tc>
          <w:tcPr>
            <w:tcW w:w="4876" w:type="dxa"/>
            <w:tcBorders>
              <w:top w:val="nil"/>
              <w:left w:val="nil"/>
              <w:bottom w:val="nil"/>
              <w:right w:val="nil"/>
            </w:tcBorders>
            <w:hideMark/>
          </w:tcPr>
          <w:p w14:paraId="2777D536" w14:textId="77777777" w:rsidR="0088071B" w:rsidRPr="00C574C2" w:rsidRDefault="0088071B" w:rsidP="00730E82">
            <w:pPr>
              <w:pStyle w:val="Normal6a"/>
            </w:pPr>
            <w:r>
              <w:t>D.</w:t>
            </w:r>
            <w:r>
              <w:tab/>
              <w:t xml:space="preserve">budući da EPPO </w:t>
            </w:r>
            <w:r>
              <w:rPr>
                <w:b/>
                <w:i/>
              </w:rPr>
              <w:t>intervenira</w:t>
            </w:r>
            <w:r>
              <w:t xml:space="preserve"> u </w:t>
            </w:r>
            <w:r>
              <w:rPr>
                <w:b/>
                <w:i/>
              </w:rPr>
              <w:t>situacijama u kojima ovlasti nacionalnih tijela koja istražuju i kazneno gone predmetna kaznena</w:t>
            </w:r>
            <w:r>
              <w:t xml:space="preserve"> djela </w:t>
            </w:r>
            <w:r>
              <w:rPr>
                <w:b/>
                <w:i/>
              </w:rPr>
              <w:t>prestaju</w:t>
            </w:r>
            <w:r>
              <w:t xml:space="preserve"> na </w:t>
            </w:r>
            <w:r>
              <w:rPr>
                <w:b/>
                <w:i/>
              </w:rPr>
              <w:t>granicama njihove zemlje</w:t>
            </w:r>
            <w:r>
              <w:t xml:space="preserve">, </w:t>
            </w:r>
            <w:r>
              <w:rPr>
                <w:b/>
                <w:i/>
              </w:rPr>
              <w:t>a</w:t>
            </w:r>
            <w:r>
              <w:t xml:space="preserve"> druge organizacije kao što su </w:t>
            </w:r>
            <w:proofErr w:type="spellStart"/>
            <w:r>
              <w:t>Eurojust</w:t>
            </w:r>
            <w:proofErr w:type="spellEnd"/>
            <w:r>
              <w:t xml:space="preserve">, OLAF i </w:t>
            </w:r>
            <w:proofErr w:type="spellStart"/>
            <w:r>
              <w:t>Europol</w:t>
            </w:r>
            <w:proofErr w:type="spellEnd"/>
            <w:r>
              <w:t xml:space="preserve"> nemaju potrebne ovlasti za provedbu relevantnih kaznenih istraga i progona;</w:t>
            </w:r>
          </w:p>
        </w:tc>
        <w:tc>
          <w:tcPr>
            <w:tcW w:w="4876" w:type="dxa"/>
            <w:tcBorders>
              <w:top w:val="nil"/>
              <w:left w:val="nil"/>
              <w:bottom w:val="nil"/>
              <w:right w:val="nil"/>
            </w:tcBorders>
            <w:hideMark/>
          </w:tcPr>
          <w:p w14:paraId="3B3B4DE3" w14:textId="77777777" w:rsidR="0088071B" w:rsidRPr="00C574C2" w:rsidRDefault="0088071B" w:rsidP="00730E82">
            <w:pPr>
              <w:pStyle w:val="Normal6a"/>
            </w:pPr>
            <w:r>
              <w:t>D.</w:t>
            </w:r>
            <w:r>
              <w:tab/>
              <w:t xml:space="preserve">budući da </w:t>
            </w:r>
            <w:r>
              <w:rPr>
                <w:b/>
                <w:i/>
              </w:rPr>
              <w:t xml:space="preserve">je </w:t>
            </w:r>
            <w:r>
              <w:t xml:space="preserve">EPPO </w:t>
            </w:r>
            <w:r>
              <w:rPr>
                <w:b/>
                <w:i/>
              </w:rPr>
              <w:t>integriran</w:t>
            </w:r>
            <w:r>
              <w:t xml:space="preserve"> u </w:t>
            </w:r>
            <w:r>
              <w:rPr>
                <w:b/>
                <w:i/>
              </w:rPr>
              <w:t>nacionalne pravosudne sustave država članica sudionica te ima primarnu nadležnost za istragu i kazneni progon kaznenih</w:t>
            </w:r>
            <w:r>
              <w:t xml:space="preserve"> djela </w:t>
            </w:r>
            <w:r>
              <w:rPr>
                <w:b/>
                <w:i/>
              </w:rPr>
              <w:t>koja utječu</w:t>
            </w:r>
            <w:r>
              <w:t xml:space="preserve"> na </w:t>
            </w:r>
            <w:r>
              <w:rPr>
                <w:b/>
                <w:i/>
              </w:rPr>
              <w:t>financijske interese EU-a</w:t>
            </w:r>
            <w:r>
              <w:t xml:space="preserve">, </w:t>
            </w:r>
            <w:r>
              <w:rPr>
                <w:b/>
                <w:i/>
              </w:rPr>
              <w:t>dok</w:t>
            </w:r>
            <w:r>
              <w:t xml:space="preserve"> druge organizacije</w:t>
            </w:r>
            <w:r>
              <w:rPr>
                <w:b/>
                <w:i/>
              </w:rPr>
              <w:t>,</w:t>
            </w:r>
            <w:r>
              <w:t xml:space="preserve"> kao što su </w:t>
            </w:r>
            <w:proofErr w:type="spellStart"/>
            <w:r>
              <w:t>Eurojust</w:t>
            </w:r>
            <w:proofErr w:type="spellEnd"/>
            <w:r>
              <w:t xml:space="preserve">, OLAF i </w:t>
            </w:r>
            <w:proofErr w:type="spellStart"/>
            <w:r>
              <w:t>Europol</w:t>
            </w:r>
            <w:proofErr w:type="spellEnd"/>
            <w:r>
              <w:rPr>
                <w:b/>
                <w:i/>
              </w:rPr>
              <w:t>,</w:t>
            </w:r>
            <w:r>
              <w:t xml:space="preserve"> nemaju potrebne ovlasti za provedbu relevantnih kaznenih istraga i progona;</w:t>
            </w:r>
          </w:p>
        </w:tc>
      </w:tr>
    </w:tbl>
    <w:p w14:paraId="2ACC7069"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00012385" w14:textId="77777777" w:rsidR="0088071B" w:rsidRPr="00C574C2" w:rsidRDefault="0088071B" w:rsidP="0088071B">
      <w:r>
        <w:rPr>
          <w:rStyle w:val="HideTWBExt"/>
        </w:rPr>
        <w:t>&lt;/Amend&gt;</w:t>
      </w:r>
    </w:p>
    <w:p w14:paraId="1E5CCFAB" w14:textId="77777777" w:rsidR="0088071B" w:rsidRPr="00C574C2" w:rsidRDefault="0088071B" w:rsidP="0088071B">
      <w:pPr>
        <w:pStyle w:val="AmNumberTabs"/>
      </w:pPr>
      <w:r>
        <w:rPr>
          <w:rStyle w:val="HideTWBExt"/>
        </w:rPr>
        <w:t>&lt;Amend&gt;</w:t>
      </w:r>
      <w:r>
        <w:t>Amandman</w:t>
      </w:r>
      <w:r>
        <w:tab/>
      </w:r>
      <w:r>
        <w:tab/>
      </w:r>
      <w:r>
        <w:rPr>
          <w:rStyle w:val="HideTWBExt"/>
        </w:rPr>
        <w:t>&lt;NumAm&gt;</w:t>
      </w:r>
      <w:r>
        <w:t>4</w:t>
      </w:r>
      <w:r>
        <w:rPr>
          <w:rStyle w:val="HideTWBExt"/>
        </w:rPr>
        <w:t>&lt;/</w:t>
      </w:r>
      <w:proofErr w:type="spellStart"/>
      <w:r>
        <w:rPr>
          <w:rStyle w:val="HideTWBExt"/>
        </w:rPr>
        <w:t>NumAm</w:t>
      </w:r>
      <w:proofErr w:type="spellEnd"/>
      <w:r>
        <w:rPr>
          <w:rStyle w:val="HideTWBExt"/>
        </w:rPr>
        <w:t>&gt;</w:t>
      </w:r>
    </w:p>
    <w:p w14:paraId="69979C2D"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784F4801" w14:textId="77777777" w:rsidR="0088071B" w:rsidRPr="00C574C2" w:rsidRDefault="0088071B" w:rsidP="0088071B">
      <w:pPr>
        <w:pStyle w:val="NormalBold"/>
      </w:pPr>
      <w:r>
        <w:rPr>
          <w:rStyle w:val="HideTWBExt"/>
          <w:b w:val="0"/>
        </w:rPr>
        <w:t>&lt;/RepeatBlock-By&gt;</w:t>
      </w:r>
    </w:p>
    <w:p w14:paraId="148A508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93F9F10" w14:textId="77777777" w:rsidR="0088071B" w:rsidRPr="00C574C2" w:rsidRDefault="0088071B" w:rsidP="0088071B">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1BCB9B99" w14:textId="77777777" w:rsidTr="00730E82">
        <w:trPr>
          <w:trHeight w:val="240"/>
          <w:jc w:val="center"/>
        </w:trPr>
        <w:tc>
          <w:tcPr>
            <w:tcW w:w="9752" w:type="dxa"/>
            <w:gridSpan w:val="2"/>
            <w:tcBorders>
              <w:top w:val="nil"/>
              <w:left w:val="nil"/>
              <w:bottom w:val="nil"/>
              <w:right w:val="nil"/>
            </w:tcBorders>
          </w:tcPr>
          <w:p w14:paraId="38C5EAC0" w14:textId="77777777" w:rsidR="0088071B" w:rsidRPr="00C574C2" w:rsidRDefault="0088071B" w:rsidP="00730E82"/>
        </w:tc>
      </w:tr>
      <w:tr w:rsidR="0088071B" w14:paraId="33014B67" w14:textId="77777777" w:rsidTr="00730E82">
        <w:trPr>
          <w:trHeight w:val="240"/>
          <w:jc w:val="center"/>
        </w:trPr>
        <w:tc>
          <w:tcPr>
            <w:tcW w:w="4876" w:type="dxa"/>
            <w:tcBorders>
              <w:top w:val="nil"/>
              <w:left w:val="nil"/>
              <w:bottom w:val="nil"/>
              <w:right w:val="nil"/>
            </w:tcBorders>
            <w:hideMark/>
          </w:tcPr>
          <w:p w14:paraId="6D1CF9DF"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BAAD02F" w14:textId="77777777" w:rsidR="0088071B" w:rsidRPr="00C574C2" w:rsidRDefault="0088071B" w:rsidP="00730E82">
            <w:pPr>
              <w:pStyle w:val="AmColumnHeading"/>
            </w:pPr>
            <w:r>
              <w:t>Izmjena</w:t>
            </w:r>
          </w:p>
        </w:tc>
      </w:tr>
      <w:tr w:rsidR="0088071B" w14:paraId="2A43C3D7" w14:textId="77777777" w:rsidTr="00730E82">
        <w:trPr>
          <w:jc w:val="center"/>
        </w:trPr>
        <w:tc>
          <w:tcPr>
            <w:tcW w:w="4876" w:type="dxa"/>
            <w:tcBorders>
              <w:top w:val="nil"/>
              <w:left w:val="nil"/>
              <w:bottom w:val="nil"/>
              <w:right w:val="nil"/>
            </w:tcBorders>
            <w:hideMark/>
          </w:tcPr>
          <w:p w14:paraId="53B68E53" w14:textId="77777777" w:rsidR="0088071B" w:rsidRPr="00C574C2" w:rsidRDefault="0088071B" w:rsidP="00730E82">
            <w:pPr>
              <w:pStyle w:val="Normal6a"/>
            </w:pPr>
            <w:r>
              <w:t>E.</w:t>
            </w:r>
            <w:r>
              <w:tab/>
              <w:t xml:space="preserve">budući da </w:t>
            </w:r>
            <w:proofErr w:type="spellStart"/>
            <w:r>
              <w:t>postupovni</w:t>
            </w:r>
            <w:proofErr w:type="spellEnd"/>
            <w:r>
              <w:t xml:space="preserve"> akti EPPO-a podliježu sudskom preispitivanju koje provode nacionalni sudovi i da Sud Europske unije („Sud”) u vidu prethodnih odluka ili sudskih preispitivanja tih akata </w:t>
            </w:r>
            <w:r>
              <w:rPr>
                <w:b/>
                <w:i/>
              </w:rPr>
              <w:t>ima preostalu ovlast za osiguravanje dosljedne primjene prava Unije</w:t>
            </w:r>
            <w:r>
              <w:t>;</w:t>
            </w:r>
          </w:p>
        </w:tc>
        <w:tc>
          <w:tcPr>
            <w:tcW w:w="4876" w:type="dxa"/>
            <w:tcBorders>
              <w:top w:val="nil"/>
              <w:left w:val="nil"/>
              <w:bottom w:val="nil"/>
              <w:right w:val="nil"/>
            </w:tcBorders>
            <w:hideMark/>
          </w:tcPr>
          <w:p w14:paraId="1D7EF32D" w14:textId="77777777" w:rsidR="0088071B" w:rsidRPr="00C574C2" w:rsidRDefault="0088071B" w:rsidP="00730E82">
            <w:pPr>
              <w:pStyle w:val="Normal6a"/>
            </w:pPr>
            <w:r>
              <w:t>E.</w:t>
            </w:r>
            <w:r>
              <w:tab/>
              <w:t xml:space="preserve">budući da </w:t>
            </w:r>
            <w:proofErr w:type="spellStart"/>
            <w:r>
              <w:t>postupovni</w:t>
            </w:r>
            <w:proofErr w:type="spellEnd"/>
            <w:r>
              <w:t xml:space="preserve"> akti EPPO-a podliježu sudskom preispitivanju koje provode nacionalni sudovi </w:t>
            </w:r>
            <w:r>
              <w:rPr>
                <w:b/>
                <w:i/>
              </w:rPr>
              <w:t xml:space="preserve">u skladu s nacionalnim pravom </w:t>
            </w:r>
            <w:r>
              <w:t xml:space="preserve">i da Sud Europske unije („Sud”) u vidu prethodnih odluka ili sudskih preispitivanja tih akata </w:t>
            </w:r>
            <w:r>
              <w:rPr>
                <w:b/>
                <w:i/>
              </w:rPr>
              <w:t>osigurava dosljednu primjenu prava Unije, a posebno ujednačeno tumačenje Uredbe o EPPO-u i Direktive PIF</w:t>
            </w:r>
            <w:r>
              <w:t>;</w:t>
            </w:r>
          </w:p>
        </w:tc>
      </w:tr>
    </w:tbl>
    <w:p w14:paraId="04BCD551"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5B503F78" w14:textId="77777777" w:rsidR="0088071B" w:rsidRPr="00C574C2" w:rsidRDefault="0088071B" w:rsidP="0088071B">
      <w:r>
        <w:rPr>
          <w:rStyle w:val="HideTWBExt"/>
        </w:rPr>
        <w:t>&lt;/Amend&gt;</w:t>
      </w:r>
    </w:p>
    <w:p w14:paraId="56B5A559" w14:textId="77777777" w:rsidR="0088071B" w:rsidRPr="00C574C2" w:rsidRDefault="0088071B" w:rsidP="0088071B">
      <w:pPr>
        <w:pStyle w:val="AmNumberTabs"/>
      </w:pPr>
      <w:r>
        <w:rPr>
          <w:rStyle w:val="HideTWBExt"/>
        </w:rPr>
        <w:t>&lt;Amend&gt;</w:t>
      </w:r>
      <w:r>
        <w:t>Amandman</w:t>
      </w:r>
      <w:r>
        <w:tab/>
      </w:r>
      <w:r>
        <w:tab/>
      </w:r>
      <w:r>
        <w:rPr>
          <w:rStyle w:val="HideTWBExt"/>
        </w:rPr>
        <w:t>&lt;NumAm&gt;</w:t>
      </w:r>
      <w:r>
        <w:t>5</w:t>
      </w:r>
      <w:r>
        <w:rPr>
          <w:rStyle w:val="HideTWBExt"/>
        </w:rPr>
        <w:t>&lt;/</w:t>
      </w:r>
      <w:proofErr w:type="spellStart"/>
      <w:r>
        <w:rPr>
          <w:rStyle w:val="HideTWBExt"/>
        </w:rPr>
        <w:t>NumAm</w:t>
      </w:r>
      <w:proofErr w:type="spellEnd"/>
      <w:r>
        <w:rPr>
          <w:rStyle w:val="HideTWBExt"/>
        </w:rPr>
        <w:t>&gt;</w:t>
      </w:r>
    </w:p>
    <w:p w14:paraId="11951C74"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20714ECE" w14:textId="77777777" w:rsidR="0088071B" w:rsidRPr="00C574C2" w:rsidRDefault="0088071B" w:rsidP="0088071B">
      <w:pPr>
        <w:pStyle w:val="NormalBold"/>
      </w:pPr>
      <w:r>
        <w:rPr>
          <w:rStyle w:val="HideTWBExt"/>
          <w:b w:val="0"/>
        </w:rPr>
        <w:t>&lt;/RepeatBlock-By&gt;</w:t>
      </w:r>
    </w:p>
    <w:p w14:paraId="35E9054F"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77D84AF" w14:textId="77777777" w:rsidR="0088071B" w:rsidRPr="00C574C2" w:rsidRDefault="0088071B" w:rsidP="0088071B">
      <w:pPr>
        <w:pStyle w:val="NormalBold"/>
      </w:pPr>
      <w:r>
        <w:rPr>
          <w:rStyle w:val="HideTWBExt"/>
        </w:rPr>
        <w:lastRenderedPageBreak/>
        <w:t>&lt;Article&gt;</w:t>
      </w:r>
      <w:r>
        <w:t>Uvodna izjava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0F8583A3" w14:textId="77777777" w:rsidTr="00730E82">
        <w:trPr>
          <w:trHeight w:val="240"/>
          <w:jc w:val="center"/>
        </w:trPr>
        <w:tc>
          <w:tcPr>
            <w:tcW w:w="9752" w:type="dxa"/>
            <w:gridSpan w:val="2"/>
            <w:tcBorders>
              <w:top w:val="nil"/>
              <w:left w:val="nil"/>
              <w:bottom w:val="nil"/>
              <w:right w:val="nil"/>
            </w:tcBorders>
          </w:tcPr>
          <w:p w14:paraId="35581760" w14:textId="77777777" w:rsidR="0088071B" w:rsidRPr="00C574C2" w:rsidRDefault="0088071B" w:rsidP="00730E82"/>
        </w:tc>
      </w:tr>
      <w:tr w:rsidR="0088071B" w14:paraId="2E4133D6" w14:textId="77777777" w:rsidTr="00730E82">
        <w:trPr>
          <w:trHeight w:val="240"/>
          <w:jc w:val="center"/>
        </w:trPr>
        <w:tc>
          <w:tcPr>
            <w:tcW w:w="4876" w:type="dxa"/>
            <w:tcBorders>
              <w:top w:val="nil"/>
              <w:left w:val="nil"/>
              <w:bottom w:val="nil"/>
              <w:right w:val="nil"/>
            </w:tcBorders>
            <w:hideMark/>
          </w:tcPr>
          <w:p w14:paraId="1017BBD1"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98CEBDB" w14:textId="77777777" w:rsidR="0088071B" w:rsidRPr="00C574C2" w:rsidRDefault="0088071B" w:rsidP="00730E82">
            <w:pPr>
              <w:pStyle w:val="AmColumnHeading"/>
            </w:pPr>
            <w:r>
              <w:t>Izmjena</w:t>
            </w:r>
          </w:p>
        </w:tc>
      </w:tr>
      <w:tr w:rsidR="0088071B" w14:paraId="077D5FBA" w14:textId="77777777" w:rsidTr="00730E82">
        <w:trPr>
          <w:jc w:val="center"/>
        </w:trPr>
        <w:tc>
          <w:tcPr>
            <w:tcW w:w="4876" w:type="dxa"/>
            <w:tcBorders>
              <w:top w:val="nil"/>
              <w:left w:val="nil"/>
              <w:bottom w:val="nil"/>
              <w:right w:val="nil"/>
            </w:tcBorders>
            <w:hideMark/>
          </w:tcPr>
          <w:p w14:paraId="166E5536" w14:textId="77777777" w:rsidR="0088071B" w:rsidRPr="00C574C2" w:rsidRDefault="0088071B" w:rsidP="00730E82">
            <w:pPr>
              <w:pStyle w:val="Normal6a"/>
            </w:pPr>
            <w:r>
              <w:t>F.</w:t>
            </w:r>
            <w:r>
              <w:tab/>
              <w:t xml:space="preserve">budući da se EPPO sastoji od središnje razine, sa sjedištem u Luksemburgu, koju čine glavni europski tužitelj, 24 europska tužitelja (po jedan iz svake države članice koja u njemu sudjeluje nakon </w:t>
            </w:r>
            <w:r>
              <w:rPr>
                <w:b/>
                <w:i/>
              </w:rPr>
              <w:t>pridruživanja Poljske i Švedske</w:t>
            </w:r>
            <w:r>
              <w:t xml:space="preserve"> EPPO-u 20. ožujka odnosno 19. srpnja 2024.) i upravni direktor, te od decentralizirane, nacionalne razine, koju čine delegirani europski tužitelji u 24 države članice sudionice;</w:t>
            </w:r>
          </w:p>
        </w:tc>
        <w:tc>
          <w:tcPr>
            <w:tcW w:w="4876" w:type="dxa"/>
            <w:tcBorders>
              <w:top w:val="nil"/>
              <w:left w:val="nil"/>
              <w:bottom w:val="nil"/>
              <w:right w:val="nil"/>
            </w:tcBorders>
            <w:hideMark/>
          </w:tcPr>
          <w:p w14:paraId="21C7C280" w14:textId="77777777" w:rsidR="0088071B" w:rsidRPr="00C574C2" w:rsidRDefault="0088071B" w:rsidP="00730E82">
            <w:pPr>
              <w:pStyle w:val="Normal6a"/>
            </w:pPr>
            <w:r>
              <w:t>F.</w:t>
            </w:r>
            <w:r>
              <w:tab/>
              <w:t xml:space="preserve">budući da se EPPO sastoji od središnje razine, sa sjedištem u Luksemburgu, koju čine glavni europski tužitelj, 24 europska tužitelja (po jedan iz svake države članice koja u njemu sudjeluje nakon </w:t>
            </w:r>
            <w:r>
              <w:rPr>
                <w:b/>
                <w:i/>
              </w:rPr>
              <w:t>što su se</w:t>
            </w:r>
            <w:r>
              <w:t xml:space="preserve"> EPPO-u</w:t>
            </w:r>
            <w:r>
              <w:rPr>
                <w:b/>
                <w:i/>
              </w:rPr>
              <w:t xml:space="preserve"> pridružile Poljska i Švedska</w:t>
            </w:r>
            <w:r>
              <w:t xml:space="preserve"> 20. ožujka odnosno 19. srpnja 2024.) i upravni direktor, te od decentralizirane, nacionalne razine, koju čine delegirani europski tužitelji u 24 države članice sudionice;</w:t>
            </w:r>
          </w:p>
        </w:tc>
      </w:tr>
    </w:tbl>
    <w:p w14:paraId="6FCE1106"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4F7004B2" w14:textId="77777777" w:rsidR="0088071B" w:rsidRPr="00C574C2" w:rsidRDefault="0088071B" w:rsidP="0088071B">
      <w:r>
        <w:rPr>
          <w:rStyle w:val="HideTWBExt"/>
        </w:rPr>
        <w:t>&lt;/Amend&gt;</w:t>
      </w:r>
    </w:p>
    <w:p w14:paraId="79926C54" w14:textId="77777777" w:rsidR="0088071B" w:rsidRPr="00C574C2" w:rsidRDefault="0088071B" w:rsidP="0088071B">
      <w:pPr>
        <w:pStyle w:val="AmNumberTabs"/>
      </w:pPr>
      <w:r>
        <w:rPr>
          <w:rStyle w:val="HideTWBExt"/>
        </w:rPr>
        <w:t>&lt;Amend&gt;</w:t>
      </w:r>
      <w:r>
        <w:t>Amandman</w:t>
      </w:r>
      <w:r>
        <w:tab/>
      </w:r>
      <w:r>
        <w:tab/>
      </w:r>
      <w:r>
        <w:rPr>
          <w:rStyle w:val="HideTWBExt"/>
        </w:rPr>
        <w:t>&lt;NumAm&gt;</w:t>
      </w:r>
      <w:r>
        <w:t>6</w:t>
      </w:r>
      <w:r>
        <w:rPr>
          <w:rStyle w:val="HideTWBExt"/>
        </w:rPr>
        <w:t>&lt;/</w:t>
      </w:r>
      <w:proofErr w:type="spellStart"/>
      <w:r>
        <w:rPr>
          <w:rStyle w:val="HideTWBExt"/>
        </w:rPr>
        <w:t>NumAm</w:t>
      </w:r>
      <w:proofErr w:type="spellEnd"/>
      <w:r>
        <w:rPr>
          <w:rStyle w:val="HideTWBExt"/>
        </w:rPr>
        <w:t>&gt;</w:t>
      </w:r>
    </w:p>
    <w:p w14:paraId="0152C2EA"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5F0C29CD" w14:textId="77777777" w:rsidR="0088071B" w:rsidRPr="00C574C2" w:rsidRDefault="0088071B" w:rsidP="0088071B">
      <w:pPr>
        <w:pStyle w:val="NormalBold"/>
      </w:pPr>
      <w:r>
        <w:rPr>
          <w:rStyle w:val="HideTWBExt"/>
          <w:b w:val="0"/>
        </w:rPr>
        <w:t>&lt;/RepeatBlock-By&gt;</w:t>
      </w:r>
    </w:p>
    <w:p w14:paraId="70AC9069"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72D09E0" w14:textId="77777777" w:rsidR="0088071B" w:rsidRPr="00C574C2" w:rsidRDefault="0088071B" w:rsidP="0088071B">
      <w:pPr>
        <w:pStyle w:val="NormalBold"/>
      </w:pPr>
      <w:r>
        <w:rPr>
          <w:rStyle w:val="HideTWBExt"/>
        </w:rPr>
        <w:t>&lt;Article&gt;</w:t>
      </w:r>
      <w:r>
        <w:t>Uvodna izjava G</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16AA0D1B" w14:textId="77777777" w:rsidTr="00730E82">
        <w:trPr>
          <w:trHeight w:val="240"/>
          <w:jc w:val="center"/>
        </w:trPr>
        <w:tc>
          <w:tcPr>
            <w:tcW w:w="9752" w:type="dxa"/>
            <w:gridSpan w:val="2"/>
            <w:tcBorders>
              <w:top w:val="nil"/>
              <w:left w:val="nil"/>
              <w:bottom w:val="nil"/>
              <w:right w:val="nil"/>
            </w:tcBorders>
          </w:tcPr>
          <w:p w14:paraId="05E0A86D" w14:textId="77777777" w:rsidR="0088071B" w:rsidRPr="00C574C2" w:rsidRDefault="0088071B" w:rsidP="00730E82"/>
        </w:tc>
      </w:tr>
      <w:tr w:rsidR="0088071B" w14:paraId="6CB2CE39" w14:textId="77777777" w:rsidTr="00730E82">
        <w:trPr>
          <w:trHeight w:val="240"/>
          <w:jc w:val="center"/>
        </w:trPr>
        <w:tc>
          <w:tcPr>
            <w:tcW w:w="4876" w:type="dxa"/>
            <w:tcBorders>
              <w:top w:val="nil"/>
              <w:left w:val="nil"/>
              <w:bottom w:val="nil"/>
              <w:right w:val="nil"/>
            </w:tcBorders>
            <w:hideMark/>
          </w:tcPr>
          <w:p w14:paraId="14C57E6E"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7900F95" w14:textId="77777777" w:rsidR="0088071B" w:rsidRPr="00C574C2" w:rsidRDefault="0088071B" w:rsidP="00730E82">
            <w:pPr>
              <w:pStyle w:val="AmColumnHeading"/>
            </w:pPr>
            <w:r>
              <w:t>Izmjena</w:t>
            </w:r>
          </w:p>
        </w:tc>
      </w:tr>
      <w:tr w:rsidR="0088071B" w14:paraId="062AA4AE" w14:textId="77777777" w:rsidTr="00730E82">
        <w:trPr>
          <w:jc w:val="center"/>
        </w:trPr>
        <w:tc>
          <w:tcPr>
            <w:tcW w:w="4876" w:type="dxa"/>
            <w:tcBorders>
              <w:top w:val="nil"/>
              <w:left w:val="nil"/>
              <w:bottom w:val="nil"/>
              <w:right w:val="nil"/>
            </w:tcBorders>
            <w:hideMark/>
          </w:tcPr>
          <w:p w14:paraId="229E4DBB" w14:textId="77777777" w:rsidR="0088071B" w:rsidRPr="00C574C2" w:rsidRDefault="0088071B" w:rsidP="00730E82">
            <w:pPr>
              <w:pStyle w:val="Normal6a"/>
            </w:pPr>
            <w:r>
              <w:t>G.</w:t>
            </w:r>
            <w:r>
              <w:tab/>
              <w:t xml:space="preserve">budući da na središnjoj razini glavni europski tužitelj i 24 europska tužitelja čine kolegij EPPO-a (dalje u tekstu „kolegij”) </w:t>
            </w:r>
            <w:r>
              <w:rPr>
                <w:b/>
                <w:i/>
              </w:rPr>
              <w:t>i zaduženi su</w:t>
            </w:r>
            <w:r>
              <w:t xml:space="preserve"> nadzirati istrage i kazneni progon koje provode delegirani europski tužitelji na nacionalnoj razini, koji djeluju potpuno neovisno o svojim nacionalnim tijelima;</w:t>
            </w:r>
          </w:p>
        </w:tc>
        <w:tc>
          <w:tcPr>
            <w:tcW w:w="4876" w:type="dxa"/>
            <w:tcBorders>
              <w:top w:val="nil"/>
              <w:left w:val="nil"/>
              <w:bottom w:val="nil"/>
              <w:right w:val="nil"/>
            </w:tcBorders>
            <w:hideMark/>
          </w:tcPr>
          <w:p w14:paraId="2E18BD80" w14:textId="77777777" w:rsidR="0088071B" w:rsidRPr="00C574C2" w:rsidRDefault="0088071B" w:rsidP="00730E82">
            <w:pPr>
              <w:pStyle w:val="Normal6a"/>
            </w:pPr>
            <w:r>
              <w:t>G.</w:t>
            </w:r>
            <w:r>
              <w:tab/>
              <w:t xml:space="preserve">budući da na središnjoj razini glavni europski tužitelj i 24 europska tužitelja čine kolegij EPPO-a (dalje u tekstu „kolegij”) </w:t>
            </w:r>
            <w:r>
              <w:rPr>
                <w:b/>
                <w:i/>
              </w:rPr>
              <w:t>te su raspoređeni u 15 stalnih vijeća čija je zadaća</w:t>
            </w:r>
            <w:r>
              <w:t xml:space="preserve"> nadzirati istrage i kazneni progon koje provode delegirani europski tužitelji na nacionalnoj razini, koji djeluju potpuno neovisno o svojim nacionalnim tijelima;</w:t>
            </w:r>
          </w:p>
        </w:tc>
      </w:tr>
    </w:tbl>
    <w:p w14:paraId="2CFC5E23"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8B41DA8" w14:textId="77777777" w:rsidR="0088071B" w:rsidRPr="00C574C2" w:rsidRDefault="0088071B" w:rsidP="0088071B">
      <w:r>
        <w:rPr>
          <w:rStyle w:val="HideTWBExt"/>
        </w:rPr>
        <w:t>&lt;/Amend&gt;</w:t>
      </w:r>
    </w:p>
    <w:p w14:paraId="5E0127B0" w14:textId="77777777" w:rsidR="0088071B" w:rsidRPr="00C574C2" w:rsidRDefault="0088071B" w:rsidP="0088071B">
      <w:pPr>
        <w:pStyle w:val="AmNumberTabs"/>
      </w:pPr>
      <w:r>
        <w:rPr>
          <w:rStyle w:val="HideTWBExt"/>
        </w:rPr>
        <w:t>&lt;Amend&gt;</w:t>
      </w:r>
      <w:r>
        <w:t>Amandman</w:t>
      </w:r>
      <w:r>
        <w:tab/>
      </w:r>
      <w:r>
        <w:tab/>
      </w:r>
      <w:r>
        <w:rPr>
          <w:rStyle w:val="HideTWBExt"/>
        </w:rPr>
        <w:t>&lt;NumAm&gt;</w:t>
      </w:r>
      <w:r>
        <w:t>7</w:t>
      </w:r>
      <w:r>
        <w:rPr>
          <w:rStyle w:val="HideTWBExt"/>
        </w:rPr>
        <w:t>&lt;/</w:t>
      </w:r>
      <w:proofErr w:type="spellStart"/>
      <w:r>
        <w:rPr>
          <w:rStyle w:val="HideTWBExt"/>
        </w:rPr>
        <w:t>NumAm</w:t>
      </w:r>
      <w:proofErr w:type="spellEnd"/>
      <w:r>
        <w:rPr>
          <w:rStyle w:val="HideTWBExt"/>
        </w:rPr>
        <w:t>&gt;</w:t>
      </w:r>
    </w:p>
    <w:p w14:paraId="6D5C861E"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11921E6B" w14:textId="77777777" w:rsidR="0088071B" w:rsidRPr="00C574C2" w:rsidRDefault="0088071B" w:rsidP="0088071B">
      <w:pPr>
        <w:pStyle w:val="NormalBold"/>
      </w:pPr>
      <w:r>
        <w:rPr>
          <w:rStyle w:val="HideTWBExt"/>
          <w:b w:val="0"/>
        </w:rPr>
        <w:t>&lt;/RepeatBlock-By&gt;</w:t>
      </w:r>
    </w:p>
    <w:p w14:paraId="2DA5A98B"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765F597" w14:textId="77777777" w:rsidR="0088071B" w:rsidRPr="00C574C2" w:rsidRDefault="0088071B" w:rsidP="0088071B">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593802CE" w14:textId="77777777" w:rsidTr="00730E82">
        <w:trPr>
          <w:trHeight w:val="240"/>
          <w:jc w:val="center"/>
        </w:trPr>
        <w:tc>
          <w:tcPr>
            <w:tcW w:w="9752" w:type="dxa"/>
            <w:gridSpan w:val="2"/>
            <w:tcBorders>
              <w:top w:val="nil"/>
              <w:left w:val="nil"/>
              <w:bottom w:val="nil"/>
              <w:right w:val="nil"/>
            </w:tcBorders>
          </w:tcPr>
          <w:p w14:paraId="2D8B6F42" w14:textId="77777777" w:rsidR="0088071B" w:rsidRPr="00C574C2" w:rsidRDefault="0088071B" w:rsidP="00730E82"/>
        </w:tc>
      </w:tr>
      <w:tr w:rsidR="0088071B" w14:paraId="20ED41C4" w14:textId="77777777" w:rsidTr="00730E82">
        <w:trPr>
          <w:trHeight w:val="240"/>
          <w:jc w:val="center"/>
        </w:trPr>
        <w:tc>
          <w:tcPr>
            <w:tcW w:w="4876" w:type="dxa"/>
            <w:tcBorders>
              <w:top w:val="nil"/>
              <w:left w:val="nil"/>
              <w:bottom w:val="nil"/>
              <w:right w:val="nil"/>
            </w:tcBorders>
            <w:hideMark/>
          </w:tcPr>
          <w:p w14:paraId="54D06BC8"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5AC3B46B" w14:textId="77777777" w:rsidR="0088071B" w:rsidRPr="00C574C2" w:rsidRDefault="0088071B" w:rsidP="00730E82">
            <w:pPr>
              <w:pStyle w:val="AmColumnHeading"/>
            </w:pPr>
            <w:r>
              <w:t>Izmjena</w:t>
            </w:r>
          </w:p>
        </w:tc>
      </w:tr>
      <w:tr w:rsidR="0088071B" w14:paraId="50631FC6" w14:textId="77777777" w:rsidTr="00730E82">
        <w:trPr>
          <w:jc w:val="center"/>
        </w:trPr>
        <w:tc>
          <w:tcPr>
            <w:tcW w:w="4876" w:type="dxa"/>
            <w:tcBorders>
              <w:top w:val="nil"/>
              <w:left w:val="nil"/>
              <w:bottom w:val="nil"/>
              <w:right w:val="nil"/>
            </w:tcBorders>
            <w:hideMark/>
          </w:tcPr>
          <w:p w14:paraId="4900CE53" w14:textId="77777777" w:rsidR="0088071B" w:rsidRPr="00C574C2" w:rsidRDefault="0088071B" w:rsidP="00730E82">
            <w:pPr>
              <w:pStyle w:val="Normal6a"/>
            </w:pPr>
            <w:r>
              <w:t>K.</w:t>
            </w:r>
            <w:r>
              <w:tab/>
              <w:t xml:space="preserve">budući da se pri nadzoru nad upravljanjem resursima EPPO-a i povezanim rashodima </w:t>
            </w:r>
            <w:r>
              <w:rPr>
                <w:b/>
                <w:i/>
              </w:rPr>
              <w:t>ne može zanemariti ispitivanje operativnih aktivnosti, metoda njihova izvršenja te njihovih posljedica</w:t>
            </w:r>
            <w:r>
              <w:t xml:space="preserve"> i </w:t>
            </w:r>
            <w:r>
              <w:rPr>
                <w:b/>
                <w:i/>
              </w:rPr>
              <w:t>učinka, kao</w:t>
            </w:r>
            <w:r>
              <w:t xml:space="preserve"> i </w:t>
            </w:r>
            <w:r>
              <w:rPr>
                <w:b/>
                <w:i/>
              </w:rPr>
              <w:t>da se očekuje da</w:t>
            </w:r>
            <w:r>
              <w:t xml:space="preserve"> se </w:t>
            </w:r>
            <w:r>
              <w:rPr>
                <w:b/>
                <w:i/>
              </w:rPr>
              <w:t>kontinuiranom evaluacijom u obzir uzimaju posebnosti radnji istraga i kaznenog progona</w:t>
            </w:r>
            <w:r>
              <w:t xml:space="preserve"> kako bi se </w:t>
            </w:r>
            <w:r>
              <w:rPr>
                <w:b/>
                <w:i/>
              </w:rPr>
              <w:t>osiguralo da resursi ostanu dostatni za osiguravanje operativne učinkovitosti</w:t>
            </w:r>
            <w:r>
              <w:t>;</w:t>
            </w:r>
          </w:p>
        </w:tc>
        <w:tc>
          <w:tcPr>
            <w:tcW w:w="4876" w:type="dxa"/>
            <w:tcBorders>
              <w:top w:val="nil"/>
              <w:left w:val="nil"/>
              <w:bottom w:val="nil"/>
              <w:right w:val="nil"/>
            </w:tcBorders>
            <w:hideMark/>
          </w:tcPr>
          <w:p w14:paraId="3EF822FD" w14:textId="77777777" w:rsidR="0088071B" w:rsidRPr="00C574C2" w:rsidRDefault="0088071B" w:rsidP="00730E82">
            <w:pPr>
              <w:pStyle w:val="Normal6a"/>
            </w:pPr>
            <w:r>
              <w:t>K.</w:t>
            </w:r>
            <w:r>
              <w:tab/>
              <w:t xml:space="preserve">budući da </w:t>
            </w:r>
            <w:r>
              <w:rPr>
                <w:b/>
                <w:i/>
              </w:rPr>
              <w:t xml:space="preserve">bi </w:t>
            </w:r>
            <w:r>
              <w:t xml:space="preserve">se pri nadzoru nad upravljanjem resursima EPPO-a i povezanim rashodima </w:t>
            </w:r>
            <w:r>
              <w:rPr>
                <w:b/>
                <w:i/>
              </w:rPr>
              <w:t>također trebalo kontinuirano ocjenjivati jesu li resursi</w:t>
            </w:r>
            <w:r>
              <w:t xml:space="preserve"> i </w:t>
            </w:r>
            <w:r>
              <w:rPr>
                <w:b/>
                <w:i/>
              </w:rPr>
              <w:t>dalje dostatni</w:t>
            </w:r>
            <w:r>
              <w:t xml:space="preserve"> i </w:t>
            </w:r>
            <w:r>
              <w:rPr>
                <w:b/>
                <w:i/>
              </w:rPr>
              <w:t>troše li</w:t>
            </w:r>
            <w:r>
              <w:t xml:space="preserve"> se </w:t>
            </w:r>
            <w:r>
              <w:rPr>
                <w:b/>
                <w:i/>
              </w:rPr>
              <w:t>učinkovito</w:t>
            </w:r>
            <w:r>
              <w:t xml:space="preserve"> kako bi se </w:t>
            </w:r>
            <w:r>
              <w:rPr>
                <w:b/>
                <w:i/>
              </w:rPr>
              <w:t>osigurao operativni uspjeh</w:t>
            </w:r>
            <w:r>
              <w:t>;</w:t>
            </w:r>
          </w:p>
        </w:tc>
      </w:tr>
    </w:tbl>
    <w:p w14:paraId="05C6BCEF"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44AD3AC" w14:textId="77777777" w:rsidR="0088071B" w:rsidRPr="00C574C2" w:rsidRDefault="0088071B" w:rsidP="0088071B">
      <w:r>
        <w:rPr>
          <w:rStyle w:val="HideTWBExt"/>
        </w:rPr>
        <w:t>&lt;/Amend&gt;</w:t>
      </w:r>
    </w:p>
    <w:p w14:paraId="0FD429ED" w14:textId="77777777" w:rsidR="0088071B" w:rsidRPr="00C574C2" w:rsidRDefault="0088071B" w:rsidP="0088071B">
      <w:pPr>
        <w:pStyle w:val="AmNumberTabs"/>
      </w:pPr>
      <w:r>
        <w:rPr>
          <w:rStyle w:val="HideTWBExt"/>
        </w:rPr>
        <w:t>&lt;Amend&gt;</w:t>
      </w:r>
      <w:r>
        <w:t>Amandman</w:t>
      </w:r>
      <w:r>
        <w:tab/>
      </w:r>
      <w:r>
        <w:tab/>
      </w:r>
      <w:r>
        <w:rPr>
          <w:rStyle w:val="HideTWBExt"/>
        </w:rPr>
        <w:t>&lt;NumAm&gt;</w:t>
      </w:r>
      <w:r>
        <w:t>8</w:t>
      </w:r>
      <w:r>
        <w:rPr>
          <w:rStyle w:val="HideTWBExt"/>
        </w:rPr>
        <w:t>&lt;/</w:t>
      </w:r>
      <w:proofErr w:type="spellStart"/>
      <w:r>
        <w:rPr>
          <w:rStyle w:val="HideTWBExt"/>
        </w:rPr>
        <w:t>NumAm</w:t>
      </w:r>
      <w:proofErr w:type="spellEnd"/>
      <w:r>
        <w:rPr>
          <w:rStyle w:val="HideTWBExt"/>
        </w:rPr>
        <w:t>&gt;</w:t>
      </w:r>
    </w:p>
    <w:p w14:paraId="5959262A"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4C19F485" w14:textId="77777777" w:rsidR="0088071B" w:rsidRPr="00C574C2" w:rsidRDefault="0088071B" w:rsidP="0088071B">
      <w:pPr>
        <w:pStyle w:val="NormalBold"/>
      </w:pPr>
      <w:r>
        <w:rPr>
          <w:rStyle w:val="HideTWBExt"/>
          <w:b w:val="0"/>
        </w:rPr>
        <w:t>&lt;/RepeatBlock-By&gt;</w:t>
      </w:r>
    </w:p>
    <w:p w14:paraId="1AC6754D"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A8EBC6D" w14:textId="77777777" w:rsidR="0088071B" w:rsidRPr="00C574C2" w:rsidRDefault="0088071B" w:rsidP="0088071B">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77E2D11E" w14:textId="77777777" w:rsidTr="00730E82">
        <w:trPr>
          <w:trHeight w:val="240"/>
          <w:jc w:val="center"/>
        </w:trPr>
        <w:tc>
          <w:tcPr>
            <w:tcW w:w="9752" w:type="dxa"/>
            <w:gridSpan w:val="2"/>
            <w:tcBorders>
              <w:top w:val="nil"/>
              <w:left w:val="nil"/>
              <w:bottom w:val="nil"/>
              <w:right w:val="nil"/>
            </w:tcBorders>
          </w:tcPr>
          <w:p w14:paraId="60DF76F0" w14:textId="77777777" w:rsidR="0088071B" w:rsidRPr="00C574C2" w:rsidRDefault="0088071B" w:rsidP="00730E82"/>
        </w:tc>
      </w:tr>
      <w:tr w:rsidR="0088071B" w14:paraId="39C28ADE" w14:textId="77777777" w:rsidTr="00730E82">
        <w:trPr>
          <w:trHeight w:val="240"/>
          <w:jc w:val="center"/>
        </w:trPr>
        <w:tc>
          <w:tcPr>
            <w:tcW w:w="4876" w:type="dxa"/>
            <w:tcBorders>
              <w:top w:val="nil"/>
              <w:left w:val="nil"/>
              <w:bottom w:val="nil"/>
              <w:right w:val="nil"/>
            </w:tcBorders>
            <w:hideMark/>
          </w:tcPr>
          <w:p w14:paraId="537D565F"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A6758B3" w14:textId="77777777" w:rsidR="0088071B" w:rsidRPr="00C574C2" w:rsidRDefault="0088071B" w:rsidP="00730E82">
            <w:pPr>
              <w:pStyle w:val="AmColumnHeading"/>
            </w:pPr>
            <w:r>
              <w:t>Izmjena</w:t>
            </w:r>
          </w:p>
        </w:tc>
      </w:tr>
      <w:tr w:rsidR="0088071B" w14:paraId="5A512DBA" w14:textId="77777777" w:rsidTr="00730E82">
        <w:trPr>
          <w:jc w:val="center"/>
        </w:trPr>
        <w:tc>
          <w:tcPr>
            <w:tcW w:w="4876" w:type="dxa"/>
            <w:tcBorders>
              <w:top w:val="nil"/>
              <w:left w:val="nil"/>
              <w:bottom w:val="nil"/>
              <w:right w:val="nil"/>
            </w:tcBorders>
            <w:hideMark/>
          </w:tcPr>
          <w:p w14:paraId="77563731" w14:textId="77777777" w:rsidR="0088071B" w:rsidRPr="00C574C2" w:rsidRDefault="0088071B" w:rsidP="00730E82">
            <w:pPr>
              <w:pStyle w:val="Normal6a"/>
            </w:pPr>
            <w:r>
              <w:t>K.</w:t>
            </w:r>
            <w:r>
              <w:tab/>
              <w:t xml:space="preserve">budući da se pri nadzoru nad upravljanjem resursima EPPO-a i povezanim rashodima ne </w:t>
            </w:r>
            <w:r>
              <w:rPr>
                <w:b/>
                <w:i/>
              </w:rPr>
              <w:t>može</w:t>
            </w:r>
            <w:r>
              <w:t xml:space="preserve"> zanemariti </w:t>
            </w:r>
            <w:r>
              <w:rPr>
                <w:b/>
                <w:i/>
              </w:rPr>
              <w:t>ispitivanje operativnih</w:t>
            </w:r>
            <w:r>
              <w:t xml:space="preserve"> aktivnosti, </w:t>
            </w:r>
            <w:r>
              <w:rPr>
                <w:b/>
                <w:i/>
              </w:rPr>
              <w:t>metoda njihova izvršenja te njihovih posljedica</w:t>
            </w:r>
            <w:r>
              <w:t xml:space="preserve"> i </w:t>
            </w:r>
            <w:r>
              <w:rPr>
                <w:b/>
                <w:i/>
              </w:rPr>
              <w:t>učinka</w:t>
            </w:r>
            <w:r>
              <w:t>, kao i da se očekuje da se kontinuiranom evaluacijom u obzir uzimaju posebnosti radnji istraga i kaznenog progona kako bi se osiguralo da resursi ostanu dostatni za osiguravanje operativne učinkovitosti;</w:t>
            </w:r>
          </w:p>
        </w:tc>
        <w:tc>
          <w:tcPr>
            <w:tcW w:w="4876" w:type="dxa"/>
            <w:tcBorders>
              <w:top w:val="nil"/>
              <w:left w:val="nil"/>
              <w:bottom w:val="nil"/>
              <w:right w:val="nil"/>
            </w:tcBorders>
            <w:hideMark/>
          </w:tcPr>
          <w:p w14:paraId="41905D1E" w14:textId="77777777" w:rsidR="0088071B" w:rsidRPr="00C574C2" w:rsidRDefault="0088071B" w:rsidP="00730E82">
            <w:pPr>
              <w:pStyle w:val="Normal6a"/>
            </w:pPr>
            <w:r>
              <w:t>K.</w:t>
            </w:r>
            <w:r>
              <w:tab/>
              <w:t xml:space="preserve">budući da se pri nadzoru nad upravljanjem resursima EPPO-a i povezanim rashodima ne </w:t>
            </w:r>
            <w:r>
              <w:rPr>
                <w:b/>
                <w:i/>
              </w:rPr>
              <w:t>mogu</w:t>
            </w:r>
            <w:r>
              <w:t xml:space="preserve"> zanemariti </w:t>
            </w:r>
            <w:r>
              <w:rPr>
                <w:b/>
                <w:i/>
              </w:rPr>
              <w:t>operativne</w:t>
            </w:r>
            <w:r>
              <w:t xml:space="preserve"> aktivnosti, </w:t>
            </w:r>
            <w:r>
              <w:rPr>
                <w:b/>
                <w:i/>
              </w:rPr>
              <w:t>uključujući njihove posljedice</w:t>
            </w:r>
            <w:r>
              <w:t xml:space="preserve"> i </w:t>
            </w:r>
            <w:r>
              <w:rPr>
                <w:b/>
                <w:i/>
              </w:rPr>
              <w:t>učinak</w:t>
            </w:r>
            <w:r>
              <w:t>, kao i da se očekuje da se kontinuiranom evaluacijom u obzir uzimaju posebnosti radnji istraga i kaznenog progona kako bi se osiguralo da resursi ostanu dostatni za osiguravanje operativne učinkovitosti;</w:t>
            </w:r>
          </w:p>
        </w:tc>
      </w:tr>
    </w:tbl>
    <w:p w14:paraId="77540CA3"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E75C1C6" w14:textId="77777777" w:rsidR="0088071B" w:rsidRPr="00C574C2" w:rsidRDefault="0088071B" w:rsidP="0088071B">
      <w:r>
        <w:rPr>
          <w:rStyle w:val="HideTWBExt"/>
        </w:rPr>
        <w:t>&lt;/Amend&gt;</w:t>
      </w:r>
    </w:p>
    <w:p w14:paraId="1D0F65DC" w14:textId="77777777" w:rsidR="0088071B" w:rsidRPr="00C574C2" w:rsidRDefault="0088071B" w:rsidP="0088071B">
      <w:pPr>
        <w:pStyle w:val="AmNumberTabs"/>
      </w:pPr>
      <w:r>
        <w:rPr>
          <w:rStyle w:val="HideTWBExt"/>
        </w:rPr>
        <w:t>&lt;Amend&gt;</w:t>
      </w:r>
      <w:r>
        <w:t>Amandman</w:t>
      </w:r>
      <w:r>
        <w:tab/>
      </w:r>
      <w:r>
        <w:tab/>
      </w:r>
      <w:r>
        <w:rPr>
          <w:rStyle w:val="HideTWBExt"/>
        </w:rPr>
        <w:t>&lt;NumAm&gt;</w:t>
      </w:r>
      <w:r>
        <w:t>9</w:t>
      </w:r>
      <w:r>
        <w:rPr>
          <w:rStyle w:val="HideTWBExt"/>
        </w:rPr>
        <w:t>&lt;/</w:t>
      </w:r>
      <w:proofErr w:type="spellStart"/>
      <w:r>
        <w:rPr>
          <w:rStyle w:val="HideTWBExt"/>
        </w:rPr>
        <w:t>NumAm</w:t>
      </w:r>
      <w:proofErr w:type="spellEnd"/>
      <w:r>
        <w:rPr>
          <w:rStyle w:val="HideTWBExt"/>
        </w:rPr>
        <w:t>&gt;</w:t>
      </w:r>
    </w:p>
    <w:p w14:paraId="72C36948"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4DAAF07B" w14:textId="77777777" w:rsidR="0088071B" w:rsidRPr="00C574C2" w:rsidRDefault="0088071B" w:rsidP="0088071B">
      <w:pPr>
        <w:pStyle w:val="NormalBold"/>
      </w:pPr>
      <w:r>
        <w:rPr>
          <w:rStyle w:val="HideTWBExt"/>
          <w:b w:val="0"/>
        </w:rPr>
        <w:t>&lt;/RepeatBlock-By&gt;</w:t>
      </w:r>
    </w:p>
    <w:p w14:paraId="31D88C4E"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B8B5C35" w14:textId="77777777" w:rsidR="0088071B" w:rsidRPr="00C574C2" w:rsidRDefault="0088071B" w:rsidP="0088071B">
      <w:pPr>
        <w:pStyle w:val="NormalBold"/>
      </w:pPr>
      <w:r>
        <w:rPr>
          <w:rStyle w:val="HideTWBExt"/>
        </w:rPr>
        <w:t>&lt;Article&gt;</w:t>
      </w:r>
      <w:r>
        <w:t>Stavak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72B4FBBF" w14:textId="77777777" w:rsidTr="00730E82">
        <w:trPr>
          <w:trHeight w:val="240"/>
          <w:jc w:val="center"/>
        </w:trPr>
        <w:tc>
          <w:tcPr>
            <w:tcW w:w="9752" w:type="dxa"/>
            <w:gridSpan w:val="2"/>
            <w:tcBorders>
              <w:top w:val="nil"/>
              <w:left w:val="nil"/>
              <w:bottom w:val="nil"/>
              <w:right w:val="nil"/>
            </w:tcBorders>
          </w:tcPr>
          <w:p w14:paraId="0C5D4F39" w14:textId="77777777" w:rsidR="0088071B" w:rsidRPr="00C574C2" w:rsidRDefault="0088071B" w:rsidP="00730E82"/>
        </w:tc>
      </w:tr>
      <w:tr w:rsidR="0088071B" w14:paraId="3EEAB5FB" w14:textId="77777777" w:rsidTr="00730E82">
        <w:trPr>
          <w:trHeight w:val="240"/>
          <w:jc w:val="center"/>
        </w:trPr>
        <w:tc>
          <w:tcPr>
            <w:tcW w:w="4876" w:type="dxa"/>
            <w:tcBorders>
              <w:top w:val="nil"/>
              <w:left w:val="nil"/>
              <w:bottom w:val="nil"/>
              <w:right w:val="nil"/>
            </w:tcBorders>
            <w:hideMark/>
          </w:tcPr>
          <w:p w14:paraId="242AB783" w14:textId="77777777" w:rsidR="0088071B" w:rsidRPr="00C574C2" w:rsidRDefault="0088071B" w:rsidP="00730E82">
            <w:pPr>
              <w:pStyle w:val="AmColumnHeading"/>
            </w:pPr>
            <w:r>
              <w:lastRenderedPageBreak/>
              <w:t>Prijedlog rezolucije</w:t>
            </w:r>
          </w:p>
        </w:tc>
        <w:tc>
          <w:tcPr>
            <w:tcW w:w="4876" w:type="dxa"/>
            <w:tcBorders>
              <w:top w:val="nil"/>
              <w:left w:val="nil"/>
              <w:bottom w:val="nil"/>
              <w:right w:val="nil"/>
            </w:tcBorders>
            <w:hideMark/>
          </w:tcPr>
          <w:p w14:paraId="15CEF070" w14:textId="77777777" w:rsidR="0088071B" w:rsidRPr="00C574C2" w:rsidRDefault="0088071B" w:rsidP="00730E82">
            <w:pPr>
              <w:pStyle w:val="AmColumnHeading"/>
            </w:pPr>
            <w:r>
              <w:t>Izmjena</w:t>
            </w:r>
          </w:p>
        </w:tc>
      </w:tr>
      <w:tr w:rsidR="0088071B" w14:paraId="75EE72FB" w14:textId="77777777" w:rsidTr="00730E82">
        <w:trPr>
          <w:jc w:val="center"/>
        </w:trPr>
        <w:tc>
          <w:tcPr>
            <w:tcW w:w="4876" w:type="dxa"/>
            <w:tcBorders>
              <w:top w:val="nil"/>
              <w:left w:val="nil"/>
              <w:bottom w:val="nil"/>
              <w:right w:val="nil"/>
            </w:tcBorders>
            <w:hideMark/>
          </w:tcPr>
          <w:p w14:paraId="4D5427FD" w14:textId="77777777" w:rsidR="0088071B" w:rsidRPr="00C574C2" w:rsidRDefault="0088071B" w:rsidP="00730E82">
            <w:pPr>
              <w:pStyle w:val="Normal6a"/>
            </w:pPr>
            <w:r>
              <w:t>2.</w:t>
            </w:r>
            <w:r>
              <w:tab/>
              <w:t>priznaje važnu ulogu EPPO-a u zaštiti financijskih interesa Unije, a posebno proračuna Unije; podsjeća na snažnu potporu Parlamenta uspostavi EPPO-a i cijeni rad EPPO-a na istragama i progonu kaznenih djela kao što su prijevara, korupcija i ozbiljne prekogranične prijevare povezane s PDV-om;</w:t>
            </w:r>
          </w:p>
        </w:tc>
        <w:tc>
          <w:tcPr>
            <w:tcW w:w="4876" w:type="dxa"/>
            <w:tcBorders>
              <w:top w:val="nil"/>
              <w:left w:val="nil"/>
              <w:bottom w:val="nil"/>
              <w:right w:val="nil"/>
            </w:tcBorders>
            <w:hideMark/>
          </w:tcPr>
          <w:p w14:paraId="308EEB87" w14:textId="77777777" w:rsidR="0088071B" w:rsidRPr="00C574C2" w:rsidRDefault="0088071B" w:rsidP="00730E82">
            <w:pPr>
              <w:pStyle w:val="Normal6a"/>
            </w:pPr>
            <w:r>
              <w:t>2.</w:t>
            </w:r>
            <w:r>
              <w:tab/>
              <w:t xml:space="preserve">priznaje važnu ulogu EPPO-a u zaštiti financijskih interesa Unije, a posebno proračuna Unije; podsjeća na snažnu potporu Parlamenta uspostavi EPPO-a i cijeni rad EPPO-a na istragama i progonu kaznenih djela kao što su prijevara, korupcija i ozbiljne prekogranične prijevare povezane s PDV-om; </w:t>
            </w:r>
            <w:r>
              <w:rPr>
                <w:b/>
                <w:i/>
              </w:rPr>
              <w:t>ponovno ističe središnju ulogu EPPO-a u zaštiti financijskih interesa Unije i naglašava da je on jedan od temelja okvira Unije za borbu protiv prijevara kao i šireg sustava upravljanja koji se temelji na integritetu, odgovornosti, transparentnosti i dobrom financijskom upravljanju;</w:t>
            </w:r>
          </w:p>
        </w:tc>
      </w:tr>
    </w:tbl>
    <w:p w14:paraId="57BDF853"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DEC6CC8" w14:textId="77777777" w:rsidR="0088071B" w:rsidRPr="00C574C2" w:rsidRDefault="0088071B" w:rsidP="0088071B">
      <w:r>
        <w:rPr>
          <w:rStyle w:val="HideTWBExt"/>
        </w:rPr>
        <w:t>&lt;/Amend&gt;</w:t>
      </w:r>
    </w:p>
    <w:p w14:paraId="3694860A" w14:textId="77777777" w:rsidR="0088071B" w:rsidRPr="00C574C2" w:rsidRDefault="0088071B" w:rsidP="0088071B">
      <w:pPr>
        <w:pStyle w:val="AmNumberTabs"/>
      </w:pPr>
      <w:r>
        <w:rPr>
          <w:rStyle w:val="HideTWBExt"/>
        </w:rPr>
        <w:t>&lt;Amend&gt;</w:t>
      </w:r>
      <w:r>
        <w:t>Amandman</w:t>
      </w:r>
      <w:r>
        <w:tab/>
      </w:r>
      <w:r>
        <w:tab/>
      </w:r>
      <w:r>
        <w:rPr>
          <w:rStyle w:val="HideTWBExt"/>
        </w:rPr>
        <w:t>&lt;NumAm&gt;</w:t>
      </w:r>
      <w:r>
        <w:t>10</w:t>
      </w:r>
      <w:r>
        <w:rPr>
          <w:rStyle w:val="HideTWBExt"/>
        </w:rPr>
        <w:t>&lt;/</w:t>
      </w:r>
      <w:proofErr w:type="spellStart"/>
      <w:r>
        <w:rPr>
          <w:rStyle w:val="HideTWBExt"/>
        </w:rPr>
        <w:t>NumAm</w:t>
      </w:r>
      <w:proofErr w:type="spellEnd"/>
      <w:r>
        <w:rPr>
          <w:rStyle w:val="HideTWBExt"/>
        </w:rPr>
        <w:t>&gt;</w:t>
      </w:r>
    </w:p>
    <w:p w14:paraId="7AE7116F"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0D94CD6F"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2099C36A" w14:textId="77777777" w:rsidR="0088071B" w:rsidRPr="00C574C2" w:rsidRDefault="0088071B" w:rsidP="0088071B">
      <w:pPr>
        <w:pStyle w:val="NormalBold"/>
      </w:pPr>
      <w:r>
        <w:rPr>
          <w:rStyle w:val="HideTWBExt"/>
          <w:b w:val="0"/>
        </w:rPr>
        <w:t>&lt;/RepeatBlock-By&gt;</w:t>
      </w:r>
    </w:p>
    <w:p w14:paraId="45EA73CD"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E696573" w14:textId="77777777" w:rsidR="0088071B" w:rsidRPr="00C574C2" w:rsidRDefault="0088071B" w:rsidP="0088071B">
      <w:pPr>
        <w:pStyle w:val="NormalBold"/>
      </w:pPr>
      <w:r>
        <w:rPr>
          <w:rStyle w:val="HideTWBExt"/>
        </w:rPr>
        <w:t>&lt;Article&gt;</w:t>
      </w:r>
      <w:r>
        <w:t>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8BABEFA" w14:textId="77777777" w:rsidTr="00730E82">
        <w:trPr>
          <w:trHeight w:val="240"/>
          <w:jc w:val="center"/>
        </w:trPr>
        <w:tc>
          <w:tcPr>
            <w:tcW w:w="9752" w:type="dxa"/>
            <w:gridSpan w:val="2"/>
            <w:tcBorders>
              <w:top w:val="nil"/>
              <w:left w:val="nil"/>
              <w:bottom w:val="nil"/>
              <w:right w:val="nil"/>
            </w:tcBorders>
          </w:tcPr>
          <w:p w14:paraId="3C65CEC9" w14:textId="77777777" w:rsidR="0088071B" w:rsidRPr="00C574C2" w:rsidRDefault="0088071B" w:rsidP="00730E82"/>
        </w:tc>
      </w:tr>
      <w:tr w:rsidR="0088071B" w14:paraId="2790BAEA" w14:textId="77777777" w:rsidTr="00730E82">
        <w:trPr>
          <w:trHeight w:val="240"/>
          <w:jc w:val="center"/>
        </w:trPr>
        <w:tc>
          <w:tcPr>
            <w:tcW w:w="4876" w:type="dxa"/>
            <w:tcBorders>
              <w:top w:val="nil"/>
              <w:left w:val="nil"/>
              <w:bottom w:val="nil"/>
              <w:right w:val="nil"/>
            </w:tcBorders>
            <w:hideMark/>
          </w:tcPr>
          <w:p w14:paraId="1F3D3B03"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B0DB2CB" w14:textId="77777777" w:rsidR="0088071B" w:rsidRPr="00C574C2" w:rsidRDefault="0088071B" w:rsidP="00730E82">
            <w:pPr>
              <w:pStyle w:val="AmColumnHeading"/>
            </w:pPr>
            <w:r>
              <w:t>Izmjena</w:t>
            </w:r>
          </w:p>
        </w:tc>
      </w:tr>
      <w:tr w:rsidR="0088071B" w14:paraId="4940DB22" w14:textId="77777777" w:rsidTr="00730E82">
        <w:trPr>
          <w:jc w:val="center"/>
        </w:trPr>
        <w:tc>
          <w:tcPr>
            <w:tcW w:w="4876" w:type="dxa"/>
            <w:tcBorders>
              <w:top w:val="nil"/>
              <w:left w:val="nil"/>
              <w:bottom w:val="nil"/>
              <w:right w:val="nil"/>
            </w:tcBorders>
            <w:hideMark/>
          </w:tcPr>
          <w:p w14:paraId="765F5A14" w14:textId="77777777" w:rsidR="0088071B" w:rsidRPr="00C574C2" w:rsidRDefault="0088071B" w:rsidP="00730E82">
            <w:pPr>
              <w:pStyle w:val="Normal6a"/>
            </w:pPr>
            <w:r>
              <w:t>3.</w:t>
            </w:r>
            <w:r>
              <w:tab/>
              <w:t>ističe jedinstvenu ulogu EPPO-a u području izvršavanja zakonodavstva Unije kao tužiteljstva i naglašava da je po svojoj prirodi EPPO obvezan istraživati sva pitanja u svojoj nadležnosti, kad mu se na njih skrene pozornost; stoga ističe potrebu za brzom dodjelom potrebnih sredstava kako bi mogao ispunjavati svoju zadaću te kako bi se osigurao napredak i pravodoban dovršetak istraga;</w:t>
            </w:r>
          </w:p>
        </w:tc>
        <w:tc>
          <w:tcPr>
            <w:tcW w:w="4876" w:type="dxa"/>
            <w:tcBorders>
              <w:top w:val="nil"/>
              <w:left w:val="nil"/>
              <w:bottom w:val="nil"/>
              <w:right w:val="nil"/>
            </w:tcBorders>
            <w:hideMark/>
          </w:tcPr>
          <w:p w14:paraId="430F9E83" w14:textId="77777777" w:rsidR="0088071B" w:rsidRPr="00C574C2" w:rsidRDefault="0088071B" w:rsidP="00730E82">
            <w:pPr>
              <w:pStyle w:val="Normal6a"/>
            </w:pPr>
            <w:r>
              <w:t>3.</w:t>
            </w:r>
            <w:r>
              <w:tab/>
              <w:t xml:space="preserve">ističe jedinstvenu ulogu EPPO-a u području izvršavanja zakonodavstva Unije kao tužiteljstva i naglašava da je po svojoj prirodi EPPO obvezan istraživati sva pitanja u svojoj nadležnosti, kad mu se na njih skrene pozornost; stoga ističe potrebu za brzom dodjelom potrebnih sredstava kako bi mogao ispunjavati svoju zadaću te kako bi se osigurao napredak i pravodoban dovršetak istraga; </w:t>
            </w:r>
            <w:r>
              <w:rPr>
                <w:b/>
                <w:i/>
              </w:rPr>
              <w:t xml:space="preserve">podsjeća da je prema godišnjem izvješću EPPO-a za 2024. godinu EPPO do kraja 2024. proveo 2666 aktivnih istraga s procijenjenom štetom od 24,8 milijardi EUR te da su suci izdali naloge za zamrzavanje u vrijednosti od 2,42 milijarde EUR; naglašava da te </w:t>
            </w:r>
            <w:r>
              <w:rPr>
                <w:b/>
                <w:i/>
              </w:rPr>
              <w:lastRenderedPageBreak/>
              <w:t>brojke potvrđuju strukturnu neusklađenost između rasta radnog opterećenja i dodijeljenih sredstava;</w:t>
            </w:r>
          </w:p>
        </w:tc>
      </w:tr>
    </w:tbl>
    <w:p w14:paraId="5823957F"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82B036C" w14:textId="77777777" w:rsidR="0088071B" w:rsidRPr="00C574C2" w:rsidRDefault="0088071B" w:rsidP="0088071B">
      <w:r>
        <w:rPr>
          <w:rStyle w:val="HideTWBExt"/>
        </w:rPr>
        <w:t>&lt;/Amend&gt;</w:t>
      </w:r>
    </w:p>
    <w:p w14:paraId="44F28660" w14:textId="77777777" w:rsidR="0088071B" w:rsidRPr="00C574C2" w:rsidRDefault="0088071B" w:rsidP="0088071B">
      <w:pPr>
        <w:pStyle w:val="AmNumberTabs"/>
      </w:pPr>
      <w:r>
        <w:rPr>
          <w:rStyle w:val="HideTWBExt"/>
        </w:rPr>
        <w:t>&lt;Amend&gt;</w:t>
      </w:r>
      <w:r>
        <w:t>Amandman</w:t>
      </w:r>
      <w:r>
        <w:tab/>
      </w:r>
      <w:r>
        <w:tab/>
      </w:r>
      <w:r>
        <w:rPr>
          <w:rStyle w:val="HideTWBExt"/>
        </w:rPr>
        <w:t>&lt;NumAm&gt;</w:t>
      </w:r>
      <w:r>
        <w:t>11</w:t>
      </w:r>
      <w:r>
        <w:rPr>
          <w:rStyle w:val="HideTWBExt"/>
        </w:rPr>
        <w:t>&lt;/</w:t>
      </w:r>
      <w:proofErr w:type="spellStart"/>
      <w:r>
        <w:rPr>
          <w:rStyle w:val="HideTWBExt"/>
        </w:rPr>
        <w:t>NumAm</w:t>
      </w:r>
      <w:proofErr w:type="spellEnd"/>
      <w:r>
        <w:rPr>
          <w:rStyle w:val="HideTWBExt"/>
        </w:rPr>
        <w:t>&gt;</w:t>
      </w:r>
    </w:p>
    <w:p w14:paraId="2719DA75" w14:textId="77777777" w:rsidR="0088071B" w:rsidRPr="00C574C2" w:rsidRDefault="0088071B" w:rsidP="0088071B">
      <w:pPr>
        <w:pStyle w:val="NormalBold"/>
      </w:pPr>
      <w:r>
        <w:rPr>
          <w:rStyle w:val="HideTWBExt"/>
          <w:b w:val="0"/>
        </w:rPr>
        <w:t>&lt;RepeatBlock-By&gt;&lt;Members&gt;</w:t>
      </w:r>
      <w:proofErr w:type="spellStart"/>
      <w:r>
        <w:t>Pasquale</w:t>
      </w:r>
      <w:proofErr w:type="spellEnd"/>
      <w:r>
        <w:t xml:space="preserve"> </w:t>
      </w:r>
      <w:proofErr w:type="spellStart"/>
      <w:r>
        <w:t>Tridico</w:t>
      </w:r>
      <w:proofErr w:type="spellEnd"/>
      <w:r>
        <w:rPr>
          <w:rStyle w:val="HideTWBExt"/>
          <w:b w:val="0"/>
        </w:rPr>
        <w:t>&lt;/Members&gt;</w:t>
      </w:r>
    </w:p>
    <w:p w14:paraId="25DE7C38" w14:textId="77777777" w:rsidR="0088071B" w:rsidRPr="00C574C2" w:rsidRDefault="0088071B" w:rsidP="0088071B">
      <w:pPr>
        <w:pStyle w:val="NormalBold"/>
      </w:pPr>
      <w:r>
        <w:rPr>
          <w:rStyle w:val="HideTWBExt"/>
          <w:b w:val="0"/>
        </w:rPr>
        <w:t>&lt;/RepeatBlock-By&gt;</w:t>
      </w:r>
    </w:p>
    <w:p w14:paraId="63502F48"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632CD2D" w14:textId="77777777" w:rsidR="0088071B" w:rsidRPr="00C574C2" w:rsidRDefault="0088071B" w:rsidP="0088071B">
      <w:pPr>
        <w:pStyle w:val="NormalBold"/>
      </w:pPr>
      <w:r>
        <w:rPr>
          <w:rStyle w:val="HideTWBExt"/>
        </w:rPr>
        <w:t>&lt;Article&gt;</w:t>
      </w:r>
      <w:r>
        <w:t>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96BEDBA" w14:textId="77777777" w:rsidTr="00730E82">
        <w:trPr>
          <w:trHeight w:val="240"/>
          <w:jc w:val="center"/>
        </w:trPr>
        <w:tc>
          <w:tcPr>
            <w:tcW w:w="9752" w:type="dxa"/>
            <w:gridSpan w:val="2"/>
            <w:tcBorders>
              <w:top w:val="nil"/>
              <w:left w:val="nil"/>
              <w:bottom w:val="nil"/>
              <w:right w:val="nil"/>
            </w:tcBorders>
          </w:tcPr>
          <w:p w14:paraId="35F60007" w14:textId="77777777" w:rsidR="0088071B" w:rsidRPr="00C574C2" w:rsidRDefault="0088071B" w:rsidP="00730E82"/>
        </w:tc>
      </w:tr>
      <w:tr w:rsidR="0088071B" w14:paraId="7F41FF75" w14:textId="77777777" w:rsidTr="00730E82">
        <w:trPr>
          <w:trHeight w:val="240"/>
          <w:jc w:val="center"/>
        </w:trPr>
        <w:tc>
          <w:tcPr>
            <w:tcW w:w="4876" w:type="dxa"/>
            <w:tcBorders>
              <w:top w:val="nil"/>
              <w:left w:val="nil"/>
              <w:bottom w:val="nil"/>
              <w:right w:val="nil"/>
            </w:tcBorders>
            <w:hideMark/>
          </w:tcPr>
          <w:p w14:paraId="7C8BC299"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18B5531B" w14:textId="77777777" w:rsidR="0088071B" w:rsidRPr="00C574C2" w:rsidRDefault="0088071B" w:rsidP="00730E82">
            <w:pPr>
              <w:pStyle w:val="AmColumnHeading"/>
            </w:pPr>
            <w:r>
              <w:t>Izmjena</w:t>
            </w:r>
          </w:p>
        </w:tc>
      </w:tr>
      <w:tr w:rsidR="0088071B" w14:paraId="5CB9C6E5" w14:textId="77777777" w:rsidTr="00730E82">
        <w:trPr>
          <w:jc w:val="center"/>
        </w:trPr>
        <w:tc>
          <w:tcPr>
            <w:tcW w:w="4876" w:type="dxa"/>
            <w:tcBorders>
              <w:top w:val="nil"/>
              <w:left w:val="nil"/>
              <w:bottom w:val="nil"/>
              <w:right w:val="nil"/>
            </w:tcBorders>
            <w:hideMark/>
          </w:tcPr>
          <w:p w14:paraId="21F224BD" w14:textId="77777777" w:rsidR="0088071B" w:rsidRPr="00C574C2" w:rsidRDefault="0088071B" w:rsidP="00730E82">
            <w:pPr>
              <w:pStyle w:val="Normal6a"/>
            </w:pPr>
            <w:r>
              <w:t>3.</w:t>
            </w:r>
            <w:r>
              <w:tab/>
              <w:t>ističe jedinstvenu ulogu EPPO-a u području izvršavanja zakonodavstva Unije kao tužiteljstva i naglašava da je po svojoj prirodi EPPO obvezan istraživati sva pitanja u svojoj nadležnosti, kad mu se na njih skrene pozornost; stoga ističe potrebu za brzom dodjelom potrebnih sredstava kako bi mogao ispunjavati svoju zadaću te kako bi se osigurao napredak i pravodoban dovršetak istraga;</w:t>
            </w:r>
          </w:p>
        </w:tc>
        <w:tc>
          <w:tcPr>
            <w:tcW w:w="4876" w:type="dxa"/>
            <w:tcBorders>
              <w:top w:val="nil"/>
              <w:left w:val="nil"/>
              <w:bottom w:val="nil"/>
              <w:right w:val="nil"/>
            </w:tcBorders>
            <w:hideMark/>
          </w:tcPr>
          <w:p w14:paraId="61783C9A" w14:textId="77777777" w:rsidR="0088071B" w:rsidRPr="00C574C2" w:rsidRDefault="0088071B" w:rsidP="00730E82">
            <w:pPr>
              <w:pStyle w:val="Normal6a"/>
            </w:pPr>
            <w:r>
              <w:t>3.</w:t>
            </w:r>
            <w:r>
              <w:tab/>
              <w:t>ističe jedinstvenu ulogu EPPO-a u području izvršavanja zakonodavstva Unije kao tužiteljstva i naglašava da je po svojoj prirodi EPPO obvezan istraživati sva pitanja u svojoj nadležnosti, kad mu se na njih skrene pozornost; stoga ističe potrebu za brzom dodjelom potrebnih sredstava kako bi mogao ispunjavati svoju zadaću te kako bi se osigurao napredak i pravodoban dovršetak istraga</w:t>
            </w:r>
            <w:r>
              <w:rPr>
                <w:b/>
                <w:i/>
              </w:rPr>
              <w:t>, uključujući istragu o nabavi cjepiva protiv bolesti COVID-19 u Uniji, koja je od velikog javnog interesa i koja je započela 2022., ali do danas nije popraćena nikakvom odlukom ni ažuriranim informacijama</w:t>
            </w:r>
            <w:r>
              <w:t>;</w:t>
            </w:r>
          </w:p>
        </w:tc>
      </w:tr>
    </w:tbl>
    <w:p w14:paraId="5E102F0F"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DEA338F" w14:textId="77777777" w:rsidR="0088071B" w:rsidRPr="00C574C2" w:rsidRDefault="0088071B" w:rsidP="0088071B">
      <w:r>
        <w:rPr>
          <w:rStyle w:val="HideTWBExt"/>
        </w:rPr>
        <w:t>&lt;/Amend&gt;</w:t>
      </w:r>
    </w:p>
    <w:p w14:paraId="53295EE6" w14:textId="77777777" w:rsidR="0088071B" w:rsidRPr="00C574C2" w:rsidRDefault="0088071B" w:rsidP="0088071B">
      <w:pPr>
        <w:pStyle w:val="AmNumberTabs"/>
      </w:pPr>
      <w:r>
        <w:rPr>
          <w:rStyle w:val="HideTWBExt"/>
        </w:rPr>
        <w:t>&lt;Amend&gt;</w:t>
      </w:r>
      <w:r>
        <w:t>Amandman</w:t>
      </w:r>
      <w:r>
        <w:tab/>
      </w:r>
      <w:r>
        <w:tab/>
      </w:r>
      <w:r>
        <w:rPr>
          <w:rStyle w:val="HideTWBExt"/>
        </w:rPr>
        <w:t>&lt;NumAm&gt;</w:t>
      </w:r>
      <w:r>
        <w:t>12</w:t>
      </w:r>
      <w:r>
        <w:rPr>
          <w:rStyle w:val="HideTWBExt"/>
        </w:rPr>
        <w:t>&lt;/</w:t>
      </w:r>
      <w:proofErr w:type="spellStart"/>
      <w:r>
        <w:rPr>
          <w:rStyle w:val="HideTWBExt"/>
        </w:rPr>
        <w:t>NumAm</w:t>
      </w:r>
      <w:proofErr w:type="spellEnd"/>
      <w:r>
        <w:rPr>
          <w:rStyle w:val="HideTWBExt"/>
        </w:rPr>
        <w:t>&gt;</w:t>
      </w:r>
    </w:p>
    <w:p w14:paraId="752A6F4C"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77FCBD54" w14:textId="77777777" w:rsidR="0088071B" w:rsidRPr="00C574C2" w:rsidRDefault="0088071B" w:rsidP="0088071B">
      <w:pPr>
        <w:pStyle w:val="NormalBold"/>
      </w:pPr>
      <w:r>
        <w:rPr>
          <w:rStyle w:val="HideTWBExt"/>
          <w:b w:val="0"/>
        </w:rPr>
        <w:t>&lt;/RepeatBlock-By&gt;</w:t>
      </w:r>
    </w:p>
    <w:p w14:paraId="35F83022"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D5B627E" w14:textId="77777777" w:rsidR="0088071B" w:rsidRPr="00C574C2" w:rsidRDefault="0088071B" w:rsidP="0088071B">
      <w:pPr>
        <w:pStyle w:val="NormalBold"/>
      </w:pPr>
      <w:r>
        <w:rPr>
          <w:rStyle w:val="HideTWBExt"/>
        </w:rPr>
        <w:t>&lt;Article&gt;</w:t>
      </w:r>
      <w:r>
        <w:t>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ABB79E9" w14:textId="77777777" w:rsidTr="00730E82">
        <w:trPr>
          <w:trHeight w:val="240"/>
          <w:jc w:val="center"/>
        </w:trPr>
        <w:tc>
          <w:tcPr>
            <w:tcW w:w="9752" w:type="dxa"/>
            <w:gridSpan w:val="2"/>
            <w:tcBorders>
              <w:top w:val="nil"/>
              <w:left w:val="nil"/>
              <w:bottom w:val="nil"/>
              <w:right w:val="nil"/>
            </w:tcBorders>
          </w:tcPr>
          <w:p w14:paraId="05DE42F6" w14:textId="77777777" w:rsidR="0088071B" w:rsidRPr="00C574C2" w:rsidRDefault="0088071B" w:rsidP="00730E82"/>
        </w:tc>
      </w:tr>
      <w:tr w:rsidR="0088071B" w14:paraId="26F8E3FF" w14:textId="77777777" w:rsidTr="00730E82">
        <w:trPr>
          <w:trHeight w:val="240"/>
          <w:jc w:val="center"/>
        </w:trPr>
        <w:tc>
          <w:tcPr>
            <w:tcW w:w="4876" w:type="dxa"/>
            <w:tcBorders>
              <w:top w:val="nil"/>
              <w:left w:val="nil"/>
              <w:bottom w:val="nil"/>
              <w:right w:val="nil"/>
            </w:tcBorders>
            <w:hideMark/>
          </w:tcPr>
          <w:p w14:paraId="4540AF5E"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5D948D2D" w14:textId="77777777" w:rsidR="0088071B" w:rsidRPr="00C574C2" w:rsidRDefault="0088071B" w:rsidP="00730E82">
            <w:pPr>
              <w:pStyle w:val="AmColumnHeading"/>
            </w:pPr>
            <w:r>
              <w:t>Izmjena</w:t>
            </w:r>
          </w:p>
        </w:tc>
      </w:tr>
      <w:tr w:rsidR="0088071B" w14:paraId="62D9746E" w14:textId="77777777" w:rsidTr="00730E82">
        <w:trPr>
          <w:jc w:val="center"/>
        </w:trPr>
        <w:tc>
          <w:tcPr>
            <w:tcW w:w="4876" w:type="dxa"/>
            <w:tcBorders>
              <w:top w:val="nil"/>
              <w:left w:val="nil"/>
              <w:bottom w:val="nil"/>
              <w:right w:val="nil"/>
            </w:tcBorders>
            <w:hideMark/>
          </w:tcPr>
          <w:p w14:paraId="354F6FA6" w14:textId="77777777" w:rsidR="0088071B" w:rsidRPr="00C574C2" w:rsidRDefault="0088071B" w:rsidP="00730E82">
            <w:pPr>
              <w:pStyle w:val="Normal6a"/>
            </w:pPr>
            <w:r>
              <w:t>3.</w:t>
            </w:r>
            <w:r>
              <w:tab/>
              <w:t xml:space="preserve">ističe jedinstvenu ulogu EPPO-a u području izvršavanja zakonodavstva Unije kao tužiteljstva i naglašava da je po svojoj prirodi EPPO obvezan istraživati </w:t>
            </w:r>
            <w:r>
              <w:rPr>
                <w:b/>
                <w:i/>
              </w:rPr>
              <w:t xml:space="preserve">sva </w:t>
            </w:r>
            <w:r>
              <w:rPr>
                <w:b/>
                <w:i/>
              </w:rPr>
              <w:lastRenderedPageBreak/>
              <w:t>pitanja</w:t>
            </w:r>
            <w:r>
              <w:t xml:space="preserve"> u svojoj nadležnosti, kad mu se na njih skrene pozornost; stoga ističe potrebu za </w:t>
            </w:r>
            <w:r>
              <w:rPr>
                <w:b/>
                <w:i/>
              </w:rPr>
              <w:t>brzom dodjelom potrebnih sredstava</w:t>
            </w:r>
            <w:r>
              <w:t xml:space="preserve"> kako bi </w:t>
            </w:r>
            <w:r>
              <w:rPr>
                <w:b/>
                <w:i/>
              </w:rPr>
              <w:t>mogao ispunjavati</w:t>
            </w:r>
            <w:r>
              <w:t xml:space="preserve"> svoju zadaću te kako bi se osigurao napredak i pravodoban dovršetak istraga;</w:t>
            </w:r>
          </w:p>
        </w:tc>
        <w:tc>
          <w:tcPr>
            <w:tcW w:w="4876" w:type="dxa"/>
            <w:tcBorders>
              <w:top w:val="nil"/>
              <w:left w:val="nil"/>
              <w:bottom w:val="nil"/>
              <w:right w:val="nil"/>
            </w:tcBorders>
            <w:hideMark/>
          </w:tcPr>
          <w:p w14:paraId="437B0E1E" w14:textId="77777777" w:rsidR="0088071B" w:rsidRPr="00C574C2" w:rsidRDefault="0088071B" w:rsidP="00730E82">
            <w:pPr>
              <w:pStyle w:val="Normal6a"/>
            </w:pPr>
            <w:r>
              <w:lastRenderedPageBreak/>
              <w:t>3.</w:t>
            </w:r>
            <w:r>
              <w:tab/>
              <w:t xml:space="preserve">ističe jedinstvenu ulogu EPPO-a u području izvršavanja zakonodavstva Unije kao tužiteljstva i naglašava da je po svojoj prirodi EPPO obvezan istraživati </w:t>
            </w:r>
            <w:r>
              <w:rPr>
                <w:b/>
                <w:i/>
              </w:rPr>
              <w:t xml:space="preserve">sve </w:t>
            </w:r>
            <w:r>
              <w:rPr>
                <w:b/>
                <w:i/>
              </w:rPr>
              <w:lastRenderedPageBreak/>
              <w:t>slučajeve</w:t>
            </w:r>
            <w:r>
              <w:t xml:space="preserve"> u svojoj nadležnosti, kad mu se na njih skrene pozornost</w:t>
            </w:r>
            <w:r>
              <w:rPr>
                <w:b/>
                <w:i/>
              </w:rPr>
              <w:t>, uz ograničeni manevarski prostor</w:t>
            </w:r>
            <w:r>
              <w:t xml:space="preserve">; stoga ističe potrebu za </w:t>
            </w:r>
            <w:r>
              <w:rPr>
                <w:b/>
                <w:i/>
              </w:rPr>
              <w:t>okvirom resursa koji će biti usklađen s njegovom obveznom nadležnošću; poziva Komisiju da hitno dodijeli potrebna sredstva</w:t>
            </w:r>
            <w:r>
              <w:t xml:space="preserve"> kako bi </w:t>
            </w:r>
            <w:r>
              <w:rPr>
                <w:b/>
                <w:i/>
              </w:rPr>
              <w:t>se EPPO-u omogućilo da ispunjava</w:t>
            </w:r>
            <w:r>
              <w:t xml:space="preserve"> svoju zadaću te kako bi se osigurao napredak i pravodoban dovršetak istraga;</w:t>
            </w:r>
          </w:p>
        </w:tc>
      </w:tr>
    </w:tbl>
    <w:p w14:paraId="4B549081"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063877F6" w14:textId="77777777" w:rsidR="0088071B" w:rsidRPr="00C574C2" w:rsidRDefault="0088071B" w:rsidP="0088071B">
      <w:r>
        <w:rPr>
          <w:rStyle w:val="HideTWBExt"/>
        </w:rPr>
        <w:t>&lt;/Amend&gt;</w:t>
      </w:r>
    </w:p>
    <w:p w14:paraId="41D59564" w14:textId="77777777" w:rsidR="0088071B" w:rsidRPr="00C574C2" w:rsidRDefault="0088071B" w:rsidP="0088071B">
      <w:pPr>
        <w:pStyle w:val="AmNumberTabs"/>
      </w:pPr>
      <w:r>
        <w:rPr>
          <w:rStyle w:val="HideTWBExt"/>
        </w:rPr>
        <w:t>&lt;Amend&gt;</w:t>
      </w:r>
      <w:r>
        <w:t>Amandman</w:t>
      </w:r>
      <w:r>
        <w:tab/>
      </w:r>
      <w:r>
        <w:tab/>
      </w:r>
      <w:r>
        <w:rPr>
          <w:rStyle w:val="HideTWBExt"/>
        </w:rPr>
        <w:t>&lt;NumAm&gt;</w:t>
      </w:r>
      <w:r>
        <w:t>13</w:t>
      </w:r>
      <w:r>
        <w:rPr>
          <w:rStyle w:val="HideTWBExt"/>
        </w:rPr>
        <w:t>&lt;/</w:t>
      </w:r>
      <w:proofErr w:type="spellStart"/>
      <w:r>
        <w:rPr>
          <w:rStyle w:val="HideTWBExt"/>
        </w:rPr>
        <w:t>NumAm</w:t>
      </w:r>
      <w:proofErr w:type="spellEnd"/>
      <w:r>
        <w:rPr>
          <w:rStyle w:val="HideTWBExt"/>
        </w:rPr>
        <w:t>&gt;</w:t>
      </w:r>
    </w:p>
    <w:p w14:paraId="39D0F9CA"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210B99C5" w14:textId="77777777" w:rsidR="0088071B" w:rsidRPr="00C574C2" w:rsidRDefault="0088071B" w:rsidP="0088071B">
      <w:pPr>
        <w:pStyle w:val="NormalBold"/>
      </w:pPr>
      <w:r>
        <w:rPr>
          <w:rStyle w:val="HideTWBExt"/>
          <w:b w:val="0"/>
        </w:rPr>
        <w:t>&lt;/RepeatBlock-By&gt;</w:t>
      </w:r>
    </w:p>
    <w:p w14:paraId="5516D6CF"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83B9E89" w14:textId="77777777" w:rsidR="0088071B" w:rsidRPr="00C574C2" w:rsidRDefault="0088071B" w:rsidP="0088071B">
      <w:pPr>
        <w:pStyle w:val="NormalBold"/>
      </w:pPr>
      <w:r>
        <w:rPr>
          <w:rStyle w:val="HideTWBExt"/>
        </w:rPr>
        <w:t>&lt;Article&gt;</w:t>
      </w:r>
      <w:r>
        <w:t>Stavak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989818A" w14:textId="77777777" w:rsidTr="00730E82">
        <w:trPr>
          <w:trHeight w:val="240"/>
          <w:jc w:val="center"/>
        </w:trPr>
        <w:tc>
          <w:tcPr>
            <w:tcW w:w="9752" w:type="dxa"/>
            <w:gridSpan w:val="2"/>
            <w:tcBorders>
              <w:top w:val="nil"/>
              <w:left w:val="nil"/>
              <w:bottom w:val="nil"/>
              <w:right w:val="nil"/>
            </w:tcBorders>
          </w:tcPr>
          <w:p w14:paraId="523DD7B8" w14:textId="77777777" w:rsidR="0088071B" w:rsidRPr="00C574C2" w:rsidRDefault="0088071B" w:rsidP="00730E82"/>
        </w:tc>
      </w:tr>
      <w:tr w:rsidR="0088071B" w14:paraId="12A8E965" w14:textId="77777777" w:rsidTr="00730E82">
        <w:trPr>
          <w:trHeight w:val="240"/>
          <w:jc w:val="center"/>
        </w:trPr>
        <w:tc>
          <w:tcPr>
            <w:tcW w:w="4876" w:type="dxa"/>
            <w:tcBorders>
              <w:top w:val="nil"/>
              <w:left w:val="nil"/>
              <w:bottom w:val="nil"/>
              <w:right w:val="nil"/>
            </w:tcBorders>
            <w:hideMark/>
          </w:tcPr>
          <w:p w14:paraId="1B3B60DA"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FFF5D3E" w14:textId="77777777" w:rsidR="0088071B" w:rsidRPr="00C574C2" w:rsidRDefault="0088071B" w:rsidP="00730E82">
            <w:pPr>
              <w:pStyle w:val="AmColumnHeading"/>
            </w:pPr>
            <w:r>
              <w:t>Izmjena</w:t>
            </w:r>
          </w:p>
        </w:tc>
      </w:tr>
      <w:tr w:rsidR="0088071B" w14:paraId="7DC4EBAB" w14:textId="77777777" w:rsidTr="00730E82">
        <w:trPr>
          <w:jc w:val="center"/>
        </w:trPr>
        <w:tc>
          <w:tcPr>
            <w:tcW w:w="4876" w:type="dxa"/>
            <w:tcBorders>
              <w:top w:val="nil"/>
              <w:left w:val="nil"/>
              <w:bottom w:val="nil"/>
              <w:right w:val="nil"/>
            </w:tcBorders>
            <w:hideMark/>
          </w:tcPr>
          <w:p w14:paraId="750E814F" w14:textId="77777777" w:rsidR="0088071B" w:rsidRPr="00C574C2" w:rsidRDefault="0088071B" w:rsidP="00730E82">
            <w:pPr>
              <w:pStyle w:val="Normal6a"/>
            </w:pPr>
            <w:r>
              <w:t>3.</w:t>
            </w:r>
            <w:r>
              <w:tab/>
              <w:t>ističe jedinstvenu ulogu EPPO-a u području izvršavanja zakonodavstva Unije kao tužiteljstva i naglašava da je po svojoj prirodi EPPO obvezan istraživati sva pitanja u svojoj nadležnosti, kad mu se na njih skrene pozornost; stoga ističe potrebu za brzom dodjelom potrebnih sredstava kako bi mogao ispunjavati svoju zadaću te kako bi se osigurao napredak i pravodoban dovršetak istraga;</w:t>
            </w:r>
          </w:p>
        </w:tc>
        <w:tc>
          <w:tcPr>
            <w:tcW w:w="4876" w:type="dxa"/>
            <w:tcBorders>
              <w:top w:val="nil"/>
              <w:left w:val="nil"/>
              <w:bottom w:val="nil"/>
              <w:right w:val="nil"/>
            </w:tcBorders>
            <w:hideMark/>
          </w:tcPr>
          <w:p w14:paraId="4883A7B0" w14:textId="77777777" w:rsidR="0088071B" w:rsidRPr="00C574C2" w:rsidRDefault="0088071B" w:rsidP="00730E82">
            <w:pPr>
              <w:pStyle w:val="Normal6a"/>
            </w:pPr>
            <w:r>
              <w:t>3.</w:t>
            </w:r>
            <w:r>
              <w:tab/>
              <w:t xml:space="preserve">ističe jedinstvenu ulogu EPPO-a u području izvršavanja zakonodavstva Unije kao tužiteljstva i naglašava da je po svojoj prirodi EPPO obvezan istraživati sva pitanja u svojoj nadležnosti, kad mu se na njih skrene pozornost; </w:t>
            </w:r>
            <w:r>
              <w:rPr>
                <w:b/>
                <w:i/>
              </w:rPr>
              <w:t>naglašava da bi sredstva trebala biti usklađena s operativnim potrebama;</w:t>
            </w:r>
            <w:r>
              <w:t xml:space="preserve"> stoga ističe potrebu za brzom dodjelom potrebnih sredstava kako bi mogao ispunjavati svoju zadaću te kako bi se osigurao napredak i pravodoban dovršetak istraga;</w:t>
            </w:r>
          </w:p>
        </w:tc>
      </w:tr>
    </w:tbl>
    <w:p w14:paraId="0691EC12"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71A2636" w14:textId="77777777" w:rsidR="0088071B" w:rsidRPr="00C574C2" w:rsidRDefault="0088071B" w:rsidP="0088071B">
      <w:r>
        <w:rPr>
          <w:rStyle w:val="HideTWBExt"/>
        </w:rPr>
        <w:t>&lt;/Amend&gt;</w:t>
      </w:r>
    </w:p>
    <w:p w14:paraId="4DAD2192" w14:textId="77777777" w:rsidR="0088071B" w:rsidRPr="00C574C2" w:rsidRDefault="0088071B" w:rsidP="0088071B">
      <w:pPr>
        <w:pStyle w:val="AmNumberTabs"/>
      </w:pPr>
      <w:r>
        <w:rPr>
          <w:rStyle w:val="HideTWBExt"/>
        </w:rPr>
        <w:t>&lt;Amend&gt;</w:t>
      </w:r>
      <w:r>
        <w:t>Amandman</w:t>
      </w:r>
      <w:r>
        <w:tab/>
      </w:r>
      <w:r>
        <w:tab/>
      </w:r>
      <w:r>
        <w:rPr>
          <w:rStyle w:val="HideTWBExt"/>
        </w:rPr>
        <w:t>&lt;NumAm&gt;</w:t>
      </w:r>
      <w:r>
        <w:t>14</w:t>
      </w:r>
      <w:r>
        <w:rPr>
          <w:rStyle w:val="HideTWBExt"/>
        </w:rPr>
        <w:t>&lt;/</w:t>
      </w:r>
      <w:proofErr w:type="spellStart"/>
      <w:r>
        <w:rPr>
          <w:rStyle w:val="HideTWBExt"/>
        </w:rPr>
        <w:t>NumAm</w:t>
      </w:r>
      <w:proofErr w:type="spellEnd"/>
      <w:r>
        <w:rPr>
          <w:rStyle w:val="HideTWBExt"/>
        </w:rPr>
        <w:t>&gt;</w:t>
      </w:r>
    </w:p>
    <w:p w14:paraId="05EDBEC6"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0CBC7884" w14:textId="77777777" w:rsidR="0088071B" w:rsidRPr="00C574C2" w:rsidRDefault="0088071B" w:rsidP="0088071B">
      <w:pPr>
        <w:pStyle w:val="NormalBold"/>
      </w:pPr>
      <w:r>
        <w:rPr>
          <w:rStyle w:val="HideTWBExt"/>
          <w:b w:val="0"/>
        </w:rPr>
        <w:t>&lt;/RepeatBlock-By&gt;</w:t>
      </w:r>
    </w:p>
    <w:p w14:paraId="3568177A"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5596DA5" w14:textId="77777777" w:rsidR="0088071B" w:rsidRPr="00C574C2" w:rsidRDefault="0088071B" w:rsidP="0088071B">
      <w:pPr>
        <w:pStyle w:val="NormalBold"/>
      </w:pPr>
      <w:r>
        <w:rPr>
          <w:rStyle w:val="HideTWBExt"/>
        </w:rPr>
        <w:t>&lt;Article&gt;</w:t>
      </w:r>
      <w:r>
        <w:t>Stavak 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0E2677C7" w14:textId="77777777" w:rsidTr="00730E82">
        <w:trPr>
          <w:trHeight w:val="240"/>
          <w:jc w:val="center"/>
        </w:trPr>
        <w:tc>
          <w:tcPr>
            <w:tcW w:w="9752" w:type="dxa"/>
            <w:gridSpan w:val="2"/>
            <w:tcBorders>
              <w:top w:val="nil"/>
              <w:left w:val="nil"/>
              <w:bottom w:val="nil"/>
              <w:right w:val="nil"/>
            </w:tcBorders>
          </w:tcPr>
          <w:p w14:paraId="02D05A57" w14:textId="77777777" w:rsidR="0088071B" w:rsidRPr="00C574C2" w:rsidRDefault="0088071B" w:rsidP="00730E82"/>
        </w:tc>
      </w:tr>
      <w:tr w:rsidR="0088071B" w14:paraId="300B9ED4" w14:textId="77777777" w:rsidTr="00730E82">
        <w:trPr>
          <w:trHeight w:val="240"/>
          <w:jc w:val="center"/>
        </w:trPr>
        <w:tc>
          <w:tcPr>
            <w:tcW w:w="4876" w:type="dxa"/>
            <w:tcBorders>
              <w:top w:val="nil"/>
              <w:left w:val="nil"/>
              <w:bottom w:val="nil"/>
              <w:right w:val="nil"/>
            </w:tcBorders>
            <w:hideMark/>
          </w:tcPr>
          <w:p w14:paraId="74CDBB4C"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139757AF" w14:textId="77777777" w:rsidR="0088071B" w:rsidRPr="00C574C2" w:rsidRDefault="0088071B" w:rsidP="00730E82">
            <w:pPr>
              <w:pStyle w:val="AmColumnHeading"/>
            </w:pPr>
            <w:r>
              <w:t>Izmjena</w:t>
            </w:r>
          </w:p>
        </w:tc>
      </w:tr>
      <w:tr w:rsidR="0088071B" w14:paraId="7207497E" w14:textId="77777777" w:rsidTr="00730E82">
        <w:trPr>
          <w:jc w:val="center"/>
        </w:trPr>
        <w:tc>
          <w:tcPr>
            <w:tcW w:w="4876" w:type="dxa"/>
            <w:tcBorders>
              <w:top w:val="nil"/>
              <w:left w:val="nil"/>
              <w:bottom w:val="nil"/>
              <w:right w:val="nil"/>
            </w:tcBorders>
            <w:hideMark/>
          </w:tcPr>
          <w:p w14:paraId="48D90514" w14:textId="77777777" w:rsidR="0088071B" w:rsidRPr="00C574C2" w:rsidRDefault="0088071B" w:rsidP="00730E82">
            <w:pPr>
              <w:pStyle w:val="Normal6a"/>
            </w:pPr>
            <w:r>
              <w:lastRenderedPageBreak/>
              <w:t>5.</w:t>
            </w:r>
            <w:r>
              <w:tab/>
              <w:t xml:space="preserve">ističe da je početni proračun za 2024. (u iznosu od 71 888 321 EUR) koji je odobrilo proračunsko tijelo Unije bio 24 % manji od onog koji je zatražio EPPO na temelju svojih procjena procjene prihoda i rashoda za 2024., ali 9 % veći u usporedbi s prethodnom godinom; primjećuje da su 2024. donesene dvije izmjene proračuna te da je na zahtjev EPPO-a upućen u veljači 2024. proračun u lipnju 2024. povećan za 3 600 000 EUR s financijskim i ljudskim resursima da bi se mogli podmiriti dodatni troškovi povezani sa sudjelovanjem Poljske i Švedske u EPPO-u; ističe činjenicu da je to povećanje trebalo obuhvatiti plaće dodatnih delegiranih europskih tužitelja imenovanih za Poljsku i Švedsku, osoblje koje je bilo potrebno zaposliti i povezane operativne rashode, ali je dio tih dodatnih sredstava dodijeljen osoblju središnjeg ureda kako bi se pripremili za projekt informatičke autonomije uveden zbog prestanka usluga Komisije u području IT-a; napominje da je drugom izmjenom proračuna u studenome 2024. visina odobrenih sredstava povećana za 894 047 EUR na prijedlog proračunskog tijela Unije kako bi se riješilo pitanje visoke razine </w:t>
            </w:r>
            <w:proofErr w:type="spellStart"/>
            <w:r>
              <w:t>indeksacije</w:t>
            </w:r>
            <w:proofErr w:type="spellEnd"/>
            <w:r>
              <w:t xml:space="preserve"> plaća 2024. te da zbog činjenice da je EPPO već dodijelio dio prve izmjene proračuna za potrebe nadolazeće </w:t>
            </w:r>
            <w:proofErr w:type="spellStart"/>
            <w:r>
              <w:t>indeksacije</w:t>
            </w:r>
            <w:proofErr w:type="spellEnd"/>
            <w:r>
              <w:t xml:space="preserve"> plaća koja je bila viša no što se očekivalo drugi dio dodatno odobrenih sredstava preraspodijeljen na rashode povezane sa sigurnošću;</w:t>
            </w:r>
          </w:p>
        </w:tc>
        <w:tc>
          <w:tcPr>
            <w:tcW w:w="4876" w:type="dxa"/>
            <w:tcBorders>
              <w:top w:val="nil"/>
              <w:left w:val="nil"/>
              <w:bottom w:val="nil"/>
              <w:right w:val="nil"/>
            </w:tcBorders>
            <w:hideMark/>
          </w:tcPr>
          <w:p w14:paraId="48A4B6D8" w14:textId="77777777" w:rsidR="0088071B" w:rsidRPr="00C574C2" w:rsidRDefault="0088071B" w:rsidP="00730E82">
            <w:pPr>
              <w:pStyle w:val="Normal6a"/>
            </w:pPr>
            <w:r>
              <w:t>5.</w:t>
            </w:r>
            <w:r>
              <w:tab/>
              <w:t xml:space="preserve">ističe da je početni proračun za 2024. (u iznosu od 71 888 321 EUR) koji je odobrilo proračunsko tijelo Unije bio 24 % manji od onog koji je zatražio EPPO na temelju svojih procjena procjene prihoda i rashoda za 2024., ali 9 % veći u usporedbi s prethodnom godinom; primjećuje da su 2024. donesene dvije izmjene proračuna te da je na zahtjev EPPO-a upućen u veljači 2024. proračun u lipnju 2024. povećan za 3 600 000 EUR s financijskim i ljudskim resursima da bi se mogli podmiriti dodatni troškovi povezani sa sudjelovanjem Poljske i Švedske u EPPO-u; ističe činjenicu da je to povećanje trebalo obuhvatiti plaće dodatnih delegiranih europskih tužitelja imenovanih za Poljsku i Švedsku, osoblje koje je bilo potrebno zaposliti i povezane operativne rashode, ali je dio tih dodatnih sredstava dodijeljen osoblju središnjeg ureda kako bi se pripremili za projekt informatičke autonomije uveden zbog prestanka usluga Komisije u području IT-a; napominje da je drugom izmjenom proračuna u studenome 2024. visina odobrenih sredstava povećana za 894 047 EUR na prijedlog proračunskog tijela Unije kako bi se riješilo pitanje visoke razine </w:t>
            </w:r>
            <w:proofErr w:type="spellStart"/>
            <w:r>
              <w:t>indeksacije</w:t>
            </w:r>
            <w:proofErr w:type="spellEnd"/>
            <w:r>
              <w:t xml:space="preserve"> plaća 2024. te da zbog činjenice da je EPPO već dodijelio dio prve izmjene proračuna za potrebe nadolazeće </w:t>
            </w:r>
            <w:proofErr w:type="spellStart"/>
            <w:r>
              <w:t>indeksacije</w:t>
            </w:r>
            <w:proofErr w:type="spellEnd"/>
            <w:r>
              <w:t xml:space="preserve"> plaća koja je bila viša no što se očekivalo drugi dio dodatno odobrenih sredstava preraspodijeljen na rashode povezane sa sigurnošću; </w:t>
            </w:r>
            <w:r>
              <w:rPr>
                <w:b/>
                <w:i/>
              </w:rPr>
              <w:t xml:space="preserve">smatra da se tim opetovanim oslanjanjem na izmjene proračuna naglašava potreba za realističnijim pristupom ex </w:t>
            </w:r>
            <w:proofErr w:type="spellStart"/>
            <w:r>
              <w:rPr>
                <w:b/>
                <w:i/>
              </w:rPr>
              <w:t>ante</w:t>
            </w:r>
            <w:proofErr w:type="spellEnd"/>
            <w:r>
              <w:rPr>
                <w:b/>
                <w:i/>
              </w:rPr>
              <w:t xml:space="preserve"> planiranju proračuna te za ranijom i </w:t>
            </w:r>
            <w:proofErr w:type="spellStart"/>
            <w:r>
              <w:rPr>
                <w:b/>
                <w:i/>
              </w:rPr>
              <w:t>strukturiranijom</w:t>
            </w:r>
            <w:proofErr w:type="spellEnd"/>
            <w:r>
              <w:rPr>
                <w:b/>
                <w:i/>
              </w:rPr>
              <w:t xml:space="preserve"> suradnjom s EPPO-om tijekom godišnjeg proračunskog postupka;</w:t>
            </w:r>
          </w:p>
        </w:tc>
      </w:tr>
    </w:tbl>
    <w:p w14:paraId="1C9B5C7D"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0F37E8AD" w14:textId="77777777" w:rsidR="0088071B" w:rsidRPr="00C574C2" w:rsidRDefault="0088071B" w:rsidP="0088071B">
      <w:r>
        <w:rPr>
          <w:rStyle w:val="HideTWBExt"/>
        </w:rPr>
        <w:t>&lt;/Amend&gt;</w:t>
      </w:r>
    </w:p>
    <w:p w14:paraId="3B0AB1A0" w14:textId="77777777" w:rsidR="0088071B" w:rsidRPr="00C574C2" w:rsidRDefault="0088071B" w:rsidP="0088071B">
      <w:pPr>
        <w:pStyle w:val="AmNumberTabs"/>
      </w:pPr>
      <w:r>
        <w:rPr>
          <w:rStyle w:val="HideTWBExt"/>
        </w:rPr>
        <w:lastRenderedPageBreak/>
        <w:t>&lt;Amend&gt;</w:t>
      </w:r>
      <w:r>
        <w:t>Amandman</w:t>
      </w:r>
      <w:r>
        <w:tab/>
      </w:r>
      <w:r>
        <w:tab/>
      </w:r>
      <w:r>
        <w:rPr>
          <w:rStyle w:val="HideTWBExt"/>
        </w:rPr>
        <w:t>&lt;NumAm&gt;</w:t>
      </w:r>
      <w:r>
        <w:t>15</w:t>
      </w:r>
      <w:r>
        <w:rPr>
          <w:rStyle w:val="HideTWBExt"/>
        </w:rPr>
        <w:t>&lt;/</w:t>
      </w:r>
      <w:proofErr w:type="spellStart"/>
      <w:r>
        <w:rPr>
          <w:rStyle w:val="HideTWBExt"/>
        </w:rPr>
        <w:t>NumAm</w:t>
      </w:r>
      <w:proofErr w:type="spellEnd"/>
      <w:r>
        <w:rPr>
          <w:rStyle w:val="HideTWBExt"/>
        </w:rPr>
        <w:t>&gt;</w:t>
      </w:r>
    </w:p>
    <w:p w14:paraId="244D23BD"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3E60D09E" w14:textId="77777777" w:rsidR="0088071B" w:rsidRPr="00C574C2" w:rsidRDefault="0088071B" w:rsidP="0088071B">
      <w:pPr>
        <w:pStyle w:val="NormalBold"/>
      </w:pPr>
      <w:r>
        <w:rPr>
          <w:rStyle w:val="HideTWBExt"/>
          <w:b w:val="0"/>
        </w:rPr>
        <w:t>&lt;/RepeatBlock-By&gt;</w:t>
      </w:r>
    </w:p>
    <w:p w14:paraId="233017C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70C6FEE" w14:textId="77777777" w:rsidR="0088071B" w:rsidRPr="00C574C2" w:rsidRDefault="0088071B" w:rsidP="0088071B">
      <w:pPr>
        <w:pStyle w:val="NormalBold"/>
      </w:pPr>
      <w:r>
        <w:rPr>
          <w:rStyle w:val="HideTWBExt"/>
        </w:rPr>
        <w:t>&lt;Article&gt;</w:t>
      </w:r>
      <w:r>
        <w:t>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2A28936" w14:textId="77777777" w:rsidTr="00730E82">
        <w:trPr>
          <w:trHeight w:val="240"/>
          <w:jc w:val="center"/>
        </w:trPr>
        <w:tc>
          <w:tcPr>
            <w:tcW w:w="9752" w:type="dxa"/>
            <w:gridSpan w:val="2"/>
            <w:tcBorders>
              <w:top w:val="nil"/>
              <w:left w:val="nil"/>
              <w:bottom w:val="nil"/>
              <w:right w:val="nil"/>
            </w:tcBorders>
          </w:tcPr>
          <w:p w14:paraId="032EBA02" w14:textId="77777777" w:rsidR="0088071B" w:rsidRPr="00C574C2" w:rsidRDefault="0088071B" w:rsidP="00730E82"/>
        </w:tc>
      </w:tr>
      <w:tr w:rsidR="0088071B" w14:paraId="3E1B9695" w14:textId="77777777" w:rsidTr="00730E82">
        <w:trPr>
          <w:trHeight w:val="240"/>
          <w:jc w:val="center"/>
        </w:trPr>
        <w:tc>
          <w:tcPr>
            <w:tcW w:w="4876" w:type="dxa"/>
            <w:tcBorders>
              <w:top w:val="nil"/>
              <w:left w:val="nil"/>
              <w:bottom w:val="nil"/>
              <w:right w:val="nil"/>
            </w:tcBorders>
            <w:hideMark/>
          </w:tcPr>
          <w:p w14:paraId="2076B616"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5342FD4" w14:textId="77777777" w:rsidR="0088071B" w:rsidRPr="00C574C2" w:rsidRDefault="0088071B" w:rsidP="00730E82">
            <w:pPr>
              <w:pStyle w:val="AmColumnHeading"/>
            </w:pPr>
            <w:r>
              <w:t>Izmjena</w:t>
            </w:r>
          </w:p>
        </w:tc>
      </w:tr>
      <w:tr w:rsidR="0088071B" w14:paraId="5AA9C312" w14:textId="77777777" w:rsidTr="00730E82">
        <w:trPr>
          <w:jc w:val="center"/>
        </w:trPr>
        <w:tc>
          <w:tcPr>
            <w:tcW w:w="4876" w:type="dxa"/>
            <w:tcBorders>
              <w:top w:val="nil"/>
              <w:left w:val="nil"/>
              <w:bottom w:val="nil"/>
              <w:right w:val="nil"/>
            </w:tcBorders>
            <w:hideMark/>
          </w:tcPr>
          <w:p w14:paraId="436C9F4E" w14:textId="77777777" w:rsidR="0088071B" w:rsidRPr="00C574C2" w:rsidRDefault="0088071B" w:rsidP="00730E82">
            <w:pPr>
              <w:pStyle w:val="Normal6a"/>
            </w:pPr>
            <w:r>
              <w:t>7.</w:t>
            </w:r>
            <w:r>
              <w:tab/>
              <w:t xml:space="preserve">uviđa da je procjena proračunskih potreba povezanih s aktivnostima EPPO-a i dalje vrlo teška zbog posebnosti aktivnosti EPPO-a, uključujući nepredvidivu razinu otkrivanja prijevara i širok raspon predmeta; svjestan je toga da EPPO nema diskrecijske ovlasti u pogledu kaznenog progona te nema ni utjecaj na sredstva ni na </w:t>
            </w:r>
            <w:proofErr w:type="spellStart"/>
            <w:r>
              <w:t>postupovna</w:t>
            </w:r>
            <w:proofErr w:type="spellEnd"/>
            <w:r>
              <w:t xml:space="preserve"> ograničenja nacionalnih sustava o kojima ovisi u provedbi istražnih radnji; primjećuje da nedostatak fiksne korelacije između broja i troškova istraga također onemogućuje predviđanje rashoda, ali podsjeća da je potrebno zaštititi sve više sredstava Unije te da je zbog složenosti regulatornog okvira za upravljanje njihovom uporabom još teže provoditi istrage, ne samo u pogledu Mehanizma za oporavak i otpornost i njegove jedinstvene metode provedbe, već i velikog opsega dodijeljenih sredstava; smatra da u tom kontekstu postoji potreba za dodjelom dodatnih sredstava za financiranje aktivnosti EPPO-a i ponavlja potrebu za time da se EPPO-u osiguraju dostatna sredstva da bi mogao ispunjavati svoj mandat na odgovarajući način;</w:t>
            </w:r>
          </w:p>
        </w:tc>
        <w:tc>
          <w:tcPr>
            <w:tcW w:w="4876" w:type="dxa"/>
            <w:tcBorders>
              <w:top w:val="nil"/>
              <w:left w:val="nil"/>
              <w:bottom w:val="nil"/>
              <w:right w:val="nil"/>
            </w:tcBorders>
            <w:hideMark/>
          </w:tcPr>
          <w:p w14:paraId="3928509F" w14:textId="77777777" w:rsidR="0088071B" w:rsidRPr="00C574C2" w:rsidRDefault="0088071B" w:rsidP="00730E82">
            <w:pPr>
              <w:pStyle w:val="Normal6a"/>
            </w:pPr>
            <w:r>
              <w:t>7.</w:t>
            </w:r>
            <w:r>
              <w:tab/>
              <w:t xml:space="preserve">uviđa da je procjena proračunskih potreba povezanih s aktivnostima EPPO-a i dalje vrlo teška zbog posebnosti aktivnosti EPPO-a, uključujući nepredvidivu razinu otkrivanja prijevara i širok raspon predmeta; svjestan je toga da EPPO nema diskrecijske ovlasti u pogledu kaznenog progona te nema ni utjecaj na sredstva ni na </w:t>
            </w:r>
            <w:proofErr w:type="spellStart"/>
            <w:r>
              <w:t>postupovna</w:t>
            </w:r>
            <w:proofErr w:type="spellEnd"/>
            <w:r>
              <w:t xml:space="preserve"> ograničenja nacionalnih sustava o kojima ovisi u provedbi istražnih radnji; primjećuje da nedostatak fiksne korelacije između broja i troškova istraga također onemogućuje predviđanje rashoda, ali podsjeća da je potrebno zaštititi sve više sredstava Unije te da je zbog složenosti regulatornog okvira za upravljanje njihovom uporabom još teže provoditi istrage, ne samo u pogledu Mehanizma za oporavak i otpornost i njegove jedinstvene metode provedbe, već i velikog opsega dodijeljenih sredstava; smatra da u tom kontekstu postoji potreba za dodjelom dodatnih sredstava za financiranje aktivnosti EPPO-a i ponavlja potrebu za time da se EPPO-u osiguraju dostatna sredstva da bi mogao ispunjavati svoj mandat na odgovarajući način; </w:t>
            </w:r>
            <w:r>
              <w:rPr>
                <w:b/>
                <w:i/>
              </w:rPr>
              <w:t>smatra da bi takva nepredvidivost mogla poslužiti kao opravdanje za uspostavu namjenskog proračunskog mehanizma za izvanredne situacije kako bi se EPPO-u omogućilo da učinkovito odgovori na iznenadna povećanja radnog opterećenja;</w:t>
            </w:r>
          </w:p>
        </w:tc>
      </w:tr>
    </w:tbl>
    <w:p w14:paraId="3DAD652D"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400F4ECE" w14:textId="77777777" w:rsidR="0088071B" w:rsidRPr="00C574C2" w:rsidRDefault="0088071B" w:rsidP="0088071B">
      <w:r>
        <w:rPr>
          <w:rStyle w:val="HideTWBExt"/>
        </w:rPr>
        <w:t>&lt;/Amend&gt;</w:t>
      </w:r>
    </w:p>
    <w:p w14:paraId="4315953C" w14:textId="77777777" w:rsidR="0088071B" w:rsidRPr="00C574C2" w:rsidRDefault="0088071B" w:rsidP="0088071B">
      <w:pPr>
        <w:pStyle w:val="AmNumberTabs"/>
      </w:pPr>
      <w:r>
        <w:rPr>
          <w:rStyle w:val="HideTWBExt"/>
        </w:rPr>
        <w:t>&lt;Amend&gt;</w:t>
      </w:r>
      <w:r>
        <w:t>Amandman</w:t>
      </w:r>
      <w:r>
        <w:tab/>
      </w:r>
      <w:r>
        <w:tab/>
      </w:r>
      <w:r>
        <w:rPr>
          <w:rStyle w:val="HideTWBExt"/>
        </w:rPr>
        <w:t>&lt;NumAm&gt;</w:t>
      </w:r>
      <w:r>
        <w:t>16</w:t>
      </w:r>
      <w:r>
        <w:rPr>
          <w:rStyle w:val="HideTWBExt"/>
        </w:rPr>
        <w:t>&lt;/</w:t>
      </w:r>
      <w:proofErr w:type="spellStart"/>
      <w:r>
        <w:rPr>
          <w:rStyle w:val="HideTWBExt"/>
        </w:rPr>
        <w:t>NumAm</w:t>
      </w:r>
      <w:proofErr w:type="spellEnd"/>
      <w:r>
        <w:rPr>
          <w:rStyle w:val="HideTWBExt"/>
        </w:rPr>
        <w:t>&gt;</w:t>
      </w:r>
    </w:p>
    <w:p w14:paraId="2E0AF890" w14:textId="77777777" w:rsidR="0088071B" w:rsidRPr="00C574C2" w:rsidRDefault="0088071B" w:rsidP="0088071B">
      <w:pPr>
        <w:pStyle w:val="NormalBold"/>
      </w:pPr>
      <w:r>
        <w:rPr>
          <w:rStyle w:val="HideTWBExt"/>
          <w:b w:val="0"/>
        </w:rPr>
        <w:lastRenderedPageBreak/>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75EE7703" w14:textId="77777777" w:rsidR="0088071B" w:rsidRPr="00C574C2" w:rsidRDefault="0088071B" w:rsidP="0088071B">
      <w:pPr>
        <w:pStyle w:val="NormalBold"/>
      </w:pPr>
      <w:r>
        <w:rPr>
          <w:rStyle w:val="HideTWBExt"/>
          <w:b w:val="0"/>
        </w:rPr>
        <w:t>&lt;/RepeatBlock-By&gt;</w:t>
      </w:r>
    </w:p>
    <w:p w14:paraId="5858B1F6"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DB01E94" w14:textId="77777777" w:rsidR="0088071B" w:rsidRPr="00C574C2" w:rsidRDefault="0088071B" w:rsidP="0088071B">
      <w:pPr>
        <w:pStyle w:val="NormalBold"/>
      </w:pPr>
      <w:r>
        <w:rPr>
          <w:rStyle w:val="HideTWBExt"/>
        </w:rPr>
        <w:t>&lt;Article&gt;</w:t>
      </w:r>
      <w:r>
        <w:t>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57F9501" w14:textId="77777777" w:rsidTr="00730E82">
        <w:trPr>
          <w:trHeight w:val="240"/>
          <w:jc w:val="center"/>
        </w:trPr>
        <w:tc>
          <w:tcPr>
            <w:tcW w:w="9752" w:type="dxa"/>
            <w:gridSpan w:val="2"/>
            <w:tcBorders>
              <w:top w:val="nil"/>
              <w:left w:val="nil"/>
              <w:bottom w:val="nil"/>
              <w:right w:val="nil"/>
            </w:tcBorders>
          </w:tcPr>
          <w:p w14:paraId="48920967" w14:textId="77777777" w:rsidR="0088071B" w:rsidRPr="00C574C2" w:rsidRDefault="0088071B" w:rsidP="00730E82"/>
        </w:tc>
      </w:tr>
      <w:tr w:rsidR="0088071B" w14:paraId="3A08C524" w14:textId="77777777" w:rsidTr="00730E82">
        <w:trPr>
          <w:trHeight w:val="240"/>
          <w:jc w:val="center"/>
        </w:trPr>
        <w:tc>
          <w:tcPr>
            <w:tcW w:w="4876" w:type="dxa"/>
            <w:tcBorders>
              <w:top w:val="nil"/>
              <w:left w:val="nil"/>
              <w:bottom w:val="nil"/>
              <w:right w:val="nil"/>
            </w:tcBorders>
            <w:hideMark/>
          </w:tcPr>
          <w:p w14:paraId="2A840003"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250132DB" w14:textId="77777777" w:rsidR="0088071B" w:rsidRPr="00C574C2" w:rsidRDefault="0088071B" w:rsidP="00730E82">
            <w:pPr>
              <w:pStyle w:val="AmColumnHeading"/>
            </w:pPr>
            <w:r>
              <w:t>Izmjena</w:t>
            </w:r>
          </w:p>
        </w:tc>
      </w:tr>
      <w:tr w:rsidR="0088071B" w14:paraId="3E731A98" w14:textId="77777777" w:rsidTr="00730E82">
        <w:trPr>
          <w:jc w:val="center"/>
        </w:trPr>
        <w:tc>
          <w:tcPr>
            <w:tcW w:w="4876" w:type="dxa"/>
            <w:tcBorders>
              <w:top w:val="nil"/>
              <w:left w:val="nil"/>
              <w:bottom w:val="nil"/>
              <w:right w:val="nil"/>
            </w:tcBorders>
            <w:hideMark/>
          </w:tcPr>
          <w:p w14:paraId="7D7FB7C9" w14:textId="77777777" w:rsidR="0088071B" w:rsidRPr="00C574C2" w:rsidRDefault="0088071B" w:rsidP="00730E82">
            <w:pPr>
              <w:pStyle w:val="Normal6a"/>
            </w:pPr>
            <w:r>
              <w:t>7.</w:t>
            </w:r>
            <w:r>
              <w:tab/>
              <w:t xml:space="preserve">uviđa da je procjena proračunskih potreba povezanih s aktivnostima EPPO-a i dalje vrlo teška zbog posebnosti aktivnosti EPPO-a, uključujući nepredvidivu razinu otkrivanja prijevara i širok raspon predmeta; svjestan je toga da EPPO nema diskrecijske ovlasti u pogledu kaznenog progona te nema ni utjecaj na sredstva ni na </w:t>
            </w:r>
            <w:proofErr w:type="spellStart"/>
            <w:r>
              <w:t>postupovna</w:t>
            </w:r>
            <w:proofErr w:type="spellEnd"/>
            <w:r>
              <w:t xml:space="preserve"> ograničenja nacionalnih sustava o kojima ovisi u provedbi istražnih radnji; primjećuje da nedostatak fiksne korelacije između broja i troškova istraga također onemogućuje predviđanje rashoda, ali podsjeća da je potrebno zaštititi sve više sredstava Unije te da je zbog složenosti regulatornog okvira za upravljanje njihovom uporabom još teže provoditi istrage, ne samo u pogledu Mehanizma za oporavak i otpornost i njegove jedinstvene metode provedbe, već i velikog opsega dodijeljenih sredstava; smatra da u tom kontekstu postoji potreba za dodjelom dodatnih sredstava za financiranje aktivnosti EPPO-a i ponavlja potrebu za time da se EPPO-u osiguraju dostatna sredstva da bi mogao ispunjavati svoj mandat na odgovarajući način;</w:t>
            </w:r>
          </w:p>
        </w:tc>
        <w:tc>
          <w:tcPr>
            <w:tcW w:w="4876" w:type="dxa"/>
            <w:tcBorders>
              <w:top w:val="nil"/>
              <w:left w:val="nil"/>
              <w:bottom w:val="nil"/>
              <w:right w:val="nil"/>
            </w:tcBorders>
            <w:hideMark/>
          </w:tcPr>
          <w:p w14:paraId="27BAA5B0" w14:textId="77777777" w:rsidR="0088071B" w:rsidRPr="00C574C2" w:rsidRDefault="0088071B" w:rsidP="00730E82">
            <w:pPr>
              <w:pStyle w:val="Normal6a"/>
            </w:pPr>
            <w:r>
              <w:t>7.</w:t>
            </w:r>
            <w:r>
              <w:tab/>
              <w:t xml:space="preserve">uviđa da je procjena proračunskih potreba povezanih s aktivnostima EPPO-a i dalje vrlo teška zbog posebnosti aktivnosti EPPO-a, uključujući nepredvidivu razinu otkrivanja prijevara i širok raspon predmeta; svjestan je toga da EPPO nema diskrecijske ovlasti u pogledu kaznenog progona te nema ni utjecaj na sredstva ni na </w:t>
            </w:r>
            <w:proofErr w:type="spellStart"/>
            <w:r>
              <w:t>postupovna</w:t>
            </w:r>
            <w:proofErr w:type="spellEnd"/>
            <w:r>
              <w:t xml:space="preserve"> ograničenja nacionalnih sustava o kojima ovisi u provedbi istražnih radnji; primjećuje da nedostatak fiksne korelacije između broja i troškova istraga također onemogućuje predviđanje rashoda, ali podsjeća da je potrebno zaštititi sve više sredstava Unije te da je zbog složenosti regulatornog okvira za upravljanje njihovom uporabom još teže provoditi istrage, ne samo u pogledu Mehanizma za oporavak i otpornost i njegove jedinstvene metode provedbe, već i velikog opsega dodijeljenih sredstava; smatra da u tom kontekstu postoji potreba za dodjelom dodatnih sredstava za financiranje aktivnosti EPPO-a i ponavlja potrebu za time da se EPPO-u osiguraju dostatna sredstva da bi mogao ispunjavati svoj mandat na odgovarajući način; </w:t>
            </w:r>
            <w:r>
              <w:rPr>
                <w:b/>
                <w:i/>
              </w:rPr>
              <w:t>poziva Komisiju da predstavi detaljnu i ažuriranu procjenu broja osoblja za EPPO, popraćenu obrazloženjem za svako odstupanje od zahtjeva EPPO-a;</w:t>
            </w:r>
          </w:p>
        </w:tc>
      </w:tr>
    </w:tbl>
    <w:p w14:paraId="60D001E6"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6E5B5BD" w14:textId="77777777" w:rsidR="0088071B" w:rsidRPr="00C574C2" w:rsidRDefault="0088071B" w:rsidP="0088071B">
      <w:r>
        <w:rPr>
          <w:rStyle w:val="HideTWBExt"/>
        </w:rPr>
        <w:t>&lt;/Amend&gt;</w:t>
      </w:r>
    </w:p>
    <w:p w14:paraId="2CA3F568" w14:textId="77777777" w:rsidR="0088071B" w:rsidRPr="00C574C2" w:rsidRDefault="0088071B" w:rsidP="0088071B">
      <w:pPr>
        <w:pStyle w:val="AmNumberTabs"/>
      </w:pPr>
      <w:r>
        <w:rPr>
          <w:rStyle w:val="HideTWBExt"/>
        </w:rPr>
        <w:t>&lt;Amend&gt;</w:t>
      </w:r>
      <w:r>
        <w:t>Amandman</w:t>
      </w:r>
      <w:r>
        <w:tab/>
      </w:r>
      <w:r>
        <w:tab/>
      </w:r>
      <w:r>
        <w:rPr>
          <w:rStyle w:val="HideTWBExt"/>
        </w:rPr>
        <w:t>&lt;NumAm&gt;</w:t>
      </w:r>
      <w:r>
        <w:t>17</w:t>
      </w:r>
      <w:r>
        <w:rPr>
          <w:rStyle w:val="HideTWBExt"/>
        </w:rPr>
        <w:t>&lt;/</w:t>
      </w:r>
      <w:proofErr w:type="spellStart"/>
      <w:r>
        <w:rPr>
          <w:rStyle w:val="HideTWBExt"/>
        </w:rPr>
        <w:t>NumAm</w:t>
      </w:r>
      <w:proofErr w:type="spellEnd"/>
      <w:r>
        <w:rPr>
          <w:rStyle w:val="HideTWBExt"/>
        </w:rPr>
        <w:t>&gt;</w:t>
      </w:r>
    </w:p>
    <w:p w14:paraId="290A5306"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0C1FE885" w14:textId="77777777" w:rsidR="0088071B" w:rsidRPr="00C574C2" w:rsidRDefault="0088071B" w:rsidP="0088071B">
      <w:pPr>
        <w:pStyle w:val="NormalBold"/>
      </w:pPr>
      <w:r>
        <w:rPr>
          <w:rStyle w:val="HideTWBExt"/>
          <w:b w:val="0"/>
        </w:rPr>
        <w:t>&lt;/RepeatBlock-By&gt;</w:t>
      </w:r>
    </w:p>
    <w:p w14:paraId="3F27F9E7"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BAAE69C" w14:textId="77777777" w:rsidR="0088071B" w:rsidRPr="00C574C2" w:rsidRDefault="0088071B" w:rsidP="0088071B">
      <w:pPr>
        <w:pStyle w:val="NormalBold"/>
      </w:pPr>
      <w:r>
        <w:rPr>
          <w:rStyle w:val="HideTWBExt"/>
        </w:rPr>
        <w:lastRenderedPageBreak/>
        <w:t>&lt;Article&gt;</w:t>
      </w:r>
      <w:r>
        <w:t>Stavak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C03C029" w14:textId="77777777" w:rsidTr="00730E82">
        <w:trPr>
          <w:trHeight w:val="240"/>
          <w:jc w:val="center"/>
        </w:trPr>
        <w:tc>
          <w:tcPr>
            <w:tcW w:w="9752" w:type="dxa"/>
            <w:gridSpan w:val="2"/>
            <w:tcBorders>
              <w:top w:val="nil"/>
              <w:left w:val="nil"/>
              <w:bottom w:val="nil"/>
              <w:right w:val="nil"/>
            </w:tcBorders>
          </w:tcPr>
          <w:p w14:paraId="665DEAC0" w14:textId="77777777" w:rsidR="0088071B" w:rsidRPr="00C574C2" w:rsidRDefault="0088071B" w:rsidP="00730E82"/>
        </w:tc>
      </w:tr>
      <w:tr w:rsidR="0088071B" w14:paraId="5D922E5A" w14:textId="77777777" w:rsidTr="00730E82">
        <w:trPr>
          <w:trHeight w:val="240"/>
          <w:jc w:val="center"/>
        </w:trPr>
        <w:tc>
          <w:tcPr>
            <w:tcW w:w="4876" w:type="dxa"/>
            <w:tcBorders>
              <w:top w:val="nil"/>
              <w:left w:val="nil"/>
              <w:bottom w:val="nil"/>
              <w:right w:val="nil"/>
            </w:tcBorders>
            <w:hideMark/>
          </w:tcPr>
          <w:p w14:paraId="76EFBAC2"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65DCAAD2" w14:textId="77777777" w:rsidR="0088071B" w:rsidRPr="00C574C2" w:rsidRDefault="0088071B" w:rsidP="00730E82">
            <w:pPr>
              <w:pStyle w:val="AmColumnHeading"/>
            </w:pPr>
            <w:r>
              <w:t>Izmjena</w:t>
            </w:r>
          </w:p>
        </w:tc>
      </w:tr>
      <w:tr w:rsidR="0088071B" w14:paraId="6F4A0F36" w14:textId="77777777" w:rsidTr="00730E82">
        <w:trPr>
          <w:jc w:val="center"/>
        </w:trPr>
        <w:tc>
          <w:tcPr>
            <w:tcW w:w="4876" w:type="dxa"/>
            <w:tcBorders>
              <w:top w:val="nil"/>
              <w:left w:val="nil"/>
              <w:bottom w:val="nil"/>
              <w:right w:val="nil"/>
            </w:tcBorders>
            <w:hideMark/>
          </w:tcPr>
          <w:p w14:paraId="4C091A65" w14:textId="77777777" w:rsidR="0088071B" w:rsidRPr="00C574C2" w:rsidRDefault="0088071B" w:rsidP="00730E82">
            <w:pPr>
              <w:pStyle w:val="Normal6a"/>
            </w:pPr>
            <w:r>
              <w:t>7.</w:t>
            </w:r>
            <w:r>
              <w:tab/>
              <w:t xml:space="preserve">uviđa da je procjena proračunskih potreba povezanih s aktivnostima EPPO-a i dalje vrlo teška zbog posebnosti aktivnosti EPPO-a, uključujući nepredvidivu razinu otkrivanja prijevara i širok raspon predmeta; svjestan je toga da EPPO nema diskrecijske ovlasti u pogledu kaznenog progona te nema ni utjecaj na sredstva ni na </w:t>
            </w:r>
            <w:proofErr w:type="spellStart"/>
            <w:r>
              <w:t>postupovna</w:t>
            </w:r>
            <w:proofErr w:type="spellEnd"/>
            <w:r>
              <w:t xml:space="preserve"> ograničenja nacionalnih sustava o kojima ovisi u provedbi istražnih radnji; primjećuje da nedostatak fiksne korelacije između broja i troškova istraga također onemogućuje predviđanje rashoda, ali podsjeća da je potrebno zaštititi sve više sredstava Unije te da je zbog složenosti regulatornog okvira za upravljanje njihovom uporabom još teže provoditi istrage, ne samo u pogledu Mehanizma za oporavak i otpornost i njegove jedinstvene metode provedbe, već i velikog opsega </w:t>
            </w:r>
            <w:r>
              <w:rPr>
                <w:b/>
                <w:i/>
              </w:rPr>
              <w:t>dodijeljenih sredstava</w:t>
            </w:r>
            <w:r>
              <w:t>; smatra da u tom kontekstu postoji potreba za dodjelom dodatnih sredstava za financiranje aktivnosti EPPO-a i ponavlja potrebu za time da se EPPO-u osiguraju dostatna sredstva da bi mogao ispunjavati svoj mandat na odgovarajući način;</w:t>
            </w:r>
          </w:p>
        </w:tc>
        <w:tc>
          <w:tcPr>
            <w:tcW w:w="4876" w:type="dxa"/>
            <w:tcBorders>
              <w:top w:val="nil"/>
              <w:left w:val="nil"/>
              <w:bottom w:val="nil"/>
              <w:right w:val="nil"/>
            </w:tcBorders>
            <w:hideMark/>
          </w:tcPr>
          <w:p w14:paraId="14467D85" w14:textId="77777777" w:rsidR="0088071B" w:rsidRPr="00C574C2" w:rsidRDefault="0088071B" w:rsidP="00730E82">
            <w:pPr>
              <w:pStyle w:val="Normal6a"/>
            </w:pPr>
            <w:r>
              <w:t>7.</w:t>
            </w:r>
            <w:r>
              <w:tab/>
              <w:t xml:space="preserve">uviđa da je procjena proračunskih potreba povezanih s aktivnostima EPPO-a i dalje vrlo teška zbog posebnosti aktivnosti EPPO-a, uključujući nepredvidivu razinu otkrivanja prijevara i širok raspon predmeta; svjestan je toga da EPPO nema diskrecijske ovlasti u pogledu kaznenog progona te nema ni utjecaj na sredstva ni na </w:t>
            </w:r>
            <w:proofErr w:type="spellStart"/>
            <w:r>
              <w:t>postupovna</w:t>
            </w:r>
            <w:proofErr w:type="spellEnd"/>
            <w:r>
              <w:t xml:space="preserve"> ograničenja nacionalnih sustava o kojima ovisi u provedbi istražnih radnji; primjećuje da nedostatak fiksne korelacije između broja i troškova istraga također onemogućuje predviđanje rashoda, ali podsjeća da je potrebno zaštititi sve više sredstava Unije te da je zbog složenosti regulatornog okvira za upravljanje njihovom uporabom još teže provoditi istrage, ne samo u pogledu Mehanizma za oporavak i otpornost i njegove jedinstvene metode provedbe, već i velikog opsega </w:t>
            </w:r>
            <w:r>
              <w:rPr>
                <w:b/>
                <w:i/>
              </w:rPr>
              <w:t>rashoda</w:t>
            </w:r>
            <w:r>
              <w:t>; smatra da u tom kontekstu postoji potreba za dodjelom dodatnih sredstava za financiranje aktivnosti EPPO-a i ponavlja potrebu za time da se EPPO-u osiguraju dostatna sredstva da bi mogao ispunjavati svoj mandat na odgovarajući način;</w:t>
            </w:r>
          </w:p>
        </w:tc>
      </w:tr>
    </w:tbl>
    <w:p w14:paraId="073677CB"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4F9E4CE2" w14:textId="77777777" w:rsidR="0088071B" w:rsidRPr="00C574C2" w:rsidRDefault="0088071B" w:rsidP="0088071B">
      <w:r>
        <w:rPr>
          <w:rStyle w:val="HideTWBExt"/>
        </w:rPr>
        <w:t>&lt;/Amend&gt;</w:t>
      </w:r>
    </w:p>
    <w:p w14:paraId="019273F4" w14:textId="77777777" w:rsidR="0088071B" w:rsidRPr="00C574C2" w:rsidRDefault="0088071B" w:rsidP="0088071B">
      <w:pPr>
        <w:pStyle w:val="AmNumberTabs"/>
      </w:pPr>
      <w:r>
        <w:rPr>
          <w:rStyle w:val="HideTWBExt"/>
        </w:rPr>
        <w:t>&lt;Amend&gt;</w:t>
      </w:r>
      <w:r>
        <w:t>Amandman</w:t>
      </w:r>
      <w:r>
        <w:tab/>
      </w:r>
      <w:r>
        <w:tab/>
      </w:r>
      <w:r>
        <w:rPr>
          <w:rStyle w:val="HideTWBExt"/>
        </w:rPr>
        <w:t>&lt;NumAm&gt;</w:t>
      </w:r>
      <w:r>
        <w:t>18</w:t>
      </w:r>
      <w:r>
        <w:rPr>
          <w:rStyle w:val="HideTWBExt"/>
        </w:rPr>
        <w:t>&lt;/</w:t>
      </w:r>
      <w:proofErr w:type="spellStart"/>
      <w:r>
        <w:rPr>
          <w:rStyle w:val="HideTWBExt"/>
        </w:rPr>
        <w:t>NumAm</w:t>
      </w:r>
      <w:proofErr w:type="spellEnd"/>
      <w:r>
        <w:rPr>
          <w:rStyle w:val="HideTWBExt"/>
        </w:rPr>
        <w:t>&gt;</w:t>
      </w:r>
    </w:p>
    <w:p w14:paraId="6A7718E7"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760337C6"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747F94C6" w14:textId="77777777" w:rsidR="0088071B" w:rsidRPr="00C574C2" w:rsidRDefault="0088071B" w:rsidP="0088071B">
      <w:pPr>
        <w:pStyle w:val="NormalBold"/>
      </w:pPr>
      <w:r>
        <w:rPr>
          <w:rStyle w:val="HideTWBExt"/>
          <w:b w:val="0"/>
        </w:rPr>
        <w:t>&lt;/RepeatBlock-By&gt;</w:t>
      </w:r>
    </w:p>
    <w:p w14:paraId="5D7B54DB"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F73492C" w14:textId="77777777" w:rsidR="0088071B" w:rsidRPr="00C574C2" w:rsidRDefault="0088071B" w:rsidP="0088071B">
      <w:pPr>
        <w:pStyle w:val="NormalBold"/>
      </w:pPr>
      <w:r>
        <w:rPr>
          <w:rStyle w:val="HideTWBExt"/>
        </w:rPr>
        <w:t>&lt;Article&gt;</w:t>
      </w:r>
      <w:r>
        <w:t>Stavak 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5AFB5C59" w14:textId="77777777" w:rsidTr="00730E82">
        <w:trPr>
          <w:trHeight w:val="240"/>
          <w:jc w:val="center"/>
        </w:trPr>
        <w:tc>
          <w:tcPr>
            <w:tcW w:w="9752" w:type="dxa"/>
            <w:gridSpan w:val="2"/>
            <w:tcBorders>
              <w:top w:val="nil"/>
              <w:left w:val="nil"/>
              <w:bottom w:val="nil"/>
              <w:right w:val="nil"/>
            </w:tcBorders>
          </w:tcPr>
          <w:p w14:paraId="64CB013D" w14:textId="77777777" w:rsidR="0088071B" w:rsidRPr="00C574C2" w:rsidRDefault="0088071B" w:rsidP="00730E82"/>
        </w:tc>
      </w:tr>
      <w:tr w:rsidR="0088071B" w14:paraId="388BA653" w14:textId="77777777" w:rsidTr="00730E82">
        <w:trPr>
          <w:trHeight w:val="240"/>
          <w:jc w:val="center"/>
        </w:trPr>
        <w:tc>
          <w:tcPr>
            <w:tcW w:w="4876" w:type="dxa"/>
            <w:tcBorders>
              <w:top w:val="nil"/>
              <w:left w:val="nil"/>
              <w:bottom w:val="nil"/>
              <w:right w:val="nil"/>
            </w:tcBorders>
            <w:hideMark/>
          </w:tcPr>
          <w:p w14:paraId="78129E57"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D5171E7" w14:textId="77777777" w:rsidR="0088071B" w:rsidRPr="00C574C2" w:rsidRDefault="0088071B" w:rsidP="00730E82">
            <w:pPr>
              <w:pStyle w:val="AmColumnHeading"/>
            </w:pPr>
            <w:r>
              <w:t>Izmjena</w:t>
            </w:r>
          </w:p>
        </w:tc>
      </w:tr>
      <w:tr w:rsidR="0088071B" w14:paraId="2857281F" w14:textId="77777777" w:rsidTr="00730E82">
        <w:trPr>
          <w:jc w:val="center"/>
        </w:trPr>
        <w:tc>
          <w:tcPr>
            <w:tcW w:w="4876" w:type="dxa"/>
            <w:tcBorders>
              <w:top w:val="nil"/>
              <w:left w:val="nil"/>
              <w:bottom w:val="nil"/>
              <w:right w:val="nil"/>
            </w:tcBorders>
            <w:hideMark/>
          </w:tcPr>
          <w:p w14:paraId="60789E49" w14:textId="77777777" w:rsidR="0088071B" w:rsidRPr="00C574C2" w:rsidRDefault="0088071B" w:rsidP="00730E82">
            <w:pPr>
              <w:pStyle w:val="Normal6a"/>
            </w:pPr>
            <w:r>
              <w:t>8.</w:t>
            </w:r>
            <w:r>
              <w:tab/>
              <w:t xml:space="preserve">svjestan je da je 2024. bila zahtjevna godina za EPPO jer je morao računati s povećanjem radnog opterećenja </w:t>
            </w:r>
            <w:r>
              <w:lastRenderedPageBreak/>
              <w:t>u 22 države članice sudionice, upravljati širenjem na Poljsku i Švedsku te istodobno ostvariti informatičku autonomiju od Komisije; napominje da je 2024. EPPO zatražio 45 radnih mjesta u planu radnih mjesta za potrebe informatičke autonomije, a kasnije 37 radnih mjesta u izmjeni proračuna, no oba su zahtjeva odbijena; posebno primjećuje da je nedostatak dodatnih sredstava dodijeljenih za postizanje informatičke autonomije doveo do potrebe za preusmjeravanjem u informatički sektor članova osoblja koji su najprije trebali pružati podršku operacijama i angažiranjem izvođača koji rade u poslovnim prostorima EPPO-a;</w:t>
            </w:r>
          </w:p>
        </w:tc>
        <w:tc>
          <w:tcPr>
            <w:tcW w:w="4876" w:type="dxa"/>
            <w:tcBorders>
              <w:top w:val="nil"/>
              <w:left w:val="nil"/>
              <w:bottom w:val="nil"/>
              <w:right w:val="nil"/>
            </w:tcBorders>
            <w:hideMark/>
          </w:tcPr>
          <w:p w14:paraId="0E5D3216" w14:textId="77777777" w:rsidR="0088071B" w:rsidRPr="00C574C2" w:rsidRDefault="0088071B" w:rsidP="00730E82">
            <w:pPr>
              <w:pStyle w:val="Normal6a"/>
            </w:pPr>
            <w:r>
              <w:lastRenderedPageBreak/>
              <w:t>8.</w:t>
            </w:r>
            <w:r>
              <w:tab/>
              <w:t xml:space="preserve">svjestan je da je 2024. bila zahtjevna godina za EPPO jer je morao računati s povećanjem radnog opterećenja </w:t>
            </w:r>
            <w:r>
              <w:lastRenderedPageBreak/>
              <w:t xml:space="preserve">u 22 države članice sudionice, upravljati širenjem na Poljsku i Švedsku te istodobno ostvariti informatičku autonomiju od Komisije; napominje da je 2024. EPPO zatražio 45 radnih mjesta u planu radnih mjesta za potrebe informatičke autonomije, a kasnije 37 radnih mjesta u izmjeni proračuna, no oba su zahtjeva odbijena; posebno primjećuje da je nedostatak dodatnih sredstava dodijeljenih za postizanje informatičke autonomije doveo do potrebe za preusmjeravanjem u informatički sektor članova osoblja koji su najprije trebali pružati podršku operacijama i angažiranjem izvođača koji rade u poslovnim prostorima EPPO-a; </w:t>
            </w:r>
            <w:r>
              <w:rPr>
                <w:b/>
                <w:i/>
              </w:rPr>
              <w:t>naglašava da bi se kontinuiranim oslanjanjem na vanjske izvođače i preraspodjelom operativnog osoblja na zadatke u području informacijske tehnologije, koje je posljedica nedostatka radnih mjesta u planu radnih mjesta potrebnih za postizanje informatičke autonomije, moglo ugroziti istražne kapacitete i dugoročnu institucijsku otpornost EPPO-a; poziva proračunsko tijelo da osigura namjensko i održivo osoblje za postizanje digitalne autonomije EPPO-a kako bi se zaštitile učinkovitost istraga i kibernetička sigurnost;</w:t>
            </w:r>
          </w:p>
        </w:tc>
      </w:tr>
    </w:tbl>
    <w:p w14:paraId="32AAF498"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376420F" w14:textId="77777777" w:rsidR="0088071B" w:rsidRPr="00C574C2" w:rsidRDefault="0088071B" w:rsidP="0088071B">
      <w:r>
        <w:rPr>
          <w:rStyle w:val="HideTWBExt"/>
        </w:rPr>
        <w:t>&lt;/Amend&gt;</w:t>
      </w:r>
    </w:p>
    <w:p w14:paraId="0D25751F" w14:textId="77777777" w:rsidR="0088071B" w:rsidRPr="00C574C2" w:rsidRDefault="0088071B" w:rsidP="0088071B">
      <w:pPr>
        <w:pStyle w:val="AmNumberTabs"/>
      </w:pPr>
      <w:r>
        <w:rPr>
          <w:rStyle w:val="HideTWBExt"/>
        </w:rPr>
        <w:t>&lt;Amend&gt;</w:t>
      </w:r>
      <w:r>
        <w:t>Amandman</w:t>
      </w:r>
      <w:r>
        <w:tab/>
      </w:r>
      <w:r>
        <w:tab/>
      </w:r>
      <w:r>
        <w:rPr>
          <w:rStyle w:val="HideTWBExt"/>
        </w:rPr>
        <w:t>&lt;NumAm&gt;</w:t>
      </w:r>
      <w:r>
        <w:t>19</w:t>
      </w:r>
      <w:r>
        <w:rPr>
          <w:rStyle w:val="HideTWBExt"/>
        </w:rPr>
        <w:t>&lt;/</w:t>
      </w:r>
      <w:proofErr w:type="spellStart"/>
      <w:r>
        <w:rPr>
          <w:rStyle w:val="HideTWBExt"/>
        </w:rPr>
        <w:t>NumAm</w:t>
      </w:r>
      <w:proofErr w:type="spellEnd"/>
      <w:r>
        <w:rPr>
          <w:rStyle w:val="HideTWBExt"/>
        </w:rPr>
        <w:t>&gt;</w:t>
      </w:r>
    </w:p>
    <w:p w14:paraId="710AD2EB"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474A651A" w14:textId="77777777" w:rsidR="0088071B" w:rsidRPr="00C574C2" w:rsidRDefault="0088071B" w:rsidP="0088071B">
      <w:pPr>
        <w:pStyle w:val="NormalBold"/>
      </w:pPr>
      <w:r>
        <w:rPr>
          <w:rStyle w:val="HideTWBExt"/>
          <w:b w:val="0"/>
        </w:rPr>
        <w:t>&lt;/RepeatBlock-By&gt;</w:t>
      </w:r>
    </w:p>
    <w:p w14:paraId="0C15674C"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C2881B6" w14:textId="77777777" w:rsidR="0088071B" w:rsidRPr="00C574C2" w:rsidRDefault="0088071B" w:rsidP="0088071B">
      <w:pPr>
        <w:pStyle w:val="NormalBold"/>
      </w:pPr>
      <w:r>
        <w:rPr>
          <w:rStyle w:val="HideTWBExt"/>
        </w:rPr>
        <w:t>&lt;Article&gt;</w:t>
      </w:r>
      <w:r>
        <w:t>Stavak 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EB6DCB2" w14:textId="77777777" w:rsidTr="00730E82">
        <w:trPr>
          <w:trHeight w:val="240"/>
          <w:jc w:val="center"/>
        </w:trPr>
        <w:tc>
          <w:tcPr>
            <w:tcW w:w="9752" w:type="dxa"/>
            <w:gridSpan w:val="2"/>
            <w:tcBorders>
              <w:top w:val="nil"/>
              <w:left w:val="nil"/>
              <w:bottom w:val="nil"/>
              <w:right w:val="nil"/>
            </w:tcBorders>
          </w:tcPr>
          <w:p w14:paraId="2904F850" w14:textId="77777777" w:rsidR="0088071B" w:rsidRPr="00C574C2" w:rsidRDefault="0088071B" w:rsidP="00730E82"/>
        </w:tc>
      </w:tr>
      <w:tr w:rsidR="0088071B" w14:paraId="15593CD8" w14:textId="77777777" w:rsidTr="00730E82">
        <w:trPr>
          <w:trHeight w:val="240"/>
          <w:jc w:val="center"/>
        </w:trPr>
        <w:tc>
          <w:tcPr>
            <w:tcW w:w="4876" w:type="dxa"/>
            <w:tcBorders>
              <w:top w:val="nil"/>
              <w:left w:val="nil"/>
              <w:bottom w:val="nil"/>
              <w:right w:val="nil"/>
            </w:tcBorders>
            <w:hideMark/>
          </w:tcPr>
          <w:p w14:paraId="083D6505"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365927D1" w14:textId="77777777" w:rsidR="0088071B" w:rsidRPr="00C574C2" w:rsidRDefault="0088071B" w:rsidP="00730E82">
            <w:pPr>
              <w:pStyle w:val="AmColumnHeading"/>
            </w:pPr>
            <w:r>
              <w:t>Izmjena</w:t>
            </w:r>
          </w:p>
        </w:tc>
      </w:tr>
      <w:tr w:rsidR="0088071B" w14:paraId="4B1CA745" w14:textId="77777777" w:rsidTr="00730E82">
        <w:trPr>
          <w:jc w:val="center"/>
        </w:trPr>
        <w:tc>
          <w:tcPr>
            <w:tcW w:w="4876" w:type="dxa"/>
            <w:tcBorders>
              <w:top w:val="nil"/>
              <w:left w:val="nil"/>
              <w:bottom w:val="nil"/>
              <w:right w:val="nil"/>
            </w:tcBorders>
            <w:hideMark/>
          </w:tcPr>
          <w:p w14:paraId="1B7FDBA0" w14:textId="77777777" w:rsidR="0088071B" w:rsidRPr="00C574C2" w:rsidRDefault="0088071B" w:rsidP="00730E82">
            <w:pPr>
              <w:pStyle w:val="Normal6a"/>
            </w:pPr>
            <w:r>
              <w:t>8.</w:t>
            </w:r>
            <w:r>
              <w:tab/>
              <w:t xml:space="preserve">svjestan je da je 2024. bila zahtjevna godina za EPPO jer je morao računati s povećanjem radnog opterećenja u 22 države članice sudionice, upravljati </w:t>
            </w:r>
            <w:r>
              <w:lastRenderedPageBreak/>
              <w:t>širenjem na Poljsku i Švedsku te istodobno ostvariti informatičku autonomiju od Komisije; napominje da je 2024. EPPO zatražio 45 radnih mjesta u planu radnih mjesta za potrebe informatičke autonomije, a kasnije 37 radnih mjesta u izmjeni proračuna, no oba su zahtjeva odbijena; posebno primjećuje da je nedostatak dodatnih sredstava dodijeljenih za postizanje informatičke autonomije doveo do potrebe za preusmjeravanjem u informatički sektor članova osoblja koji su najprije trebali pružati podršku operacijama i angažiranjem izvođača koji rade u poslovnim prostorima EPPO-a;</w:t>
            </w:r>
          </w:p>
        </w:tc>
        <w:tc>
          <w:tcPr>
            <w:tcW w:w="4876" w:type="dxa"/>
            <w:tcBorders>
              <w:top w:val="nil"/>
              <w:left w:val="nil"/>
              <w:bottom w:val="nil"/>
              <w:right w:val="nil"/>
            </w:tcBorders>
            <w:hideMark/>
          </w:tcPr>
          <w:p w14:paraId="13194299" w14:textId="77777777" w:rsidR="0088071B" w:rsidRPr="00C574C2" w:rsidRDefault="0088071B" w:rsidP="00730E82">
            <w:pPr>
              <w:pStyle w:val="Normal6a"/>
            </w:pPr>
            <w:r>
              <w:lastRenderedPageBreak/>
              <w:t>8.</w:t>
            </w:r>
            <w:r>
              <w:tab/>
              <w:t xml:space="preserve">svjestan je da je 2024. bila zahtjevna godina za EPPO jer je morao računati s povećanjem radnog opterećenja u 22 države članice sudionice, upravljati </w:t>
            </w:r>
            <w:r>
              <w:lastRenderedPageBreak/>
              <w:t xml:space="preserve">širenjem na Poljsku i Švedsku te se istodobno pripremiti za informatičku autonomiju od Komisije; napominje da je 2024. EPPO zatražio 45 radnih mjesta u planu radnih mjesta za potrebe informatičke autonomije, a kasnije 37 radnih mjesta u izmjeni proračuna, no oba su zahtjeva odbijena; posebno primjećuje da je nedostatak dodatnih sredstava dodijeljenih za postizanje informatičke autonomije doveo do potrebe za preusmjeravanjem u informatički sektor članova osoblja koji su najprije trebali pružati podršku operacijama i angažiranjem izvođača koji rade u poslovnim prostorima EPPO-a; </w:t>
            </w:r>
            <w:r>
              <w:rPr>
                <w:b/>
                <w:i/>
              </w:rPr>
              <w:t>smatra da je i dalje od ključne važnosti dodijeliti financijska sredstva kako bi se osigurala potpuna informatička autonomija i snažna kibernetička sigurnost EPPO-a radi sprječavanja operativnih poremećaja;</w:t>
            </w:r>
          </w:p>
        </w:tc>
      </w:tr>
    </w:tbl>
    <w:p w14:paraId="2549EB0B"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1FCACAD5" w14:textId="77777777" w:rsidR="0088071B" w:rsidRPr="00C574C2" w:rsidRDefault="0088071B" w:rsidP="0088071B">
      <w:r>
        <w:rPr>
          <w:rStyle w:val="HideTWBExt"/>
        </w:rPr>
        <w:t>&lt;/Amend&gt;</w:t>
      </w:r>
    </w:p>
    <w:p w14:paraId="3F72FA5C" w14:textId="77777777" w:rsidR="0088071B" w:rsidRPr="00C574C2" w:rsidRDefault="0088071B" w:rsidP="0088071B">
      <w:pPr>
        <w:pStyle w:val="AmNumberTabs"/>
      </w:pPr>
      <w:r>
        <w:rPr>
          <w:rStyle w:val="HideTWBExt"/>
        </w:rPr>
        <w:t>&lt;Amend&gt;</w:t>
      </w:r>
      <w:r>
        <w:t>Amandman</w:t>
      </w:r>
      <w:r>
        <w:tab/>
      </w:r>
      <w:r>
        <w:tab/>
      </w:r>
      <w:r>
        <w:rPr>
          <w:rStyle w:val="HideTWBExt"/>
        </w:rPr>
        <w:t>&lt;NumAm&gt;</w:t>
      </w:r>
      <w:r>
        <w:t>20</w:t>
      </w:r>
      <w:r>
        <w:rPr>
          <w:rStyle w:val="HideTWBExt"/>
        </w:rPr>
        <w:t>&lt;/</w:t>
      </w:r>
      <w:proofErr w:type="spellStart"/>
      <w:r>
        <w:rPr>
          <w:rStyle w:val="HideTWBExt"/>
        </w:rPr>
        <w:t>NumAm</w:t>
      </w:r>
      <w:proofErr w:type="spellEnd"/>
      <w:r>
        <w:rPr>
          <w:rStyle w:val="HideTWBExt"/>
        </w:rPr>
        <w:t>&gt;</w:t>
      </w:r>
    </w:p>
    <w:p w14:paraId="38FB818D"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23A5C7CE" w14:textId="77777777" w:rsidR="0088071B" w:rsidRPr="00C574C2" w:rsidRDefault="0088071B" w:rsidP="0088071B">
      <w:pPr>
        <w:pStyle w:val="NormalBold"/>
      </w:pPr>
      <w:r>
        <w:rPr>
          <w:rStyle w:val="HideTWBExt"/>
          <w:b w:val="0"/>
        </w:rPr>
        <w:t>&lt;/RepeatBlock-By&gt;</w:t>
      </w:r>
    </w:p>
    <w:p w14:paraId="29EEEB8D"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DCF3F29" w14:textId="77777777" w:rsidR="0088071B" w:rsidRPr="00C574C2" w:rsidRDefault="0088071B" w:rsidP="0088071B">
      <w:pPr>
        <w:pStyle w:val="NormalBold"/>
      </w:pPr>
      <w:r>
        <w:rPr>
          <w:rStyle w:val="HideTWBExt"/>
        </w:rPr>
        <w:t>&lt;Article&gt;</w:t>
      </w:r>
      <w:r>
        <w:t>Stavak 12.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05194B0" w14:textId="77777777" w:rsidTr="00730E82">
        <w:trPr>
          <w:trHeight w:val="240"/>
          <w:jc w:val="center"/>
        </w:trPr>
        <w:tc>
          <w:tcPr>
            <w:tcW w:w="9752" w:type="dxa"/>
            <w:gridSpan w:val="2"/>
            <w:tcBorders>
              <w:top w:val="nil"/>
              <w:left w:val="nil"/>
              <w:bottom w:val="nil"/>
              <w:right w:val="nil"/>
            </w:tcBorders>
          </w:tcPr>
          <w:p w14:paraId="22B6F7EA" w14:textId="77777777" w:rsidR="0088071B" w:rsidRPr="00C574C2" w:rsidRDefault="0088071B" w:rsidP="00730E82"/>
        </w:tc>
      </w:tr>
      <w:tr w:rsidR="0088071B" w14:paraId="6BEE4267" w14:textId="77777777" w:rsidTr="00730E82">
        <w:trPr>
          <w:trHeight w:val="240"/>
          <w:jc w:val="center"/>
        </w:trPr>
        <w:tc>
          <w:tcPr>
            <w:tcW w:w="4876" w:type="dxa"/>
            <w:tcBorders>
              <w:top w:val="nil"/>
              <w:left w:val="nil"/>
              <w:bottom w:val="nil"/>
              <w:right w:val="nil"/>
            </w:tcBorders>
            <w:hideMark/>
          </w:tcPr>
          <w:p w14:paraId="34C2051F"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124B404B" w14:textId="77777777" w:rsidR="0088071B" w:rsidRPr="00C574C2" w:rsidRDefault="0088071B" w:rsidP="00730E82">
            <w:pPr>
              <w:pStyle w:val="AmColumnHeading"/>
            </w:pPr>
            <w:r>
              <w:t>Izmjena</w:t>
            </w:r>
          </w:p>
        </w:tc>
      </w:tr>
      <w:tr w:rsidR="0088071B" w14:paraId="66BF66CE" w14:textId="77777777" w:rsidTr="00730E82">
        <w:trPr>
          <w:jc w:val="center"/>
        </w:trPr>
        <w:tc>
          <w:tcPr>
            <w:tcW w:w="4876" w:type="dxa"/>
            <w:tcBorders>
              <w:top w:val="nil"/>
              <w:left w:val="nil"/>
              <w:bottom w:val="nil"/>
              <w:right w:val="nil"/>
            </w:tcBorders>
            <w:hideMark/>
          </w:tcPr>
          <w:p w14:paraId="2E765C5C" w14:textId="77777777" w:rsidR="0088071B" w:rsidRPr="00C574C2" w:rsidRDefault="0088071B" w:rsidP="00730E82">
            <w:pPr>
              <w:pStyle w:val="Normal6a"/>
            </w:pPr>
            <w:r>
              <w:t>12.</w:t>
            </w:r>
            <w:r>
              <w:tab/>
              <w:t xml:space="preserve">primjećuje da su se troškovi operativnih misija dodatno neznatno povećali 2024. te dosegli 1 292 000 EUR (u usporedbi s 1 175 000 EUR u 2023. i 980 000 EUR u 2022.) i apsorbirali oko 3,7 % ukupnih sredstava za poslovanje (34,1 milijun EUR), ali uglavnom u skladu s povećanom razinom intenziteta istraga i stabilno u smislu vrijednosti; svjestan je da je došlo do smanjenja ukupnih putnih troškova, da EPPO promiče upotrebu objekata za videokonferencije kao troškovno učinkovite i sigurne alternative </w:t>
            </w:r>
            <w:r>
              <w:lastRenderedPageBreak/>
              <w:t xml:space="preserve">misijama osoblja te da je sudjelovanje na elektroničkim sastancima standardna praksa za unutarnju koordinaciju i razmjene s tijelima država članica i partnerima Unije, ali da su misije i dalje </w:t>
            </w:r>
            <w:r>
              <w:rPr>
                <w:b/>
                <w:i/>
              </w:rPr>
              <w:t>važna praksa</w:t>
            </w:r>
            <w:r>
              <w:t xml:space="preserve"> u operativnom kontekstu;</w:t>
            </w:r>
          </w:p>
        </w:tc>
        <w:tc>
          <w:tcPr>
            <w:tcW w:w="4876" w:type="dxa"/>
            <w:tcBorders>
              <w:top w:val="nil"/>
              <w:left w:val="nil"/>
              <w:bottom w:val="nil"/>
              <w:right w:val="nil"/>
            </w:tcBorders>
            <w:hideMark/>
          </w:tcPr>
          <w:p w14:paraId="0DC2017A" w14:textId="77777777" w:rsidR="0088071B" w:rsidRPr="00C574C2" w:rsidRDefault="0088071B" w:rsidP="00730E82">
            <w:pPr>
              <w:pStyle w:val="Normal6a"/>
            </w:pPr>
            <w:r>
              <w:lastRenderedPageBreak/>
              <w:t>12.</w:t>
            </w:r>
            <w:r>
              <w:tab/>
              <w:t xml:space="preserve">primjećuje da su se troškovi operativnih misija dodatno neznatno povećali 2024. te dosegli 1 292 000 EUR (u usporedbi s 1 175 000 EUR u 2023. i 980 000 EUR u 2022.) i apsorbirali oko 3,7 % ukupnih sredstava za poslovanje (34,1 milijun EUR), ali uglavnom u skladu s povećanom razinom intenziteta istraga i stabilno u smislu vrijednosti; svjestan je da je došlo do smanjenja ukupnih putnih troškova, da EPPO promiče upotrebu objekata za videokonferencije kao troškovno učinkovite i sigurne alternative </w:t>
            </w:r>
            <w:r>
              <w:lastRenderedPageBreak/>
              <w:t xml:space="preserve">misijama osoblja te da je sudjelovanje na elektroničkim sastancima standardna praksa za unutarnju koordinaciju i razmjene s tijelima država članica i partnerima Unije, ali da su misije i dalje </w:t>
            </w:r>
            <w:r>
              <w:rPr>
                <w:b/>
                <w:i/>
              </w:rPr>
              <w:t>nužne</w:t>
            </w:r>
            <w:r>
              <w:t xml:space="preserve"> u operativnom </w:t>
            </w:r>
            <w:r>
              <w:rPr>
                <w:b/>
                <w:i/>
              </w:rPr>
              <w:t xml:space="preserve">i pravosudnom </w:t>
            </w:r>
            <w:r>
              <w:t>kontekstu</w:t>
            </w:r>
            <w:r>
              <w:rPr>
                <w:b/>
                <w:i/>
              </w:rPr>
              <w:t xml:space="preserve"> za osiguravanje dosljednog pristupa u cijelom EPPO-u te za obuku ili podizanje svijesti dionika</w:t>
            </w:r>
            <w:r>
              <w:t>;</w:t>
            </w:r>
          </w:p>
        </w:tc>
      </w:tr>
    </w:tbl>
    <w:p w14:paraId="57D7E399"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10433A9A" w14:textId="77777777" w:rsidR="0088071B" w:rsidRPr="00C574C2" w:rsidRDefault="0088071B" w:rsidP="0088071B">
      <w:r>
        <w:rPr>
          <w:rStyle w:val="HideTWBExt"/>
        </w:rPr>
        <w:t>&lt;/Amend&gt;</w:t>
      </w:r>
    </w:p>
    <w:p w14:paraId="6639E5EF" w14:textId="77777777" w:rsidR="0088071B" w:rsidRPr="00C574C2" w:rsidRDefault="0088071B" w:rsidP="0088071B">
      <w:pPr>
        <w:pStyle w:val="AmNumberTabs"/>
      </w:pPr>
      <w:r>
        <w:rPr>
          <w:rStyle w:val="HideTWBExt"/>
        </w:rPr>
        <w:t>&lt;Amend&gt;</w:t>
      </w:r>
      <w:r>
        <w:t>Amandman</w:t>
      </w:r>
      <w:r>
        <w:tab/>
      </w:r>
      <w:r>
        <w:tab/>
      </w:r>
      <w:r>
        <w:rPr>
          <w:rStyle w:val="HideTWBExt"/>
        </w:rPr>
        <w:t>&lt;NumAm&gt;</w:t>
      </w:r>
      <w:r>
        <w:t>21</w:t>
      </w:r>
      <w:r>
        <w:rPr>
          <w:rStyle w:val="HideTWBExt"/>
        </w:rPr>
        <w:t>&lt;/</w:t>
      </w:r>
      <w:proofErr w:type="spellStart"/>
      <w:r>
        <w:rPr>
          <w:rStyle w:val="HideTWBExt"/>
        </w:rPr>
        <w:t>NumAm</w:t>
      </w:r>
      <w:proofErr w:type="spellEnd"/>
      <w:r>
        <w:rPr>
          <w:rStyle w:val="HideTWBExt"/>
        </w:rPr>
        <w:t>&gt;</w:t>
      </w:r>
    </w:p>
    <w:p w14:paraId="5636F237"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14F71381" w14:textId="77777777" w:rsidR="0088071B" w:rsidRPr="00C574C2" w:rsidRDefault="0088071B" w:rsidP="0088071B">
      <w:pPr>
        <w:pStyle w:val="NormalBold"/>
      </w:pPr>
      <w:r>
        <w:rPr>
          <w:rStyle w:val="HideTWBExt"/>
          <w:b w:val="0"/>
        </w:rPr>
        <w:t>&lt;/RepeatBlock-By&gt;</w:t>
      </w:r>
    </w:p>
    <w:p w14:paraId="65B40870"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6B4A2F4" w14:textId="77777777" w:rsidR="0088071B" w:rsidRPr="00C574C2" w:rsidRDefault="0088071B" w:rsidP="0088071B">
      <w:pPr>
        <w:pStyle w:val="NormalBold"/>
      </w:pPr>
      <w:r>
        <w:rPr>
          <w:rStyle w:val="HideTWBExt"/>
        </w:rPr>
        <w:t>&lt;Article&gt;</w:t>
      </w:r>
      <w:r>
        <w:t>Stavak 14.a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0F3ED43B" w14:textId="77777777" w:rsidTr="00730E82">
        <w:trPr>
          <w:trHeight w:val="240"/>
          <w:jc w:val="center"/>
        </w:trPr>
        <w:tc>
          <w:tcPr>
            <w:tcW w:w="9752" w:type="dxa"/>
            <w:gridSpan w:val="2"/>
            <w:tcBorders>
              <w:top w:val="nil"/>
              <w:left w:val="nil"/>
              <w:bottom w:val="nil"/>
              <w:right w:val="nil"/>
            </w:tcBorders>
          </w:tcPr>
          <w:p w14:paraId="1ADC448F" w14:textId="77777777" w:rsidR="0088071B" w:rsidRPr="00C574C2" w:rsidRDefault="0088071B" w:rsidP="00730E82"/>
        </w:tc>
      </w:tr>
      <w:tr w:rsidR="0088071B" w14:paraId="09368B90" w14:textId="77777777" w:rsidTr="00730E82">
        <w:trPr>
          <w:trHeight w:val="240"/>
          <w:jc w:val="center"/>
        </w:trPr>
        <w:tc>
          <w:tcPr>
            <w:tcW w:w="4876" w:type="dxa"/>
            <w:tcBorders>
              <w:top w:val="nil"/>
              <w:left w:val="nil"/>
              <w:bottom w:val="nil"/>
              <w:right w:val="nil"/>
            </w:tcBorders>
            <w:hideMark/>
          </w:tcPr>
          <w:p w14:paraId="78608A56"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2AA7FA35" w14:textId="77777777" w:rsidR="0088071B" w:rsidRPr="00C574C2" w:rsidRDefault="0088071B" w:rsidP="00730E82">
            <w:pPr>
              <w:pStyle w:val="AmColumnHeading"/>
            </w:pPr>
            <w:r>
              <w:t>Izmjena</w:t>
            </w:r>
          </w:p>
        </w:tc>
      </w:tr>
      <w:tr w:rsidR="0088071B" w14:paraId="45FFBD9F" w14:textId="77777777" w:rsidTr="00730E82">
        <w:trPr>
          <w:jc w:val="center"/>
        </w:trPr>
        <w:tc>
          <w:tcPr>
            <w:tcW w:w="4876" w:type="dxa"/>
            <w:tcBorders>
              <w:top w:val="nil"/>
              <w:left w:val="nil"/>
              <w:bottom w:val="nil"/>
              <w:right w:val="nil"/>
            </w:tcBorders>
          </w:tcPr>
          <w:p w14:paraId="0C94D1A8" w14:textId="77777777" w:rsidR="0088071B" w:rsidRPr="00C574C2" w:rsidRDefault="0088071B" w:rsidP="00730E82">
            <w:pPr>
              <w:pStyle w:val="Normal6a"/>
            </w:pPr>
          </w:p>
        </w:tc>
        <w:tc>
          <w:tcPr>
            <w:tcW w:w="4876" w:type="dxa"/>
            <w:tcBorders>
              <w:top w:val="nil"/>
              <w:left w:val="nil"/>
              <w:bottom w:val="nil"/>
              <w:right w:val="nil"/>
            </w:tcBorders>
            <w:hideMark/>
          </w:tcPr>
          <w:p w14:paraId="443BD24D" w14:textId="77777777" w:rsidR="0088071B" w:rsidRPr="00C574C2" w:rsidRDefault="0088071B" w:rsidP="00730E82">
            <w:pPr>
              <w:pStyle w:val="Normal6a"/>
            </w:pPr>
            <w:r>
              <w:rPr>
                <w:b/>
                <w:i/>
              </w:rPr>
              <w:t>14 a.</w:t>
            </w:r>
            <w:r>
              <w:tab/>
            </w:r>
            <w:r>
              <w:rPr>
                <w:b/>
                <w:i/>
              </w:rPr>
              <w:t>ističe važnost javne nabave kao alata za promicanje ciljeva politike, uključujući socijalne i okolišne ciljeve; poziva EPPO da ojača integraciju strateških kriterija u pogledu društvene odgovornosti i okolišne održivosti u svoje postupke javne nabave;</w:t>
            </w:r>
          </w:p>
        </w:tc>
      </w:tr>
    </w:tbl>
    <w:p w14:paraId="7F1A5AF1"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11FDC1E" w14:textId="77777777" w:rsidR="0088071B" w:rsidRPr="00C574C2" w:rsidRDefault="0088071B" w:rsidP="0088071B">
      <w:r>
        <w:rPr>
          <w:rStyle w:val="HideTWBExt"/>
        </w:rPr>
        <w:t>&lt;/Amend&gt;</w:t>
      </w:r>
    </w:p>
    <w:p w14:paraId="7B86FB72" w14:textId="77777777" w:rsidR="0088071B" w:rsidRPr="00C574C2" w:rsidRDefault="0088071B" w:rsidP="0088071B">
      <w:pPr>
        <w:pStyle w:val="AmNumberTabs"/>
      </w:pPr>
      <w:r>
        <w:rPr>
          <w:rStyle w:val="HideTWBExt"/>
        </w:rPr>
        <w:t>&lt;Amend&gt;</w:t>
      </w:r>
      <w:r>
        <w:t>Amandman</w:t>
      </w:r>
      <w:r>
        <w:tab/>
      </w:r>
      <w:r>
        <w:tab/>
      </w:r>
      <w:r>
        <w:rPr>
          <w:rStyle w:val="HideTWBExt"/>
        </w:rPr>
        <w:t>&lt;NumAm&gt;</w:t>
      </w:r>
      <w:r>
        <w:t>22</w:t>
      </w:r>
      <w:r>
        <w:rPr>
          <w:rStyle w:val="HideTWBExt"/>
        </w:rPr>
        <w:t>&lt;/</w:t>
      </w:r>
      <w:proofErr w:type="spellStart"/>
      <w:r>
        <w:rPr>
          <w:rStyle w:val="HideTWBExt"/>
        </w:rPr>
        <w:t>NumAm</w:t>
      </w:r>
      <w:proofErr w:type="spellEnd"/>
      <w:r>
        <w:rPr>
          <w:rStyle w:val="HideTWBExt"/>
        </w:rPr>
        <w:t>&gt;</w:t>
      </w:r>
    </w:p>
    <w:p w14:paraId="04694405"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5563342E"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59D5A3AC" w14:textId="77777777" w:rsidR="0088071B" w:rsidRPr="00C574C2" w:rsidRDefault="0088071B" w:rsidP="0088071B">
      <w:pPr>
        <w:pStyle w:val="NormalBold"/>
      </w:pPr>
      <w:r>
        <w:rPr>
          <w:rStyle w:val="HideTWBExt"/>
          <w:b w:val="0"/>
        </w:rPr>
        <w:t>&lt;/RepeatBlock-By&gt;</w:t>
      </w:r>
    </w:p>
    <w:p w14:paraId="73F4EAF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5E67AF2" w14:textId="77777777" w:rsidR="0088071B" w:rsidRPr="00C574C2" w:rsidRDefault="0088071B" w:rsidP="0088071B">
      <w:pPr>
        <w:pStyle w:val="NormalBold"/>
      </w:pPr>
      <w:r>
        <w:rPr>
          <w:rStyle w:val="HideTWBExt"/>
        </w:rPr>
        <w:t>&lt;Article&gt;</w:t>
      </w:r>
      <w:r>
        <w:t>Stavak 17.a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1FB15D59" w14:textId="77777777" w:rsidTr="00730E82">
        <w:trPr>
          <w:trHeight w:val="240"/>
          <w:jc w:val="center"/>
        </w:trPr>
        <w:tc>
          <w:tcPr>
            <w:tcW w:w="9752" w:type="dxa"/>
            <w:gridSpan w:val="2"/>
            <w:tcBorders>
              <w:top w:val="nil"/>
              <w:left w:val="nil"/>
              <w:bottom w:val="nil"/>
              <w:right w:val="nil"/>
            </w:tcBorders>
          </w:tcPr>
          <w:p w14:paraId="46074365" w14:textId="77777777" w:rsidR="0088071B" w:rsidRPr="00C574C2" w:rsidRDefault="0088071B" w:rsidP="00730E82"/>
        </w:tc>
      </w:tr>
      <w:tr w:rsidR="0088071B" w14:paraId="670B27D1" w14:textId="77777777" w:rsidTr="00730E82">
        <w:trPr>
          <w:trHeight w:val="240"/>
          <w:jc w:val="center"/>
        </w:trPr>
        <w:tc>
          <w:tcPr>
            <w:tcW w:w="4876" w:type="dxa"/>
            <w:tcBorders>
              <w:top w:val="nil"/>
              <w:left w:val="nil"/>
              <w:bottom w:val="nil"/>
              <w:right w:val="nil"/>
            </w:tcBorders>
            <w:hideMark/>
          </w:tcPr>
          <w:p w14:paraId="7256E922"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B3ABA56" w14:textId="77777777" w:rsidR="0088071B" w:rsidRPr="00C574C2" w:rsidRDefault="0088071B" w:rsidP="00730E82">
            <w:pPr>
              <w:pStyle w:val="AmColumnHeading"/>
            </w:pPr>
            <w:r>
              <w:t>Izmjena</w:t>
            </w:r>
          </w:p>
        </w:tc>
      </w:tr>
      <w:tr w:rsidR="0088071B" w14:paraId="194904C3" w14:textId="77777777" w:rsidTr="00730E82">
        <w:trPr>
          <w:jc w:val="center"/>
        </w:trPr>
        <w:tc>
          <w:tcPr>
            <w:tcW w:w="4876" w:type="dxa"/>
            <w:tcBorders>
              <w:top w:val="nil"/>
              <w:left w:val="nil"/>
              <w:bottom w:val="nil"/>
              <w:right w:val="nil"/>
            </w:tcBorders>
          </w:tcPr>
          <w:p w14:paraId="32036E12" w14:textId="77777777" w:rsidR="0088071B" w:rsidRPr="00C574C2" w:rsidRDefault="0088071B" w:rsidP="00730E82">
            <w:pPr>
              <w:pStyle w:val="Normal6a"/>
            </w:pPr>
          </w:p>
        </w:tc>
        <w:tc>
          <w:tcPr>
            <w:tcW w:w="4876" w:type="dxa"/>
            <w:tcBorders>
              <w:top w:val="nil"/>
              <w:left w:val="nil"/>
              <w:bottom w:val="nil"/>
              <w:right w:val="nil"/>
            </w:tcBorders>
            <w:hideMark/>
          </w:tcPr>
          <w:p w14:paraId="48A266A8" w14:textId="77777777" w:rsidR="0088071B" w:rsidRPr="00C574C2" w:rsidRDefault="0088071B" w:rsidP="00730E82">
            <w:pPr>
              <w:pStyle w:val="Normal6a"/>
            </w:pPr>
            <w:r>
              <w:rPr>
                <w:b/>
                <w:i/>
              </w:rPr>
              <w:t>17 a.</w:t>
            </w:r>
            <w:r>
              <w:tab/>
            </w:r>
            <w:r>
              <w:rPr>
                <w:b/>
                <w:i/>
              </w:rPr>
              <w:t xml:space="preserve">ponavlja da su proračunski i ljudski resursi dodijeljeni EPPO-u i dalje strukturno nedostatni s obzirom na brzo povećanje njegova radnog opterećenja, posebno u pogledu prekograničnih prijevara povezanih s PDV-om i predmeta </w:t>
            </w:r>
            <w:r>
              <w:rPr>
                <w:b/>
                <w:i/>
              </w:rPr>
              <w:lastRenderedPageBreak/>
              <w:t>povezanih s Mehanizmom za oporavak i otpornost; žali zbog toga što Komisija nije dostavila procjenu broja osoblja najavljenu u pismu izmjene br. 1/2022 niti je započela smislen dijalog s EPPO-om o njegovim stvarnim potrebama za resursima; poziva Komisiju da hitno ispravi tu situaciju i osigura da se budući prijedlozi proračuna temelje na ažuriranim pokazateljima radnog opterećenja, a ne na zastarjelim pretpostavkama;</w:t>
            </w:r>
          </w:p>
        </w:tc>
      </w:tr>
    </w:tbl>
    <w:p w14:paraId="21487C7E"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74DCA478" w14:textId="77777777" w:rsidR="0088071B" w:rsidRPr="00C574C2" w:rsidRDefault="0088071B" w:rsidP="0088071B">
      <w:r>
        <w:rPr>
          <w:rStyle w:val="HideTWBExt"/>
        </w:rPr>
        <w:t>&lt;/Amend&gt;</w:t>
      </w:r>
    </w:p>
    <w:p w14:paraId="4F2211F9" w14:textId="77777777" w:rsidR="0088071B" w:rsidRPr="00C574C2" w:rsidRDefault="0088071B" w:rsidP="0088071B">
      <w:pPr>
        <w:pStyle w:val="AmNumberTabs"/>
      </w:pPr>
      <w:r>
        <w:rPr>
          <w:rStyle w:val="HideTWBExt"/>
        </w:rPr>
        <w:t>&lt;Amend&gt;</w:t>
      </w:r>
      <w:r>
        <w:t>Amandman</w:t>
      </w:r>
      <w:r>
        <w:tab/>
      </w:r>
      <w:r>
        <w:tab/>
      </w:r>
      <w:r>
        <w:rPr>
          <w:rStyle w:val="HideTWBExt"/>
        </w:rPr>
        <w:t>&lt;NumAm&gt;</w:t>
      </w:r>
      <w:r>
        <w:t>23</w:t>
      </w:r>
      <w:r>
        <w:rPr>
          <w:rStyle w:val="HideTWBExt"/>
        </w:rPr>
        <w:t>&lt;/</w:t>
      </w:r>
      <w:proofErr w:type="spellStart"/>
      <w:r>
        <w:rPr>
          <w:rStyle w:val="HideTWBExt"/>
        </w:rPr>
        <w:t>NumAm</w:t>
      </w:r>
      <w:proofErr w:type="spellEnd"/>
      <w:r>
        <w:rPr>
          <w:rStyle w:val="HideTWBExt"/>
        </w:rPr>
        <w:t>&gt;</w:t>
      </w:r>
    </w:p>
    <w:p w14:paraId="691852E0"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653037E9"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05DDCC00" w14:textId="77777777" w:rsidR="0088071B" w:rsidRPr="00C574C2" w:rsidRDefault="0088071B" w:rsidP="0088071B">
      <w:pPr>
        <w:pStyle w:val="NormalBold"/>
      </w:pPr>
      <w:r>
        <w:rPr>
          <w:rStyle w:val="HideTWBExt"/>
          <w:b w:val="0"/>
        </w:rPr>
        <w:t>&lt;/RepeatBlock-By&gt;</w:t>
      </w:r>
    </w:p>
    <w:p w14:paraId="28E7D41F"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0C184F9" w14:textId="77777777" w:rsidR="0088071B" w:rsidRPr="00C574C2" w:rsidRDefault="0088071B" w:rsidP="0088071B">
      <w:pPr>
        <w:pStyle w:val="NormalBold"/>
      </w:pPr>
      <w:r>
        <w:rPr>
          <w:rStyle w:val="HideTWBExt"/>
        </w:rPr>
        <w:t>&lt;Article&gt;</w:t>
      </w:r>
      <w:r>
        <w:t>Stavak 17.b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2D5058E" w14:textId="77777777" w:rsidTr="00730E82">
        <w:trPr>
          <w:trHeight w:val="240"/>
          <w:jc w:val="center"/>
        </w:trPr>
        <w:tc>
          <w:tcPr>
            <w:tcW w:w="9752" w:type="dxa"/>
            <w:gridSpan w:val="2"/>
            <w:tcBorders>
              <w:top w:val="nil"/>
              <w:left w:val="nil"/>
              <w:bottom w:val="nil"/>
              <w:right w:val="nil"/>
            </w:tcBorders>
          </w:tcPr>
          <w:p w14:paraId="7B172AE1" w14:textId="77777777" w:rsidR="0088071B" w:rsidRPr="00C574C2" w:rsidRDefault="0088071B" w:rsidP="00730E82"/>
        </w:tc>
      </w:tr>
      <w:tr w:rsidR="0088071B" w14:paraId="30FEC885" w14:textId="77777777" w:rsidTr="00730E82">
        <w:trPr>
          <w:trHeight w:val="240"/>
          <w:jc w:val="center"/>
        </w:trPr>
        <w:tc>
          <w:tcPr>
            <w:tcW w:w="4876" w:type="dxa"/>
            <w:tcBorders>
              <w:top w:val="nil"/>
              <w:left w:val="nil"/>
              <w:bottom w:val="nil"/>
              <w:right w:val="nil"/>
            </w:tcBorders>
            <w:hideMark/>
          </w:tcPr>
          <w:p w14:paraId="0142F055"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00A94E5" w14:textId="77777777" w:rsidR="0088071B" w:rsidRPr="00C574C2" w:rsidRDefault="0088071B" w:rsidP="00730E82">
            <w:pPr>
              <w:pStyle w:val="AmColumnHeading"/>
            </w:pPr>
            <w:r>
              <w:t>Izmjena</w:t>
            </w:r>
          </w:p>
        </w:tc>
      </w:tr>
      <w:tr w:rsidR="0088071B" w14:paraId="565E80BE" w14:textId="77777777" w:rsidTr="00730E82">
        <w:trPr>
          <w:jc w:val="center"/>
        </w:trPr>
        <w:tc>
          <w:tcPr>
            <w:tcW w:w="4876" w:type="dxa"/>
            <w:tcBorders>
              <w:top w:val="nil"/>
              <w:left w:val="nil"/>
              <w:bottom w:val="nil"/>
              <w:right w:val="nil"/>
            </w:tcBorders>
          </w:tcPr>
          <w:p w14:paraId="395F658D" w14:textId="77777777" w:rsidR="0088071B" w:rsidRPr="00C574C2" w:rsidRDefault="0088071B" w:rsidP="00730E82">
            <w:pPr>
              <w:pStyle w:val="Normal6a"/>
            </w:pPr>
          </w:p>
        </w:tc>
        <w:tc>
          <w:tcPr>
            <w:tcW w:w="4876" w:type="dxa"/>
            <w:tcBorders>
              <w:top w:val="nil"/>
              <w:left w:val="nil"/>
              <w:bottom w:val="nil"/>
              <w:right w:val="nil"/>
            </w:tcBorders>
            <w:hideMark/>
          </w:tcPr>
          <w:p w14:paraId="1BC7ADAD" w14:textId="77777777" w:rsidR="0088071B" w:rsidRPr="00C574C2" w:rsidRDefault="0088071B" w:rsidP="00730E82">
            <w:pPr>
              <w:pStyle w:val="Normal6a"/>
            </w:pPr>
            <w:r>
              <w:rPr>
                <w:b/>
                <w:i/>
              </w:rPr>
              <w:t>17 b.</w:t>
            </w:r>
            <w:r>
              <w:tab/>
            </w:r>
            <w:r>
              <w:rPr>
                <w:b/>
                <w:i/>
              </w:rPr>
              <w:t>žali zbog toga što Komisija nije provela procjenu broja osoblja najavljenu u pismu izmjene br. 1/2022 i nije sudjelovala u smislenom dijalogu s EPPO-om o ažuriranim potrebama; naglašava da je revizija zastarjelog zakonodavnog financijskog izvještaja za 2017. nužna kako bi se uzeli u obzir pokazatelji stvarnog radnog opterećenja te da se ona ne može uvjetovati promjenom mandata s obzirom na širenje relevantnih financijskih interesa Unije; poziva Komisiju da bez odgode predstavi ažuriranu procjenu broja osoblja i financiranja, pripremljenu u bliskoj suradnji s EPPO-om i utemeljenu na mjerljivim pokazateljima radnog opterećenja i složenosti predmeta;</w:t>
            </w:r>
          </w:p>
        </w:tc>
      </w:tr>
    </w:tbl>
    <w:p w14:paraId="027DCA06"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EBC0938" w14:textId="77777777" w:rsidR="0088071B" w:rsidRPr="00C574C2" w:rsidRDefault="0088071B" w:rsidP="0088071B">
      <w:r>
        <w:rPr>
          <w:rStyle w:val="HideTWBExt"/>
        </w:rPr>
        <w:t>&lt;/Amend&gt;</w:t>
      </w:r>
    </w:p>
    <w:p w14:paraId="6CDDCA80" w14:textId="77777777" w:rsidR="0088071B" w:rsidRPr="00C574C2" w:rsidRDefault="0088071B" w:rsidP="0088071B">
      <w:pPr>
        <w:pStyle w:val="AmNumberTabs"/>
      </w:pPr>
      <w:r>
        <w:rPr>
          <w:rStyle w:val="HideTWBExt"/>
        </w:rPr>
        <w:lastRenderedPageBreak/>
        <w:t>&lt;Amend&gt;</w:t>
      </w:r>
      <w:r>
        <w:t>Amandman</w:t>
      </w:r>
      <w:r>
        <w:tab/>
      </w:r>
      <w:r>
        <w:tab/>
      </w:r>
      <w:r>
        <w:rPr>
          <w:rStyle w:val="HideTWBExt"/>
        </w:rPr>
        <w:t>&lt;NumAm&gt;</w:t>
      </w:r>
      <w:r>
        <w:t>24</w:t>
      </w:r>
      <w:r>
        <w:rPr>
          <w:rStyle w:val="HideTWBExt"/>
        </w:rPr>
        <w:t>&lt;/</w:t>
      </w:r>
      <w:proofErr w:type="spellStart"/>
      <w:r>
        <w:rPr>
          <w:rStyle w:val="HideTWBExt"/>
        </w:rPr>
        <w:t>NumAm</w:t>
      </w:r>
      <w:proofErr w:type="spellEnd"/>
      <w:r>
        <w:rPr>
          <w:rStyle w:val="HideTWBExt"/>
        </w:rPr>
        <w:t>&gt;</w:t>
      </w:r>
    </w:p>
    <w:p w14:paraId="13AE80BF"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288DD6C3" w14:textId="77777777" w:rsidR="0088071B" w:rsidRPr="00C574C2" w:rsidRDefault="0088071B" w:rsidP="0088071B">
      <w:pPr>
        <w:pStyle w:val="NormalBold"/>
      </w:pPr>
      <w:r>
        <w:rPr>
          <w:rStyle w:val="HideTWBExt"/>
          <w:b w:val="0"/>
        </w:rPr>
        <w:t>&lt;/RepeatBlock-By&gt;</w:t>
      </w:r>
    </w:p>
    <w:p w14:paraId="6474B33B"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C0CC7B5" w14:textId="77777777" w:rsidR="0088071B" w:rsidRPr="00C574C2" w:rsidRDefault="0088071B" w:rsidP="0088071B">
      <w:pPr>
        <w:pStyle w:val="NormalBold"/>
      </w:pPr>
      <w:r>
        <w:rPr>
          <w:rStyle w:val="HideTWBExt"/>
        </w:rPr>
        <w:t>&lt;Article&gt;</w:t>
      </w:r>
      <w:r>
        <w:t>Stavak 18.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6C01F50" w14:textId="77777777" w:rsidTr="00730E82">
        <w:trPr>
          <w:trHeight w:val="240"/>
          <w:jc w:val="center"/>
        </w:trPr>
        <w:tc>
          <w:tcPr>
            <w:tcW w:w="9752" w:type="dxa"/>
            <w:gridSpan w:val="2"/>
            <w:tcBorders>
              <w:top w:val="nil"/>
              <w:left w:val="nil"/>
              <w:bottom w:val="nil"/>
              <w:right w:val="nil"/>
            </w:tcBorders>
          </w:tcPr>
          <w:p w14:paraId="41564C76" w14:textId="77777777" w:rsidR="0088071B" w:rsidRPr="00C574C2" w:rsidRDefault="0088071B" w:rsidP="00730E82"/>
        </w:tc>
      </w:tr>
      <w:tr w:rsidR="0088071B" w14:paraId="0453CC8A" w14:textId="77777777" w:rsidTr="00730E82">
        <w:trPr>
          <w:trHeight w:val="240"/>
          <w:jc w:val="center"/>
        </w:trPr>
        <w:tc>
          <w:tcPr>
            <w:tcW w:w="4876" w:type="dxa"/>
            <w:tcBorders>
              <w:top w:val="nil"/>
              <w:left w:val="nil"/>
              <w:bottom w:val="nil"/>
              <w:right w:val="nil"/>
            </w:tcBorders>
            <w:hideMark/>
          </w:tcPr>
          <w:p w14:paraId="337E0EBD"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60837DD" w14:textId="77777777" w:rsidR="0088071B" w:rsidRPr="00C574C2" w:rsidRDefault="0088071B" w:rsidP="00730E82">
            <w:pPr>
              <w:pStyle w:val="AmColumnHeading"/>
            </w:pPr>
            <w:r>
              <w:t>Izmjena</w:t>
            </w:r>
          </w:p>
        </w:tc>
      </w:tr>
      <w:tr w:rsidR="0088071B" w14:paraId="429CA2CD" w14:textId="77777777" w:rsidTr="00730E82">
        <w:trPr>
          <w:jc w:val="center"/>
        </w:trPr>
        <w:tc>
          <w:tcPr>
            <w:tcW w:w="4876" w:type="dxa"/>
            <w:tcBorders>
              <w:top w:val="nil"/>
              <w:left w:val="nil"/>
              <w:bottom w:val="nil"/>
              <w:right w:val="nil"/>
            </w:tcBorders>
            <w:hideMark/>
          </w:tcPr>
          <w:p w14:paraId="1DDA86E7" w14:textId="77777777" w:rsidR="0088071B" w:rsidRPr="00C574C2" w:rsidRDefault="0088071B" w:rsidP="00730E82">
            <w:pPr>
              <w:pStyle w:val="Normal6a"/>
            </w:pPr>
            <w:r>
              <w:t>18.</w:t>
            </w:r>
            <w:r>
              <w:tab/>
              <w:t xml:space="preserve">ističe da način rada zločinačkih organizacija sve više poprima transnacionalnu dimenziju koja se temelji na opetovanom uključivanju složenih korporativnih struktura koje se koriste kao paravan i netransparentnih pravnih oblika uspostavljenih u različitim nadležnostima s nejednakim razinama provedbe prava Unije; naglašava činjenicu da je strategija organiziranog kriminala usmjerena na preusmjeravanje sredstava Unije sredstvima prijevare i prikrivanje imovinske koristi od kaznenih djela putem pranja novca, koji utječu na legalno gospodarstvo te se očituju u obliku velike prekogranične prijevare povezane s PDV-om; ističe da te kriminalne sheme sustavno iskorištavaju regulatornu </w:t>
            </w:r>
            <w:proofErr w:type="spellStart"/>
            <w:r>
              <w:t>fragmentiranost</w:t>
            </w:r>
            <w:proofErr w:type="spellEnd"/>
            <w:r>
              <w:t xml:space="preserve"> i </w:t>
            </w:r>
            <w:proofErr w:type="spellStart"/>
            <w:r>
              <w:t>postupovne</w:t>
            </w:r>
            <w:proofErr w:type="spellEnd"/>
            <w:r>
              <w:t xml:space="preserve"> razlike među državama članicama, kao i ograničenja koja proizlaze nacionalne dimenzije aktivnosti tijela za izvršavanje zakonodavstva i pravosudnih tijela; u tom posebnom pogledu naglašava dodanu vrijednost aktivnosti EPPO-a, koje omogućuju rješavanje nedostataka nekoordiniranih nacionalnih inicijativa, a najučinkovitiji su instrument za ometanje transnacionalnih kriminalnih aktivnosti i doprinose zaštiti financijskih interesa i unutarnjeg tržišta Unije;</w:t>
            </w:r>
          </w:p>
        </w:tc>
        <w:tc>
          <w:tcPr>
            <w:tcW w:w="4876" w:type="dxa"/>
            <w:tcBorders>
              <w:top w:val="nil"/>
              <w:left w:val="nil"/>
              <w:bottom w:val="nil"/>
              <w:right w:val="nil"/>
            </w:tcBorders>
            <w:hideMark/>
          </w:tcPr>
          <w:p w14:paraId="63760B4E" w14:textId="77777777" w:rsidR="0088071B" w:rsidRPr="00C574C2" w:rsidRDefault="0088071B" w:rsidP="00730E82">
            <w:pPr>
              <w:pStyle w:val="Normal6a"/>
            </w:pPr>
            <w:r>
              <w:t>18.</w:t>
            </w:r>
            <w:r>
              <w:tab/>
              <w:t xml:space="preserve">ističe da način rada zločinačkih organizacija sve više poprima transnacionalnu dimenziju koja se temelji na opetovanom uključivanju složenih korporativnih struktura koje se koriste kao paravan i netransparentnih pravnih oblika uspostavljenih u različitim nadležnostima s nejednakim razinama provedbe prava Unije; naglašava činjenicu da je strategija organiziranog kriminala usmjerena na preusmjeravanje sredstava Unije sredstvima prijevare i prikrivanje imovinske koristi od kaznenih djela putem pranja novca, koji utječu na legalno gospodarstvo te se očituju u obliku velike prekogranične prijevare povezane s PDV-om; ističe da te kriminalne sheme sustavno iskorištavaju regulatornu </w:t>
            </w:r>
            <w:proofErr w:type="spellStart"/>
            <w:r>
              <w:t>fragmentiranost</w:t>
            </w:r>
            <w:proofErr w:type="spellEnd"/>
            <w:r>
              <w:t xml:space="preserve"> i </w:t>
            </w:r>
            <w:proofErr w:type="spellStart"/>
            <w:r>
              <w:t>postupovne</w:t>
            </w:r>
            <w:proofErr w:type="spellEnd"/>
            <w:r>
              <w:t xml:space="preserve"> razlike među državama članicama, kao i ograničenja koja proizlaze nacionalne dimenzije aktivnosti tijela za izvršavanje zakonodavstva i pravosudnih tijela; u tom posebnom pogledu naglašava dodanu vrijednost aktivnosti EPPO-a, koje omogućuju rješavanje nedostataka nekoordiniranih nacionalnih inicijativa, a najučinkovitiji su instrument za ometanje transnacionalnih kriminalnih aktivnosti i doprinose zaštiti financijskih interesa i unutarnjeg tržišta Unije; </w:t>
            </w:r>
            <w:r>
              <w:rPr>
                <w:b/>
                <w:i/>
              </w:rPr>
              <w:t xml:space="preserve">poziva na konkretne mjere za jačanje operativne učinkovitosti istraga EPPO-a, posebno rješavanjem strukturnih prepreka koje i dalje ometaju prekogranične istrage; naglašava potrebu za minimalnom razinom </w:t>
            </w:r>
            <w:proofErr w:type="spellStart"/>
            <w:r>
              <w:rPr>
                <w:b/>
                <w:i/>
              </w:rPr>
              <w:t>postupovne</w:t>
            </w:r>
            <w:proofErr w:type="spellEnd"/>
            <w:r>
              <w:rPr>
                <w:b/>
                <w:i/>
              </w:rPr>
              <w:t xml:space="preserve"> usklađenosti među državama članicama sudionicama u područjima koja izravno utječu na rad delegiranih europskih tužitelja, </w:t>
            </w:r>
            <w:r>
              <w:rPr>
                <w:b/>
                <w:i/>
              </w:rPr>
              <w:lastRenderedPageBreak/>
              <w:t>uključujući pristup dokazima, rokove za sudska odobrenja i pravila kojima se uređuju istražne mjere; potiče države članice da EPPO-u odobre izravan i siguran pristup ključnim nacionalnim bazama podataka kao što su carinski sustavi, porezni registri i registri stvarnog vlasništva, uz istodobno osiguravanje potpune usklađenosti sa zahtjevima za zaštitu podataka;</w:t>
            </w:r>
          </w:p>
        </w:tc>
      </w:tr>
    </w:tbl>
    <w:p w14:paraId="0E1E68CB"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FA6F0D0" w14:textId="77777777" w:rsidR="0088071B" w:rsidRPr="00C574C2" w:rsidRDefault="0088071B" w:rsidP="0088071B">
      <w:r>
        <w:rPr>
          <w:rStyle w:val="HideTWBExt"/>
        </w:rPr>
        <w:t>&lt;/Amend&gt;</w:t>
      </w:r>
    </w:p>
    <w:p w14:paraId="7B9D5341" w14:textId="77777777" w:rsidR="0088071B" w:rsidRPr="00C574C2" w:rsidRDefault="0088071B" w:rsidP="0088071B">
      <w:pPr>
        <w:pStyle w:val="AmNumberTabs"/>
      </w:pPr>
      <w:r>
        <w:rPr>
          <w:rStyle w:val="HideTWBExt"/>
        </w:rPr>
        <w:t>&lt;Amend&gt;</w:t>
      </w:r>
      <w:r>
        <w:t>Amandman</w:t>
      </w:r>
      <w:r>
        <w:tab/>
      </w:r>
      <w:r>
        <w:tab/>
      </w:r>
      <w:r>
        <w:rPr>
          <w:rStyle w:val="HideTWBExt"/>
        </w:rPr>
        <w:t>&lt;NumAm&gt;</w:t>
      </w:r>
      <w:r>
        <w:t>25</w:t>
      </w:r>
      <w:r>
        <w:rPr>
          <w:rStyle w:val="HideTWBExt"/>
        </w:rPr>
        <w:t>&lt;/</w:t>
      </w:r>
      <w:proofErr w:type="spellStart"/>
      <w:r>
        <w:rPr>
          <w:rStyle w:val="HideTWBExt"/>
        </w:rPr>
        <w:t>NumAm</w:t>
      </w:r>
      <w:proofErr w:type="spellEnd"/>
      <w:r>
        <w:rPr>
          <w:rStyle w:val="HideTWBExt"/>
        </w:rPr>
        <w:t>&gt;</w:t>
      </w:r>
    </w:p>
    <w:p w14:paraId="5D8FCE1C"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70E2FEC8" w14:textId="77777777" w:rsidR="0088071B" w:rsidRPr="00C574C2" w:rsidRDefault="0088071B" w:rsidP="0088071B">
      <w:pPr>
        <w:pStyle w:val="NormalBold"/>
      </w:pPr>
      <w:r>
        <w:rPr>
          <w:rStyle w:val="HideTWBExt"/>
          <w:b w:val="0"/>
        </w:rPr>
        <w:t>&lt;/RepeatBlock-By&gt;</w:t>
      </w:r>
    </w:p>
    <w:p w14:paraId="4F552D1A"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1B00E66" w14:textId="77777777" w:rsidR="0088071B" w:rsidRPr="00C574C2" w:rsidRDefault="0088071B" w:rsidP="0088071B">
      <w:pPr>
        <w:pStyle w:val="NormalBold"/>
      </w:pPr>
      <w:r>
        <w:rPr>
          <w:rStyle w:val="HideTWBExt"/>
        </w:rPr>
        <w:t>&lt;Article&gt;</w:t>
      </w:r>
      <w:r>
        <w:t>Stavak 19.</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A2DE99F" w14:textId="77777777" w:rsidTr="00730E82">
        <w:trPr>
          <w:trHeight w:val="240"/>
          <w:jc w:val="center"/>
        </w:trPr>
        <w:tc>
          <w:tcPr>
            <w:tcW w:w="9752" w:type="dxa"/>
            <w:gridSpan w:val="2"/>
            <w:tcBorders>
              <w:top w:val="nil"/>
              <w:left w:val="nil"/>
              <w:bottom w:val="nil"/>
              <w:right w:val="nil"/>
            </w:tcBorders>
          </w:tcPr>
          <w:p w14:paraId="2A250B44" w14:textId="77777777" w:rsidR="0088071B" w:rsidRPr="00C574C2" w:rsidRDefault="0088071B" w:rsidP="00730E82"/>
        </w:tc>
      </w:tr>
      <w:tr w:rsidR="0088071B" w14:paraId="451B8D03" w14:textId="77777777" w:rsidTr="00730E82">
        <w:trPr>
          <w:trHeight w:val="240"/>
          <w:jc w:val="center"/>
        </w:trPr>
        <w:tc>
          <w:tcPr>
            <w:tcW w:w="4876" w:type="dxa"/>
            <w:tcBorders>
              <w:top w:val="nil"/>
              <w:left w:val="nil"/>
              <w:bottom w:val="nil"/>
              <w:right w:val="nil"/>
            </w:tcBorders>
            <w:hideMark/>
          </w:tcPr>
          <w:p w14:paraId="7E686242"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58E7498" w14:textId="77777777" w:rsidR="0088071B" w:rsidRPr="00C574C2" w:rsidRDefault="0088071B" w:rsidP="00730E82">
            <w:pPr>
              <w:pStyle w:val="AmColumnHeading"/>
            </w:pPr>
            <w:r>
              <w:t>Izmjena</w:t>
            </w:r>
          </w:p>
        </w:tc>
      </w:tr>
      <w:tr w:rsidR="0088071B" w14:paraId="5E0E7539" w14:textId="77777777" w:rsidTr="00730E82">
        <w:trPr>
          <w:jc w:val="center"/>
        </w:trPr>
        <w:tc>
          <w:tcPr>
            <w:tcW w:w="4876" w:type="dxa"/>
            <w:tcBorders>
              <w:top w:val="nil"/>
              <w:left w:val="nil"/>
              <w:bottom w:val="nil"/>
              <w:right w:val="nil"/>
            </w:tcBorders>
            <w:hideMark/>
          </w:tcPr>
          <w:p w14:paraId="4CFD82DB" w14:textId="77777777" w:rsidR="0088071B" w:rsidRPr="00C574C2" w:rsidRDefault="0088071B" w:rsidP="00730E82">
            <w:pPr>
              <w:pStyle w:val="Normal6a"/>
            </w:pPr>
            <w:r>
              <w:t>19.</w:t>
            </w:r>
            <w:r>
              <w:tab/>
              <w:t>prima na znanje zaključke i preporuke koje je Revizorski sud iznio u svojem Pregledu 02/2025 naslovljenom „Odgovornost, transparentnost i usmjerenost na uspješnost – pouke koje treba izvući iz nedostataka Mehanizma za oporavak i otpornost”</w:t>
            </w:r>
            <w:r>
              <w:rPr>
                <w:vertAlign w:val="superscript"/>
              </w:rPr>
              <w:t>3</w:t>
            </w:r>
            <w:r>
              <w:t>; poziva na namjensko povećanje financiranja u sljedećem VFO-u kako bi se osiguralo da EPPO može i dalje ostvarivati svoje ciljeve i ispunjavati svoje obveze usprkos sve složenijim instrumentima financiranja;</w:t>
            </w:r>
          </w:p>
        </w:tc>
        <w:tc>
          <w:tcPr>
            <w:tcW w:w="4876" w:type="dxa"/>
            <w:tcBorders>
              <w:top w:val="nil"/>
              <w:left w:val="nil"/>
              <w:bottom w:val="nil"/>
              <w:right w:val="nil"/>
            </w:tcBorders>
            <w:hideMark/>
          </w:tcPr>
          <w:p w14:paraId="3491F270" w14:textId="77777777" w:rsidR="0088071B" w:rsidRPr="00C574C2" w:rsidRDefault="0088071B" w:rsidP="00730E82">
            <w:pPr>
              <w:pStyle w:val="Normal6a"/>
            </w:pPr>
            <w:r>
              <w:t>19.</w:t>
            </w:r>
            <w:r>
              <w:tab/>
              <w:t>prima na znanje zaključke i preporuke koje je Revizorski sud iznio u svojem Pregledu 02/2025 naslovljenom „Odgovornost, transparentnost i usmjerenost na uspješnost – pouke koje treba izvući iz nedostataka Mehanizma za oporavak i otpornost”</w:t>
            </w:r>
            <w:r>
              <w:rPr>
                <w:vertAlign w:val="superscript"/>
              </w:rPr>
              <w:t>3</w:t>
            </w:r>
            <w:r>
              <w:t>; poziva na namjensko povećanje financiranja u sljedećem VFO-u kako bi se osiguralo da EPPO može i dalje ostvarivati svoje ciljeve i ispunjavati svoje obveze usprkos sve složenijim instrumentima financiranja</w:t>
            </w:r>
            <w:r>
              <w:rPr>
                <w:b/>
                <w:i/>
              </w:rPr>
              <w:t>, zbog čega bi se sredstva Unije mogla izložiti većem riziku od prijevara i lošeg upravljanja</w:t>
            </w:r>
            <w:r>
              <w:t>;</w:t>
            </w:r>
          </w:p>
        </w:tc>
      </w:tr>
      <w:tr w:rsidR="0088071B" w14:paraId="2FCF0354" w14:textId="77777777" w:rsidTr="00730E82">
        <w:trPr>
          <w:jc w:val="center"/>
        </w:trPr>
        <w:tc>
          <w:tcPr>
            <w:tcW w:w="4876" w:type="dxa"/>
            <w:tcBorders>
              <w:top w:val="nil"/>
              <w:left w:val="nil"/>
              <w:bottom w:val="nil"/>
              <w:right w:val="nil"/>
            </w:tcBorders>
            <w:hideMark/>
          </w:tcPr>
          <w:p w14:paraId="6BB3F0EF" w14:textId="77777777" w:rsidR="0088071B" w:rsidRPr="00C574C2" w:rsidRDefault="0088071B" w:rsidP="00730E82">
            <w:pPr>
              <w:pStyle w:val="Normal6a"/>
            </w:pPr>
            <w:r>
              <w:rPr>
                <w:b/>
                <w:i/>
              </w:rPr>
              <w:t>_________________</w:t>
            </w:r>
          </w:p>
        </w:tc>
        <w:tc>
          <w:tcPr>
            <w:tcW w:w="4876" w:type="dxa"/>
            <w:tcBorders>
              <w:top w:val="nil"/>
              <w:left w:val="nil"/>
              <w:bottom w:val="nil"/>
              <w:right w:val="nil"/>
            </w:tcBorders>
            <w:hideMark/>
          </w:tcPr>
          <w:p w14:paraId="712EE9DF" w14:textId="77777777" w:rsidR="0088071B" w:rsidRPr="00C574C2" w:rsidRDefault="0088071B" w:rsidP="00730E82">
            <w:pPr>
              <w:pStyle w:val="Normal6a"/>
            </w:pPr>
            <w:r>
              <w:rPr>
                <w:b/>
                <w:i/>
              </w:rPr>
              <w:t>_________________</w:t>
            </w:r>
          </w:p>
        </w:tc>
      </w:tr>
      <w:tr w:rsidR="0088071B" w14:paraId="32390BB1" w14:textId="77777777" w:rsidTr="00730E82">
        <w:trPr>
          <w:jc w:val="center"/>
        </w:trPr>
        <w:tc>
          <w:tcPr>
            <w:tcW w:w="4876" w:type="dxa"/>
            <w:tcBorders>
              <w:top w:val="nil"/>
              <w:left w:val="nil"/>
              <w:bottom w:val="nil"/>
              <w:right w:val="nil"/>
            </w:tcBorders>
            <w:hideMark/>
          </w:tcPr>
          <w:p w14:paraId="33BF75F9" w14:textId="77777777" w:rsidR="0088071B" w:rsidRPr="00C574C2" w:rsidRDefault="0088071B" w:rsidP="00730E82">
            <w:pPr>
              <w:pStyle w:val="Normal6a"/>
            </w:pPr>
            <w:r>
              <w:rPr>
                <w:vertAlign w:val="superscript"/>
              </w:rPr>
              <w:t>3</w:t>
            </w:r>
            <w:r>
              <w:t xml:space="preserve"> https://www.eca.europa.eu/ECAPublications/RV-2025-02/RV-2025-02_HR.pdf</w:t>
            </w:r>
          </w:p>
        </w:tc>
        <w:tc>
          <w:tcPr>
            <w:tcW w:w="4876" w:type="dxa"/>
            <w:tcBorders>
              <w:top w:val="nil"/>
              <w:left w:val="nil"/>
              <w:bottom w:val="nil"/>
              <w:right w:val="nil"/>
            </w:tcBorders>
            <w:hideMark/>
          </w:tcPr>
          <w:p w14:paraId="531D9DBC" w14:textId="77777777" w:rsidR="0088071B" w:rsidRPr="00C574C2" w:rsidRDefault="0088071B" w:rsidP="00730E82">
            <w:pPr>
              <w:pStyle w:val="Normal6a"/>
            </w:pPr>
            <w:r>
              <w:rPr>
                <w:vertAlign w:val="superscript"/>
              </w:rPr>
              <w:t>3</w:t>
            </w:r>
            <w:r>
              <w:t xml:space="preserve"> https://www.eca.europa.eu/ECAPublications/RV-2025-02/RV-2025-02_HR.pdf</w:t>
            </w:r>
          </w:p>
        </w:tc>
      </w:tr>
    </w:tbl>
    <w:p w14:paraId="51824956"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0E443F63" w14:textId="77777777" w:rsidR="0088071B" w:rsidRPr="00C574C2" w:rsidRDefault="0088071B" w:rsidP="0088071B">
      <w:r>
        <w:rPr>
          <w:rStyle w:val="HideTWBExt"/>
        </w:rPr>
        <w:t>&lt;/Amend&gt;</w:t>
      </w:r>
    </w:p>
    <w:p w14:paraId="1EC8EDDC" w14:textId="77777777" w:rsidR="0088071B" w:rsidRPr="00C574C2" w:rsidRDefault="0088071B" w:rsidP="0088071B">
      <w:pPr>
        <w:pStyle w:val="AmNumberTabs"/>
      </w:pPr>
      <w:r>
        <w:rPr>
          <w:rStyle w:val="HideTWBExt"/>
        </w:rPr>
        <w:lastRenderedPageBreak/>
        <w:t>&lt;Amend&gt;</w:t>
      </w:r>
      <w:r>
        <w:t>Amandman</w:t>
      </w:r>
      <w:r>
        <w:tab/>
      </w:r>
      <w:r>
        <w:tab/>
      </w:r>
      <w:r>
        <w:rPr>
          <w:rStyle w:val="HideTWBExt"/>
        </w:rPr>
        <w:t>&lt;NumAm&gt;</w:t>
      </w:r>
      <w:r>
        <w:t>26</w:t>
      </w:r>
      <w:r>
        <w:rPr>
          <w:rStyle w:val="HideTWBExt"/>
        </w:rPr>
        <w:t>&lt;/</w:t>
      </w:r>
      <w:proofErr w:type="spellStart"/>
      <w:r>
        <w:rPr>
          <w:rStyle w:val="HideTWBExt"/>
        </w:rPr>
        <w:t>NumAm</w:t>
      </w:r>
      <w:proofErr w:type="spellEnd"/>
      <w:r>
        <w:rPr>
          <w:rStyle w:val="HideTWBExt"/>
        </w:rPr>
        <w:t>&gt;</w:t>
      </w:r>
    </w:p>
    <w:p w14:paraId="1D59CE37"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1948DDCA" w14:textId="77777777" w:rsidR="0088071B" w:rsidRPr="00C574C2" w:rsidRDefault="0088071B" w:rsidP="0088071B">
      <w:pPr>
        <w:pStyle w:val="NormalBold"/>
      </w:pPr>
      <w:r>
        <w:rPr>
          <w:rStyle w:val="HideTWBExt"/>
          <w:b w:val="0"/>
        </w:rPr>
        <w:t>&lt;/RepeatBlock-By&gt;</w:t>
      </w:r>
    </w:p>
    <w:p w14:paraId="1B713EA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27CCC27" w14:textId="77777777" w:rsidR="0088071B" w:rsidRPr="00C574C2" w:rsidRDefault="0088071B" w:rsidP="0088071B">
      <w:pPr>
        <w:pStyle w:val="NormalBold"/>
      </w:pPr>
      <w:r>
        <w:rPr>
          <w:rStyle w:val="HideTWBExt"/>
        </w:rPr>
        <w:t>&lt;Article&gt;</w:t>
      </w:r>
      <w:r>
        <w:t>Stavak 20.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559EC2D" w14:textId="77777777" w:rsidTr="00730E82">
        <w:trPr>
          <w:trHeight w:val="240"/>
          <w:jc w:val="center"/>
        </w:trPr>
        <w:tc>
          <w:tcPr>
            <w:tcW w:w="9752" w:type="dxa"/>
            <w:gridSpan w:val="2"/>
            <w:tcBorders>
              <w:top w:val="nil"/>
              <w:left w:val="nil"/>
              <w:bottom w:val="nil"/>
              <w:right w:val="nil"/>
            </w:tcBorders>
          </w:tcPr>
          <w:p w14:paraId="68B0E54F" w14:textId="77777777" w:rsidR="0088071B" w:rsidRPr="00C574C2" w:rsidRDefault="0088071B" w:rsidP="00730E82"/>
        </w:tc>
      </w:tr>
      <w:tr w:rsidR="0088071B" w14:paraId="3A34F017" w14:textId="77777777" w:rsidTr="00730E82">
        <w:trPr>
          <w:trHeight w:val="240"/>
          <w:jc w:val="center"/>
        </w:trPr>
        <w:tc>
          <w:tcPr>
            <w:tcW w:w="4876" w:type="dxa"/>
            <w:tcBorders>
              <w:top w:val="nil"/>
              <w:left w:val="nil"/>
              <w:bottom w:val="nil"/>
              <w:right w:val="nil"/>
            </w:tcBorders>
            <w:hideMark/>
          </w:tcPr>
          <w:p w14:paraId="45C66A71"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67EE40B3" w14:textId="77777777" w:rsidR="0088071B" w:rsidRPr="00C574C2" w:rsidRDefault="0088071B" w:rsidP="00730E82">
            <w:pPr>
              <w:pStyle w:val="AmColumnHeading"/>
            </w:pPr>
            <w:r>
              <w:t>Izmjena</w:t>
            </w:r>
          </w:p>
        </w:tc>
      </w:tr>
      <w:tr w:rsidR="0088071B" w14:paraId="030EC4A9" w14:textId="77777777" w:rsidTr="00730E82">
        <w:trPr>
          <w:jc w:val="center"/>
        </w:trPr>
        <w:tc>
          <w:tcPr>
            <w:tcW w:w="4876" w:type="dxa"/>
            <w:tcBorders>
              <w:top w:val="nil"/>
              <w:left w:val="nil"/>
              <w:bottom w:val="nil"/>
              <w:right w:val="nil"/>
            </w:tcBorders>
            <w:hideMark/>
          </w:tcPr>
          <w:p w14:paraId="1BEB6CC3" w14:textId="77777777" w:rsidR="0088071B" w:rsidRPr="00C574C2" w:rsidRDefault="0088071B" w:rsidP="00730E82">
            <w:pPr>
              <w:pStyle w:val="Normal6a"/>
            </w:pPr>
            <w:r>
              <w:t>20.</w:t>
            </w:r>
            <w:r>
              <w:tab/>
              <w:t>napominje da su 2024. troškovi povezani s odredbama članka 91. stavka 6. Uredbe (EU) 2017/1939 (iznimno skupe mjere koje provode nacionalna tijela, a troškove snosi EPPO) ostali neznatni (0,1 % operativnog proračuna, u usporedbi s 0,4 % u 2023.); svjestan je da je 2023. sklopljen prvi sporazum o financiranju u okviru pilot-projekta za nadoknadu zahtjeva podnesenih na temelju članka 91. stavka 6. Uredbe (EU) 2017/1939 kako bi pokrili troškovi mjera provedenih na nacionalnoj razini u ime EPPO-a te da je Revizorski sud proveo reviziju te stavke 2023. i ocijenio je zakonitom i pravilnom; smatra da ta odredba EPPO-u omogućuje da učinkovito intervenira u transnacionalnim istragama u situacijama u kojima određena država članica nije spremna iskoristiti vlastita sredstva, imajući na umu neuravnotežene rezultate analize troškova i koristi; poziva Komisiju da istraži kako države članice mogu iskoristiti tu opciju te kako EPPO može postati strateški učinkovitiji;</w:t>
            </w:r>
          </w:p>
        </w:tc>
        <w:tc>
          <w:tcPr>
            <w:tcW w:w="4876" w:type="dxa"/>
            <w:tcBorders>
              <w:top w:val="nil"/>
              <w:left w:val="nil"/>
              <w:bottom w:val="nil"/>
              <w:right w:val="nil"/>
            </w:tcBorders>
            <w:hideMark/>
          </w:tcPr>
          <w:p w14:paraId="31B8367A" w14:textId="77777777" w:rsidR="0088071B" w:rsidRPr="00C574C2" w:rsidRDefault="0088071B" w:rsidP="00730E82">
            <w:pPr>
              <w:pStyle w:val="Normal6a"/>
            </w:pPr>
            <w:r>
              <w:t>20.</w:t>
            </w:r>
            <w:r>
              <w:tab/>
              <w:t>napominje da su 2024. troškovi povezani s odredbama članka 91. stavka 6. Uredbe (EU) 2017/1939 (iznimno skupe mjere koje provode nacionalna tijela, a troškove snosi EPPO) ostali neznatni (0,1 % operativnog proračuna, u usporedbi s 0,4 % u 2023.); svjestan je da je 2023. sklopljen prvi sporazum o financiranju u okviru pilot-projekta za nadoknadu zahtjeva podnesenih na temelju članka 91. stavka 6. Uredbe (EU) 2017/1939 kako bi pokrili troškovi mjera provedenih na nacionalnoj razini u ime EPPO-a te da je Revizorski sud proveo reviziju te stavke 2023. i ocijenio je zakonitom i pravilnom; smatra da ta odredba EPPO-u omogućuje da učinkovito intervenira u transnacionalnim istragama u situacijama u kojima određena država članica nije spremna iskoristiti vlastita sredstva, imajući na umu neuravnotežene rezultate analize troškova i koristi; poziva Komisiju da istraži kako države članice mogu iskoristiti tu opciju te kako EPPO može postati strateški učinkovitiji</w:t>
            </w:r>
            <w:r>
              <w:rPr>
                <w:b/>
                <w:i/>
              </w:rPr>
              <w:t xml:space="preserve"> i da u tu svrhu EPPO-u osigura potrebne resurse</w:t>
            </w:r>
            <w:r>
              <w:t>;</w:t>
            </w:r>
          </w:p>
        </w:tc>
      </w:tr>
    </w:tbl>
    <w:p w14:paraId="689B2ECE"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45F8382" w14:textId="77777777" w:rsidR="0088071B" w:rsidRPr="00C574C2" w:rsidRDefault="0088071B" w:rsidP="0088071B">
      <w:r>
        <w:rPr>
          <w:rStyle w:val="HideTWBExt"/>
        </w:rPr>
        <w:t>&lt;/Amend&gt;</w:t>
      </w:r>
    </w:p>
    <w:p w14:paraId="7A201E88" w14:textId="77777777" w:rsidR="0088071B" w:rsidRPr="00C574C2" w:rsidRDefault="0088071B" w:rsidP="0088071B">
      <w:pPr>
        <w:pStyle w:val="AmNumberTabs"/>
      </w:pPr>
      <w:r>
        <w:rPr>
          <w:rStyle w:val="HideTWBExt"/>
        </w:rPr>
        <w:t>&lt;Amend&gt;</w:t>
      </w:r>
      <w:r>
        <w:t>Amandman</w:t>
      </w:r>
      <w:r>
        <w:tab/>
      </w:r>
      <w:r>
        <w:tab/>
      </w:r>
      <w:r>
        <w:rPr>
          <w:rStyle w:val="HideTWBExt"/>
        </w:rPr>
        <w:t>&lt;NumAm&gt;</w:t>
      </w:r>
      <w:r>
        <w:t>27</w:t>
      </w:r>
      <w:r>
        <w:rPr>
          <w:rStyle w:val="HideTWBExt"/>
        </w:rPr>
        <w:t>&lt;/</w:t>
      </w:r>
      <w:proofErr w:type="spellStart"/>
      <w:r>
        <w:rPr>
          <w:rStyle w:val="HideTWBExt"/>
        </w:rPr>
        <w:t>NumAm</w:t>
      </w:r>
      <w:proofErr w:type="spellEnd"/>
      <w:r>
        <w:rPr>
          <w:rStyle w:val="HideTWBExt"/>
        </w:rPr>
        <w:t>&gt;</w:t>
      </w:r>
    </w:p>
    <w:p w14:paraId="3D404237" w14:textId="77777777" w:rsidR="0088071B" w:rsidRPr="00C574C2" w:rsidRDefault="0088071B" w:rsidP="0088071B">
      <w:pPr>
        <w:pStyle w:val="NormalBold"/>
      </w:pPr>
      <w:r>
        <w:rPr>
          <w:rStyle w:val="HideTWBExt"/>
          <w:b w:val="0"/>
        </w:rPr>
        <w:t>&lt;RepeatBlock-By&gt;&lt;Members&gt;</w:t>
      </w:r>
      <w:proofErr w:type="spellStart"/>
      <w:r>
        <w:t>Ondřej</w:t>
      </w:r>
      <w:proofErr w:type="spellEnd"/>
      <w:r>
        <w:t xml:space="preserve"> </w:t>
      </w:r>
      <w:proofErr w:type="spellStart"/>
      <w:r>
        <w:t>Knotek</w:t>
      </w:r>
      <w:proofErr w:type="spellEnd"/>
      <w:r>
        <w:t xml:space="preserve">, </w:t>
      </w:r>
      <w:proofErr w:type="spellStart"/>
      <w:r>
        <w:t>Virginie</w:t>
      </w:r>
      <w:proofErr w:type="spellEnd"/>
      <w:r>
        <w:t xml:space="preserve"> </w:t>
      </w:r>
      <w:proofErr w:type="spellStart"/>
      <w:r>
        <w:t>Joron</w:t>
      </w:r>
      <w:proofErr w:type="spellEnd"/>
      <w:r>
        <w:t>, Julien Sanchez</w:t>
      </w:r>
      <w:r>
        <w:rPr>
          <w:rStyle w:val="HideTWBExt"/>
          <w:b w:val="0"/>
        </w:rPr>
        <w:t>&lt;/</w:t>
      </w:r>
      <w:proofErr w:type="spellStart"/>
      <w:r>
        <w:rPr>
          <w:rStyle w:val="HideTWBExt"/>
          <w:b w:val="0"/>
        </w:rPr>
        <w:t>Members</w:t>
      </w:r>
      <w:proofErr w:type="spellEnd"/>
      <w:r>
        <w:rPr>
          <w:rStyle w:val="HideTWBExt"/>
          <w:b w:val="0"/>
        </w:rPr>
        <w:t>&gt;</w:t>
      </w:r>
    </w:p>
    <w:p w14:paraId="653906BA" w14:textId="77777777" w:rsidR="0088071B" w:rsidRPr="00C574C2" w:rsidRDefault="0088071B" w:rsidP="0088071B">
      <w:pPr>
        <w:pStyle w:val="NormalBold"/>
      </w:pPr>
      <w:r>
        <w:rPr>
          <w:rStyle w:val="HideTWBExt"/>
          <w:b w:val="0"/>
        </w:rPr>
        <w:t>&lt;/RepeatBlock-By&gt;</w:t>
      </w:r>
    </w:p>
    <w:p w14:paraId="57C40A1A"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6C45CF1" w14:textId="77777777" w:rsidR="0088071B" w:rsidRPr="00C574C2" w:rsidRDefault="0088071B" w:rsidP="0088071B">
      <w:pPr>
        <w:pStyle w:val="NormalBold"/>
      </w:pPr>
      <w:r>
        <w:rPr>
          <w:rStyle w:val="HideTWBExt"/>
        </w:rPr>
        <w:t>&lt;Article&gt;</w:t>
      </w:r>
      <w:r>
        <w:t>Stavak 21.a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85AD688" w14:textId="77777777" w:rsidTr="00730E82">
        <w:trPr>
          <w:trHeight w:val="240"/>
          <w:jc w:val="center"/>
        </w:trPr>
        <w:tc>
          <w:tcPr>
            <w:tcW w:w="9752" w:type="dxa"/>
            <w:gridSpan w:val="2"/>
            <w:tcBorders>
              <w:top w:val="nil"/>
              <w:left w:val="nil"/>
              <w:bottom w:val="nil"/>
              <w:right w:val="nil"/>
            </w:tcBorders>
          </w:tcPr>
          <w:p w14:paraId="062E46B2" w14:textId="77777777" w:rsidR="0088071B" w:rsidRPr="00C574C2" w:rsidRDefault="0088071B" w:rsidP="00730E82"/>
        </w:tc>
      </w:tr>
      <w:tr w:rsidR="0088071B" w14:paraId="6A0E7903" w14:textId="77777777" w:rsidTr="00730E82">
        <w:trPr>
          <w:trHeight w:val="240"/>
          <w:jc w:val="center"/>
        </w:trPr>
        <w:tc>
          <w:tcPr>
            <w:tcW w:w="4876" w:type="dxa"/>
            <w:tcBorders>
              <w:top w:val="nil"/>
              <w:left w:val="nil"/>
              <w:bottom w:val="nil"/>
              <w:right w:val="nil"/>
            </w:tcBorders>
            <w:hideMark/>
          </w:tcPr>
          <w:p w14:paraId="0FE4FE45"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5EFB4EE4" w14:textId="77777777" w:rsidR="0088071B" w:rsidRPr="00C574C2" w:rsidRDefault="0088071B" w:rsidP="00730E82">
            <w:pPr>
              <w:pStyle w:val="AmColumnHeading"/>
            </w:pPr>
            <w:r>
              <w:t>Izmjena</w:t>
            </w:r>
          </w:p>
        </w:tc>
      </w:tr>
      <w:tr w:rsidR="0088071B" w14:paraId="15F67B10" w14:textId="77777777" w:rsidTr="00730E82">
        <w:trPr>
          <w:jc w:val="center"/>
        </w:trPr>
        <w:tc>
          <w:tcPr>
            <w:tcW w:w="4876" w:type="dxa"/>
            <w:tcBorders>
              <w:top w:val="nil"/>
              <w:left w:val="nil"/>
              <w:bottom w:val="nil"/>
              <w:right w:val="nil"/>
            </w:tcBorders>
          </w:tcPr>
          <w:p w14:paraId="48454F6A" w14:textId="77777777" w:rsidR="0088071B" w:rsidRPr="00C574C2" w:rsidRDefault="0088071B" w:rsidP="00730E82">
            <w:pPr>
              <w:pStyle w:val="Normal6a"/>
            </w:pPr>
          </w:p>
        </w:tc>
        <w:tc>
          <w:tcPr>
            <w:tcW w:w="4876" w:type="dxa"/>
            <w:tcBorders>
              <w:top w:val="nil"/>
              <w:left w:val="nil"/>
              <w:bottom w:val="nil"/>
              <w:right w:val="nil"/>
            </w:tcBorders>
            <w:hideMark/>
          </w:tcPr>
          <w:p w14:paraId="260481DB" w14:textId="77777777" w:rsidR="0088071B" w:rsidRPr="00C574C2" w:rsidRDefault="0088071B" w:rsidP="00730E82">
            <w:pPr>
              <w:pStyle w:val="Normal6a"/>
            </w:pPr>
            <w:r>
              <w:rPr>
                <w:b/>
                <w:i/>
              </w:rPr>
              <w:t>21 a.</w:t>
            </w:r>
            <w:r>
              <w:tab/>
            </w:r>
            <w:r>
              <w:rPr>
                <w:b/>
                <w:i/>
              </w:rPr>
              <w:t xml:space="preserve">naglašava da učinkovitost i </w:t>
            </w:r>
            <w:r>
              <w:rPr>
                <w:b/>
                <w:i/>
              </w:rPr>
              <w:lastRenderedPageBreak/>
              <w:t xml:space="preserve">legitimnost EPPO-a ovise o strogom poštovanju povjerljivosti i diskrecije tužiteljstva; ističe da se neovisnost EPPO-a mora zaštititi ne samo formalno nego i u praksi, među ostalim zaštitnim mjerama kojima se sprečava politički pritisak, uplitanje u ugled ili </w:t>
            </w:r>
            <w:proofErr w:type="spellStart"/>
            <w:r>
              <w:rPr>
                <w:b/>
                <w:i/>
              </w:rPr>
              <w:t>instrumentalizacija</w:t>
            </w:r>
            <w:proofErr w:type="spellEnd"/>
            <w:r>
              <w:rPr>
                <w:b/>
                <w:i/>
              </w:rPr>
              <w:t xml:space="preserve"> istraga koje su u tijeku;</w:t>
            </w:r>
          </w:p>
        </w:tc>
      </w:tr>
    </w:tbl>
    <w:p w14:paraId="2BDBD9C0"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C3D526C" w14:textId="77777777" w:rsidR="0088071B" w:rsidRPr="00C574C2" w:rsidRDefault="0088071B" w:rsidP="0088071B">
      <w:r>
        <w:rPr>
          <w:rStyle w:val="HideTWBExt"/>
        </w:rPr>
        <w:t>&lt;/Amend&gt;</w:t>
      </w:r>
    </w:p>
    <w:p w14:paraId="2F21A20F" w14:textId="77777777" w:rsidR="0088071B" w:rsidRPr="00C574C2" w:rsidRDefault="0088071B" w:rsidP="0088071B">
      <w:pPr>
        <w:pStyle w:val="AmNumberTabs"/>
      </w:pPr>
      <w:r>
        <w:rPr>
          <w:rStyle w:val="HideTWBExt"/>
        </w:rPr>
        <w:t>&lt;Amend&gt;</w:t>
      </w:r>
      <w:r>
        <w:t>Amandman</w:t>
      </w:r>
      <w:r>
        <w:tab/>
      </w:r>
      <w:r>
        <w:tab/>
      </w:r>
      <w:r>
        <w:rPr>
          <w:rStyle w:val="HideTWBExt"/>
        </w:rPr>
        <w:t>&lt;NumAm&gt;</w:t>
      </w:r>
      <w:r>
        <w:t>28</w:t>
      </w:r>
      <w:r>
        <w:rPr>
          <w:rStyle w:val="HideTWBExt"/>
        </w:rPr>
        <w:t>&lt;/</w:t>
      </w:r>
      <w:proofErr w:type="spellStart"/>
      <w:r>
        <w:rPr>
          <w:rStyle w:val="HideTWBExt"/>
        </w:rPr>
        <w:t>NumAm</w:t>
      </w:r>
      <w:proofErr w:type="spellEnd"/>
      <w:r>
        <w:rPr>
          <w:rStyle w:val="HideTWBExt"/>
        </w:rPr>
        <w:t>&gt;</w:t>
      </w:r>
    </w:p>
    <w:p w14:paraId="3852EF9E"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60BF55E4" w14:textId="77777777" w:rsidR="0088071B" w:rsidRPr="00C574C2" w:rsidRDefault="0088071B" w:rsidP="0088071B">
      <w:pPr>
        <w:pStyle w:val="NormalBold"/>
      </w:pPr>
      <w:r>
        <w:rPr>
          <w:rStyle w:val="HideTWBExt"/>
          <w:b w:val="0"/>
        </w:rPr>
        <w:t>&lt;/RepeatBlock-By&gt;</w:t>
      </w:r>
    </w:p>
    <w:p w14:paraId="274EEF56"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A40721D" w14:textId="77777777" w:rsidR="0088071B" w:rsidRPr="00C574C2" w:rsidRDefault="0088071B" w:rsidP="0088071B">
      <w:pPr>
        <w:pStyle w:val="NormalBold"/>
      </w:pPr>
      <w:r>
        <w:rPr>
          <w:rStyle w:val="HideTWBExt"/>
        </w:rPr>
        <w:t>&lt;Article&gt;</w:t>
      </w:r>
      <w:r>
        <w:t>Stavak 26.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78ABA19" w14:textId="77777777" w:rsidTr="00730E82">
        <w:trPr>
          <w:trHeight w:val="240"/>
          <w:jc w:val="center"/>
        </w:trPr>
        <w:tc>
          <w:tcPr>
            <w:tcW w:w="9752" w:type="dxa"/>
            <w:gridSpan w:val="2"/>
            <w:tcBorders>
              <w:top w:val="nil"/>
              <w:left w:val="nil"/>
              <w:bottom w:val="nil"/>
              <w:right w:val="nil"/>
            </w:tcBorders>
          </w:tcPr>
          <w:p w14:paraId="35667B08" w14:textId="77777777" w:rsidR="0088071B" w:rsidRPr="00C574C2" w:rsidRDefault="0088071B" w:rsidP="00730E82"/>
        </w:tc>
      </w:tr>
      <w:tr w:rsidR="0088071B" w14:paraId="386E39DF" w14:textId="77777777" w:rsidTr="00730E82">
        <w:trPr>
          <w:trHeight w:val="240"/>
          <w:jc w:val="center"/>
        </w:trPr>
        <w:tc>
          <w:tcPr>
            <w:tcW w:w="4876" w:type="dxa"/>
            <w:tcBorders>
              <w:top w:val="nil"/>
              <w:left w:val="nil"/>
              <w:bottom w:val="nil"/>
              <w:right w:val="nil"/>
            </w:tcBorders>
            <w:hideMark/>
          </w:tcPr>
          <w:p w14:paraId="601222E7"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32D1DF3F" w14:textId="77777777" w:rsidR="0088071B" w:rsidRPr="00C574C2" w:rsidRDefault="0088071B" w:rsidP="00730E82">
            <w:pPr>
              <w:pStyle w:val="AmColumnHeading"/>
            </w:pPr>
            <w:r>
              <w:t>Izmjena</w:t>
            </w:r>
          </w:p>
        </w:tc>
      </w:tr>
      <w:tr w:rsidR="0088071B" w14:paraId="7B5D0A7F" w14:textId="77777777" w:rsidTr="00730E82">
        <w:trPr>
          <w:jc w:val="center"/>
        </w:trPr>
        <w:tc>
          <w:tcPr>
            <w:tcW w:w="4876" w:type="dxa"/>
            <w:tcBorders>
              <w:top w:val="nil"/>
              <w:left w:val="nil"/>
              <w:bottom w:val="nil"/>
              <w:right w:val="nil"/>
            </w:tcBorders>
            <w:hideMark/>
          </w:tcPr>
          <w:p w14:paraId="77AEEC83" w14:textId="77777777" w:rsidR="0088071B" w:rsidRPr="00C574C2" w:rsidRDefault="0088071B" w:rsidP="00730E82">
            <w:pPr>
              <w:pStyle w:val="Normal6a"/>
            </w:pPr>
            <w:r>
              <w:t>26.</w:t>
            </w:r>
            <w:r>
              <w:tab/>
              <w:t xml:space="preserve">napominje da je EPPO nastavio svoje radnje na uspostavi sustava za praćenje povećanja učinkovitosti i uštede troškova te da je 2024. pokrenuo reviziju postupaka strateškog i operativnog planiranja i praćenja (radi povećanja mogućnosti doprinosa strateškom fokusu aktivnosti EPPO-a i postizanju stalno visoke stope provedbe ili apsorpcije dostupnih sredstava) i uspostavio srednjoročno strateško planiranje ljudskih resursa kako bi se omogućilo veće ostvarivanje plana radnih mjesta i riješili nedostaci osoblja zapošljavanjem ili profesionalnim razvojem; primjećuje da je u tom pogledu EPPO </w:t>
            </w:r>
            <w:r>
              <w:rPr>
                <w:b/>
                <w:i/>
              </w:rPr>
              <w:t>uspostavio karijere i konkretnije okvire</w:t>
            </w:r>
            <w:r>
              <w:t xml:space="preserve"> opisa radnih mjesta kako bi se uskladilo osoblje sa strategijom i doprinijelo održavanju visokog stupnja sudjelovanja osoblja;</w:t>
            </w:r>
          </w:p>
        </w:tc>
        <w:tc>
          <w:tcPr>
            <w:tcW w:w="4876" w:type="dxa"/>
            <w:tcBorders>
              <w:top w:val="nil"/>
              <w:left w:val="nil"/>
              <w:bottom w:val="nil"/>
              <w:right w:val="nil"/>
            </w:tcBorders>
            <w:hideMark/>
          </w:tcPr>
          <w:p w14:paraId="0CB448E4" w14:textId="77777777" w:rsidR="0088071B" w:rsidRPr="00C574C2" w:rsidRDefault="0088071B" w:rsidP="00730E82">
            <w:pPr>
              <w:pStyle w:val="Normal6a"/>
            </w:pPr>
            <w:r>
              <w:t>26.</w:t>
            </w:r>
            <w:r>
              <w:tab/>
              <w:t xml:space="preserve">napominje da je EPPO nastavio svoje radnje na uspostavi sustava za praćenje povećanja učinkovitosti i uštede troškova te da je 2024. pokrenuo reviziju postupaka strateškog i operativnog planiranja i praćenja (radi povećanja mogućnosti doprinosa strateškom fokusu aktivnosti EPPO-a i postizanju stalno visoke stope provedbe ili apsorpcije dostupnih sredstava) i uspostavio srednjoročno strateško planiranje ljudskih resursa kako bi se omogućilo veće ostvarivanje plana radnih mjesta i riješili nedostaci osoblja zapošljavanjem ili profesionalnim razvojem; primjećuje da je u tom pogledu EPPO </w:t>
            </w:r>
            <w:r>
              <w:rPr>
                <w:b/>
                <w:i/>
              </w:rPr>
              <w:t>započeo raditi na konkretnijim okvirima</w:t>
            </w:r>
            <w:r>
              <w:t xml:space="preserve"> opisa radnih mjesta kako bi se uskladilo osoblje sa strategijom i doprinijelo održavanju visokog stupnja sudjelovanja osoblja;</w:t>
            </w:r>
          </w:p>
        </w:tc>
      </w:tr>
    </w:tbl>
    <w:p w14:paraId="3B68A8C4"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91F4025" w14:textId="77777777" w:rsidR="0088071B" w:rsidRPr="00C574C2" w:rsidRDefault="0088071B" w:rsidP="0088071B">
      <w:r>
        <w:rPr>
          <w:rStyle w:val="HideTWBExt"/>
        </w:rPr>
        <w:t>&lt;/Amend&gt;</w:t>
      </w:r>
    </w:p>
    <w:p w14:paraId="75FCCF1A" w14:textId="77777777" w:rsidR="0088071B" w:rsidRPr="00C574C2" w:rsidRDefault="0088071B" w:rsidP="0088071B">
      <w:pPr>
        <w:pStyle w:val="AmNumberTabs"/>
      </w:pPr>
      <w:r>
        <w:rPr>
          <w:rStyle w:val="HideTWBExt"/>
        </w:rPr>
        <w:t>&lt;Amend&gt;</w:t>
      </w:r>
      <w:r>
        <w:t>Amandman</w:t>
      </w:r>
      <w:r>
        <w:tab/>
      </w:r>
      <w:r>
        <w:tab/>
      </w:r>
      <w:r>
        <w:rPr>
          <w:rStyle w:val="HideTWBExt"/>
        </w:rPr>
        <w:t>&lt;NumAm&gt;</w:t>
      </w:r>
      <w:r>
        <w:t>29</w:t>
      </w:r>
      <w:r>
        <w:rPr>
          <w:rStyle w:val="HideTWBExt"/>
        </w:rPr>
        <w:t>&lt;/</w:t>
      </w:r>
      <w:proofErr w:type="spellStart"/>
      <w:r>
        <w:rPr>
          <w:rStyle w:val="HideTWBExt"/>
        </w:rPr>
        <w:t>NumAm</w:t>
      </w:r>
      <w:proofErr w:type="spellEnd"/>
      <w:r>
        <w:rPr>
          <w:rStyle w:val="HideTWBExt"/>
        </w:rPr>
        <w:t>&gt;</w:t>
      </w:r>
    </w:p>
    <w:p w14:paraId="7EA21978"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lastRenderedPageBreak/>
        <w:t>Wiezik</w:t>
      </w:r>
      <w:proofErr w:type="spellEnd"/>
      <w:r>
        <w:rPr>
          <w:rStyle w:val="HideTWBExt"/>
          <w:b w:val="0"/>
        </w:rPr>
        <w:t>&lt;/Members&gt;</w:t>
      </w:r>
    </w:p>
    <w:p w14:paraId="2BB808B5" w14:textId="77777777" w:rsidR="0088071B" w:rsidRPr="00C574C2" w:rsidRDefault="0088071B" w:rsidP="0088071B">
      <w:pPr>
        <w:pStyle w:val="NormalBold"/>
      </w:pPr>
      <w:r>
        <w:rPr>
          <w:rStyle w:val="HideTWBExt"/>
          <w:b w:val="0"/>
        </w:rPr>
        <w:t>&lt;/RepeatBlock-By&gt;</w:t>
      </w:r>
    </w:p>
    <w:p w14:paraId="4E32C1D3"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C428CBA" w14:textId="77777777" w:rsidR="0088071B" w:rsidRPr="00C574C2" w:rsidRDefault="0088071B" w:rsidP="0088071B">
      <w:pPr>
        <w:pStyle w:val="NormalBold"/>
      </w:pPr>
      <w:r>
        <w:rPr>
          <w:rStyle w:val="HideTWBExt"/>
        </w:rPr>
        <w:t>&lt;Article&gt;</w:t>
      </w:r>
      <w:r>
        <w:t>Stavak 31.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74D8D99" w14:textId="77777777" w:rsidTr="00730E82">
        <w:trPr>
          <w:trHeight w:val="240"/>
          <w:jc w:val="center"/>
        </w:trPr>
        <w:tc>
          <w:tcPr>
            <w:tcW w:w="9752" w:type="dxa"/>
            <w:gridSpan w:val="2"/>
            <w:tcBorders>
              <w:top w:val="nil"/>
              <w:left w:val="nil"/>
              <w:bottom w:val="nil"/>
              <w:right w:val="nil"/>
            </w:tcBorders>
          </w:tcPr>
          <w:p w14:paraId="701D8393" w14:textId="77777777" w:rsidR="0088071B" w:rsidRPr="00C574C2" w:rsidRDefault="0088071B" w:rsidP="00730E82"/>
        </w:tc>
      </w:tr>
      <w:tr w:rsidR="0088071B" w14:paraId="1FB04E9A" w14:textId="77777777" w:rsidTr="00730E82">
        <w:trPr>
          <w:trHeight w:val="240"/>
          <w:jc w:val="center"/>
        </w:trPr>
        <w:tc>
          <w:tcPr>
            <w:tcW w:w="4876" w:type="dxa"/>
            <w:tcBorders>
              <w:top w:val="nil"/>
              <w:left w:val="nil"/>
              <w:bottom w:val="nil"/>
              <w:right w:val="nil"/>
            </w:tcBorders>
            <w:hideMark/>
          </w:tcPr>
          <w:p w14:paraId="353DEF57"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24139E65" w14:textId="77777777" w:rsidR="0088071B" w:rsidRPr="00C574C2" w:rsidRDefault="0088071B" w:rsidP="00730E82">
            <w:pPr>
              <w:pStyle w:val="AmColumnHeading"/>
            </w:pPr>
            <w:r>
              <w:t>Izmjena</w:t>
            </w:r>
          </w:p>
        </w:tc>
      </w:tr>
      <w:tr w:rsidR="0088071B" w14:paraId="6A661251" w14:textId="77777777" w:rsidTr="00730E82">
        <w:trPr>
          <w:jc w:val="center"/>
        </w:trPr>
        <w:tc>
          <w:tcPr>
            <w:tcW w:w="4876" w:type="dxa"/>
            <w:tcBorders>
              <w:top w:val="nil"/>
              <w:left w:val="nil"/>
              <w:bottom w:val="nil"/>
              <w:right w:val="nil"/>
            </w:tcBorders>
            <w:hideMark/>
          </w:tcPr>
          <w:p w14:paraId="49C42F7A" w14:textId="77777777" w:rsidR="0088071B" w:rsidRPr="00C574C2" w:rsidRDefault="0088071B" w:rsidP="00730E82">
            <w:pPr>
              <w:pStyle w:val="Normal6a"/>
            </w:pPr>
            <w:r>
              <w:t>31.</w:t>
            </w:r>
            <w:r>
              <w:tab/>
              <w:t>napominje da je strategija EPPO-a za borbu protiv prijevara za razdoblje 2023.–2025., ažurirana 2023. u skladu sa zahtjevima Uredbe EU) 2017/1939 i financijskim pravilima EPPO-a, povezana s planom djelovanja koji je dio unutarnje kontrole EPPO-a te da se prati na godišnjoj razini i revidirana je 2024.; primjećuje da je 2024. provedba bila usmjerena na aktivnosti informiranja, pri čemu je organizirano 17 tečajeva osposobljavanja o etičkom okviru EPPO-a, strategiji za borbu protiv prijevara i kodeksu dobrog upravnog ponašanja, pri čemu je osigurano sudjelovanje velikog broja različitih zaposlenika; pozdravlja donošenje postupka za zviždače, što je postignuto početkom 2025.; napominje da su, do donošenja sveobuhvatne politike o sukobu interesa, i dalje na snazi obveze i postupci podnošenja izjava za osoblje na višim rukovodećim položajima i osoblje uključeno u financijske postupke, nabavu i zapošljavanje;</w:t>
            </w:r>
          </w:p>
        </w:tc>
        <w:tc>
          <w:tcPr>
            <w:tcW w:w="4876" w:type="dxa"/>
            <w:tcBorders>
              <w:top w:val="nil"/>
              <w:left w:val="nil"/>
              <w:bottom w:val="nil"/>
              <w:right w:val="nil"/>
            </w:tcBorders>
            <w:hideMark/>
          </w:tcPr>
          <w:p w14:paraId="065E4ABE" w14:textId="77777777" w:rsidR="0088071B" w:rsidRPr="00C574C2" w:rsidRDefault="0088071B" w:rsidP="00730E82">
            <w:pPr>
              <w:pStyle w:val="Normal6a"/>
            </w:pPr>
            <w:r>
              <w:t>31.</w:t>
            </w:r>
            <w:r>
              <w:tab/>
              <w:t xml:space="preserve">napominje da je strategija EPPO-a za borbu protiv prijevara za razdoblje 2023.–2025., ažurirana 2023. u skladu sa zahtjevima Uredbe EU) 2017/1939 i financijskim pravilima EPPO-a, povezana s planom djelovanja koji je dio unutarnje kontrole EPPO-a te da se prati na godišnjoj razini i revidirana je 2024.; primjećuje da je 2024. provedba bila usmjerena na aktivnosti informiranja, pri čemu je organizirano 17 tečajeva osposobljavanja o etičkom okviru EPPO-a, strategiji za borbu protiv prijevara i kodeksu dobrog upravnog ponašanja, pri čemu je osigurano sudjelovanje velikog broja različitih zaposlenika; pozdravlja donošenje postupka za zviždače, što je postignuto početkom 2025.; napominje da su, do donošenja sveobuhvatne politike o sukobu interesa, i dalje na snazi obveze i postupci podnošenja izjava za osoblje na višim rukovodećim položajima i osoblje uključeno u financijske postupke, nabavu i zapošljavanje; </w:t>
            </w:r>
            <w:r>
              <w:rPr>
                <w:b/>
                <w:i/>
              </w:rPr>
              <w:t>poziva na brzo donošenje sveobuhvatne politike o sukobima interesa kako bi se osiguralo povjerenje javnosti u okvir integriteta EPPO-a;</w:t>
            </w:r>
          </w:p>
        </w:tc>
      </w:tr>
    </w:tbl>
    <w:p w14:paraId="68D9AF93"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023187CD" w14:textId="77777777" w:rsidR="0088071B" w:rsidRPr="00C574C2" w:rsidRDefault="0088071B" w:rsidP="0088071B">
      <w:r>
        <w:rPr>
          <w:rStyle w:val="HideTWBExt"/>
        </w:rPr>
        <w:t>&lt;/Amend&gt;</w:t>
      </w:r>
    </w:p>
    <w:p w14:paraId="68E9E587" w14:textId="77777777" w:rsidR="0088071B" w:rsidRPr="00C574C2" w:rsidRDefault="0088071B" w:rsidP="0088071B">
      <w:pPr>
        <w:pStyle w:val="AmNumberTabs"/>
      </w:pPr>
      <w:r>
        <w:rPr>
          <w:rStyle w:val="HideTWBExt"/>
        </w:rPr>
        <w:t>&lt;Amend&gt;</w:t>
      </w:r>
      <w:r>
        <w:t>Amandman</w:t>
      </w:r>
      <w:r>
        <w:tab/>
      </w:r>
      <w:r>
        <w:tab/>
      </w:r>
      <w:r>
        <w:rPr>
          <w:rStyle w:val="HideTWBExt"/>
        </w:rPr>
        <w:t>&lt;NumAm&gt;</w:t>
      </w:r>
      <w:r>
        <w:t>30</w:t>
      </w:r>
      <w:r>
        <w:rPr>
          <w:rStyle w:val="HideTWBExt"/>
        </w:rPr>
        <w:t>&lt;/</w:t>
      </w:r>
      <w:proofErr w:type="spellStart"/>
      <w:r>
        <w:rPr>
          <w:rStyle w:val="HideTWBExt"/>
        </w:rPr>
        <w:t>NumAm</w:t>
      </w:r>
      <w:proofErr w:type="spellEnd"/>
      <w:r>
        <w:rPr>
          <w:rStyle w:val="HideTWBExt"/>
        </w:rPr>
        <w:t>&gt;</w:t>
      </w:r>
    </w:p>
    <w:p w14:paraId="70175145"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4995AD1E" w14:textId="77777777" w:rsidR="0088071B" w:rsidRPr="00C574C2" w:rsidRDefault="0088071B" w:rsidP="0088071B">
      <w:pPr>
        <w:pStyle w:val="NormalBold"/>
      </w:pPr>
      <w:r>
        <w:rPr>
          <w:rStyle w:val="HideTWBExt"/>
          <w:b w:val="0"/>
        </w:rPr>
        <w:t>&lt;/RepeatBlock-By&gt;</w:t>
      </w:r>
    </w:p>
    <w:p w14:paraId="0E1F24DA"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BD58793" w14:textId="77777777" w:rsidR="0088071B" w:rsidRPr="00C574C2" w:rsidRDefault="0088071B" w:rsidP="0088071B">
      <w:pPr>
        <w:pStyle w:val="NormalBold"/>
      </w:pPr>
      <w:r>
        <w:rPr>
          <w:rStyle w:val="HideTWBExt"/>
        </w:rPr>
        <w:t>&lt;Article&gt;</w:t>
      </w:r>
      <w:r>
        <w:t>Stavak 32.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1F25F96B" w14:textId="77777777" w:rsidTr="00730E82">
        <w:trPr>
          <w:trHeight w:val="240"/>
          <w:jc w:val="center"/>
        </w:trPr>
        <w:tc>
          <w:tcPr>
            <w:tcW w:w="9752" w:type="dxa"/>
            <w:gridSpan w:val="2"/>
            <w:tcBorders>
              <w:top w:val="nil"/>
              <w:left w:val="nil"/>
              <w:bottom w:val="nil"/>
              <w:right w:val="nil"/>
            </w:tcBorders>
          </w:tcPr>
          <w:p w14:paraId="29BEFE13" w14:textId="77777777" w:rsidR="0088071B" w:rsidRPr="00C574C2" w:rsidRDefault="0088071B" w:rsidP="00730E82"/>
        </w:tc>
      </w:tr>
      <w:tr w:rsidR="0088071B" w14:paraId="26885923" w14:textId="77777777" w:rsidTr="00730E82">
        <w:trPr>
          <w:trHeight w:val="240"/>
          <w:jc w:val="center"/>
        </w:trPr>
        <w:tc>
          <w:tcPr>
            <w:tcW w:w="4876" w:type="dxa"/>
            <w:tcBorders>
              <w:top w:val="nil"/>
              <w:left w:val="nil"/>
              <w:bottom w:val="nil"/>
              <w:right w:val="nil"/>
            </w:tcBorders>
            <w:hideMark/>
          </w:tcPr>
          <w:p w14:paraId="0EDE4189"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F84D911" w14:textId="77777777" w:rsidR="0088071B" w:rsidRPr="00C574C2" w:rsidRDefault="0088071B" w:rsidP="00730E82">
            <w:pPr>
              <w:pStyle w:val="AmColumnHeading"/>
            </w:pPr>
            <w:r>
              <w:t>Izmjena</w:t>
            </w:r>
          </w:p>
        </w:tc>
      </w:tr>
      <w:tr w:rsidR="0088071B" w14:paraId="7559DE14" w14:textId="77777777" w:rsidTr="00730E82">
        <w:trPr>
          <w:jc w:val="center"/>
        </w:trPr>
        <w:tc>
          <w:tcPr>
            <w:tcW w:w="4876" w:type="dxa"/>
            <w:tcBorders>
              <w:top w:val="nil"/>
              <w:left w:val="nil"/>
              <w:bottom w:val="nil"/>
              <w:right w:val="nil"/>
            </w:tcBorders>
            <w:hideMark/>
          </w:tcPr>
          <w:p w14:paraId="57D06636" w14:textId="77777777" w:rsidR="0088071B" w:rsidRPr="00C574C2" w:rsidRDefault="0088071B" w:rsidP="00730E82">
            <w:pPr>
              <w:pStyle w:val="Normal6a"/>
            </w:pPr>
            <w:r>
              <w:t>32.</w:t>
            </w:r>
            <w:r>
              <w:tab/>
              <w:t xml:space="preserve">napominje da je EPPO, u vezi sa </w:t>
            </w:r>
            <w:r>
              <w:lastRenderedPageBreak/>
              <w:t>svojim istražnim i tužiteljskim funkcijama, redizajnirao unutarnje procese koji podupiru njegove istrage, među ostalim razvojem alata za poboljšanje učinkovitosti obrade informacija i povezivanja s većim brojem partnera, razvojem namjenskog softvera, poboljšanjem kvalitete usluga prevođenja i smanjenjem potreba za ljudskim prevoditeljima i s tim povezanih troškova, istraživanjem načina na koji se umjetna inteligencija može iskoristiti za bolje upravljanje golemim količinama informacija za obradu, procjenjujući ih s tehničkog i pravnog/etičkog stajališta; u tom pogledu cijeni rad EPPO-a na uspostavi ključnih pokazatelja uspješnosti povezanih s njegovim jedinstvenim poslovnim modelom; i dalje napominje da postoji potreba za izvješćivanjem o iznosima koji su zaplijenjeni, oduzeti i na kraju vraćeni u proračun Unije, čija je zaštita u konačnici razlog postojanja strukture Unije za borbu protiv prijevara, u kojoj je EPPO važna sastavnica;</w:t>
            </w:r>
          </w:p>
        </w:tc>
        <w:tc>
          <w:tcPr>
            <w:tcW w:w="4876" w:type="dxa"/>
            <w:tcBorders>
              <w:top w:val="nil"/>
              <w:left w:val="nil"/>
              <w:bottom w:val="nil"/>
              <w:right w:val="nil"/>
            </w:tcBorders>
            <w:hideMark/>
          </w:tcPr>
          <w:p w14:paraId="70EDFEEE" w14:textId="77777777" w:rsidR="0088071B" w:rsidRPr="00C574C2" w:rsidRDefault="0088071B" w:rsidP="00730E82">
            <w:pPr>
              <w:pStyle w:val="Normal6a"/>
            </w:pPr>
            <w:r>
              <w:lastRenderedPageBreak/>
              <w:t>32.</w:t>
            </w:r>
            <w:r>
              <w:tab/>
              <w:t xml:space="preserve">napominje da je EPPO, u vezi sa </w:t>
            </w:r>
            <w:r>
              <w:lastRenderedPageBreak/>
              <w:t xml:space="preserve">svojim istražnim i tužiteljskim funkcijama, redizajnirao unutarnje procese koji podupiru njegove istrage, među ostalim razvojem alata za poboljšanje učinkovitosti obrade informacija i povezivanja s većim brojem partnera, razvojem namjenskog softvera, poboljšanjem kvalitete usluga prevođenja i smanjenjem potreba za ljudskim prevoditeljima i s tim povezanih troškova, istraživanjem načina na koji se umjetna inteligencija može iskoristiti za bolje upravljanje golemim količinama informacija za obradu, procjenjujući ih s tehničkog i pravnog/etičkog stajališta; u tom pogledu cijeni rad EPPO-a na uspostavi ključnih pokazatelja uspješnosti povezanih s njegovim jedinstvenim poslovnim modelom; </w:t>
            </w:r>
            <w:r>
              <w:rPr>
                <w:b/>
                <w:i/>
              </w:rPr>
              <w:t>pozdravlja inicijative za poboljšanje izvješćivanja o rezultatima i naglašava važnost pravodobnog, točnog i transparentnog izvješćivanja Parlamenta kako bi se pokazao učinak djelovanja EPPO-a na zaštitu financijskih interesa Unije;</w:t>
            </w:r>
            <w:r>
              <w:t xml:space="preserve"> i dalje napominje da postoji potreba za izvješćivanjem o iznosima koji su zaplijenjeni, oduzeti i na kraju vraćeni u proračun Unije, čija je zaštita u konačnici razlog postojanja strukture Unije za borbu protiv prijevara, u kojoj je EPPO važna sastavnica;</w:t>
            </w:r>
          </w:p>
        </w:tc>
      </w:tr>
    </w:tbl>
    <w:p w14:paraId="13A99B95"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CC24F69" w14:textId="77777777" w:rsidR="0088071B" w:rsidRPr="00C574C2" w:rsidRDefault="0088071B" w:rsidP="0088071B">
      <w:r>
        <w:rPr>
          <w:rStyle w:val="HideTWBExt"/>
        </w:rPr>
        <w:t>&lt;/Amend&gt;</w:t>
      </w:r>
    </w:p>
    <w:p w14:paraId="06C09492" w14:textId="77777777" w:rsidR="0088071B" w:rsidRPr="00C574C2" w:rsidRDefault="0088071B" w:rsidP="0088071B">
      <w:pPr>
        <w:pStyle w:val="AmNumberTabs"/>
      </w:pPr>
      <w:r>
        <w:rPr>
          <w:rStyle w:val="HideTWBExt"/>
        </w:rPr>
        <w:t>&lt;Amend&gt;</w:t>
      </w:r>
      <w:r>
        <w:t>Amandman</w:t>
      </w:r>
      <w:r>
        <w:tab/>
      </w:r>
      <w:r>
        <w:tab/>
      </w:r>
      <w:r>
        <w:rPr>
          <w:rStyle w:val="HideTWBExt"/>
        </w:rPr>
        <w:t>&lt;NumAm&gt;</w:t>
      </w:r>
      <w:r>
        <w:t>31</w:t>
      </w:r>
      <w:r>
        <w:rPr>
          <w:rStyle w:val="HideTWBExt"/>
        </w:rPr>
        <w:t>&lt;/</w:t>
      </w:r>
      <w:proofErr w:type="spellStart"/>
      <w:r>
        <w:rPr>
          <w:rStyle w:val="HideTWBExt"/>
        </w:rPr>
        <w:t>NumAm</w:t>
      </w:r>
      <w:proofErr w:type="spellEnd"/>
      <w:r>
        <w:rPr>
          <w:rStyle w:val="HideTWBExt"/>
        </w:rPr>
        <w:t>&gt;</w:t>
      </w:r>
    </w:p>
    <w:p w14:paraId="25105359"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7E5A3A8C" w14:textId="77777777" w:rsidR="0088071B" w:rsidRPr="00C574C2" w:rsidRDefault="0088071B" w:rsidP="0088071B">
      <w:pPr>
        <w:pStyle w:val="NormalBold"/>
      </w:pPr>
      <w:r>
        <w:rPr>
          <w:rStyle w:val="HideTWBExt"/>
          <w:b w:val="0"/>
        </w:rPr>
        <w:t>&lt;/RepeatBlock-By&gt;</w:t>
      </w:r>
    </w:p>
    <w:p w14:paraId="6684F60F"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5E07831" w14:textId="77777777" w:rsidR="0088071B" w:rsidRPr="00C574C2" w:rsidRDefault="0088071B" w:rsidP="0088071B">
      <w:pPr>
        <w:pStyle w:val="NormalBold"/>
      </w:pPr>
      <w:r>
        <w:rPr>
          <w:rStyle w:val="HideTWBExt"/>
        </w:rPr>
        <w:t>&lt;Article&gt;</w:t>
      </w:r>
      <w:r>
        <w:t>Stavak 33.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58A6CEAA" w14:textId="77777777" w:rsidTr="00730E82">
        <w:trPr>
          <w:trHeight w:val="240"/>
          <w:jc w:val="center"/>
        </w:trPr>
        <w:tc>
          <w:tcPr>
            <w:tcW w:w="9752" w:type="dxa"/>
            <w:gridSpan w:val="2"/>
            <w:tcBorders>
              <w:top w:val="nil"/>
              <w:left w:val="nil"/>
              <w:bottom w:val="nil"/>
              <w:right w:val="nil"/>
            </w:tcBorders>
          </w:tcPr>
          <w:p w14:paraId="5F6FA200" w14:textId="77777777" w:rsidR="0088071B" w:rsidRPr="00C574C2" w:rsidRDefault="0088071B" w:rsidP="00730E82"/>
        </w:tc>
      </w:tr>
      <w:tr w:rsidR="0088071B" w14:paraId="38DBDF64" w14:textId="77777777" w:rsidTr="00730E82">
        <w:trPr>
          <w:trHeight w:val="240"/>
          <w:jc w:val="center"/>
        </w:trPr>
        <w:tc>
          <w:tcPr>
            <w:tcW w:w="4876" w:type="dxa"/>
            <w:tcBorders>
              <w:top w:val="nil"/>
              <w:left w:val="nil"/>
              <w:bottom w:val="nil"/>
              <w:right w:val="nil"/>
            </w:tcBorders>
            <w:hideMark/>
          </w:tcPr>
          <w:p w14:paraId="1253227B"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1A5E908B" w14:textId="77777777" w:rsidR="0088071B" w:rsidRPr="00C574C2" w:rsidRDefault="0088071B" w:rsidP="00730E82">
            <w:pPr>
              <w:pStyle w:val="AmColumnHeading"/>
            </w:pPr>
            <w:r>
              <w:t>Izmjena</w:t>
            </w:r>
          </w:p>
        </w:tc>
      </w:tr>
      <w:tr w:rsidR="0088071B" w14:paraId="27F0FF8A" w14:textId="77777777" w:rsidTr="00730E82">
        <w:trPr>
          <w:jc w:val="center"/>
        </w:trPr>
        <w:tc>
          <w:tcPr>
            <w:tcW w:w="4876" w:type="dxa"/>
            <w:tcBorders>
              <w:top w:val="nil"/>
              <w:left w:val="nil"/>
              <w:bottom w:val="nil"/>
              <w:right w:val="nil"/>
            </w:tcBorders>
            <w:hideMark/>
          </w:tcPr>
          <w:p w14:paraId="6615D053" w14:textId="77777777" w:rsidR="0088071B" w:rsidRPr="00C574C2" w:rsidRDefault="0088071B" w:rsidP="00730E82">
            <w:pPr>
              <w:pStyle w:val="Normal6a"/>
            </w:pPr>
            <w:r>
              <w:t>33.</w:t>
            </w:r>
            <w:r>
              <w:tab/>
              <w:t xml:space="preserve">svjestan je da praćenje i mjere daljnjeg postupanja, uključujući izvješćivanje o rezultatima povrata iznosa u proračun, nisu u nadležnosti EPPO-a te </w:t>
            </w:r>
            <w:r>
              <w:lastRenderedPageBreak/>
              <w:t>da su za njih potrebni resursi i posebne ovlasti</w:t>
            </w:r>
            <w:r>
              <w:rPr>
                <w:b/>
                <w:i/>
              </w:rPr>
              <w:t xml:space="preserve"> koji nisu dio zadaća u nadležnosti EPPO-a</w:t>
            </w:r>
            <w:r>
              <w:t xml:space="preserve">; ponavlja </w:t>
            </w:r>
            <w:r>
              <w:rPr>
                <w:b/>
                <w:i/>
              </w:rPr>
              <w:t>zahtjev</w:t>
            </w:r>
            <w:r>
              <w:t xml:space="preserve"> upućen Komisiji</w:t>
            </w:r>
            <w:r>
              <w:rPr>
                <w:b/>
                <w:i/>
              </w:rPr>
              <w:t xml:space="preserve"> da pruži potporu EPPO-u za utvrđivanje pokazatelja povezanih s ispunjavanjem te osnovne zadaće te</w:t>
            </w:r>
            <w:r>
              <w:t xml:space="preserve"> da u okviru revizije strukture za borbu protiv prijevara utvrdi najprikladnije značajke kojima će se osigurati kontinuirani protok podataka i informacija u cilju omogućivanja temeljite analize; naglašava da su poboljšani sustav praćenja i više podataka s dobrom razinom </w:t>
            </w:r>
            <w:proofErr w:type="spellStart"/>
            <w:r>
              <w:t>granularnosti</w:t>
            </w:r>
            <w:proofErr w:type="spellEnd"/>
            <w:r>
              <w:t>, objedinjenih u klasterima po vrsti povrede dužnosti, sektoru interesa ili geografskom području potrebni da bi se utvrdili obrasci prijevara te da učinak istraga EPPO-a postane vidljiviji;</w:t>
            </w:r>
          </w:p>
        </w:tc>
        <w:tc>
          <w:tcPr>
            <w:tcW w:w="4876" w:type="dxa"/>
            <w:tcBorders>
              <w:top w:val="nil"/>
              <w:left w:val="nil"/>
              <w:bottom w:val="nil"/>
              <w:right w:val="nil"/>
            </w:tcBorders>
            <w:hideMark/>
          </w:tcPr>
          <w:p w14:paraId="6DE5E78D" w14:textId="77777777" w:rsidR="0088071B" w:rsidRPr="00C574C2" w:rsidRDefault="0088071B" w:rsidP="00730E82">
            <w:pPr>
              <w:pStyle w:val="Normal6a"/>
            </w:pPr>
            <w:r>
              <w:lastRenderedPageBreak/>
              <w:t>33.</w:t>
            </w:r>
            <w:r>
              <w:tab/>
              <w:t xml:space="preserve">svjestan je da praćenje i mjere daljnjeg postupanja, uključujući izvješćivanje o rezultatima povrata iznosa u proračun, nisu u nadležnosti EPPO-a te </w:t>
            </w:r>
            <w:r>
              <w:lastRenderedPageBreak/>
              <w:t xml:space="preserve">da su za njih potrebni resursi i posebne ovlasti; ponavlja </w:t>
            </w:r>
            <w:r>
              <w:rPr>
                <w:b/>
                <w:i/>
              </w:rPr>
              <w:t>poziv</w:t>
            </w:r>
            <w:r>
              <w:t xml:space="preserve"> upućen Komisiji da u okviru revizije strukture za borbu protiv prijevara utvrdi najprikladnije značajke kojima će se osigurati kontinuirani protok podataka i informacija u cilju omogućivanja temeljite analize; naglašava da su poboljšani sustav praćenja i više podataka s dobrom razinom </w:t>
            </w:r>
            <w:proofErr w:type="spellStart"/>
            <w:r>
              <w:t>granularnosti</w:t>
            </w:r>
            <w:proofErr w:type="spellEnd"/>
            <w:r>
              <w:t>, objedinjenih u klasterima po vrsti povrede dužnosti, sektoru interesa ili geografskom području potrebni da bi se utvrdili obrasci prijevara te da učinak istraga EPPO-a postane vidljiviji;</w:t>
            </w:r>
          </w:p>
        </w:tc>
      </w:tr>
    </w:tbl>
    <w:p w14:paraId="63881996"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774A8221" w14:textId="77777777" w:rsidR="0088071B" w:rsidRPr="00C574C2" w:rsidRDefault="0088071B" w:rsidP="0088071B">
      <w:r>
        <w:rPr>
          <w:rStyle w:val="HideTWBExt"/>
        </w:rPr>
        <w:t>&lt;/Amend&gt;</w:t>
      </w:r>
    </w:p>
    <w:p w14:paraId="1F234113" w14:textId="77777777" w:rsidR="0088071B" w:rsidRPr="00C574C2" w:rsidRDefault="0088071B" w:rsidP="0088071B">
      <w:pPr>
        <w:pStyle w:val="AmNumberTabs"/>
      </w:pPr>
      <w:r>
        <w:rPr>
          <w:rStyle w:val="HideTWBExt"/>
        </w:rPr>
        <w:t>&lt;Amend&gt;</w:t>
      </w:r>
      <w:r>
        <w:t>Amandman</w:t>
      </w:r>
      <w:r>
        <w:tab/>
      </w:r>
      <w:r>
        <w:tab/>
      </w:r>
      <w:r>
        <w:rPr>
          <w:rStyle w:val="HideTWBExt"/>
        </w:rPr>
        <w:t>&lt;NumAm&gt;</w:t>
      </w:r>
      <w:r>
        <w:t>32</w:t>
      </w:r>
      <w:r>
        <w:rPr>
          <w:rStyle w:val="HideTWBExt"/>
        </w:rPr>
        <w:t>&lt;/</w:t>
      </w:r>
      <w:proofErr w:type="spellStart"/>
      <w:r>
        <w:rPr>
          <w:rStyle w:val="HideTWBExt"/>
        </w:rPr>
        <w:t>NumAm</w:t>
      </w:r>
      <w:proofErr w:type="spellEnd"/>
      <w:r>
        <w:rPr>
          <w:rStyle w:val="HideTWBExt"/>
        </w:rPr>
        <w:t>&gt;</w:t>
      </w:r>
    </w:p>
    <w:p w14:paraId="26843E49"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3A563BD4"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19420E88" w14:textId="77777777" w:rsidR="0088071B" w:rsidRPr="00C574C2" w:rsidRDefault="0088071B" w:rsidP="0088071B">
      <w:pPr>
        <w:pStyle w:val="NormalBold"/>
      </w:pPr>
      <w:r>
        <w:rPr>
          <w:rStyle w:val="HideTWBExt"/>
          <w:b w:val="0"/>
        </w:rPr>
        <w:t>&lt;/RepeatBlock-By&gt;</w:t>
      </w:r>
    </w:p>
    <w:p w14:paraId="16343B12"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CCAD5D6" w14:textId="77777777" w:rsidR="0088071B" w:rsidRPr="00C574C2" w:rsidRDefault="0088071B" w:rsidP="0088071B">
      <w:pPr>
        <w:pStyle w:val="NormalBold"/>
      </w:pPr>
      <w:r>
        <w:rPr>
          <w:rStyle w:val="HideTWBExt"/>
        </w:rPr>
        <w:t>&lt;Article&gt;</w:t>
      </w:r>
      <w:r>
        <w:t>Stavak 38.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F5C4DE3" w14:textId="77777777" w:rsidTr="00730E82">
        <w:trPr>
          <w:trHeight w:val="240"/>
          <w:jc w:val="center"/>
        </w:trPr>
        <w:tc>
          <w:tcPr>
            <w:tcW w:w="9752" w:type="dxa"/>
            <w:gridSpan w:val="2"/>
            <w:tcBorders>
              <w:top w:val="nil"/>
              <w:left w:val="nil"/>
              <w:bottom w:val="nil"/>
              <w:right w:val="nil"/>
            </w:tcBorders>
          </w:tcPr>
          <w:p w14:paraId="3C7A6AB4" w14:textId="77777777" w:rsidR="0088071B" w:rsidRPr="00C574C2" w:rsidRDefault="0088071B" w:rsidP="00730E82"/>
        </w:tc>
      </w:tr>
      <w:tr w:rsidR="0088071B" w14:paraId="75FB49E1" w14:textId="77777777" w:rsidTr="00730E82">
        <w:trPr>
          <w:trHeight w:val="240"/>
          <w:jc w:val="center"/>
        </w:trPr>
        <w:tc>
          <w:tcPr>
            <w:tcW w:w="4876" w:type="dxa"/>
            <w:tcBorders>
              <w:top w:val="nil"/>
              <w:left w:val="nil"/>
              <w:bottom w:val="nil"/>
              <w:right w:val="nil"/>
            </w:tcBorders>
            <w:hideMark/>
          </w:tcPr>
          <w:p w14:paraId="5324D6C7"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7507DEA" w14:textId="77777777" w:rsidR="0088071B" w:rsidRPr="00C574C2" w:rsidRDefault="0088071B" w:rsidP="00730E82">
            <w:pPr>
              <w:pStyle w:val="AmColumnHeading"/>
            </w:pPr>
            <w:r>
              <w:t>Izmjena</w:t>
            </w:r>
          </w:p>
        </w:tc>
      </w:tr>
      <w:tr w:rsidR="0088071B" w14:paraId="0ECF9BBF" w14:textId="77777777" w:rsidTr="00730E82">
        <w:trPr>
          <w:jc w:val="center"/>
        </w:trPr>
        <w:tc>
          <w:tcPr>
            <w:tcW w:w="4876" w:type="dxa"/>
            <w:tcBorders>
              <w:top w:val="nil"/>
              <w:left w:val="nil"/>
              <w:bottom w:val="nil"/>
              <w:right w:val="nil"/>
            </w:tcBorders>
            <w:hideMark/>
          </w:tcPr>
          <w:p w14:paraId="444E2EB4" w14:textId="77777777" w:rsidR="0088071B" w:rsidRPr="00C574C2" w:rsidRDefault="0088071B" w:rsidP="00730E82">
            <w:pPr>
              <w:pStyle w:val="Normal6a"/>
            </w:pPr>
            <w:r>
              <w:t>38.</w:t>
            </w:r>
            <w:r>
              <w:tab/>
              <w:t xml:space="preserve">naglašava sve veću razinu uspješnosti EPPO-a, što dokazuje sve veći broj optužnica (205 u 2024. u usporedbi sa 139 u 2023., 87 u 2022. i 5 u 2021.) u naloga za zamrzavanje koje je dobio (u 2024. za 2,42 milijarde EUR u usporedbi s 1,5 milijardi EUR u 2023., 359,1 milijunom EUR u 2022. i 147 milijuna EUR u 2021.); primjećuje da su 102 kaznena predmeta zaključena sudskom presudom 2024. (48 predmeta u 2023. u usporedbi s njih 20 u 2022.); žali zbog toga što je nedostatak jasnog regulatornog okvira spriječio da EPPO dostavi ažurirane i pouzdane podatke o oduzimanjima za 2024. (60 milijuna EUR oduzeto je 2023., u usporedbi s 2022. kad </w:t>
            </w:r>
            <w:r>
              <w:lastRenderedPageBreak/>
              <w:t>su oduzeta 2 milijuna EUR);</w:t>
            </w:r>
          </w:p>
        </w:tc>
        <w:tc>
          <w:tcPr>
            <w:tcW w:w="4876" w:type="dxa"/>
            <w:tcBorders>
              <w:top w:val="nil"/>
              <w:left w:val="nil"/>
              <w:bottom w:val="nil"/>
              <w:right w:val="nil"/>
            </w:tcBorders>
            <w:hideMark/>
          </w:tcPr>
          <w:p w14:paraId="066293E0" w14:textId="77777777" w:rsidR="0088071B" w:rsidRPr="00C574C2" w:rsidRDefault="0088071B" w:rsidP="00730E82">
            <w:pPr>
              <w:pStyle w:val="Normal6a"/>
            </w:pPr>
            <w:r>
              <w:lastRenderedPageBreak/>
              <w:t>38.</w:t>
            </w:r>
            <w:r>
              <w:tab/>
              <w:t>naglašava sve veću razinu uspješnosti EPPO-a, što dokazuje sve veći broj optužnica (205 u 2024. u usporedbi sa 139 u 2023., 87 u 2022. i 5 u 2021.) u naloga za zamrzavanje koje je dobio (u 2024. za 2,42 milijarde EUR u usporedbi s 1,5 milijardi EUR u 2023., 359,1 milijunom EUR u 2022. i 147 milijuna EUR u 2021.);</w:t>
            </w:r>
            <w:r>
              <w:rPr>
                <w:b/>
                <w:i/>
              </w:rPr>
              <w:t xml:space="preserve"> žali zbog toga što nepostojanje jasnog i provedivog okvira za praćenje zaplijenjenih i vraćenih iznosa te izvješćivanje o njima i dalje sprečavaju potpunu procjenu proračunskog učinka istraga EPPO-a; ponavlja svoj poziv na donošenje zakonodavnih i proračunskih rješenja kako bi se osiguralo da se iznosi vraćeni </w:t>
            </w:r>
            <w:r>
              <w:rPr>
                <w:b/>
                <w:i/>
              </w:rPr>
              <w:lastRenderedPageBreak/>
              <w:t>nakon istraga pod vodstvom EPPO-a učinkovito prate, prijavljuju i vraćaju u proračun Unije;</w:t>
            </w:r>
            <w:r>
              <w:t xml:space="preserve"> primjećuje da su 102 kaznena predmeta zaključena sudskom presudom 2024. (48 predmeta u 2023. u usporedbi s njih 20 u 2022.); žali zbog toga što je nedostatak jasnog regulatornog okvira spriječio da EPPO dostavi ažurirane i pouzdane podatke o oduzimanjima za 2024. (60 milijuna EUR oduzeto je 2023., u usporedbi s 2022. kad su oduzeta 2 milijuna EUR);</w:t>
            </w:r>
          </w:p>
        </w:tc>
      </w:tr>
    </w:tbl>
    <w:p w14:paraId="4D9697AC"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5457E8C" w14:textId="77777777" w:rsidR="0088071B" w:rsidRPr="00C574C2" w:rsidRDefault="0088071B" w:rsidP="0088071B">
      <w:r>
        <w:rPr>
          <w:rStyle w:val="HideTWBExt"/>
        </w:rPr>
        <w:t>&lt;/Amend&gt;</w:t>
      </w:r>
    </w:p>
    <w:p w14:paraId="5DD8A90C" w14:textId="77777777" w:rsidR="0088071B" w:rsidRPr="00C574C2" w:rsidRDefault="0088071B" w:rsidP="0088071B">
      <w:pPr>
        <w:pStyle w:val="AmNumberTabs"/>
      </w:pPr>
      <w:r>
        <w:rPr>
          <w:rStyle w:val="HideTWBExt"/>
        </w:rPr>
        <w:t>&lt;Amend&gt;</w:t>
      </w:r>
      <w:r>
        <w:t>Amandman</w:t>
      </w:r>
      <w:r>
        <w:tab/>
      </w:r>
      <w:r>
        <w:tab/>
      </w:r>
      <w:r>
        <w:rPr>
          <w:rStyle w:val="HideTWBExt"/>
        </w:rPr>
        <w:t>&lt;NumAm&gt;</w:t>
      </w:r>
      <w:r>
        <w:t>33</w:t>
      </w:r>
      <w:r>
        <w:rPr>
          <w:rStyle w:val="HideTWBExt"/>
        </w:rPr>
        <w:t>&lt;/</w:t>
      </w:r>
      <w:proofErr w:type="spellStart"/>
      <w:r>
        <w:rPr>
          <w:rStyle w:val="HideTWBExt"/>
        </w:rPr>
        <w:t>NumAm</w:t>
      </w:r>
      <w:proofErr w:type="spellEnd"/>
      <w:r>
        <w:rPr>
          <w:rStyle w:val="HideTWBExt"/>
        </w:rPr>
        <w:t>&gt;</w:t>
      </w:r>
    </w:p>
    <w:p w14:paraId="5BDA19BC"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591A1C1C" w14:textId="77777777" w:rsidR="0088071B" w:rsidRPr="00C574C2" w:rsidRDefault="0088071B" w:rsidP="0088071B">
      <w:pPr>
        <w:pStyle w:val="NormalBold"/>
      </w:pPr>
      <w:r>
        <w:rPr>
          <w:rStyle w:val="HideTWBExt"/>
          <w:b w:val="0"/>
        </w:rPr>
        <w:t>&lt;/RepeatBlock-By&gt;</w:t>
      </w:r>
    </w:p>
    <w:p w14:paraId="59B53DB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90D12F0" w14:textId="77777777" w:rsidR="0088071B" w:rsidRPr="00C574C2" w:rsidRDefault="0088071B" w:rsidP="0088071B">
      <w:pPr>
        <w:pStyle w:val="NormalBold"/>
      </w:pPr>
      <w:r>
        <w:rPr>
          <w:rStyle w:val="HideTWBExt"/>
        </w:rPr>
        <w:t>&lt;Article&gt;</w:t>
      </w:r>
      <w:r>
        <w:t>Stavak 39.</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739A7B11" w14:textId="77777777" w:rsidTr="00730E82">
        <w:trPr>
          <w:trHeight w:val="240"/>
          <w:jc w:val="center"/>
        </w:trPr>
        <w:tc>
          <w:tcPr>
            <w:tcW w:w="9752" w:type="dxa"/>
            <w:gridSpan w:val="2"/>
            <w:tcBorders>
              <w:top w:val="nil"/>
              <w:left w:val="nil"/>
              <w:bottom w:val="nil"/>
              <w:right w:val="nil"/>
            </w:tcBorders>
          </w:tcPr>
          <w:p w14:paraId="259C2DEC" w14:textId="77777777" w:rsidR="0088071B" w:rsidRPr="00C574C2" w:rsidRDefault="0088071B" w:rsidP="00730E82"/>
        </w:tc>
      </w:tr>
      <w:tr w:rsidR="0088071B" w14:paraId="33C2DC26" w14:textId="77777777" w:rsidTr="00730E82">
        <w:trPr>
          <w:trHeight w:val="240"/>
          <w:jc w:val="center"/>
        </w:trPr>
        <w:tc>
          <w:tcPr>
            <w:tcW w:w="4876" w:type="dxa"/>
            <w:tcBorders>
              <w:top w:val="nil"/>
              <w:left w:val="nil"/>
              <w:bottom w:val="nil"/>
              <w:right w:val="nil"/>
            </w:tcBorders>
            <w:hideMark/>
          </w:tcPr>
          <w:p w14:paraId="08702E32"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52A8E0BF" w14:textId="77777777" w:rsidR="0088071B" w:rsidRPr="00C574C2" w:rsidRDefault="0088071B" w:rsidP="00730E82">
            <w:pPr>
              <w:pStyle w:val="AmColumnHeading"/>
            </w:pPr>
            <w:r>
              <w:t>Izmjena</w:t>
            </w:r>
          </w:p>
        </w:tc>
      </w:tr>
      <w:tr w:rsidR="0088071B" w14:paraId="561F01A4" w14:textId="77777777" w:rsidTr="00730E82">
        <w:trPr>
          <w:jc w:val="center"/>
        </w:trPr>
        <w:tc>
          <w:tcPr>
            <w:tcW w:w="4876" w:type="dxa"/>
            <w:tcBorders>
              <w:top w:val="nil"/>
              <w:left w:val="nil"/>
              <w:bottom w:val="nil"/>
              <w:right w:val="nil"/>
            </w:tcBorders>
            <w:hideMark/>
          </w:tcPr>
          <w:p w14:paraId="558472B3" w14:textId="77777777" w:rsidR="0088071B" w:rsidRPr="00C574C2" w:rsidRDefault="0088071B" w:rsidP="00730E82">
            <w:pPr>
              <w:pStyle w:val="Normal6a"/>
            </w:pPr>
            <w:r>
              <w:t>39.</w:t>
            </w:r>
            <w:r>
              <w:tab/>
              <w:t xml:space="preserve">izražava zabrinutost zbog broja otvorenih istraga u pogledu provedbe Mehanizma za oporavak i otpornost; naglašava da je do kraja 2024. EPPO vodio 311 aktivni predmet povezan s instrumentom </w:t>
            </w:r>
            <w:proofErr w:type="spellStart"/>
            <w:r>
              <w:t>NextGenerationEU</w:t>
            </w:r>
            <w:proofErr w:type="spellEnd"/>
            <w:r>
              <w:t xml:space="preserve">, od čega je njih 307 proizlazilo iz Mehanizma za oporavak i otpornost (233 na kraju 2023.), što čini oko 17 % svih aktivnih istraga prijevara i procijenjenu štetu za financijske interese Unije u iznosu od 2,8 milijardi EUR (što odgovara 30 % ukupno procijenjene štete od prijevara povezanih s rashodima, u usporedbi s 25 % u 2023.); primjećuje da istrage prijevara koje utječu na Mehanizam za oporavak i otpornost, a koje provodi EPPO otkrivaju znatne razlike među državama članicama, u smislu razlika u dodijeljenim sredstvima, kapacitetima za otkrivanje kaznenih djela i vrstama prijevara; žali zbog toga što države članice nisu obvezne prijavljivati predmete u okviru Mehanizma za oporavak i </w:t>
            </w:r>
            <w:r>
              <w:lastRenderedPageBreak/>
              <w:t>otpornost Komisiji u okviru sustava za upravljanje nepravilnostima, čime se de facto sprečava praćenje i strukturirana analiza predmeta u okviru Mehanizma za oporavak i otpornost; izražava zabrinutost zbog toga što prijave koje podnose institucije Unije, uključujući Komisiju, iznose manje od 3 %, što dovodi do daljnje zabrinutosti zbog sposobnosti Komisije da nadzire Mehanizam za oporavak i otpornosti;</w:t>
            </w:r>
          </w:p>
        </w:tc>
        <w:tc>
          <w:tcPr>
            <w:tcW w:w="4876" w:type="dxa"/>
            <w:tcBorders>
              <w:top w:val="nil"/>
              <w:left w:val="nil"/>
              <w:bottom w:val="nil"/>
              <w:right w:val="nil"/>
            </w:tcBorders>
            <w:hideMark/>
          </w:tcPr>
          <w:p w14:paraId="55310F26" w14:textId="77777777" w:rsidR="0088071B" w:rsidRPr="00C574C2" w:rsidRDefault="0088071B" w:rsidP="00730E82">
            <w:pPr>
              <w:pStyle w:val="Normal6a"/>
            </w:pPr>
            <w:r>
              <w:lastRenderedPageBreak/>
              <w:t>39.</w:t>
            </w:r>
            <w:r>
              <w:tab/>
              <w:t xml:space="preserve">izražava zabrinutost zbog broja otvorenih istraga u pogledu provedbe Mehanizma za oporavak i otpornost; naglašava da je do kraja 2024. EPPO vodio 311 aktivni predmet povezan s instrumentom </w:t>
            </w:r>
            <w:proofErr w:type="spellStart"/>
            <w:r>
              <w:t>NextGenerationEU</w:t>
            </w:r>
            <w:proofErr w:type="spellEnd"/>
            <w:r>
              <w:t xml:space="preserve">, od čega je njih 307 proizlazilo iz Mehanizma za oporavak i otpornost (233 na kraju 2023.), što čini oko 17 % svih aktivnih istraga prijevara i procijenjenu štetu za financijske interese Unije u iznosu od 2,8 milijardi EUR (što odgovara 30 % ukupno procijenjene štete od prijevara povezanih s rashodima, u usporedbi s 25 % u 2023.); primjećuje da istrage prijevara koje utječu na Mehanizam za oporavak i otpornost, a koje provodi EPPO otkrivaju znatne razlike među državama članicama, u smislu razlika u dodijeljenim sredstvima, kapacitetima za otkrivanje kaznenih djela i vrstama prijevara; žali zbog toga što države članice nisu obvezne prijavljivati predmete u okviru Mehanizma za oporavak i </w:t>
            </w:r>
            <w:r>
              <w:lastRenderedPageBreak/>
              <w:t xml:space="preserve">otpornost Komisiji u okviru sustava za upravljanje nepravilnostima, čime se de facto sprečava praćenje i strukturirana analiza predmeta u okviru Mehanizma za oporavak i otpornost; </w:t>
            </w:r>
            <w:r>
              <w:rPr>
                <w:b/>
                <w:i/>
              </w:rPr>
              <w:t>naglašava važnost suradnje među nacionalnim tijelima, EPPO-om i Komisijom kako bi se poboljšalo strukturirano izvješćivanje;</w:t>
            </w:r>
            <w:r>
              <w:t xml:space="preserve"> izražava zabrinutost zbog toga što prijave koje podnose institucije Unije, uključujući Komisiju, iznose manje od 3 %, što dovodi do daljnje zabrinutosti zbog sposobnosti Komisije da nadzire Mehanizam za oporavak i otpornosti; </w:t>
            </w:r>
            <w:r>
              <w:rPr>
                <w:b/>
                <w:i/>
              </w:rPr>
              <w:t>poziva Komisiju da u suradnji s EPPO-om poboljša interoperabilnost sustava izvješćivanja i pojasni uloge kako bi se osiguralo pouzdano praćenje nepravilnosti povezanih s Mehanizmom za oporavak i otpornost;</w:t>
            </w:r>
          </w:p>
        </w:tc>
      </w:tr>
    </w:tbl>
    <w:p w14:paraId="7E8ECC70"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4745D90D" w14:textId="77777777" w:rsidR="0088071B" w:rsidRPr="00C574C2" w:rsidRDefault="0088071B" w:rsidP="0088071B">
      <w:r>
        <w:rPr>
          <w:rStyle w:val="HideTWBExt"/>
        </w:rPr>
        <w:t>&lt;/Amend&gt;</w:t>
      </w:r>
    </w:p>
    <w:p w14:paraId="2E144E49" w14:textId="77777777" w:rsidR="0088071B" w:rsidRPr="00C574C2" w:rsidRDefault="0088071B" w:rsidP="0088071B">
      <w:pPr>
        <w:pStyle w:val="AmNumberTabs"/>
      </w:pPr>
      <w:r>
        <w:rPr>
          <w:rStyle w:val="HideTWBExt"/>
        </w:rPr>
        <w:t>&lt;Amend&gt;</w:t>
      </w:r>
      <w:r>
        <w:t>Amandman</w:t>
      </w:r>
      <w:r>
        <w:tab/>
      </w:r>
      <w:r>
        <w:tab/>
      </w:r>
      <w:r>
        <w:rPr>
          <w:rStyle w:val="HideTWBExt"/>
        </w:rPr>
        <w:t>&lt;NumAm&gt;</w:t>
      </w:r>
      <w:r>
        <w:t>34</w:t>
      </w:r>
      <w:r>
        <w:rPr>
          <w:rStyle w:val="HideTWBExt"/>
        </w:rPr>
        <w:t>&lt;/</w:t>
      </w:r>
      <w:proofErr w:type="spellStart"/>
      <w:r>
        <w:rPr>
          <w:rStyle w:val="HideTWBExt"/>
        </w:rPr>
        <w:t>NumAm</w:t>
      </w:r>
      <w:proofErr w:type="spellEnd"/>
      <w:r>
        <w:rPr>
          <w:rStyle w:val="HideTWBExt"/>
        </w:rPr>
        <w:t>&gt;</w:t>
      </w:r>
    </w:p>
    <w:p w14:paraId="5C0C151E"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56930E7E"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629FD582" w14:textId="77777777" w:rsidR="0088071B" w:rsidRPr="00C574C2" w:rsidRDefault="0088071B" w:rsidP="0088071B">
      <w:pPr>
        <w:pStyle w:val="NormalBold"/>
      </w:pPr>
      <w:r>
        <w:rPr>
          <w:rStyle w:val="HideTWBExt"/>
          <w:b w:val="0"/>
        </w:rPr>
        <w:t>&lt;/RepeatBlock-By&gt;</w:t>
      </w:r>
    </w:p>
    <w:p w14:paraId="28CEBEFC"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E818C76" w14:textId="77777777" w:rsidR="0088071B" w:rsidRPr="00C574C2" w:rsidRDefault="0088071B" w:rsidP="0088071B">
      <w:pPr>
        <w:pStyle w:val="NormalBold"/>
      </w:pPr>
      <w:r>
        <w:rPr>
          <w:rStyle w:val="HideTWBExt"/>
        </w:rPr>
        <w:t>&lt;Article&gt;</w:t>
      </w:r>
      <w:r>
        <w:t>Stavak 39.</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04F05A11" w14:textId="77777777" w:rsidTr="00730E82">
        <w:trPr>
          <w:trHeight w:val="240"/>
          <w:jc w:val="center"/>
        </w:trPr>
        <w:tc>
          <w:tcPr>
            <w:tcW w:w="9752" w:type="dxa"/>
            <w:gridSpan w:val="2"/>
            <w:tcBorders>
              <w:top w:val="nil"/>
              <w:left w:val="nil"/>
              <w:bottom w:val="nil"/>
              <w:right w:val="nil"/>
            </w:tcBorders>
          </w:tcPr>
          <w:p w14:paraId="6AF64635" w14:textId="77777777" w:rsidR="0088071B" w:rsidRPr="00C574C2" w:rsidRDefault="0088071B" w:rsidP="00730E82"/>
        </w:tc>
      </w:tr>
      <w:tr w:rsidR="0088071B" w14:paraId="63B15C2D" w14:textId="77777777" w:rsidTr="00730E82">
        <w:trPr>
          <w:trHeight w:val="240"/>
          <w:jc w:val="center"/>
        </w:trPr>
        <w:tc>
          <w:tcPr>
            <w:tcW w:w="4876" w:type="dxa"/>
            <w:tcBorders>
              <w:top w:val="nil"/>
              <w:left w:val="nil"/>
              <w:bottom w:val="nil"/>
              <w:right w:val="nil"/>
            </w:tcBorders>
            <w:hideMark/>
          </w:tcPr>
          <w:p w14:paraId="13BBE691"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2A88F87B" w14:textId="77777777" w:rsidR="0088071B" w:rsidRPr="00C574C2" w:rsidRDefault="0088071B" w:rsidP="00730E82">
            <w:pPr>
              <w:pStyle w:val="AmColumnHeading"/>
            </w:pPr>
            <w:r>
              <w:t>Izmjena</w:t>
            </w:r>
          </w:p>
        </w:tc>
      </w:tr>
      <w:tr w:rsidR="0088071B" w14:paraId="7334A274" w14:textId="77777777" w:rsidTr="00730E82">
        <w:trPr>
          <w:jc w:val="center"/>
        </w:trPr>
        <w:tc>
          <w:tcPr>
            <w:tcW w:w="4876" w:type="dxa"/>
            <w:tcBorders>
              <w:top w:val="nil"/>
              <w:left w:val="nil"/>
              <w:bottom w:val="nil"/>
              <w:right w:val="nil"/>
            </w:tcBorders>
            <w:hideMark/>
          </w:tcPr>
          <w:p w14:paraId="262A0DDB" w14:textId="77777777" w:rsidR="0088071B" w:rsidRPr="00C574C2" w:rsidRDefault="0088071B" w:rsidP="00730E82">
            <w:pPr>
              <w:pStyle w:val="Normal6a"/>
            </w:pPr>
            <w:r>
              <w:t>39.</w:t>
            </w:r>
            <w:r>
              <w:tab/>
              <w:t xml:space="preserve">izražava zabrinutost zbog broja otvorenih istraga u pogledu provedbe Mehanizma za oporavak i otpornost; naglašava da je do kraja 2024. EPPO vodio 311 aktivni predmet povezan s instrumentom </w:t>
            </w:r>
            <w:proofErr w:type="spellStart"/>
            <w:r>
              <w:t>NextGenerationEU</w:t>
            </w:r>
            <w:proofErr w:type="spellEnd"/>
            <w:r>
              <w:t xml:space="preserve">, od čega je njih 307 proizlazilo iz Mehanizma za oporavak i otpornost (233 na kraju 2023.), što čini oko 17 % svih aktivnih istraga prijevara i procijenjenu štetu za financijske interese Unije u iznosu od 2,8 milijardi EUR (što odgovara 30 % ukupno procijenjene štete od prijevara povezanih s rashodima, u usporedbi s 25 % </w:t>
            </w:r>
            <w:r>
              <w:lastRenderedPageBreak/>
              <w:t xml:space="preserve">u 2023.); primjećuje da istrage prijevara koje utječu na Mehanizam za oporavak i otpornost, a koje provodi EPPO otkrivaju znatne razlike među državama članicama, u smislu razlika u dodijeljenim sredstvima, kapacitetima za otkrivanje kaznenih djela i vrstama prijevara; </w:t>
            </w:r>
            <w:r>
              <w:rPr>
                <w:b/>
                <w:i/>
              </w:rPr>
              <w:t>žali</w:t>
            </w:r>
            <w:r>
              <w:t xml:space="preserve"> zbog toga što države članice nisu obvezne prijavljivati predmete u okviru Mehanizma za oporavak i otpornost Komisiji u okviru sustava za upravljanje nepravilnostima, čime se </w:t>
            </w:r>
            <w:r>
              <w:rPr>
                <w:b/>
                <w:i/>
              </w:rPr>
              <w:t xml:space="preserve">de facto </w:t>
            </w:r>
            <w:r>
              <w:t xml:space="preserve">sprečava praćenje i </w:t>
            </w:r>
            <w:r>
              <w:rPr>
                <w:b/>
                <w:i/>
              </w:rPr>
              <w:t>strukturirana analiza predmeta</w:t>
            </w:r>
            <w:r>
              <w:t xml:space="preserve"> u okviru Mehanizma za oporavak i otpornost; izražava zabrinutost zbog </w:t>
            </w:r>
            <w:r>
              <w:rPr>
                <w:b/>
                <w:i/>
              </w:rPr>
              <w:t>toga što prijave</w:t>
            </w:r>
            <w:r>
              <w:t xml:space="preserve"> koje </w:t>
            </w:r>
            <w:r>
              <w:rPr>
                <w:b/>
                <w:i/>
              </w:rPr>
              <w:t>podnose</w:t>
            </w:r>
            <w:r>
              <w:t xml:space="preserve"> institucije Unije, uključujući Komisiju, </w:t>
            </w:r>
            <w:r>
              <w:rPr>
                <w:b/>
                <w:i/>
              </w:rPr>
              <w:t>iznose manje od 3 %, što dovodi do daljnje zabrinutosti zbog sposobnosti Komisije da nadzire Mehanizam za oporavak i otpornosti</w:t>
            </w:r>
            <w:r>
              <w:t>;</w:t>
            </w:r>
          </w:p>
        </w:tc>
        <w:tc>
          <w:tcPr>
            <w:tcW w:w="4876" w:type="dxa"/>
            <w:tcBorders>
              <w:top w:val="nil"/>
              <w:left w:val="nil"/>
              <w:bottom w:val="nil"/>
              <w:right w:val="nil"/>
            </w:tcBorders>
            <w:hideMark/>
          </w:tcPr>
          <w:p w14:paraId="3662466D" w14:textId="77777777" w:rsidR="0088071B" w:rsidRPr="00C574C2" w:rsidRDefault="0088071B" w:rsidP="00730E82">
            <w:pPr>
              <w:pStyle w:val="Normal6a"/>
            </w:pPr>
            <w:r>
              <w:lastRenderedPageBreak/>
              <w:t>39.</w:t>
            </w:r>
            <w:r>
              <w:tab/>
              <w:t xml:space="preserve">izražava zabrinutost zbog broja otvorenih istraga u pogledu provedbe Mehanizma za oporavak i otpornost; naglašava da je do kraja 2024. EPPO vodio 311 aktivni predmet povezan s instrumentom </w:t>
            </w:r>
            <w:proofErr w:type="spellStart"/>
            <w:r>
              <w:t>NextGenerationEU</w:t>
            </w:r>
            <w:proofErr w:type="spellEnd"/>
            <w:r>
              <w:t xml:space="preserve">, od čega je njih 307 proizlazilo iz Mehanizma za oporavak i otpornost (233 na kraju 2023.), što čini oko 17 % svih aktivnih istraga prijevara i procijenjenu štetu za financijske interese Unije u iznosu od 2,8 milijardi EUR (što odgovara 30 % ukupno procijenjene štete od prijevara povezanih s rashodima, u usporedbi s 25 % </w:t>
            </w:r>
            <w:r>
              <w:lastRenderedPageBreak/>
              <w:t xml:space="preserve">u 2023.); primjećuje da istrage prijevara koje utječu na Mehanizam za oporavak i otpornost, a koje provodi EPPO otkrivaju znatne razlike među državama članicama, u smislu razlika u dodijeljenim sredstvima, kapacitetima za otkrivanje kaznenih djela i vrstama prijevara; </w:t>
            </w:r>
            <w:r>
              <w:rPr>
                <w:b/>
                <w:i/>
              </w:rPr>
              <w:t>zabrinut je</w:t>
            </w:r>
            <w:r>
              <w:t xml:space="preserve"> zbog toga što države članice nisu obvezne prijavljivati predmete u okviru Mehanizma za oporavak i otpornost Komisiji u okviru sustava za upravljanje nepravilnostima, čime se sprečava </w:t>
            </w:r>
            <w:r>
              <w:rPr>
                <w:b/>
                <w:i/>
              </w:rPr>
              <w:t xml:space="preserve">strukturirano </w:t>
            </w:r>
            <w:r>
              <w:t xml:space="preserve">praćenje i </w:t>
            </w:r>
            <w:r>
              <w:rPr>
                <w:b/>
                <w:i/>
              </w:rPr>
              <w:t>analiza rizika u vezi s predmetima</w:t>
            </w:r>
            <w:r>
              <w:t xml:space="preserve"> u okviru Mehanizma za oporavak i otpornost; izražava zabrinutost zbog </w:t>
            </w:r>
            <w:r>
              <w:rPr>
                <w:b/>
                <w:i/>
              </w:rPr>
              <w:t>predmeta</w:t>
            </w:r>
            <w:r>
              <w:t xml:space="preserve"> koje </w:t>
            </w:r>
            <w:r>
              <w:rPr>
                <w:b/>
                <w:i/>
              </w:rPr>
              <w:t>su prijavile</w:t>
            </w:r>
            <w:r>
              <w:t xml:space="preserve"> institucije Unije, uključujući Komisiju, </w:t>
            </w:r>
            <w:r>
              <w:rPr>
                <w:b/>
                <w:i/>
              </w:rPr>
              <w:t>a koji ukazuju na potrebu da se ti nedostaci hitno otklone kako bi se zaštitili financijski interesi Unije</w:t>
            </w:r>
            <w:r>
              <w:t>;</w:t>
            </w:r>
          </w:p>
        </w:tc>
      </w:tr>
    </w:tbl>
    <w:p w14:paraId="45493AB2"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55D9090" w14:textId="77777777" w:rsidR="0088071B" w:rsidRPr="00C574C2" w:rsidRDefault="0088071B" w:rsidP="0088071B">
      <w:r>
        <w:rPr>
          <w:rStyle w:val="HideTWBExt"/>
        </w:rPr>
        <w:t>&lt;/Amend&gt;</w:t>
      </w:r>
    </w:p>
    <w:p w14:paraId="0C434972" w14:textId="77777777" w:rsidR="0088071B" w:rsidRPr="00C574C2" w:rsidRDefault="0088071B" w:rsidP="0088071B">
      <w:pPr>
        <w:pStyle w:val="AmNumberTabs"/>
      </w:pPr>
      <w:r>
        <w:rPr>
          <w:rStyle w:val="HideTWBExt"/>
        </w:rPr>
        <w:t>&lt;Amend&gt;</w:t>
      </w:r>
      <w:r>
        <w:t>Amandman</w:t>
      </w:r>
      <w:r>
        <w:tab/>
      </w:r>
      <w:r>
        <w:tab/>
      </w:r>
      <w:r>
        <w:rPr>
          <w:rStyle w:val="HideTWBExt"/>
        </w:rPr>
        <w:t>&lt;NumAm&gt;</w:t>
      </w:r>
      <w:r>
        <w:t>35</w:t>
      </w:r>
      <w:r>
        <w:rPr>
          <w:rStyle w:val="HideTWBExt"/>
        </w:rPr>
        <w:t>&lt;/</w:t>
      </w:r>
      <w:proofErr w:type="spellStart"/>
      <w:r>
        <w:rPr>
          <w:rStyle w:val="HideTWBExt"/>
        </w:rPr>
        <w:t>NumAm</w:t>
      </w:r>
      <w:proofErr w:type="spellEnd"/>
      <w:r>
        <w:rPr>
          <w:rStyle w:val="HideTWBExt"/>
        </w:rPr>
        <w:t>&gt;</w:t>
      </w:r>
    </w:p>
    <w:p w14:paraId="0C6558AF"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2707E2E1" w14:textId="77777777" w:rsidR="0088071B" w:rsidRPr="00C574C2" w:rsidRDefault="0088071B" w:rsidP="0088071B">
      <w:pPr>
        <w:pStyle w:val="NormalBold"/>
      </w:pPr>
      <w:r>
        <w:rPr>
          <w:rStyle w:val="HideTWBExt"/>
          <w:b w:val="0"/>
        </w:rPr>
        <w:t>&lt;/RepeatBlock-By&gt;</w:t>
      </w:r>
    </w:p>
    <w:p w14:paraId="7497992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6DAFE40" w14:textId="77777777" w:rsidR="0088071B" w:rsidRPr="00C574C2" w:rsidRDefault="0088071B" w:rsidP="0088071B">
      <w:pPr>
        <w:pStyle w:val="NormalBold"/>
      </w:pPr>
      <w:r>
        <w:rPr>
          <w:rStyle w:val="HideTWBExt"/>
        </w:rPr>
        <w:t>&lt;Article&gt;</w:t>
      </w:r>
      <w:r>
        <w:t>Stavak 41.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AD623AF" w14:textId="77777777" w:rsidTr="00730E82">
        <w:trPr>
          <w:trHeight w:val="240"/>
          <w:jc w:val="center"/>
        </w:trPr>
        <w:tc>
          <w:tcPr>
            <w:tcW w:w="9752" w:type="dxa"/>
            <w:gridSpan w:val="2"/>
            <w:tcBorders>
              <w:top w:val="nil"/>
              <w:left w:val="nil"/>
              <w:bottom w:val="nil"/>
              <w:right w:val="nil"/>
            </w:tcBorders>
          </w:tcPr>
          <w:p w14:paraId="4A58C6F9" w14:textId="77777777" w:rsidR="0088071B" w:rsidRPr="00C574C2" w:rsidRDefault="0088071B" w:rsidP="00730E82"/>
        </w:tc>
      </w:tr>
      <w:tr w:rsidR="0088071B" w14:paraId="1B4AB3E8" w14:textId="77777777" w:rsidTr="00730E82">
        <w:trPr>
          <w:trHeight w:val="240"/>
          <w:jc w:val="center"/>
        </w:trPr>
        <w:tc>
          <w:tcPr>
            <w:tcW w:w="4876" w:type="dxa"/>
            <w:tcBorders>
              <w:top w:val="nil"/>
              <w:left w:val="nil"/>
              <w:bottom w:val="nil"/>
              <w:right w:val="nil"/>
            </w:tcBorders>
            <w:hideMark/>
          </w:tcPr>
          <w:p w14:paraId="1423D9A0"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3E609BED" w14:textId="77777777" w:rsidR="0088071B" w:rsidRPr="00C574C2" w:rsidRDefault="0088071B" w:rsidP="00730E82">
            <w:pPr>
              <w:pStyle w:val="AmColumnHeading"/>
            </w:pPr>
            <w:r>
              <w:t>Izmjena</w:t>
            </w:r>
          </w:p>
        </w:tc>
      </w:tr>
      <w:tr w:rsidR="0088071B" w14:paraId="32473F25" w14:textId="77777777" w:rsidTr="00730E82">
        <w:trPr>
          <w:jc w:val="center"/>
        </w:trPr>
        <w:tc>
          <w:tcPr>
            <w:tcW w:w="4876" w:type="dxa"/>
            <w:tcBorders>
              <w:top w:val="nil"/>
              <w:left w:val="nil"/>
              <w:bottom w:val="nil"/>
              <w:right w:val="nil"/>
            </w:tcBorders>
            <w:hideMark/>
          </w:tcPr>
          <w:p w14:paraId="1BE498D6" w14:textId="77777777" w:rsidR="0088071B" w:rsidRPr="00C574C2" w:rsidRDefault="0088071B" w:rsidP="00730E82">
            <w:pPr>
              <w:pStyle w:val="Normal6a"/>
            </w:pPr>
            <w:r>
              <w:t>41.</w:t>
            </w:r>
            <w:r>
              <w:tab/>
              <w:t xml:space="preserve">primjećuje da se oko 6 % kaznenih djela koje je EPPO istražio do kraja 2024. odnosilo na sudjelovanje u određenoj zločinačkoj organizaciji čije su kriminalne aktivnosti one utvrđene u Direktivi (EU) 2017/1371 (kaznena djela povezana sa zaštitom financijskih interesa EU-a); ponavlja da se samo poboljšanom suradnjom među sastavnicama strukture za borbu protiv prijevara mogu učinkovito suzbijati takve prijevarne aktivnosti te zaštititi ostvarivanje ciljeva Mehanizma za oporavak i otpornost, kao i općenito politike Unije; smatra da se samo </w:t>
            </w:r>
            <w:r>
              <w:lastRenderedPageBreak/>
              <w:t>zajednički koordiniranom provedbom pravosudnih i upravnih mjera mogu zaštititi financijski interesi Unije i ponavlja svoj poziv Komisiji da osigura dostatnu potporu EPPO-u za poticanje uvođenja korektivnih mjera koje prate neovisne istrage EPPO-a i njegov kazneni progon kaznenih djela koje utječu na Mehanizam za oporavak i otpornost; potiče Komisiju da obavješćuje proračunsko tijelo Unije o ishodima tog djelovanja;</w:t>
            </w:r>
          </w:p>
        </w:tc>
        <w:tc>
          <w:tcPr>
            <w:tcW w:w="4876" w:type="dxa"/>
            <w:tcBorders>
              <w:top w:val="nil"/>
              <w:left w:val="nil"/>
              <w:bottom w:val="nil"/>
              <w:right w:val="nil"/>
            </w:tcBorders>
            <w:hideMark/>
          </w:tcPr>
          <w:p w14:paraId="2BC7FD25" w14:textId="77777777" w:rsidR="0088071B" w:rsidRPr="00C574C2" w:rsidRDefault="0088071B" w:rsidP="00730E82">
            <w:pPr>
              <w:pStyle w:val="Normal6a"/>
            </w:pPr>
            <w:r>
              <w:lastRenderedPageBreak/>
              <w:t>41.</w:t>
            </w:r>
            <w:r>
              <w:tab/>
              <w:t xml:space="preserve">primjećuje da se oko 6 % kaznenih djela koje je EPPO istražio do kraja 2024. odnosilo na sudjelovanje u određenoj zločinačkoj organizaciji čije su kriminalne aktivnosti one utvrđene u Direktivi (EU) 2017/1371 (kaznena djela povezana sa zaštitom financijskih interesa EU-a); ponavlja da se samo poboljšanom suradnjom među sastavnicama strukture za borbu protiv prijevara mogu učinkovito suzbijati takve prijevarne aktivnosti te zaštititi ostvarivanje ciljeva Mehanizma za oporavak i otpornost, kao i općenito politike Unije; smatra da se samo </w:t>
            </w:r>
            <w:r>
              <w:lastRenderedPageBreak/>
              <w:t xml:space="preserve">zajednički koordiniranom provedbom pravosudnih i upravnih mjera mogu zaštititi financijski interesi Unije i ponavlja svoj poziv Komisiji da osigura dostatnu potporu EPPO-u za poticanje uvođenja korektivnih mjera koje prate neovisne istrage EPPO-a i njegov kazneni progon kaznenih djela koje utječu na Mehanizam za oporavak i otpornost; </w:t>
            </w:r>
            <w:r>
              <w:rPr>
                <w:b/>
                <w:i/>
              </w:rPr>
              <w:t>poziva na jačanje koordinacijskog okvira u kojemu sudjeluju EPPO, Komisija i države članice, a čiji je cilj jačanje istraga i sprečavanja prijevara povezanih s Mehanizmom za oporavak i otpornost, osiguravanje sustavnog daljnjeg postupanja u vezi s istragama EPPO-a i poboljšanje razmjene relevantnih informacija;</w:t>
            </w:r>
            <w:r>
              <w:t xml:space="preserve"> potiče Komisiju da obavješćuje proračunsko tijelo Unije o ishodima tog djelovanja;</w:t>
            </w:r>
          </w:p>
        </w:tc>
      </w:tr>
    </w:tbl>
    <w:p w14:paraId="724E4BF3"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40C49D7E" w14:textId="77777777" w:rsidR="0088071B" w:rsidRPr="00C574C2" w:rsidRDefault="0088071B" w:rsidP="0088071B">
      <w:r>
        <w:rPr>
          <w:rStyle w:val="HideTWBExt"/>
        </w:rPr>
        <w:t>&lt;/Amend&gt;</w:t>
      </w:r>
    </w:p>
    <w:p w14:paraId="33E63690" w14:textId="77777777" w:rsidR="0088071B" w:rsidRPr="00C574C2" w:rsidRDefault="0088071B" w:rsidP="0088071B">
      <w:pPr>
        <w:pStyle w:val="AmNumberTabs"/>
      </w:pPr>
      <w:r>
        <w:rPr>
          <w:rStyle w:val="HideTWBExt"/>
        </w:rPr>
        <w:t>&lt;Amend&gt;</w:t>
      </w:r>
      <w:r>
        <w:t>Amandman</w:t>
      </w:r>
      <w:r>
        <w:tab/>
      </w:r>
      <w:r>
        <w:tab/>
      </w:r>
      <w:r>
        <w:rPr>
          <w:rStyle w:val="HideTWBExt"/>
        </w:rPr>
        <w:t>&lt;NumAm&gt;</w:t>
      </w:r>
      <w:r>
        <w:t>36</w:t>
      </w:r>
      <w:r>
        <w:rPr>
          <w:rStyle w:val="HideTWBExt"/>
        </w:rPr>
        <w:t>&lt;/</w:t>
      </w:r>
      <w:proofErr w:type="spellStart"/>
      <w:r>
        <w:rPr>
          <w:rStyle w:val="HideTWBExt"/>
        </w:rPr>
        <w:t>NumAm</w:t>
      </w:r>
      <w:proofErr w:type="spellEnd"/>
      <w:r>
        <w:rPr>
          <w:rStyle w:val="HideTWBExt"/>
        </w:rPr>
        <w:t>&gt;</w:t>
      </w:r>
    </w:p>
    <w:p w14:paraId="21C810B9"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13365DF4" w14:textId="77777777" w:rsidR="0088071B" w:rsidRPr="00C574C2" w:rsidRDefault="0088071B" w:rsidP="0088071B">
      <w:pPr>
        <w:pStyle w:val="NormalBold"/>
      </w:pPr>
      <w:r>
        <w:rPr>
          <w:rStyle w:val="HideTWBExt"/>
          <w:b w:val="0"/>
        </w:rPr>
        <w:t>&lt;/RepeatBlock-By&gt;</w:t>
      </w:r>
    </w:p>
    <w:p w14:paraId="27BF1DD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9E80CBA" w14:textId="77777777" w:rsidR="0088071B" w:rsidRPr="00C574C2" w:rsidRDefault="0088071B" w:rsidP="0088071B">
      <w:pPr>
        <w:pStyle w:val="NormalBold"/>
      </w:pPr>
      <w:r>
        <w:rPr>
          <w:rStyle w:val="HideTWBExt"/>
        </w:rPr>
        <w:t>&lt;Article&gt;</w:t>
      </w:r>
      <w:r>
        <w:t>Stavak 44.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765BCA66" w14:textId="77777777" w:rsidTr="00730E82">
        <w:trPr>
          <w:trHeight w:val="240"/>
          <w:jc w:val="center"/>
        </w:trPr>
        <w:tc>
          <w:tcPr>
            <w:tcW w:w="9752" w:type="dxa"/>
            <w:gridSpan w:val="2"/>
            <w:tcBorders>
              <w:top w:val="nil"/>
              <w:left w:val="nil"/>
              <w:bottom w:val="nil"/>
              <w:right w:val="nil"/>
            </w:tcBorders>
          </w:tcPr>
          <w:p w14:paraId="063D3D0D" w14:textId="77777777" w:rsidR="0088071B" w:rsidRPr="00C574C2" w:rsidRDefault="0088071B" w:rsidP="00730E82"/>
        </w:tc>
      </w:tr>
      <w:tr w:rsidR="0088071B" w14:paraId="37D2D25D" w14:textId="77777777" w:rsidTr="00730E82">
        <w:trPr>
          <w:trHeight w:val="240"/>
          <w:jc w:val="center"/>
        </w:trPr>
        <w:tc>
          <w:tcPr>
            <w:tcW w:w="4876" w:type="dxa"/>
            <w:tcBorders>
              <w:top w:val="nil"/>
              <w:left w:val="nil"/>
              <w:bottom w:val="nil"/>
              <w:right w:val="nil"/>
            </w:tcBorders>
            <w:hideMark/>
          </w:tcPr>
          <w:p w14:paraId="3A70B17A"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10556A11" w14:textId="77777777" w:rsidR="0088071B" w:rsidRPr="00C574C2" w:rsidRDefault="0088071B" w:rsidP="00730E82">
            <w:pPr>
              <w:pStyle w:val="AmColumnHeading"/>
            </w:pPr>
            <w:r>
              <w:t>Izmjena</w:t>
            </w:r>
          </w:p>
        </w:tc>
      </w:tr>
      <w:tr w:rsidR="0088071B" w14:paraId="64B45914" w14:textId="77777777" w:rsidTr="00730E82">
        <w:trPr>
          <w:jc w:val="center"/>
        </w:trPr>
        <w:tc>
          <w:tcPr>
            <w:tcW w:w="4876" w:type="dxa"/>
            <w:tcBorders>
              <w:top w:val="nil"/>
              <w:left w:val="nil"/>
              <w:bottom w:val="nil"/>
              <w:right w:val="nil"/>
            </w:tcBorders>
            <w:hideMark/>
          </w:tcPr>
          <w:p w14:paraId="2DDCF880" w14:textId="77777777" w:rsidR="0088071B" w:rsidRPr="00C574C2" w:rsidRDefault="0088071B" w:rsidP="00730E82">
            <w:pPr>
              <w:pStyle w:val="Normal6a"/>
            </w:pPr>
            <w:r>
              <w:t>44.</w:t>
            </w:r>
            <w:r>
              <w:tab/>
              <w:t xml:space="preserve">svjestan je da je EPPO zatražio 419 radnih mjesta u svojem planu radnih mjesta do kraja 2024., a umjesto toga mu je odobreno njih 289; naglašava da je 2025. zatraženo 513 radnih mjesta te da ih je tada odobreno samo 307, što je povećalo razliku između potrebnih i dodijeljenih resursa; slaže se s EPPO-om da će se bez zatraženog povećanja broja zaposlenih znatno smanjiti sposobnost EPPO-a da učinkovito izvršava svoj mandat u skladu s očekivanjima građana Unije, nastavit će se povećavati broj neriješenih predmeta, kasnit će provedba pravosudnih postupaka u slučajevima prijevara koje utječu na </w:t>
            </w:r>
            <w:r>
              <w:lastRenderedPageBreak/>
              <w:t>financijske interese Unije, a borba protiv zločinačkih organizacija koje kraju javna financijska sredstva i štete europskim gospodarstvima bit će daleko manje učinkovita; prima na znanje napomene EPPO-a o tome da osoblje sve češće skuplja višak radnih sati zbog ograničenih resursa i povećanog radnog opterećenja pojedinaca, čime se mogu stvoriti rizici za individualnu otpornost i eventualne povećane fluktuacije osoblja;</w:t>
            </w:r>
          </w:p>
        </w:tc>
        <w:tc>
          <w:tcPr>
            <w:tcW w:w="4876" w:type="dxa"/>
            <w:tcBorders>
              <w:top w:val="nil"/>
              <w:left w:val="nil"/>
              <w:bottom w:val="nil"/>
              <w:right w:val="nil"/>
            </w:tcBorders>
            <w:hideMark/>
          </w:tcPr>
          <w:p w14:paraId="1136219E" w14:textId="77777777" w:rsidR="0088071B" w:rsidRPr="00C574C2" w:rsidRDefault="0088071B" w:rsidP="00730E82">
            <w:pPr>
              <w:pStyle w:val="Normal6a"/>
            </w:pPr>
            <w:r>
              <w:lastRenderedPageBreak/>
              <w:t>44.</w:t>
            </w:r>
            <w:r>
              <w:tab/>
              <w:t xml:space="preserve">svjestan je da je EPPO zatražio 419 radnih mjesta u svojem planu radnih mjesta do kraja 2024., a umjesto toga mu je odobreno njih 289; naglašava da je 2025. zatraženo 513 radnih mjesta te da ih je tada odobreno samo 307, što je povećalo razliku između potrebnih i dodijeljenih resursa; slaže se s EPPO-om da će se bez zatraženog povećanja broja zaposlenih znatno smanjiti sposobnost EPPO-a da učinkovito izvršava svoj mandat u skladu s očekivanjima građana Unije, nastavit će se povećavati broj neriješenih predmeta, kasnit će provedba pravosudnih postupaka u slučajevima prijevara koje utječu na </w:t>
            </w:r>
            <w:r>
              <w:lastRenderedPageBreak/>
              <w:t xml:space="preserve">financijske interese Unije, a borba protiv zločinačkih organizacija koje kraju javna financijska sredstva i štete europskim gospodarstvima bit će daleko manje učinkovita; prima na znanje napomene EPPO-a o tome da osoblje sve češće skuplja višak radnih sati zbog ograničenih resursa i povećanog radnog opterećenja pojedinaca, čime se mogu stvoriti rizici za individualnu otpornost i eventualne povećane fluktuacije osoblja; </w:t>
            </w:r>
            <w:r>
              <w:rPr>
                <w:b/>
                <w:i/>
              </w:rPr>
              <w:t>stoga ističe potrebu da Ured europskog javnog tužitelja raspolaže odgovarajućim osobljem i proračunskim sredstvima u skladu sa zadaćama koje su mu povjerene;</w:t>
            </w:r>
          </w:p>
        </w:tc>
      </w:tr>
    </w:tbl>
    <w:p w14:paraId="75CA3452"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94628BF" w14:textId="77777777" w:rsidR="0088071B" w:rsidRPr="00C574C2" w:rsidRDefault="0088071B" w:rsidP="0088071B">
      <w:r>
        <w:rPr>
          <w:rStyle w:val="HideTWBExt"/>
        </w:rPr>
        <w:t>&lt;/Amend&gt;</w:t>
      </w:r>
    </w:p>
    <w:p w14:paraId="08A3EB78" w14:textId="77777777" w:rsidR="0088071B" w:rsidRPr="00C574C2" w:rsidRDefault="0088071B" w:rsidP="0088071B">
      <w:pPr>
        <w:pStyle w:val="AmNumberTabs"/>
      </w:pPr>
      <w:r>
        <w:rPr>
          <w:rStyle w:val="HideTWBExt"/>
        </w:rPr>
        <w:t>&lt;Amend&gt;</w:t>
      </w:r>
      <w:r>
        <w:t>Amandman</w:t>
      </w:r>
      <w:r>
        <w:tab/>
      </w:r>
      <w:r>
        <w:tab/>
      </w:r>
      <w:r>
        <w:rPr>
          <w:rStyle w:val="HideTWBExt"/>
        </w:rPr>
        <w:t>&lt;NumAm&gt;</w:t>
      </w:r>
      <w:r>
        <w:t>37</w:t>
      </w:r>
      <w:r>
        <w:rPr>
          <w:rStyle w:val="HideTWBExt"/>
        </w:rPr>
        <w:t>&lt;/</w:t>
      </w:r>
      <w:proofErr w:type="spellStart"/>
      <w:r>
        <w:rPr>
          <w:rStyle w:val="HideTWBExt"/>
        </w:rPr>
        <w:t>NumAm</w:t>
      </w:r>
      <w:proofErr w:type="spellEnd"/>
      <w:r>
        <w:rPr>
          <w:rStyle w:val="HideTWBExt"/>
        </w:rPr>
        <w:t>&gt;</w:t>
      </w:r>
    </w:p>
    <w:p w14:paraId="138D0F6C"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259557E3" w14:textId="77777777" w:rsidR="0088071B" w:rsidRPr="00C574C2" w:rsidRDefault="0088071B" w:rsidP="0088071B">
      <w:pPr>
        <w:pStyle w:val="NormalBold"/>
      </w:pPr>
      <w:r>
        <w:rPr>
          <w:rStyle w:val="HideTWBExt"/>
          <w:b w:val="0"/>
        </w:rPr>
        <w:t>&lt;/RepeatBlock-By&gt;</w:t>
      </w:r>
    </w:p>
    <w:p w14:paraId="6D595509"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720359B" w14:textId="77777777" w:rsidR="0088071B" w:rsidRPr="00C574C2" w:rsidRDefault="0088071B" w:rsidP="0088071B">
      <w:pPr>
        <w:pStyle w:val="NormalBold"/>
      </w:pPr>
      <w:r>
        <w:rPr>
          <w:rStyle w:val="HideTWBExt"/>
        </w:rPr>
        <w:t>&lt;Article&gt;</w:t>
      </w:r>
      <w:r>
        <w:t>Stavak 45.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6B9A7BA" w14:textId="77777777" w:rsidTr="00730E82">
        <w:trPr>
          <w:trHeight w:val="240"/>
          <w:jc w:val="center"/>
        </w:trPr>
        <w:tc>
          <w:tcPr>
            <w:tcW w:w="9752" w:type="dxa"/>
            <w:gridSpan w:val="2"/>
            <w:tcBorders>
              <w:top w:val="nil"/>
              <w:left w:val="nil"/>
              <w:bottom w:val="nil"/>
              <w:right w:val="nil"/>
            </w:tcBorders>
          </w:tcPr>
          <w:p w14:paraId="49B52E2F" w14:textId="77777777" w:rsidR="0088071B" w:rsidRPr="00C574C2" w:rsidRDefault="0088071B" w:rsidP="00730E82"/>
        </w:tc>
      </w:tr>
      <w:tr w:rsidR="0088071B" w14:paraId="13ABA4D9" w14:textId="77777777" w:rsidTr="00730E82">
        <w:trPr>
          <w:trHeight w:val="240"/>
          <w:jc w:val="center"/>
        </w:trPr>
        <w:tc>
          <w:tcPr>
            <w:tcW w:w="4876" w:type="dxa"/>
            <w:tcBorders>
              <w:top w:val="nil"/>
              <w:left w:val="nil"/>
              <w:bottom w:val="nil"/>
              <w:right w:val="nil"/>
            </w:tcBorders>
            <w:hideMark/>
          </w:tcPr>
          <w:p w14:paraId="5B645E90"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348CABE8" w14:textId="77777777" w:rsidR="0088071B" w:rsidRPr="00C574C2" w:rsidRDefault="0088071B" w:rsidP="00730E82">
            <w:pPr>
              <w:pStyle w:val="AmColumnHeading"/>
            </w:pPr>
            <w:r>
              <w:t>Izmjena</w:t>
            </w:r>
          </w:p>
        </w:tc>
      </w:tr>
      <w:tr w:rsidR="0088071B" w14:paraId="0C3FA383" w14:textId="77777777" w:rsidTr="00730E82">
        <w:trPr>
          <w:jc w:val="center"/>
        </w:trPr>
        <w:tc>
          <w:tcPr>
            <w:tcW w:w="4876" w:type="dxa"/>
            <w:tcBorders>
              <w:top w:val="nil"/>
              <w:left w:val="nil"/>
              <w:bottom w:val="nil"/>
              <w:right w:val="nil"/>
            </w:tcBorders>
            <w:hideMark/>
          </w:tcPr>
          <w:p w14:paraId="3ADFC9D6" w14:textId="77777777" w:rsidR="0088071B" w:rsidRPr="00C574C2" w:rsidRDefault="0088071B" w:rsidP="00730E82">
            <w:pPr>
              <w:pStyle w:val="Normal6a"/>
            </w:pPr>
            <w:r>
              <w:t>45.</w:t>
            </w:r>
            <w:r>
              <w:tab/>
              <w:t xml:space="preserve">shvaća da je raspodjela osoblja unutar EPPO-a usmjerena na maksimalno povećanje učinkovitosti te napominje da je do kraja 2024. od ukupno 412 radnih mjesta, njih 319 bilo posvećeno operativnim aktivnostima, što čini više od 77 % (u usporedbi s 80 % u 2023.) u odnosu na njih 18 % posvećenih upravnim zadaćama (u usporedbi s 14 % u 2023.), u skladu s pristupom EPPO-a u kojem se prednost daje operativnim aktivnostima; ipak, napominje da se povećao postotak zaposlenih koji rade na </w:t>
            </w:r>
            <w:r>
              <w:rPr>
                <w:b/>
                <w:i/>
              </w:rPr>
              <w:t>birokratskim i upravnim</w:t>
            </w:r>
            <w:r>
              <w:t xml:space="preserve"> zadaćama; svjestan je da je to uglavnom posljedica neke od nedavnih promjena u politici Komisije, kao što je ukidanje informatičke službe, zbog kojeg je EPPO morao ključne zadaće povjeriti </w:t>
            </w:r>
            <w:r>
              <w:lastRenderedPageBreak/>
              <w:t>vlastitom osoblju koje je tada raspoređeno na neoperativne položaje;</w:t>
            </w:r>
          </w:p>
        </w:tc>
        <w:tc>
          <w:tcPr>
            <w:tcW w:w="4876" w:type="dxa"/>
            <w:tcBorders>
              <w:top w:val="nil"/>
              <w:left w:val="nil"/>
              <w:bottom w:val="nil"/>
              <w:right w:val="nil"/>
            </w:tcBorders>
            <w:hideMark/>
          </w:tcPr>
          <w:p w14:paraId="364EE8A4" w14:textId="77777777" w:rsidR="0088071B" w:rsidRPr="00C574C2" w:rsidRDefault="0088071B" w:rsidP="00730E82">
            <w:pPr>
              <w:pStyle w:val="Normal6a"/>
            </w:pPr>
            <w:r>
              <w:lastRenderedPageBreak/>
              <w:t>45.</w:t>
            </w:r>
            <w:r>
              <w:tab/>
              <w:t xml:space="preserve">shvaća da je raspodjela osoblja unutar EPPO-a usmjerena na maksimalno povećanje učinkovitosti te napominje da je do kraja 2024. od ukupno 412 radnih mjesta, njih 319 bilo posvećeno operativnim aktivnostima, što čini više od 77 % (u usporedbi s 80 % u 2023.) u odnosu na njih 18 % posvećenih upravnim zadaćama (u usporedbi s 14 % u 2023.), u skladu s pristupom EPPO-a u kojem se prednost daje operativnim aktivnostima; ipak, napominje da se povećao postotak zaposlenih koji rade na </w:t>
            </w:r>
            <w:r>
              <w:rPr>
                <w:b/>
                <w:i/>
              </w:rPr>
              <w:t>administrativnim zadaćama i</w:t>
            </w:r>
            <w:r>
              <w:t xml:space="preserve"> zadaćama</w:t>
            </w:r>
            <w:r>
              <w:rPr>
                <w:b/>
                <w:i/>
              </w:rPr>
              <w:t xml:space="preserve"> potpore</w:t>
            </w:r>
            <w:r>
              <w:t xml:space="preserve">; svjestan je da je to uglavnom posljedica neke od nedavnih promjena u politici Komisije, kao što je ukidanje informatičke službe, zbog kojeg je EPPO morao ključne zadaće </w:t>
            </w:r>
            <w:r>
              <w:lastRenderedPageBreak/>
              <w:t>povjeriti vlastitom osoblju koje je tada raspoređeno na neoperativne položaje;</w:t>
            </w:r>
          </w:p>
        </w:tc>
      </w:tr>
    </w:tbl>
    <w:p w14:paraId="00709A75"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7AE22104" w14:textId="77777777" w:rsidR="0088071B" w:rsidRPr="00C574C2" w:rsidRDefault="0088071B" w:rsidP="0088071B">
      <w:r>
        <w:rPr>
          <w:rStyle w:val="HideTWBExt"/>
        </w:rPr>
        <w:t>&lt;/Amend&gt;</w:t>
      </w:r>
    </w:p>
    <w:p w14:paraId="7FDE8F80" w14:textId="77777777" w:rsidR="0088071B" w:rsidRPr="00C574C2" w:rsidRDefault="0088071B" w:rsidP="0088071B">
      <w:pPr>
        <w:pStyle w:val="AmNumberTabs"/>
      </w:pPr>
      <w:r>
        <w:rPr>
          <w:rStyle w:val="HideTWBExt"/>
        </w:rPr>
        <w:t>&lt;Amend&gt;</w:t>
      </w:r>
      <w:r>
        <w:t>Amandman</w:t>
      </w:r>
      <w:r>
        <w:tab/>
      </w:r>
      <w:r>
        <w:tab/>
      </w:r>
      <w:r>
        <w:rPr>
          <w:rStyle w:val="HideTWBExt"/>
        </w:rPr>
        <w:t>&lt;NumAm&gt;</w:t>
      </w:r>
      <w:r>
        <w:t>38</w:t>
      </w:r>
      <w:r>
        <w:rPr>
          <w:rStyle w:val="HideTWBExt"/>
        </w:rPr>
        <w:t>&lt;/</w:t>
      </w:r>
      <w:proofErr w:type="spellStart"/>
      <w:r>
        <w:rPr>
          <w:rStyle w:val="HideTWBExt"/>
        </w:rPr>
        <w:t>NumAm</w:t>
      </w:r>
      <w:proofErr w:type="spellEnd"/>
      <w:r>
        <w:rPr>
          <w:rStyle w:val="HideTWBExt"/>
        </w:rPr>
        <w:t>&gt;</w:t>
      </w:r>
    </w:p>
    <w:p w14:paraId="183422E7"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232BC612" w14:textId="77777777" w:rsidR="0088071B" w:rsidRPr="00C574C2" w:rsidRDefault="0088071B" w:rsidP="0088071B">
      <w:pPr>
        <w:pStyle w:val="NormalBold"/>
      </w:pPr>
      <w:r>
        <w:rPr>
          <w:rStyle w:val="HideTWBExt"/>
          <w:b w:val="0"/>
        </w:rPr>
        <w:t>&lt;/RepeatBlock-By&gt;</w:t>
      </w:r>
    </w:p>
    <w:p w14:paraId="615A6552"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3EDF140" w14:textId="77777777" w:rsidR="0088071B" w:rsidRPr="00C574C2" w:rsidRDefault="0088071B" w:rsidP="0088071B">
      <w:pPr>
        <w:pStyle w:val="NormalBold"/>
      </w:pPr>
      <w:r>
        <w:rPr>
          <w:rStyle w:val="HideTWBExt"/>
        </w:rPr>
        <w:t>&lt;Article&gt;</w:t>
      </w:r>
      <w:r>
        <w:t>Stavak 50.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7BC5E85" w14:textId="77777777" w:rsidTr="00730E82">
        <w:trPr>
          <w:trHeight w:val="240"/>
          <w:jc w:val="center"/>
        </w:trPr>
        <w:tc>
          <w:tcPr>
            <w:tcW w:w="9752" w:type="dxa"/>
            <w:gridSpan w:val="2"/>
            <w:tcBorders>
              <w:top w:val="nil"/>
              <w:left w:val="nil"/>
              <w:bottom w:val="nil"/>
              <w:right w:val="nil"/>
            </w:tcBorders>
          </w:tcPr>
          <w:p w14:paraId="3A4D04C2" w14:textId="77777777" w:rsidR="0088071B" w:rsidRPr="00C574C2" w:rsidRDefault="0088071B" w:rsidP="00730E82"/>
        </w:tc>
      </w:tr>
      <w:tr w:rsidR="0088071B" w14:paraId="77B5E050" w14:textId="77777777" w:rsidTr="00730E82">
        <w:trPr>
          <w:trHeight w:val="240"/>
          <w:jc w:val="center"/>
        </w:trPr>
        <w:tc>
          <w:tcPr>
            <w:tcW w:w="4876" w:type="dxa"/>
            <w:tcBorders>
              <w:top w:val="nil"/>
              <w:left w:val="nil"/>
              <w:bottom w:val="nil"/>
              <w:right w:val="nil"/>
            </w:tcBorders>
            <w:hideMark/>
          </w:tcPr>
          <w:p w14:paraId="5082D833"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6AD0C18" w14:textId="77777777" w:rsidR="0088071B" w:rsidRPr="00C574C2" w:rsidRDefault="0088071B" w:rsidP="00730E82">
            <w:pPr>
              <w:pStyle w:val="AmColumnHeading"/>
            </w:pPr>
            <w:r>
              <w:t>Izmjena</w:t>
            </w:r>
          </w:p>
        </w:tc>
      </w:tr>
      <w:tr w:rsidR="0088071B" w14:paraId="37A01C52" w14:textId="77777777" w:rsidTr="00730E82">
        <w:trPr>
          <w:jc w:val="center"/>
        </w:trPr>
        <w:tc>
          <w:tcPr>
            <w:tcW w:w="4876" w:type="dxa"/>
            <w:tcBorders>
              <w:top w:val="nil"/>
              <w:left w:val="nil"/>
              <w:bottom w:val="nil"/>
              <w:right w:val="nil"/>
            </w:tcBorders>
            <w:hideMark/>
          </w:tcPr>
          <w:p w14:paraId="176B56F9" w14:textId="77777777" w:rsidR="0088071B" w:rsidRPr="00C574C2" w:rsidRDefault="0088071B" w:rsidP="00730E82">
            <w:pPr>
              <w:pStyle w:val="Normal6a"/>
            </w:pPr>
            <w:r>
              <w:t>50.</w:t>
            </w:r>
            <w:r>
              <w:tab/>
              <w:t>napominje da je prikladna rodna uravnoteženost na rukovodećim položajima postignuta 2024. i 2025. (četiri žene i pet muškaraca) imenovanjem manje zastupljenog roda na položaje srednjeg i višeg rukovodstva; napominje da je, kad je riječ o geografskoj uravnoteženosti, u osoblju EPPO-a zastupljeno svih 26 država članica koje su njegove sudionice, pri čemu su neka državljanstva zastupljenija od drugih; poziva EPPO da finalizira svoju strategiju za raznolikost i uključivanje, o čijoj je provedbi odluka donesena 2023.;</w:t>
            </w:r>
          </w:p>
        </w:tc>
        <w:tc>
          <w:tcPr>
            <w:tcW w:w="4876" w:type="dxa"/>
            <w:tcBorders>
              <w:top w:val="nil"/>
              <w:left w:val="nil"/>
              <w:bottom w:val="nil"/>
              <w:right w:val="nil"/>
            </w:tcBorders>
            <w:hideMark/>
          </w:tcPr>
          <w:p w14:paraId="0BF45651" w14:textId="77777777" w:rsidR="0088071B" w:rsidRPr="00C574C2" w:rsidRDefault="0088071B" w:rsidP="00730E82">
            <w:pPr>
              <w:pStyle w:val="Normal6a"/>
            </w:pPr>
            <w:r>
              <w:t>50.</w:t>
            </w:r>
            <w:r>
              <w:tab/>
            </w:r>
            <w:r>
              <w:rPr>
                <w:b/>
                <w:i/>
              </w:rPr>
              <w:t>sa zadovoljstvom</w:t>
            </w:r>
            <w:r>
              <w:t xml:space="preserve"> napominje da je prikladna rodna uravnoteženost na rukovodećim položajima postignuta 2024. i 2025. (četiri žene i pet muškaraca) imenovanjem manje zastupljenog roda na položaje srednjeg i višeg rukovodstva; napominje da je, kad je riječ o geografskoj uravnoteženosti, u osoblju EPPO-a zastupljeno svih 26 država članica koje su njegove sudionice, pri čemu su neka državljanstva zastupljenija od drugih; poziva EPPO da finalizira svoju strategiju za raznolikost i uključivanje, o čijoj je provedbi odluka donesena 2023.;</w:t>
            </w:r>
          </w:p>
        </w:tc>
      </w:tr>
    </w:tbl>
    <w:p w14:paraId="146B46CA"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7287746B" w14:textId="77777777" w:rsidR="0088071B" w:rsidRPr="00C574C2" w:rsidRDefault="0088071B" w:rsidP="0088071B">
      <w:r>
        <w:rPr>
          <w:rStyle w:val="HideTWBExt"/>
        </w:rPr>
        <w:t>&lt;/Amend&gt;</w:t>
      </w:r>
    </w:p>
    <w:p w14:paraId="321851F6" w14:textId="77777777" w:rsidR="0088071B" w:rsidRPr="00C574C2" w:rsidRDefault="0088071B" w:rsidP="0088071B">
      <w:pPr>
        <w:pStyle w:val="AmNumberTabs"/>
      </w:pPr>
      <w:r>
        <w:rPr>
          <w:rStyle w:val="HideTWBExt"/>
        </w:rPr>
        <w:t>&lt;Amend&gt;</w:t>
      </w:r>
      <w:r>
        <w:t>Amandman</w:t>
      </w:r>
      <w:r>
        <w:tab/>
      </w:r>
      <w:r>
        <w:tab/>
      </w:r>
      <w:r>
        <w:rPr>
          <w:rStyle w:val="HideTWBExt"/>
        </w:rPr>
        <w:t>&lt;NumAm&gt;</w:t>
      </w:r>
      <w:r>
        <w:t>39</w:t>
      </w:r>
      <w:r>
        <w:rPr>
          <w:rStyle w:val="HideTWBExt"/>
        </w:rPr>
        <w:t>&lt;/</w:t>
      </w:r>
      <w:proofErr w:type="spellStart"/>
      <w:r>
        <w:rPr>
          <w:rStyle w:val="HideTWBExt"/>
        </w:rPr>
        <w:t>NumAm</w:t>
      </w:r>
      <w:proofErr w:type="spellEnd"/>
      <w:r>
        <w:rPr>
          <w:rStyle w:val="HideTWBExt"/>
        </w:rPr>
        <w:t>&gt;</w:t>
      </w:r>
    </w:p>
    <w:p w14:paraId="6A0D16F1"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13360DD2" w14:textId="77777777" w:rsidR="0088071B" w:rsidRPr="00C574C2" w:rsidRDefault="0088071B" w:rsidP="0088071B">
      <w:pPr>
        <w:pStyle w:val="NormalBold"/>
      </w:pPr>
      <w:r>
        <w:rPr>
          <w:rStyle w:val="HideTWBExt"/>
          <w:b w:val="0"/>
        </w:rPr>
        <w:t>&lt;/RepeatBlock-By&gt;</w:t>
      </w:r>
    </w:p>
    <w:p w14:paraId="1BBCE4D8"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8A3E4BF" w14:textId="77777777" w:rsidR="0088071B" w:rsidRPr="00C574C2" w:rsidRDefault="0088071B" w:rsidP="0088071B">
      <w:pPr>
        <w:pStyle w:val="NormalBold"/>
      </w:pPr>
      <w:r>
        <w:rPr>
          <w:rStyle w:val="HideTWBExt"/>
        </w:rPr>
        <w:t>&lt;Article&gt;</w:t>
      </w:r>
      <w:r>
        <w:t>Stavak 50.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46F23A2" w14:textId="77777777" w:rsidTr="00730E82">
        <w:trPr>
          <w:trHeight w:val="240"/>
          <w:jc w:val="center"/>
        </w:trPr>
        <w:tc>
          <w:tcPr>
            <w:tcW w:w="9752" w:type="dxa"/>
            <w:gridSpan w:val="2"/>
            <w:tcBorders>
              <w:top w:val="nil"/>
              <w:left w:val="nil"/>
              <w:bottom w:val="nil"/>
              <w:right w:val="nil"/>
            </w:tcBorders>
          </w:tcPr>
          <w:p w14:paraId="028B48A9" w14:textId="77777777" w:rsidR="0088071B" w:rsidRPr="00C574C2" w:rsidRDefault="0088071B" w:rsidP="00730E82"/>
        </w:tc>
      </w:tr>
      <w:tr w:rsidR="0088071B" w14:paraId="637FD7D6" w14:textId="77777777" w:rsidTr="00730E82">
        <w:trPr>
          <w:trHeight w:val="240"/>
          <w:jc w:val="center"/>
        </w:trPr>
        <w:tc>
          <w:tcPr>
            <w:tcW w:w="4876" w:type="dxa"/>
            <w:tcBorders>
              <w:top w:val="nil"/>
              <w:left w:val="nil"/>
              <w:bottom w:val="nil"/>
              <w:right w:val="nil"/>
            </w:tcBorders>
            <w:hideMark/>
          </w:tcPr>
          <w:p w14:paraId="26B6C616"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CDA085E" w14:textId="77777777" w:rsidR="0088071B" w:rsidRPr="00C574C2" w:rsidRDefault="0088071B" w:rsidP="00730E82">
            <w:pPr>
              <w:pStyle w:val="AmColumnHeading"/>
            </w:pPr>
            <w:r>
              <w:t>Izmjena</w:t>
            </w:r>
          </w:p>
        </w:tc>
      </w:tr>
      <w:tr w:rsidR="0088071B" w14:paraId="03587B24" w14:textId="77777777" w:rsidTr="00730E82">
        <w:trPr>
          <w:jc w:val="center"/>
        </w:trPr>
        <w:tc>
          <w:tcPr>
            <w:tcW w:w="4876" w:type="dxa"/>
            <w:tcBorders>
              <w:top w:val="nil"/>
              <w:left w:val="nil"/>
              <w:bottom w:val="nil"/>
              <w:right w:val="nil"/>
            </w:tcBorders>
            <w:hideMark/>
          </w:tcPr>
          <w:p w14:paraId="3A8816D7" w14:textId="77777777" w:rsidR="0088071B" w:rsidRPr="00C574C2" w:rsidRDefault="0088071B" w:rsidP="00730E82">
            <w:pPr>
              <w:pStyle w:val="Normal6a"/>
            </w:pPr>
            <w:r>
              <w:t>50.</w:t>
            </w:r>
            <w:r>
              <w:tab/>
              <w:t xml:space="preserve">napominje da je prikladna rodna uravnoteženost na rukovodećim položajima postignuta 2024. i 2025. (četiri žene i pet muškaraca) imenovanjem manje zastupljenog roda na položaje srednjeg i višeg rukovodstva; napominje da je, kad je riječ o geografskoj uravnoteženosti, u </w:t>
            </w:r>
            <w:r>
              <w:rPr>
                <w:b/>
                <w:i/>
              </w:rPr>
              <w:lastRenderedPageBreak/>
              <w:t>osoblju EPPO-a</w:t>
            </w:r>
            <w:r>
              <w:t xml:space="preserve"> zastupljeno </w:t>
            </w:r>
            <w:r>
              <w:rPr>
                <w:b/>
                <w:i/>
              </w:rPr>
              <w:t xml:space="preserve">svih </w:t>
            </w:r>
            <w:r>
              <w:t xml:space="preserve">26 država </w:t>
            </w:r>
            <w:r>
              <w:rPr>
                <w:b/>
                <w:i/>
              </w:rPr>
              <w:t>članica koje su njegove sudionice</w:t>
            </w:r>
            <w:r>
              <w:t xml:space="preserve">, pri čemu su </w:t>
            </w:r>
            <w:r>
              <w:rPr>
                <w:b/>
                <w:i/>
              </w:rPr>
              <w:t>neka državljanstva zastupljenija</w:t>
            </w:r>
            <w:r>
              <w:t xml:space="preserve"> od drugih; poziva EPPO da finalizira svoju strategiju za raznolikost i uključivanje, o čijoj je provedbi odluka donesena 2023.;</w:t>
            </w:r>
          </w:p>
        </w:tc>
        <w:tc>
          <w:tcPr>
            <w:tcW w:w="4876" w:type="dxa"/>
            <w:tcBorders>
              <w:top w:val="nil"/>
              <w:left w:val="nil"/>
              <w:bottom w:val="nil"/>
              <w:right w:val="nil"/>
            </w:tcBorders>
            <w:hideMark/>
          </w:tcPr>
          <w:p w14:paraId="11E117BD" w14:textId="77777777" w:rsidR="0088071B" w:rsidRPr="00C574C2" w:rsidRDefault="0088071B" w:rsidP="00730E82">
            <w:pPr>
              <w:pStyle w:val="Normal6a"/>
            </w:pPr>
            <w:r>
              <w:lastRenderedPageBreak/>
              <w:t>50.</w:t>
            </w:r>
            <w:r>
              <w:tab/>
              <w:t xml:space="preserve">napominje da je prikladna rodna uravnoteženost na rukovodećim položajima postignuta 2024. i 2025. (četiri žene i pet muškaraca) imenovanjem manje zastupljenog roda na položaje srednjeg i višeg rukovodstva; napominje da je, kad je riječ o geografskoj uravnoteženosti, </w:t>
            </w:r>
            <w:r>
              <w:rPr>
                <w:b/>
                <w:i/>
              </w:rPr>
              <w:t xml:space="preserve">među </w:t>
            </w:r>
            <w:r>
              <w:rPr>
                <w:b/>
                <w:i/>
              </w:rPr>
              <w:lastRenderedPageBreak/>
              <w:t xml:space="preserve">njegovim osobljem </w:t>
            </w:r>
            <w:r>
              <w:t xml:space="preserve">u </w:t>
            </w:r>
            <w:r>
              <w:rPr>
                <w:b/>
                <w:i/>
              </w:rPr>
              <w:t>različitom stupnju</w:t>
            </w:r>
            <w:r>
              <w:t xml:space="preserve"> zastupljeno 26 država </w:t>
            </w:r>
            <w:r>
              <w:rPr>
                <w:b/>
                <w:i/>
              </w:rPr>
              <w:t>EU-a</w:t>
            </w:r>
            <w:r>
              <w:t xml:space="preserve">, pri čemu su </w:t>
            </w:r>
            <w:r>
              <w:rPr>
                <w:b/>
                <w:i/>
              </w:rPr>
              <w:t>neke države zastupljenije</w:t>
            </w:r>
            <w:r>
              <w:t xml:space="preserve"> od drugih; poziva EPPO da finalizira svoju strategiju za raznolikost i uključivanje, o čijoj je provedbi odluka donesena 2023.;</w:t>
            </w:r>
          </w:p>
        </w:tc>
      </w:tr>
    </w:tbl>
    <w:p w14:paraId="7478C082"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577E306A" w14:textId="77777777" w:rsidR="0088071B" w:rsidRPr="00C574C2" w:rsidRDefault="0088071B" w:rsidP="0088071B">
      <w:r>
        <w:rPr>
          <w:rStyle w:val="HideTWBExt"/>
        </w:rPr>
        <w:t>&lt;/Amend&gt;</w:t>
      </w:r>
    </w:p>
    <w:p w14:paraId="5692A82C" w14:textId="77777777" w:rsidR="0088071B" w:rsidRPr="00C574C2" w:rsidRDefault="0088071B" w:rsidP="0088071B">
      <w:pPr>
        <w:pStyle w:val="AmNumberTabs"/>
      </w:pPr>
      <w:r>
        <w:rPr>
          <w:rStyle w:val="HideTWBExt"/>
        </w:rPr>
        <w:t>&lt;Amend&gt;</w:t>
      </w:r>
      <w:r>
        <w:t>Amandman</w:t>
      </w:r>
      <w:r>
        <w:tab/>
      </w:r>
      <w:r>
        <w:tab/>
      </w:r>
      <w:r>
        <w:rPr>
          <w:rStyle w:val="HideTWBExt"/>
        </w:rPr>
        <w:t>&lt;NumAm&gt;</w:t>
      </w:r>
      <w:r>
        <w:t>40</w:t>
      </w:r>
      <w:r>
        <w:rPr>
          <w:rStyle w:val="HideTWBExt"/>
        </w:rPr>
        <w:t>&lt;/</w:t>
      </w:r>
      <w:proofErr w:type="spellStart"/>
      <w:r>
        <w:rPr>
          <w:rStyle w:val="HideTWBExt"/>
        </w:rPr>
        <w:t>NumAm</w:t>
      </w:r>
      <w:proofErr w:type="spellEnd"/>
      <w:r>
        <w:rPr>
          <w:rStyle w:val="HideTWBExt"/>
        </w:rPr>
        <w:t>&gt;</w:t>
      </w:r>
    </w:p>
    <w:p w14:paraId="534A7447"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6A5BAEE4" w14:textId="77777777" w:rsidR="0088071B" w:rsidRPr="00C574C2" w:rsidRDefault="0088071B" w:rsidP="0088071B">
      <w:pPr>
        <w:pStyle w:val="NormalBold"/>
      </w:pPr>
      <w:r>
        <w:rPr>
          <w:rStyle w:val="HideTWBExt"/>
          <w:b w:val="0"/>
        </w:rPr>
        <w:t>&lt;/RepeatBlock-By&gt;</w:t>
      </w:r>
    </w:p>
    <w:p w14:paraId="5A515EA2"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EA845B7" w14:textId="77777777" w:rsidR="0088071B" w:rsidRPr="00C574C2" w:rsidRDefault="0088071B" w:rsidP="0088071B">
      <w:pPr>
        <w:pStyle w:val="NormalBold"/>
      </w:pPr>
      <w:r>
        <w:rPr>
          <w:rStyle w:val="HideTWBExt"/>
        </w:rPr>
        <w:t>&lt;Article&gt;</w:t>
      </w:r>
      <w:r>
        <w:t>Stavak 52.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1DA05A58" w14:textId="77777777" w:rsidTr="00730E82">
        <w:trPr>
          <w:trHeight w:val="240"/>
          <w:jc w:val="center"/>
        </w:trPr>
        <w:tc>
          <w:tcPr>
            <w:tcW w:w="9752" w:type="dxa"/>
            <w:gridSpan w:val="2"/>
            <w:tcBorders>
              <w:top w:val="nil"/>
              <w:left w:val="nil"/>
              <w:bottom w:val="nil"/>
              <w:right w:val="nil"/>
            </w:tcBorders>
          </w:tcPr>
          <w:p w14:paraId="188767A8" w14:textId="77777777" w:rsidR="0088071B" w:rsidRPr="00C574C2" w:rsidRDefault="0088071B" w:rsidP="00730E82"/>
        </w:tc>
      </w:tr>
      <w:tr w:rsidR="0088071B" w14:paraId="06784D4A" w14:textId="77777777" w:rsidTr="00730E82">
        <w:trPr>
          <w:trHeight w:val="240"/>
          <w:jc w:val="center"/>
        </w:trPr>
        <w:tc>
          <w:tcPr>
            <w:tcW w:w="4876" w:type="dxa"/>
            <w:tcBorders>
              <w:top w:val="nil"/>
              <w:left w:val="nil"/>
              <w:bottom w:val="nil"/>
              <w:right w:val="nil"/>
            </w:tcBorders>
            <w:hideMark/>
          </w:tcPr>
          <w:p w14:paraId="2BB6B24B"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1AE2B64C" w14:textId="77777777" w:rsidR="0088071B" w:rsidRPr="00C574C2" w:rsidRDefault="0088071B" w:rsidP="00730E82">
            <w:pPr>
              <w:pStyle w:val="AmColumnHeading"/>
            </w:pPr>
            <w:r>
              <w:t>Izmjena</w:t>
            </w:r>
          </w:p>
        </w:tc>
      </w:tr>
      <w:tr w:rsidR="0088071B" w14:paraId="526AA686" w14:textId="77777777" w:rsidTr="00730E82">
        <w:trPr>
          <w:jc w:val="center"/>
        </w:trPr>
        <w:tc>
          <w:tcPr>
            <w:tcW w:w="4876" w:type="dxa"/>
            <w:tcBorders>
              <w:top w:val="nil"/>
              <w:left w:val="nil"/>
              <w:bottom w:val="nil"/>
              <w:right w:val="nil"/>
            </w:tcBorders>
            <w:hideMark/>
          </w:tcPr>
          <w:p w14:paraId="5039D4E4" w14:textId="77777777" w:rsidR="0088071B" w:rsidRPr="00C574C2" w:rsidRDefault="0088071B" w:rsidP="00730E82">
            <w:pPr>
              <w:pStyle w:val="Normal6a"/>
            </w:pPr>
            <w:r>
              <w:t>52.</w:t>
            </w:r>
            <w:r>
              <w:tab/>
              <w:t xml:space="preserve">naglašava da je EPPO istaknuo ukupan broj od 172 delegirana europska tužitelja kao cilj za imenovanje do kraja 2024., ne uzimajući u obzir eventualne dodatne potrebe proizišle iz pridruživanja Poljske i Švedske; ističe da je proračunsko tijelo Unije pristalo na povećanje broja delegiranih europskih tužitelja sa 140 na samo 166, uz raspoređivanje 24 delegirana europska tužitelja u Poljsku i dva u Švedsku; ističe da je proračunsko tijelo Unije nastavilo odobravati sredstva za potrebe plaća delegiranih europskih tužitelja u visini koja odgovara 80 % plaće u razredu AD9 umjesto 100 % plaće u razredu AD9, kako je odlučio EPPO da bi položaj bio privlačniji za više tužitelje koji raspolažu dugogodišnjim profesionalnim iskustvom za rješavanje složenih predmeta u okviru EPPO-a; shvaća da je zbog financijskog pritiska proizišlog iz te razlike u dodijeljenim sredstvima do kraja 2024. EPPO uspio rasporediti dva delegirana europska tužitelja u Švedsku i samo njih osam u Poljsku (od 24 potrebna) te njih 156 u preostale države članice; poziva Komisiju da ocijeni tu situaciju uzimajući u obzir povećano radno opterećenje i </w:t>
            </w:r>
            <w:r>
              <w:lastRenderedPageBreak/>
              <w:t>osjetljivost predmeta koji se vode te da izvijesti Parlament o rezultatima i mogućim rješenjima za rješavanje pitanja nedostatka financijskih sredstava;</w:t>
            </w:r>
          </w:p>
        </w:tc>
        <w:tc>
          <w:tcPr>
            <w:tcW w:w="4876" w:type="dxa"/>
            <w:tcBorders>
              <w:top w:val="nil"/>
              <w:left w:val="nil"/>
              <w:bottom w:val="nil"/>
              <w:right w:val="nil"/>
            </w:tcBorders>
            <w:hideMark/>
          </w:tcPr>
          <w:p w14:paraId="55A913D5" w14:textId="77777777" w:rsidR="0088071B" w:rsidRPr="00C574C2" w:rsidRDefault="0088071B" w:rsidP="00730E82">
            <w:pPr>
              <w:pStyle w:val="Normal6a"/>
            </w:pPr>
            <w:r>
              <w:lastRenderedPageBreak/>
              <w:t>52.</w:t>
            </w:r>
            <w:r>
              <w:tab/>
              <w:t xml:space="preserve">naglašava da je EPPO istaknuo ukupan broj od 172 delegirana europska tužitelja kao cilj za imenovanje do kraja 2024., ne uzimajući u obzir eventualne dodatne potrebe proizišle iz pridruživanja Poljske i Švedske; ističe da je proračunsko tijelo Unije pristalo na povećanje broja delegiranih europskih tužitelja sa 140 na samo 166, uz raspoređivanje 24 delegirana europska tužitelja u Poljsku i dva u Švedsku; ističe da je proračunsko tijelo Unije nastavilo odobravati sredstva za potrebe plaća delegiranih europskih tužitelja u visini koja odgovara 80 % plaće u razredu AD9 umjesto 100 % plaće u razredu AD9, kako je odlučio EPPO da bi položaj bio privlačniji za više tužitelje koji raspolažu dugogodišnjim profesionalnim iskustvom za rješavanje složenih predmeta u okviru EPPO-a; shvaća da je zbog financijskog pritiska proizišlog iz te razlike u dodijeljenim sredstvima do kraja 2024. EPPO uspio rasporediti dva delegirana europska tužitelja u Švedsku i samo njih osam u Poljsku (od 24 potrebna) te njih 156 u preostale države članice; </w:t>
            </w:r>
            <w:r>
              <w:rPr>
                <w:b/>
                <w:i/>
              </w:rPr>
              <w:t xml:space="preserve">primjećuje da usporavanje uvođenja dodatnih delegiranih europskih tužitelja negativno </w:t>
            </w:r>
            <w:r>
              <w:rPr>
                <w:b/>
                <w:i/>
              </w:rPr>
              <w:lastRenderedPageBreak/>
              <w:t>utječe na sposobnost EPPO-a da vodi sve veći broj istraga i slučajeva kaznenog progona; nadalje primjećuje da je zbog manjka financijskih sredstava EPPO također morao smanjiti ili odgoditi ulaganja u sustav vođenja predmeta, zbog čega je spriječen u tome da poboljša svoju sposobnost za vođenje prekograničnih istraga;</w:t>
            </w:r>
            <w:r>
              <w:t xml:space="preserve"> poziva Komisiju da ocijeni tu situaciju uzimajući u obzir povećano radno opterećenje i osjetljivost predmeta koji se vode te da izvijesti Parlament o rezultatima i mogućim rješenjima za rješavanje pitanja nedostatka financijskih sredstava;</w:t>
            </w:r>
          </w:p>
        </w:tc>
      </w:tr>
    </w:tbl>
    <w:p w14:paraId="60833BD8"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59BAD27" w14:textId="77777777" w:rsidR="0088071B" w:rsidRPr="00C574C2" w:rsidRDefault="0088071B" w:rsidP="0088071B">
      <w:r>
        <w:rPr>
          <w:rStyle w:val="HideTWBExt"/>
        </w:rPr>
        <w:t>&lt;/Amend&gt;</w:t>
      </w:r>
    </w:p>
    <w:p w14:paraId="6A2C06B3" w14:textId="77777777" w:rsidR="0088071B" w:rsidRPr="00C574C2" w:rsidRDefault="0088071B" w:rsidP="0088071B">
      <w:pPr>
        <w:pStyle w:val="AmNumberTabs"/>
      </w:pPr>
      <w:r>
        <w:rPr>
          <w:rStyle w:val="HideTWBExt"/>
        </w:rPr>
        <w:t>&lt;Amend&gt;</w:t>
      </w:r>
      <w:r>
        <w:t>Amandman</w:t>
      </w:r>
      <w:r>
        <w:tab/>
      </w:r>
      <w:r>
        <w:tab/>
      </w:r>
      <w:r>
        <w:rPr>
          <w:rStyle w:val="HideTWBExt"/>
        </w:rPr>
        <w:t>&lt;NumAm&gt;</w:t>
      </w:r>
      <w:r>
        <w:t>41</w:t>
      </w:r>
      <w:r>
        <w:rPr>
          <w:rStyle w:val="HideTWBExt"/>
        </w:rPr>
        <w:t>&lt;/</w:t>
      </w:r>
      <w:proofErr w:type="spellStart"/>
      <w:r>
        <w:rPr>
          <w:rStyle w:val="HideTWBExt"/>
        </w:rPr>
        <w:t>NumAm</w:t>
      </w:r>
      <w:proofErr w:type="spellEnd"/>
      <w:r>
        <w:rPr>
          <w:rStyle w:val="HideTWBExt"/>
        </w:rPr>
        <w:t>&gt;</w:t>
      </w:r>
    </w:p>
    <w:p w14:paraId="3609E941"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35462F7E" w14:textId="77777777" w:rsidR="0088071B" w:rsidRPr="00C574C2" w:rsidRDefault="0088071B" w:rsidP="0088071B">
      <w:pPr>
        <w:pStyle w:val="NormalBold"/>
      </w:pPr>
      <w:r>
        <w:rPr>
          <w:rStyle w:val="HideTWBExt"/>
          <w:b w:val="0"/>
        </w:rPr>
        <w:t>&lt;/RepeatBlock-By&gt;</w:t>
      </w:r>
    </w:p>
    <w:p w14:paraId="6098B62F"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D9218DE" w14:textId="77777777" w:rsidR="0088071B" w:rsidRPr="00C574C2" w:rsidRDefault="0088071B" w:rsidP="0088071B">
      <w:pPr>
        <w:pStyle w:val="NormalBold"/>
      </w:pPr>
      <w:r>
        <w:rPr>
          <w:rStyle w:val="HideTWBExt"/>
        </w:rPr>
        <w:t>&lt;Article&gt;</w:t>
      </w:r>
      <w:r>
        <w:t>Stavak 53.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0ECCCA91" w14:textId="77777777" w:rsidTr="00730E82">
        <w:trPr>
          <w:trHeight w:val="240"/>
          <w:jc w:val="center"/>
        </w:trPr>
        <w:tc>
          <w:tcPr>
            <w:tcW w:w="9752" w:type="dxa"/>
            <w:gridSpan w:val="2"/>
            <w:tcBorders>
              <w:top w:val="nil"/>
              <w:left w:val="nil"/>
              <w:bottom w:val="nil"/>
              <w:right w:val="nil"/>
            </w:tcBorders>
          </w:tcPr>
          <w:p w14:paraId="48D0D6C9" w14:textId="77777777" w:rsidR="0088071B" w:rsidRPr="00C574C2" w:rsidRDefault="0088071B" w:rsidP="00730E82"/>
        </w:tc>
      </w:tr>
      <w:tr w:rsidR="0088071B" w14:paraId="79C31339" w14:textId="77777777" w:rsidTr="00730E82">
        <w:trPr>
          <w:trHeight w:val="240"/>
          <w:jc w:val="center"/>
        </w:trPr>
        <w:tc>
          <w:tcPr>
            <w:tcW w:w="4876" w:type="dxa"/>
            <w:tcBorders>
              <w:top w:val="nil"/>
              <w:left w:val="nil"/>
              <w:bottom w:val="nil"/>
              <w:right w:val="nil"/>
            </w:tcBorders>
            <w:hideMark/>
          </w:tcPr>
          <w:p w14:paraId="6183E594"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1C0B54DB" w14:textId="77777777" w:rsidR="0088071B" w:rsidRPr="00C574C2" w:rsidRDefault="0088071B" w:rsidP="00730E82">
            <w:pPr>
              <w:pStyle w:val="AmColumnHeading"/>
            </w:pPr>
            <w:r>
              <w:t>Izmjena</w:t>
            </w:r>
          </w:p>
        </w:tc>
      </w:tr>
      <w:tr w:rsidR="0088071B" w14:paraId="3506CC18" w14:textId="77777777" w:rsidTr="00730E82">
        <w:trPr>
          <w:jc w:val="center"/>
        </w:trPr>
        <w:tc>
          <w:tcPr>
            <w:tcW w:w="4876" w:type="dxa"/>
            <w:tcBorders>
              <w:top w:val="nil"/>
              <w:left w:val="nil"/>
              <w:bottom w:val="nil"/>
              <w:right w:val="nil"/>
            </w:tcBorders>
            <w:hideMark/>
          </w:tcPr>
          <w:p w14:paraId="4BC55E5A" w14:textId="77777777" w:rsidR="0088071B" w:rsidRPr="00C574C2" w:rsidRDefault="0088071B" w:rsidP="00730E82">
            <w:pPr>
              <w:pStyle w:val="Normal6a"/>
            </w:pPr>
            <w:r>
              <w:t>53.</w:t>
            </w:r>
            <w:r>
              <w:tab/>
              <w:t xml:space="preserve">i dalje smatra da odgovornost za imenovanje delegiranih europskih tužitelja dijele EPPO i države članice jer, dok europske tužitelje nominiraju države članice, a zatim ih imenuje Vijeće, delegirane europske tužitelje nominiraju države članice, a imenuje ih kolegij; potiče države članice da u tom smislu doprinose potpunoj neovisnosti delegiranih europskih tužitelja i EPPO-a; prima na znanje da EPPO nastoji poboljšati radne uvjete delegiranih europskih tužitelja kako bi taj položaj bio privlačniji, primjerice usklađivanjem plaća delegiranih europskih tužitelja s plaćama službenika Unije s istovrijednom razinom odgovornosti, umjesto 80 % plaće službenika Unije, kako je izvorno </w:t>
            </w:r>
            <w:r>
              <w:rPr>
                <w:b/>
                <w:i/>
              </w:rPr>
              <w:t>predviđeno</w:t>
            </w:r>
            <w:r>
              <w:t xml:space="preserve">, uzimajući u obzir činjenicu da su nacionalne plaće najiskusnijih državnih odvjetnika bile više od plaća ponuđenih za položaj delegiranog </w:t>
            </w:r>
            <w:r>
              <w:lastRenderedPageBreak/>
              <w:t xml:space="preserve">europskog tužitelja, zbog čega je EPPO morao intervenirati primjenom članka 16. stavka 1. Uvjeta zaposlenja delegiranih europskih tužitelja, </w:t>
            </w:r>
            <w:proofErr w:type="spellStart"/>
            <w:r>
              <w:t>kojime</w:t>
            </w:r>
            <w:proofErr w:type="spellEnd"/>
            <w:r>
              <w:t xml:space="preserve"> se predviđa da se, ako je ukupna neto plaća niža od nacionalne plaće, osigura dodatni iznos kako bi plaće odgovarale prethodnoj razini; ponavlja svoj poziv za utvrđivanje jasnih karijernih perspektiva delegiranih europskih tužitelja i povoljnijih mehanizama socijalnog i zdravstvenog osiguranja; inzistira na uspostavi posebnog status za delegirane europske tužitelje u skladu s prirodom njihove funkcije u pravosudnom sustavu te poziva Komisiji da predloži odgovarajuće izmjene Uredbe (EU) 2017/1939 u okviru njezine predstojeće revizije, kojima bi se obuhvatilo i pitanje jaza u području socijalnog i zdravstvenog osiguranja delegiranih europskih tužitelja koje još nije riješeno za sve države članice kroz zakonodavne ili upravne aranžmane, čak iako je njihovo donošenje obvezno u skladu s Uredbom (EU) 2017/1939;</w:t>
            </w:r>
          </w:p>
        </w:tc>
        <w:tc>
          <w:tcPr>
            <w:tcW w:w="4876" w:type="dxa"/>
            <w:tcBorders>
              <w:top w:val="nil"/>
              <w:left w:val="nil"/>
              <w:bottom w:val="nil"/>
              <w:right w:val="nil"/>
            </w:tcBorders>
            <w:hideMark/>
          </w:tcPr>
          <w:p w14:paraId="6DC18B38" w14:textId="77777777" w:rsidR="0088071B" w:rsidRPr="00C574C2" w:rsidRDefault="0088071B" w:rsidP="00730E82">
            <w:pPr>
              <w:pStyle w:val="Normal6a"/>
            </w:pPr>
            <w:r>
              <w:lastRenderedPageBreak/>
              <w:t>53.</w:t>
            </w:r>
            <w:r>
              <w:tab/>
              <w:t>i dalje smatra da odgovornost za imenovanje delegiranih europskih tužitelja dijele EPPO i države članice jer, dok europske tužitelje nominiraju države članice, a zatim ih imenuje Vijeće, delegirane europske tužitelje nominiraju države članice, a imenuje ih kolegij; potiče države članice da u tom smislu doprinose potpunoj neovisnosti delegiranih europskih tužitelja i EPPO-a; prima na znanje da EPPO nastoji poboljšati radne uvjete delegiranih europskih tužitelja kako bi taj položaj bio privlačniji, primjerice usklađivanjem plaća delegiranih europskih tužitelja s plaćama službenika Unije s istovrijednom razinom odgovornosti</w:t>
            </w:r>
            <w:r>
              <w:rPr>
                <w:b/>
                <w:i/>
              </w:rPr>
              <w:t xml:space="preserve"> (AD9)</w:t>
            </w:r>
            <w:r>
              <w:t xml:space="preserve">, umjesto 80 % plaće službenika Unije, kako je izvorno </w:t>
            </w:r>
            <w:r>
              <w:rPr>
                <w:b/>
                <w:i/>
              </w:rPr>
              <w:t>odlučila Komisija</w:t>
            </w:r>
            <w:r>
              <w:t xml:space="preserve">, uzimajući u obzir činjenicu da </w:t>
            </w:r>
            <w:r>
              <w:rPr>
                <w:b/>
                <w:i/>
              </w:rPr>
              <w:t xml:space="preserve">je napredovanje u karijeri delegiranih europskih tužitelja u njihovim </w:t>
            </w:r>
            <w:r>
              <w:rPr>
                <w:b/>
                <w:i/>
              </w:rPr>
              <w:lastRenderedPageBreak/>
              <w:t xml:space="preserve">nacionalnim sustavima i dalje nejasno te da </w:t>
            </w:r>
            <w:r>
              <w:t>su</w:t>
            </w:r>
            <w:r>
              <w:rPr>
                <w:b/>
                <w:i/>
              </w:rPr>
              <w:t>, u više slučajeva,</w:t>
            </w:r>
            <w:r>
              <w:t xml:space="preserve"> nacionalne plaće najiskusnijih državnih odvjetnika bile više od plaća ponuđenih za položaj delegiranog europskog tužitelja, zbog čega je EPPO morao intervenirati primjenom članka 16. stavka 1. Uvjeta zaposlenja delegiranih europskih tužitelja, </w:t>
            </w:r>
            <w:proofErr w:type="spellStart"/>
            <w:r>
              <w:t>kojime</w:t>
            </w:r>
            <w:proofErr w:type="spellEnd"/>
            <w:r>
              <w:t xml:space="preserve"> se predviđa da se, ako je ukupna neto plaća niža od nacionalne plaće, osigura dodatni iznos kako bi plaće odgovarale prethodnoj razini; ponavlja svoj poziv za utvrđivanje jasnih karijernih perspektiva delegiranih europskih tužitelja i povoljnijih mehanizama socijalnog i zdravstvenog osiguranja; inzistira na uspostavi posebnog status za delegirane europske tužitelje u skladu s prirodom njihove funkcije u pravosudnom sustavu te poziva Komisiji da predloži odgovarajuće izmjene Uredbe (EU) 2017/1939 u okviru njezine predstojeće revizije, kojima bi se obuhvatilo i pitanje jaza u području socijalnog i zdravstvenog osiguranja delegiranih europskih tužitelja koje još nije riješeno za sve države članice kroz zakonodavne ili upravne aranžmane, čak iako je njihovo donošenje obvezno u skladu s Uredbom (EU) 2017/1939;</w:t>
            </w:r>
          </w:p>
        </w:tc>
      </w:tr>
    </w:tbl>
    <w:p w14:paraId="60D08C29"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B9DD9C3" w14:textId="77777777" w:rsidR="0088071B" w:rsidRPr="00C574C2" w:rsidRDefault="0088071B" w:rsidP="0088071B">
      <w:r>
        <w:rPr>
          <w:rStyle w:val="HideTWBExt"/>
        </w:rPr>
        <w:t>&lt;/Amend&gt;</w:t>
      </w:r>
    </w:p>
    <w:p w14:paraId="332EADB1" w14:textId="77777777" w:rsidR="0088071B" w:rsidRPr="00C574C2" w:rsidRDefault="0088071B" w:rsidP="0088071B">
      <w:pPr>
        <w:pStyle w:val="AmNumberTabs"/>
      </w:pPr>
      <w:r>
        <w:rPr>
          <w:rStyle w:val="HideTWBExt"/>
        </w:rPr>
        <w:t>&lt;Amend&gt;</w:t>
      </w:r>
      <w:r>
        <w:t>Amandman</w:t>
      </w:r>
      <w:r>
        <w:tab/>
      </w:r>
      <w:r>
        <w:tab/>
      </w:r>
      <w:r>
        <w:rPr>
          <w:rStyle w:val="HideTWBExt"/>
        </w:rPr>
        <w:t>&lt;NumAm&gt;</w:t>
      </w:r>
      <w:r>
        <w:t>42</w:t>
      </w:r>
      <w:r>
        <w:rPr>
          <w:rStyle w:val="HideTWBExt"/>
        </w:rPr>
        <w:t>&lt;/</w:t>
      </w:r>
      <w:proofErr w:type="spellStart"/>
      <w:r>
        <w:rPr>
          <w:rStyle w:val="HideTWBExt"/>
        </w:rPr>
        <w:t>NumAm</w:t>
      </w:r>
      <w:proofErr w:type="spellEnd"/>
      <w:r>
        <w:rPr>
          <w:rStyle w:val="HideTWBExt"/>
        </w:rPr>
        <w:t>&gt;</w:t>
      </w:r>
    </w:p>
    <w:p w14:paraId="20CA2AFB" w14:textId="77777777" w:rsidR="0088071B" w:rsidRPr="00C574C2" w:rsidRDefault="0088071B" w:rsidP="0088071B">
      <w:pPr>
        <w:pStyle w:val="NormalBold"/>
      </w:pPr>
      <w:r>
        <w:rPr>
          <w:rStyle w:val="HideTWBExt"/>
          <w:b w:val="0"/>
        </w:rPr>
        <w:t>&lt;RepeatBlock-By&gt;&lt;Members&gt;</w:t>
      </w:r>
      <w:proofErr w:type="spellStart"/>
      <w:r>
        <w:t>Gilles</w:t>
      </w:r>
      <w:proofErr w:type="spellEnd"/>
      <w:r>
        <w:t xml:space="preserve"> </w:t>
      </w:r>
      <w:proofErr w:type="spellStart"/>
      <w:r>
        <w:t>Boyer</w:t>
      </w:r>
      <w:proofErr w:type="spellEnd"/>
      <w:r>
        <w:t xml:space="preserve">, Olivier </w:t>
      </w:r>
      <w:proofErr w:type="spellStart"/>
      <w:r>
        <w:t>Chastel</w:t>
      </w:r>
      <w:proofErr w:type="spellEnd"/>
      <w:r>
        <w:t xml:space="preserve">, </w:t>
      </w:r>
      <w:proofErr w:type="spellStart"/>
      <w:r>
        <w:t>Vlad</w:t>
      </w:r>
      <w:proofErr w:type="spellEnd"/>
      <w:r>
        <w:t xml:space="preserve"> </w:t>
      </w:r>
      <w:proofErr w:type="spellStart"/>
      <w:r>
        <w:t>Vasile-Voiculescu</w:t>
      </w:r>
      <w:proofErr w:type="spellEnd"/>
      <w:r>
        <w:t xml:space="preserve">, Michal </w:t>
      </w:r>
      <w:proofErr w:type="spellStart"/>
      <w:r>
        <w:t>Wiezik</w:t>
      </w:r>
      <w:proofErr w:type="spellEnd"/>
      <w:r>
        <w:rPr>
          <w:rStyle w:val="HideTWBExt"/>
          <w:b w:val="0"/>
        </w:rPr>
        <w:t>&lt;/Members&gt;</w:t>
      </w:r>
    </w:p>
    <w:p w14:paraId="06DFA432" w14:textId="77777777" w:rsidR="0088071B" w:rsidRPr="00C574C2" w:rsidRDefault="0088071B" w:rsidP="0088071B">
      <w:pPr>
        <w:pStyle w:val="NormalBold"/>
      </w:pPr>
      <w:r>
        <w:rPr>
          <w:rStyle w:val="HideTWBExt"/>
          <w:b w:val="0"/>
        </w:rPr>
        <w:t>&lt;/RepeatBlock-By&gt;</w:t>
      </w:r>
    </w:p>
    <w:p w14:paraId="4CAAD0CE"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01942FB" w14:textId="77777777" w:rsidR="0088071B" w:rsidRPr="00C574C2" w:rsidRDefault="0088071B" w:rsidP="0088071B">
      <w:pPr>
        <w:pStyle w:val="NormalBold"/>
      </w:pPr>
      <w:r>
        <w:rPr>
          <w:rStyle w:val="HideTWBExt"/>
        </w:rPr>
        <w:t>&lt;Article&gt;</w:t>
      </w:r>
      <w:r>
        <w:t>Stavak 54.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181E604" w14:textId="77777777" w:rsidTr="00730E82">
        <w:trPr>
          <w:trHeight w:val="240"/>
          <w:jc w:val="center"/>
        </w:trPr>
        <w:tc>
          <w:tcPr>
            <w:tcW w:w="9752" w:type="dxa"/>
            <w:gridSpan w:val="2"/>
            <w:tcBorders>
              <w:top w:val="nil"/>
              <w:left w:val="nil"/>
              <w:bottom w:val="nil"/>
              <w:right w:val="nil"/>
            </w:tcBorders>
          </w:tcPr>
          <w:p w14:paraId="742B7058" w14:textId="77777777" w:rsidR="0088071B" w:rsidRPr="00C574C2" w:rsidRDefault="0088071B" w:rsidP="00730E82"/>
        </w:tc>
      </w:tr>
      <w:tr w:rsidR="0088071B" w14:paraId="58A3D62A" w14:textId="77777777" w:rsidTr="00730E82">
        <w:trPr>
          <w:trHeight w:val="240"/>
          <w:jc w:val="center"/>
        </w:trPr>
        <w:tc>
          <w:tcPr>
            <w:tcW w:w="4876" w:type="dxa"/>
            <w:tcBorders>
              <w:top w:val="nil"/>
              <w:left w:val="nil"/>
              <w:bottom w:val="nil"/>
              <w:right w:val="nil"/>
            </w:tcBorders>
            <w:hideMark/>
          </w:tcPr>
          <w:p w14:paraId="2F61FFA5"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5D992EC3" w14:textId="77777777" w:rsidR="0088071B" w:rsidRPr="00C574C2" w:rsidRDefault="0088071B" w:rsidP="00730E82">
            <w:pPr>
              <w:pStyle w:val="AmColumnHeading"/>
            </w:pPr>
            <w:r>
              <w:t>Izmjena</w:t>
            </w:r>
          </w:p>
        </w:tc>
      </w:tr>
      <w:tr w:rsidR="0088071B" w14:paraId="673A7B7F" w14:textId="77777777" w:rsidTr="00730E82">
        <w:trPr>
          <w:jc w:val="center"/>
        </w:trPr>
        <w:tc>
          <w:tcPr>
            <w:tcW w:w="4876" w:type="dxa"/>
            <w:tcBorders>
              <w:top w:val="nil"/>
              <w:left w:val="nil"/>
              <w:bottom w:val="nil"/>
              <w:right w:val="nil"/>
            </w:tcBorders>
            <w:hideMark/>
          </w:tcPr>
          <w:p w14:paraId="205BF59B" w14:textId="77777777" w:rsidR="0088071B" w:rsidRPr="00C574C2" w:rsidRDefault="0088071B" w:rsidP="00730E82">
            <w:pPr>
              <w:pStyle w:val="Normal6a"/>
            </w:pPr>
            <w:r>
              <w:t>54.</w:t>
            </w:r>
            <w:r>
              <w:tab/>
              <w:t xml:space="preserve">razumije da </w:t>
            </w:r>
            <w:r>
              <w:rPr>
                <w:b/>
                <w:i/>
              </w:rPr>
              <w:t xml:space="preserve">je </w:t>
            </w:r>
            <w:r>
              <w:t xml:space="preserve">EPPO 2024. </w:t>
            </w:r>
            <w:r>
              <w:rPr>
                <w:b/>
                <w:i/>
              </w:rPr>
              <w:t>radije provodio unutarnja istraživanja</w:t>
            </w:r>
            <w:r>
              <w:t xml:space="preserve"> zadovoljstva osoblja </w:t>
            </w:r>
            <w:r>
              <w:rPr>
                <w:b/>
                <w:i/>
              </w:rPr>
              <w:t>umjesto da koristi skupe</w:t>
            </w:r>
            <w:r>
              <w:t xml:space="preserve"> usluge vanjskog pružatelja u okviru postojećeg okvirnog ugovora, ali </w:t>
            </w:r>
            <w:r>
              <w:rPr>
                <w:b/>
                <w:i/>
              </w:rPr>
              <w:t xml:space="preserve">žali zbog </w:t>
            </w:r>
            <w:r>
              <w:rPr>
                <w:b/>
                <w:i/>
              </w:rPr>
              <w:lastRenderedPageBreak/>
              <w:t>nedostatka sudjelovanja</w:t>
            </w:r>
            <w:r>
              <w:t xml:space="preserve"> odbora osoblja </w:t>
            </w:r>
            <w:r>
              <w:rPr>
                <w:b/>
                <w:i/>
              </w:rPr>
              <w:t>koje bi bilo prikladnije; napominje da</w:t>
            </w:r>
            <w:r>
              <w:t xml:space="preserve"> je </w:t>
            </w:r>
            <w:r>
              <w:rPr>
                <w:b/>
                <w:i/>
              </w:rPr>
              <w:t>osoblje u istraživanju opetovano</w:t>
            </w:r>
            <w:r>
              <w:t xml:space="preserve"> navodilo</w:t>
            </w:r>
            <w:r>
              <w:rPr>
                <w:b/>
                <w:i/>
              </w:rPr>
              <w:t xml:space="preserve"> određena pitanja</w:t>
            </w:r>
            <w:r>
              <w:t xml:space="preserve">, uglavnom </w:t>
            </w:r>
            <w:r>
              <w:rPr>
                <w:b/>
                <w:i/>
              </w:rPr>
              <w:t>ona povezana</w:t>
            </w:r>
            <w:r>
              <w:t xml:space="preserve"> s ravnotežom poslovnog i privatnog života i </w:t>
            </w:r>
            <w:r>
              <w:rPr>
                <w:b/>
                <w:i/>
              </w:rPr>
              <w:t>tumačenju</w:t>
            </w:r>
            <w:r>
              <w:t xml:space="preserve"> dostupnosti rada na daljinu iz inozemstva zbog obiteljskih ili osobnih razloga; prima na znanje da EPPO navodi da </w:t>
            </w:r>
            <w:r>
              <w:rPr>
                <w:b/>
                <w:i/>
              </w:rPr>
              <w:t xml:space="preserve">su </w:t>
            </w:r>
            <w:r>
              <w:t xml:space="preserve">njegova </w:t>
            </w:r>
            <w:r>
              <w:rPr>
                <w:b/>
                <w:i/>
              </w:rPr>
              <w:t xml:space="preserve">stroga </w:t>
            </w:r>
            <w:r>
              <w:t xml:space="preserve">pravila o radu na daljinu </w:t>
            </w:r>
            <w:r>
              <w:rPr>
                <w:b/>
                <w:i/>
              </w:rPr>
              <w:t xml:space="preserve">jedan od mogućih </w:t>
            </w:r>
            <w:proofErr w:type="spellStart"/>
            <w:r>
              <w:rPr>
                <w:b/>
                <w:i/>
              </w:rPr>
              <w:t>odvraćajućih</w:t>
            </w:r>
            <w:proofErr w:type="spellEnd"/>
            <w:r>
              <w:rPr>
                <w:b/>
                <w:i/>
              </w:rPr>
              <w:t xml:space="preserve"> čimbenika</w:t>
            </w:r>
            <w:r>
              <w:t xml:space="preserve"> pri zapošljavanju i potiče EPPO da istraži </w:t>
            </w:r>
            <w:r>
              <w:rPr>
                <w:b/>
                <w:i/>
              </w:rPr>
              <w:t>alternativna rješenja koja bi</w:t>
            </w:r>
            <w:r>
              <w:t xml:space="preserve">, bez ugrožavanja učinkovitosti njegovih radnih metoda </w:t>
            </w:r>
            <w:r>
              <w:rPr>
                <w:b/>
                <w:i/>
              </w:rPr>
              <w:t>i</w:t>
            </w:r>
            <w:r>
              <w:t xml:space="preserve"> dovođenja u pitanje korporativne kulture, mogla </w:t>
            </w:r>
            <w:r>
              <w:rPr>
                <w:b/>
                <w:i/>
              </w:rPr>
              <w:t>dovesti do veće razine autonomije koja bi, pak, osigurala veće</w:t>
            </w:r>
            <w:r>
              <w:t xml:space="preserve"> zadovoljstvo osoblja;</w:t>
            </w:r>
          </w:p>
        </w:tc>
        <w:tc>
          <w:tcPr>
            <w:tcW w:w="4876" w:type="dxa"/>
            <w:tcBorders>
              <w:top w:val="nil"/>
              <w:left w:val="nil"/>
              <w:bottom w:val="nil"/>
              <w:right w:val="nil"/>
            </w:tcBorders>
            <w:hideMark/>
          </w:tcPr>
          <w:p w14:paraId="02EA07D0" w14:textId="77777777" w:rsidR="0088071B" w:rsidRPr="00C574C2" w:rsidRDefault="0088071B" w:rsidP="00730E82">
            <w:pPr>
              <w:pStyle w:val="Normal6a"/>
            </w:pPr>
            <w:r>
              <w:lastRenderedPageBreak/>
              <w:t>54.</w:t>
            </w:r>
            <w:r>
              <w:tab/>
              <w:t xml:space="preserve">razumije da EPPO 2024. </w:t>
            </w:r>
            <w:r>
              <w:rPr>
                <w:b/>
                <w:i/>
              </w:rPr>
              <w:t>nije proveo istraživanje</w:t>
            </w:r>
            <w:r>
              <w:t xml:space="preserve"> zadovoljstva osoblja </w:t>
            </w:r>
            <w:r>
              <w:rPr>
                <w:b/>
                <w:i/>
              </w:rPr>
              <w:t>jer bi</w:t>
            </w:r>
            <w:r>
              <w:t xml:space="preserve"> usluge vanjskog pružatelja u okviru postojećeg okvirnog ugovora</w:t>
            </w:r>
            <w:r>
              <w:rPr>
                <w:b/>
                <w:i/>
              </w:rPr>
              <w:t xml:space="preserve"> bile preskupe</w:t>
            </w:r>
            <w:r>
              <w:t xml:space="preserve">, ali </w:t>
            </w:r>
            <w:r>
              <w:rPr>
                <w:b/>
                <w:i/>
              </w:rPr>
              <w:t xml:space="preserve">je uzeo u obzir prijašnje </w:t>
            </w:r>
            <w:r>
              <w:rPr>
                <w:b/>
                <w:i/>
              </w:rPr>
              <w:lastRenderedPageBreak/>
              <w:t>istraživanje</w:t>
            </w:r>
            <w:r>
              <w:t xml:space="preserve"> odbora osoblja </w:t>
            </w:r>
            <w:r>
              <w:rPr>
                <w:b/>
                <w:i/>
              </w:rPr>
              <w:t>u pogledu opetovanih problema koje</w:t>
            </w:r>
            <w:r>
              <w:t xml:space="preserve"> je </w:t>
            </w:r>
            <w:r>
              <w:rPr>
                <w:b/>
                <w:i/>
              </w:rPr>
              <w:t>osoblje</w:t>
            </w:r>
            <w:r>
              <w:t xml:space="preserve"> navodilo, uglavnom </w:t>
            </w:r>
            <w:r>
              <w:rPr>
                <w:b/>
                <w:i/>
              </w:rPr>
              <w:t>onih povezanih</w:t>
            </w:r>
            <w:r>
              <w:t xml:space="preserve"> s ravnotežom poslovnog i privatnog života i </w:t>
            </w:r>
            <w:r>
              <w:rPr>
                <w:b/>
                <w:i/>
              </w:rPr>
              <w:t>tumačenjem</w:t>
            </w:r>
            <w:r>
              <w:t xml:space="preserve"> dostupnosti rada na daljinu iz inozemstva zbog obiteljskih ili osobnih razloga; prima na znanje da EPPO navodi da njegova pravila o radu na daljinu </w:t>
            </w:r>
            <w:r>
              <w:rPr>
                <w:b/>
                <w:i/>
              </w:rPr>
              <w:t xml:space="preserve">ne kompenziraju </w:t>
            </w:r>
            <w:proofErr w:type="spellStart"/>
            <w:r>
              <w:rPr>
                <w:b/>
                <w:i/>
              </w:rPr>
              <w:t>odvraćajuće</w:t>
            </w:r>
            <w:proofErr w:type="spellEnd"/>
            <w:r>
              <w:rPr>
                <w:b/>
                <w:i/>
              </w:rPr>
              <w:t xml:space="preserve"> čimbenike</w:t>
            </w:r>
            <w:r>
              <w:t xml:space="preserve"> pri zapošljavanju</w:t>
            </w:r>
            <w:r>
              <w:rPr>
                <w:b/>
                <w:i/>
              </w:rPr>
              <w:t xml:space="preserve"> u Luksemburgu</w:t>
            </w:r>
            <w:r>
              <w:t xml:space="preserve"> i potiče EPPO da </w:t>
            </w:r>
            <w:r>
              <w:rPr>
                <w:b/>
                <w:i/>
              </w:rPr>
              <w:t xml:space="preserve">dodatno </w:t>
            </w:r>
            <w:r>
              <w:t xml:space="preserve">istraži </w:t>
            </w:r>
            <w:r>
              <w:rPr>
                <w:b/>
                <w:i/>
              </w:rPr>
              <w:t>mogućnosti kojima bi se</w:t>
            </w:r>
            <w:r>
              <w:t xml:space="preserve">, bez ugrožavanja učinkovitosti njegovih radnih metoda </w:t>
            </w:r>
            <w:r>
              <w:rPr>
                <w:b/>
                <w:i/>
              </w:rPr>
              <w:t>ili</w:t>
            </w:r>
            <w:r>
              <w:t xml:space="preserve"> dovođenja u pitanje </w:t>
            </w:r>
            <w:r>
              <w:rPr>
                <w:b/>
                <w:i/>
              </w:rPr>
              <w:t xml:space="preserve">njegove </w:t>
            </w:r>
            <w:r>
              <w:t xml:space="preserve">korporativne kulture, mogla </w:t>
            </w:r>
            <w:r>
              <w:rPr>
                <w:b/>
                <w:i/>
              </w:rPr>
              <w:t>povećati autonomija osoblja te time povećati</w:t>
            </w:r>
            <w:r>
              <w:t xml:space="preserve"> zadovoljstvo osoblja;</w:t>
            </w:r>
          </w:p>
        </w:tc>
      </w:tr>
    </w:tbl>
    <w:p w14:paraId="49A0952C"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087A841" w14:textId="77777777" w:rsidR="0088071B" w:rsidRPr="00C574C2" w:rsidRDefault="0088071B" w:rsidP="0088071B">
      <w:r>
        <w:rPr>
          <w:rStyle w:val="HideTWBExt"/>
        </w:rPr>
        <w:t>&lt;/Amend&gt;</w:t>
      </w:r>
    </w:p>
    <w:p w14:paraId="5542D3EB" w14:textId="77777777" w:rsidR="0088071B" w:rsidRPr="00C574C2" w:rsidRDefault="0088071B" w:rsidP="0088071B">
      <w:pPr>
        <w:pStyle w:val="AmNumberTabs"/>
      </w:pPr>
      <w:r>
        <w:rPr>
          <w:rStyle w:val="HideTWBExt"/>
        </w:rPr>
        <w:t>&lt;Amend&gt;</w:t>
      </w:r>
      <w:r>
        <w:t>Amandman</w:t>
      </w:r>
      <w:r>
        <w:tab/>
      </w:r>
      <w:r>
        <w:tab/>
      </w:r>
      <w:r>
        <w:rPr>
          <w:rStyle w:val="HideTWBExt"/>
        </w:rPr>
        <w:t>&lt;NumAm&gt;</w:t>
      </w:r>
      <w:r>
        <w:t>43</w:t>
      </w:r>
      <w:r>
        <w:rPr>
          <w:rStyle w:val="HideTWBExt"/>
        </w:rPr>
        <w:t>&lt;/</w:t>
      </w:r>
      <w:proofErr w:type="spellStart"/>
      <w:r>
        <w:rPr>
          <w:rStyle w:val="HideTWBExt"/>
        </w:rPr>
        <w:t>NumAm</w:t>
      </w:r>
      <w:proofErr w:type="spellEnd"/>
      <w:r>
        <w:rPr>
          <w:rStyle w:val="HideTWBExt"/>
        </w:rPr>
        <w:t>&gt;</w:t>
      </w:r>
    </w:p>
    <w:p w14:paraId="7FC8C52B"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54410AEA" w14:textId="77777777" w:rsidR="0088071B" w:rsidRPr="00C574C2" w:rsidRDefault="0088071B" w:rsidP="0088071B">
      <w:pPr>
        <w:pStyle w:val="NormalBold"/>
      </w:pPr>
      <w:r>
        <w:rPr>
          <w:rStyle w:val="HideTWBExt"/>
          <w:b w:val="0"/>
        </w:rPr>
        <w:t>&lt;/RepeatBlock-By&gt;</w:t>
      </w:r>
    </w:p>
    <w:p w14:paraId="5E4C9C6E"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C1A179B" w14:textId="77777777" w:rsidR="0088071B" w:rsidRPr="00C574C2" w:rsidRDefault="0088071B" w:rsidP="0088071B">
      <w:pPr>
        <w:pStyle w:val="NormalBold"/>
      </w:pPr>
      <w:r>
        <w:rPr>
          <w:rStyle w:val="HideTWBExt"/>
        </w:rPr>
        <w:t>&lt;Article&gt;</w:t>
      </w:r>
      <w:r>
        <w:t>Stavak 60.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C91AE03" w14:textId="77777777" w:rsidTr="00730E82">
        <w:trPr>
          <w:trHeight w:val="240"/>
          <w:jc w:val="center"/>
        </w:trPr>
        <w:tc>
          <w:tcPr>
            <w:tcW w:w="9752" w:type="dxa"/>
            <w:gridSpan w:val="2"/>
            <w:tcBorders>
              <w:top w:val="nil"/>
              <w:left w:val="nil"/>
              <w:bottom w:val="nil"/>
              <w:right w:val="nil"/>
            </w:tcBorders>
          </w:tcPr>
          <w:p w14:paraId="50086183" w14:textId="77777777" w:rsidR="0088071B" w:rsidRPr="00C574C2" w:rsidRDefault="0088071B" w:rsidP="00730E82"/>
        </w:tc>
      </w:tr>
      <w:tr w:rsidR="0088071B" w14:paraId="2D591970" w14:textId="77777777" w:rsidTr="00730E82">
        <w:trPr>
          <w:trHeight w:val="240"/>
          <w:jc w:val="center"/>
        </w:trPr>
        <w:tc>
          <w:tcPr>
            <w:tcW w:w="4876" w:type="dxa"/>
            <w:tcBorders>
              <w:top w:val="nil"/>
              <w:left w:val="nil"/>
              <w:bottom w:val="nil"/>
              <w:right w:val="nil"/>
            </w:tcBorders>
            <w:hideMark/>
          </w:tcPr>
          <w:p w14:paraId="2BCD979C"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93E1284" w14:textId="77777777" w:rsidR="0088071B" w:rsidRPr="00C574C2" w:rsidRDefault="0088071B" w:rsidP="00730E82">
            <w:pPr>
              <w:pStyle w:val="AmColumnHeading"/>
            </w:pPr>
            <w:r>
              <w:t>Izmjena</w:t>
            </w:r>
          </w:p>
        </w:tc>
      </w:tr>
      <w:tr w:rsidR="0088071B" w14:paraId="5769ECE3" w14:textId="77777777" w:rsidTr="00730E82">
        <w:trPr>
          <w:jc w:val="center"/>
        </w:trPr>
        <w:tc>
          <w:tcPr>
            <w:tcW w:w="4876" w:type="dxa"/>
            <w:tcBorders>
              <w:top w:val="nil"/>
              <w:left w:val="nil"/>
              <w:bottom w:val="nil"/>
              <w:right w:val="nil"/>
            </w:tcBorders>
            <w:hideMark/>
          </w:tcPr>
          <w:p w14:paraId="4E319C1A" w14:textId="77777777" w:rsidR="0088071B" w:rsidRPr="00C574C2" w:rsidRDefault="0088071B" w:rsidP="00730E82">
            <w:pPr>
              <w:pStyle w:val="Normal6a"/>
            </w:pPr>
            <w:r>
              <w:t>60.</w:t>
            </w:r>
            <w:r>
              <w:tab/>
              <w:t>primjećuje da je na temelju pozitivnih zaključaka pilot-projekta provedenog 2023. izrađena politika stažiranja koja je odobrena 2024., nakon čega je iste godine započeo prvi ciklus stažiranja; napominje da je osam stažista djelovalo u EPPO-u tijekom 2024., gdje su radili, u skladu s politikom stažiranja, u radnom vremenu koje odgovara onome statutarnog osoblja EPPO-a, u ovom slučaju u skladu s odredbama Odluke Komisije C(2022)1788 od 24. ožujka 2022. o radnom vremenu i hibridnom radu; cijeni činjenicu da svi stažisti u EPPO-u primaju mjesečnu naknadu (u obliku bespovratnih sredstava);</w:t>
            </w:r>
          </w:p>
        </w:tc>
        <w:tc>
          <w:tcPr>
            <w:tcW w:w="4876" w:type="dxa"/>
            <w:tcBorders>
              <w:top w:val="nil"/>
              <w:left w:val="nil"/>
              <w:bottom w:val="nil"/>
              <w:right w:val="nil"/>
            </w:tcBorders>
            <w:hideMark/>
          </w:tcPr>
          <w:p w14:paraId="603E770C" w14:textId="77777777" w:rsidR="0088071B" w:rsidRPr="00C574C2" w:rsidRDefault="0088071B" w:rsidP="00730E82">
            <w:pPr>
              <w:pStyle w:val="Normal6a"/>
            </w:pPr>
            <w:r>
              <w:t>60.</w:t>
            </w:r>
            <w:r>
              <w:tab/>
              <w:t xml:space="preserve">primjećuje da je na temelju pozitivnih zaključaka pilot-projekta provedenog 2023. izrađena politika stažiranja koja je odobrena 2024., nakon čega je iste godine započeo prvi ciklus stažiranja; napominje da je osam stažista djelovalo u EPPO-u tijekom 2024., gdje su radili, u skladu s politikom stažiranja, u radnom vremenu koje odgovara onome statutarnog osoblja EPPO-a, u ovom slučaju u skladu s odredbama Odluke Komisije C(2022)1788 od 24. ožujka 2022. o radnom vremenu i hibridnom radu; cijeni činjenicu da svi stažisti u EPPO-u primaju mjesečnu naknadu (u obliku bespovratnih sredstava); </w:t>
            </w:r>
            <w:r>
              <w:rPr>
                <w:b/>
                <w:i/>
              </w:rPr>
              <w:t>naglašava da su visoki troškovi života u Luksemburgu znatna prepreka za potencijalne pripravnike;</w:t>
            </w:r>
          </w:p>
        </w:tc>
      </w:tr>
    </w:tbl>
    <w:p w14:paraId="15B19F07"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5A2E8BDC" w14:textId="77777777" w:rsidR="0088071B" w:rsidRPr="00C574C2" w:rsidRDefault="0088071B" w:rsidP="0088071B">
      <w:r>
        <w:rPr>
          <w:rStyle w:val="HideTWBExt"/>
        </w:rPr>
        <w:t>&lt;/Amend&gt;</w:t>
      </w:r>
    </w:p>
    <w:p w14:paraId="480F55C8" w14:textId="77777777" w:rsidR="0088071B" w:rsidRPr="00C574C2" w:rsidRDefault="0088071B" w:rsidP="0088071B">
      <w:pPr>
        <w:pStyle w:val="AmNumberTabs"/>
      </w:pPr>
      <w:r>
        <w:rPr>
          <w:rStyle w:val="HideTWBExt"/>
        </w:rPr>
        <w:t>&lt;Amend&gt;</w:t>
      </w:r>
      <w:r>
        <w:t>Amandman</w:t>
      </w:r>
      <w:r>
        <w:tab/>
      </w:r>
      <w:r>
        <w:tab/>
      </w:r>
      <w:r>
        <w:rPr>
          <w:rStyle w:val="HideTWBExt"/>
        </w:rPr>
        <w:t>&lt;NumAm&gt;</w:t>
      </w:r>
      <w:r>
        <w:t>44</w:t>
      </w:r>
      <w:r>
        <w:rPr>
          <w:rStyle w:val="HideTWBExt"/>
        </w:rPr>
        <w:t>&lt;/</w:t>
      </w:r>
      <w:proofErr w:type="spellStart"/>
      <w:r>
        <w:rPr>
          <w:rStyle w:val="HideTWBExt"/>
        </w:rPr>
        <w:t>NumAm</w:t>
      </w:r>
      <w:proofErr w:type="spellEnd"/>
      <w:r>
        <w:rPr>
          <w:rStyle w:val="HideTWBExt"/>
        </w:rPr>
        <w:t>&gt;</w:t>
      </w:r>
    </w:p>
    <w:p w14:paraId="0F5AC5EE"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286800FF"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38FAFFB1" w14:textId="77777777" w:rsidR="0088071B" w:rsidRPr="00C574C2" w:rsidRDefault="0088071B" w:rsidP="0088071B">
      <w:pPr>
        <w:pStyle w:val="NormalBold"/>
      </w:pPr>
      <w:r>
        <w:rPr>
          <w:rStyle w:val="HideTWBExt"/>
          <w:b w:val="0"/>
        </w:rPr>
        <w:t>&lt;/RepeatBlock-By&gt;</w:t>
      </w:r>
    </w:p>
    <w:p w14:paraId="103006F7"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D87E728" w14:textId="77777777" w:rsidR="0088071B" w:rsidRPr="00C574C2" w:rsidRDefault="0088071B" w:rsidP="0088071B">
      <w:pPr>
        <w:pStyle w:val="NormalBold"/>
      </w:pPr>
      <w:r>
        <w:rPr>
          <w:rStyle w:val="HideTWBExt"/>
        </w:rPr>
        <w:t>&lt;Article&gt;</w:t>
      </w:r>
      <w:r>
        <w:t>Stavak 65.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187165A6" w14:textId="77777777" w:rsidTr="00730E82">
        <w:trPr>
          <w:trHeight w:val="240"/>
          <w:jc w:val="center"/>
        </w:trPr>
        <w:tc>
          <w:tcPr>
            <w:tcW w:w="9752" w:type="dxa"/>
            <w:gridSpan w:val="2"/>
            <w:tcBorders>
              <w:top w:val="nil"/>
              <w:left w:val="nil"/>
              <w:bottom w:val="nil"/>
              <w:right w:val="nil"/>
            </w:tcBorders>
          </w:tcPr>
          <w:p w14:paraId="01BBB091" w14:textId="77777777" w:rsidR="0088071B" w:rsidRPr="00C574C2" w:rsidRDefault="0088071B" w:rsidP="00730E82"/>
        </w:tc>
      </w:tr>
      <w:tr w:rsidR="0088071B" w14:paraId="1D5956F0" w14:textId="77777777" w:rsidTr="00730E82">
        <w:trPr>
          <w:trHeight w:val="240"/>
          <w:jc w:val="center"/>
        </w:trPr>
        <w:tc>
          <w:tcPr>
            <w:tcW w:w="4876" w:type="dxa"/>
            <w:tcBorders>
              <w:top w:val="nil"/>
              <w:left w:val="nil"/>
              <w:bottom w:val="nil"/>
              <w:right w:val="nil"/>
            </w:tcBorders>
            <w:hideMark/>
          </w:tcPr>
          <w:p w14:paraId="515542E9"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EF4B890" w14:textId="77777777" w:rsidR="0088071B" w:rsidRPr="00C574C2" w:rsidRDefault="0088071B" w:rsidP="00730E82">
            <w:pPr>
              <w:pStyle w:val="AmColumnHeading"/>
            </w:pPr>
            <w:r>
              <w:t>Izmjena</w:t>
            </w:r>
          </w:p>
        </w:tc>
      </w:tr>
      <w:tr w:rsidR="0088071B" w14:paraId="30A53FC8" w14:textId="77777777" w:rsidTr="00730E82">
        <w:trPr>
          <w:jc w:val="center"/>
        </w:trPr>
        <w:tc>
          <w:tcPr>
            <w:tcW w:w="4876" w:type="dxa"/>
            <w:tcBorders>
              <w:top w:val="nil"/>
              <w:left w:val="nil"/>
              <w:bottom w:val="nil"/>
              <w:right w:val="nil"/>
            </w:tcBorders>
            <w:hideMark/>
          </w:tcPr>
          <w:p w14:paraId="0768FAE0" w14:textId="77777777" w:rsidR="0088071B" w:rsidRPr="00C574C2" w:rsidRDefault="0088071B" w:rsidP="00730E82">
            <w:pPr>
              <w:pStyle w:val="Normal6a"/>
            </w:pPr>
            <w:r>
              <w:t>65.</w:t>
            </w:r>
            <w:r>
              <w:tab/>
              <w:t>pozdravlja mjere koje je EPPO poduzeo nakon najnovije rezolucije Parlamenta o razrješnici u kojoj je zatraženo donošenje postupaka za zviždače i borbu protiv osvete kako bi se provedbena pravila uključila u Pravilnik o osoblju koji je donio kolegij (Odluka kolegija 077/2021 o utvrđivanju smjernica za zviždače primjenjivih u okviru EPPO-a) i kako bi se popratio članak 45. stavak 12. financijskih pravila EPPO-a (o utvrđivanju mjera koje treba poduzeti u danim okolnostima) kako bi se osiguralo sigurno i zaštićeno mjesto rada; svjestan je da je konkretan postupak za zviždače i borbu protiv osvete osmišljen tijekom 2024. i odobren početkom 2025.; potiče EPPO da i dalje održava intenzivne unutarnje dijaloge o zviždačima s povjerljivim savjetnicima te da uključi pomoćnike nacionalnog delegiranog europskog tužitelja u s time povezana pitanja;</w:t>
            </w:r>
          </w:p>
        </w:tc>
        <w:tc>
          <w:tcPr>
            <w:tcW w:w="4876" w:type="dxa"/>
            <w:tcBorders>
              <w:top w:val="nil"/>
              <w:left w:val="nil"/>
              <w:bottom w:val="nil"/>
              <w:right w:val="nil"/>
            </w:tcBorders>
            <w:hideMark/>
          </w:tcPr>
          <w:p w14:paraId="616D1400" w14:textId="77777777" w:rsidR="0088071B" w:rsidRPr="00C574C2" w:rsidRDefault="0088071B" w:rsidP="00730E82">
            <w:pPr>
              <w:pStyle w:val="Normal6a"/>
            </w:pPr>
            <w:r>
              <w:t>65.</w:t>
            </w:r>
            <w:r>
              <w:tab/>
              <w:t xml:space="preserve">pozdravlja mjere koje je EPPO poduzeo nakon najnovije rezolucije Parlamenta o razrješnici u kojoj je zatraženo donošenje postupaka za zviždače i borbu protiv osvete kako bi se provedbena pravila uključila u Pravilnik o osoblju koji je donio kolegij (Odluka kolegija 077/2021 o utvrđivanju smjernica za zviždače primjenjivih u okviru EPPO-a) i kako bi se popratio članak 45. stavak 12. financijskih pravila EPPO-a (o utvrđivanju mjera koje treba poduzeti u danim okolnostima) kako bi se osiguralo sigurno i zaštićeno mjesto rada; svjestan je da je konkretan postupak za zviždače i borbu protiv osvete osmišljen tijekom 2024. i odobren početkom 2025.; potiče EPPO da i dalje održava intenzivne unutarnje dijaloge o zviždačima s povjerljivim savjetnicima te da uključi pomoćnike nacionalnog delegiranog europskog tužitelja u s time povezana pitanja; </w:t>
            </w:r>
            <w:r>
              <w:rPr>
                <w:b/>
                <w:i/>
              </w:rPr>
              <w:t>naglašava da je učinkovita provedba postupaka za zviždače i borbu protiv osvete presudna za zaštitu unutarnjeg integriteta i vjerodostojnosti EPPO-a; poziva EPPO da tijelo nadležno za davanje razrješnice izvijesti o praktičnom funkcioniranju tih zaštitnih mjera, uključujući svjesnost osoblja i povjerenje u sustav;</w:t>
            </w:r>
          </w:p>
        </w:tc>
      </w:tr>
    </w:tbl>
    <w:p w14:paraId="4E8CB831"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07831628" w14:textId="77777777" w:rsidR="0088071B" w:rsidRPr="00C574C2" w:rsidRDefault="0088071B" w:rsidP="0088071B">
      <w:r>
        <w:rPr>
          <w:rStyle w:val="HideTWBExt"/>
        </w:rPr>
        <w:t>&lt;/Amend&gt;</w:t>
      </w:r>
    </w:p>
    <w:p w14:paraId="6DDA930E" w14:textId="77777777" w:rsidR="0088071B" w:rsidRPr="00C574C2" w:rsidRDefault="0088071B" w:rsidP="0088071B">
      <w:pPr>
        <w:pStyle w:val="AmNumberTabs"/>
      </w:pPr>
      <w:r>
        <w:rPr>
          <w:rStyle w:val="HideTWBExt"/>
        </w:rPr>
        <w:t>&lt;Amend&gt;</w:t>
      </w:r>
      <w:r>
        <w:t>Amandman</w:t>
      </w:r>
      <w:r>
        <w:tab/>
      </w:r>
      <w:r>
        <w:tab/>
      </w:r>
      <w:r>
        <w:rPr>
          <w:rStyle w:val="HideTWBExt"/>
        </w:rPr>
        <w:t>&lt;NumAm&gt;</w:t>
      </w:r>
      <w:r>
        <w:t>45</w:t>
      </w:r>
      <w:r>
        <w:rPr>
          <w:rStyle w:val="HideTWBExt"/>
        </w:rPr>
        <w:t>&lt;/</w:t>
      </w:r>
      <w:proofErr w:type="spellStart"/>
      <w:r>
        <w:rPr>
          <w:rStyle w:val="HideTWBExt"/>
        </w:rPr>
        <w:t>NumAm</w:t>
      </w:r>
      <w:proofErr w:type="spellEnd"/>
      <w:r>
        <w:rPr>
          <w:rStyle w:val="HideTWBExt"/>
        </w:rPr>
        <w:t>&gt;</w:t>
      </w:r>
    </w:p>
    <w:p w14:paraId="75486AEE" w14:textId="77777777" w:rsidR="0088071B" w:rsidRPr="00C574C2" w:rsidRDefault="0088071B" w:rsidP="0088071B">
      <w:pPr>
        <w:pStyle w:val="NormalBold"/>
      </w:pPr>
      <w:r>
        <w:rPr>
          <w:rStyle w:val="HideTWBExt"/>
          <w:b w:val="0"/>
        </w:rPr>
        <w:lastRenderedPageBreak/>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763B2D8F" w14:textId="77777777" w:rsidR="0088071B" w:rsidRPr="00C574C2" w:rsidRDefault="0088071B" w:rsidP="0088071B">
      <w:pPr>
        <w:pStyle w:val="NormalBold"/>
      </w:pPr>
      <w:r>
        <w:rPr>
          <w:rStyle w:val="HideTWBExt"/>
          <w:b w:val="0"/>
        </w:rPr>
        <w:t>&lt;/RepeatBlock-By&gt;</w:t>
      </w:r>
    </w:p>
    <w:p w14:paraId="574FC5F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A69F6FC" w14:textId="77777777" w:rsidR="0088071B" w:rsidRPr="00C574C2" w:rsidRDefault="0088071B" w:rsidP="0088071B">
      <w:pPr>
        <w:pStyle w:val="NormalBold"/>
      </w:pPr>
      <w:r>
        <w:rPr>
          <w:rStyle w:val="HideTWBExt"/>
        </w:rPr>
        <w:t>&lt;Article&gt;</w:t>
      </w:r>
      <w:r>
        <w:t>Stavak 67.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10F8FE03" w14:textId="77777777" w:rsidTr="00730E82">
        <w:trPr>
          <w:trHeight w:val="240"/>
          <w:jc w:val="center"/>
        </w:trPr>
        <w:tc>
          <w:tcPr>
            <w:tcW w:w="9752" w:type="dxa"/>
            <w:gridSpan w:val="2"/>
            <w:tcBorders>
              <w:top w:val="nil"/>
              <w:left w:val="nil"/>
              <w:bottom w:val="nil"/>
              <w:right w:val="nil"/>
            </w:tcBorders>
          </w:tcPr>
          <w:p w14:paraId="3E34F71E" w14:textId="77777777" w:rsidR="0088071B" w:rsidRPr="00C574C2" w:rsidRDefault="0088071B" w:rsidP="00730E82"/>
        </w:tc>
      </w:tr>
      <w:tr w:rsidR="0088071B" w14:paraId="26CA6B7E" w14:textId="77777777" w:rsidTr="00730E82">
        <w:trPr>
          <w:trHeight w:val="240"/>
          <w:jc w:val="center"/>
        </w:trPr>
        <w:tc>
          <w:tcPr>
            <w:tcW w:w="4876" w:type="dxa"/>
            <w:tcBorders>
              <w:top w:val="nil"/>
              <w:left w:val="nil"/>
              <w:bottom w:val="nil"/>
              <w:right w:val="nil"/>
            </w:tcBorders>
            <w:hideMark/>
          </w:tcPr>
          <w:p w14:paraId="3B3570D6"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C36A0FB" w14:textId="77777777" w:rsidR="0088071B" w:rsidRPr="00C574C2" w:rsidRDefault="0088071B" w:rsidP="00730E82">
            <w:pPr>
              <w:pStyle w:val="AmColumnHeading"/>
            </w:pPr>
            <w:r>
              <w:t>Izmjena</w:t>
            </w:r>
          </w:p>
        </w:tc>
      </w:tr>
      <w:tr w:rsidR="0088071B" w14:paraId="23DED8E9" w14:textId="77777777" w:rsidTr="00730E82">
        <w:trPr>
          <w:jc w:val="center"/>
        </w:trPr>
        <w:tc>
          <w:tcPr>
            <w:tcW w:w="4876" w:type="dxa"/>
            <w:tcBorders>
              <w:top w:val="nil"/>
              <w:left w:val="nil"/>
              <w:bottom w:val="nil"/>
              <w:right w:val="nil"/>
            </w:tcBorders>
            <w:hideMark/>
          </w:tcPr>
          <w:p w14:paraId="3E8A7DFE" w14:textId="77777777" w:rsidR="0088071B" w:rsidRPr="00C574C2" w:rsidRDefault="0088071B" w:rsidP="00730E82">
            <w:pPr>
              <w:pStyle w:val="Normal6a"/>
            </w:pPr>
            <w:r>
              <w:t>67.</w:t>
            </w:r>
            <w:r>
              <w:tab/>
              <w:t>napominje da je ključno osigurati transparentnost u interakcijama EPPO-a s vanjskim akterima; cijeni spremnost EPPO-a da istraži načine na koje se može dodatno poboljšati transparentnost njegovih interakcija s vanjskim akterima, uzimajući u obzir osjetljivost i posebnost tužiteljske funkcije te imperativ zaštite neovisnosti EPPO-a; i dalje smatra da bi se uspostavom obveznog javnog registra svih sastanaka održanih između dužnosnika EPPO-a i predstavnika trećih strana, uključujući lobiste i predstavnike nacionalnih vlada,</w:t>
            </w:r>
            <w:r>
              <w:rPr>
                <w:b/>
                <w:i/>
              </w:rPr>
              <w:t xml:space="preserve"> znatno</w:t>
            </w:r>
            <w:r>
              <w:t xml:space="preserve"> doprinijelo jačanju povjerenja javnosti u neovisnost EPPO-a i sprečavanju bilo kakvog dojma neprimjerenog utjecaja;</w:t>
            </w:r>
          </w:p>
        </w:tc>
        <w:tc>
          <w:tcPr>
            <w:tcW w:w="4876" w:type="dxa"/>
            <w:tcBorders>
              <w:top w:val="nil"/>
              <w:left w:val="nil"/>
              <w:bottom w:val="nil"/>
              <w:right w:val="nil"/>
            </w:tcBorders>
            <w:hideMark/>
          </w:tcPr>
          <w:p w14:paraId="62103C1C" w14:textId="77777777" w:rsidR="0088071B" w:rsidRPr="00C574C2" w:rsidRDefault="0088071B" w:rsidP="00730E82">
            <w:pPr>
              <w:pStyle w:val="Normal6a"/>
            </w:pPr>
            <w:r>
              <w:t>67.</w:t>
            </w:r>
            <w:r>
              <w:tab/>
              <w:t>napominje da je ključno osigurati transparentnost u interakcijama EPPO-a s vanjskim akterima; cijeni spremnost EPPO-a da istraži načine na koje se može dodatno poboljšati transparentnost njegovih interakcija s vanjskim akterima, uzimajući u obzir osjetljivost i posebnost tužiteljske funkcije</w:t>
            </w:r>
            <w:r>
              <w:rPr>
                <w:b/>
                <w:i/>
              </w:rPr>
              <w:t>, uključujući nadzor koji provode sudovi,</w:t>
            </w:r>
            <w:r>
              <w:t xml:space="preserve"> te imperativ zaštite neovisnosti EPPO-a; i dalje smatra da bi se uspostavom obveznog javnog registra svih sastanaka održanih između dužnosnika EPPO-a i predstavnika trećih strana, uključujući lobiste i predstavnike nacionalnih vlada, doprinijelo jačanju povjerenja javnosti u neovisnost EPPO-a i sprečavanju bilo kakvog dojma neprimjerenog utjecaja;</w:t>
            </w:r>
          </w:p>
        </w:tc>
      </w:tr>
    </w:tbl>
    <w:p w14:paraId="37343B36"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9D054EA" w14:textId="77777777" w:rsidR="0088071B" w:rsidRPr="00C574C2" w:rsidRDefault="0088071B" w:rsidP="0088071B">
      <w:r>
        <w:rPr>
          <w:rStyle w:val="HideTWBExt"/>
        </w:rPr>
        <w:t>&lt;/Amend&gt;</w:t>
      </w:r>
    </w:p>
    <w:p w14:paraId="37989D9E" w14:textId="77777777" w:rsidR="0088071B" w:rsidRPr="00C574C2" w:rsidRDefault="0088071B" w:rsidP="0088071B">
      <w:pPr>
        <w:pStyle w:val="AmNumberTabs"/>
      </w:pPr>
      <w:r>
        <w:rPr>
          <w:rStyle w:val="HideTWBExt"/>
        </w:rPr>
        <w:t>&lt;Amend&gt;</w:t>
      </w:r>
      <w:r>
        <w:t>Amandman</w:t>
      </w:r>
      <w:r>
        <w:tab/>
      </w:r>
      <w:r>
        <w:tab/>
      </w:r>
      <w:r>
        <w:rPr>
          <w:rStyle w:val="HideTWBExt"/>
        </w:rPr>
        <w:t>&lt;NumAm&gt;</w:t>
      </w:r>
      <w:r>
        <w:t>46</w:t>
      </w:r>
      <w:r>
        <w:rPr>
          <w:rStyle w:val="HideTWBExt"/>
        </w:rPr>
        <w:t>&lt;/</w:t>
      </w:r>
      <w:proofErr w:type="spellStart"/>
      <w:r>
        <w:rPr>
          <w:rStyle w:val="HideTWBExt"/>
        </w:rPr>
        <w:t>NumAm</w:t>
      </w:r>
      <w:proofErr w:type="spellEnd"/>
      <w:r>
        <w:rPr>
          <w:rStyle w:val="HideTWBExt"/>
        </w:rPr>
        <w:t>&gt;</w:t>
      </w:r>
    </w:p>
    <w:p w14:paraId="74E38944" w14:textId="77777777" w:rsidR="0088071B" w:rsidRPr="00C574C2" w:rsidRDefault="0088071B" w:rsidP="0088071B">
      <w:pPr>
        <w:pStyle w:val="NormalBold"/>
      </w:pPr>
      <w:r>
        <w:rPr>
          <w:rStyle w:val="HideTWBExt"/>
          <w:b w:val="0"/>
        </w:rPr>
        <w:t>&lt;RepeatBlock-By&gt;&lt;Members&gt;</w:t>
      </w:r>
      <w:proofErr w:type="spellStart"/>
      <w:r>
        <w:t>Ondřej</w:t>
      </w:r>
      <w:proofErr w:type="spellEnd"/>
      <w:r>
        <w:t xml:space="preserve"> </w:t>
      </w:r>
      <w:proofErr w:type="spellStart"/>
      <w:r>
        <w:t>Knotek</w:t>
      </w:r>
      <w:proofErr w:type="spellEnd"/>
      <w:r>
        <w:t xml:space="preserve">, </w:t>
      </w:r>
      <w:proofErr w:type="spellStart"/>
      <w:r>
        <w:t>Virginie</w:t>
      </w:r>
      <w:proofErr w:type="spellEnd"/>
      <w:r>
        <w:t xml:space="preserve"> </w:t>
      </w:r>
      <w:proofErr w:type="spellStart"/>
      <w:r>
        <w:t>Joron</w:t>
      </w:r>
      <w:proofErr w:type="spellEnd"/>
      <w:r>
        <w:t>, Julien Sanchez</w:t>
      </w:r>
      <w:r>
        <w:rPr>
          <w:rStyle w:val="HideTWBExt"/>
          <w:b w:val="0"/>
        </w:rPr>
        <w:t>&lt;/</w:t>
      </w:r>
      <w:proofErr w:type="spellStart"/>
      <w:r>
        <w:rPr>
          <w:rStyle w:val="HideTWBExt"/>
          <w:b w:val="0"/>
        </w:rPr>
        <w:t>Members</w:t>
      </w:r>
      <w:proofErr w:type="spellEnd"/>
      <w:r>
        <w:rPr>
          <w:rStyle w:val="HideTWBExt"/>
          <w:b w:val="0"/>
        </w:rPr>
        <w:t>&gt;</w:t>
      </w:r>
    </w:p>
    <w:p w14:paraId="5815F1DC" w14:textId="77777777" w:rsidR="0088071B" w:rsidRPr="00C574C2" w:rsidRDefault="0088071B" w:rsidP="0088071B">
      <w:pPr>
        <w:pStyle w:val="NormalBold"/>
      </w:pPr>
      <w:r>
        <w:rPr>
          <w:rStyle w:val="HideTWBExt"/>
          <w:b w:val="0"/>
        </w:rPr>
        <w:t>&lt;/RepeatBlock-By&gt;</w:t>
      </w:r>
    </w:p>
    <w:p w14:paraId="5CEC5E03"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2DF71CD" w14:textId="77777777" w:rsidR="0088071B" w:rsidRPr="00C574C2" w:rsidRDefault="0088071B" w:rsidP="0088071B">
      <w:pPr>
        <w:pStyle w:val="NormalBold"/>
      </w:pPr>
      <w:r>
        <w:rPr>
          <w:rStyle w:val="HideTWBExt"/>
        </w:rPr>
        <w:t>&lt;Article&gt;</w:t>
      </w:r>
      <w:r>
        <w:t>Stavak 67.a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E914B74" w14:textId="77777777" w:rsidTr="00730E82">
        <w:trPr>
          <w:trHeight w:val="240"/>
          <w:jc w:val="center"/>
        </w:trPr>
        <w:tc>
          <w:tcPr>
            <w:tcW w:w="9752" w:type="dxa"/>
            <w:gridSpan w:val="2"/>
            <w:tcBorders>
              <w:top w:val="nil"/>
              <w:left w:val="nil"/>
              <w:bottom w:val="nil"/>
              <w:right w:val="nil"/>
            </w:tcBorders>
          </w:tcPr>
          <w:p w14:paraId="011DC814" w14:textId="77777777" w:rsidR="0088071B" w:rsidRPr="00C574C2" w:rsidRDefault="0088071B" w:rsidP="00730E82"/>
        </w:tc>
      </w:tr>
      <w:tr w:rsidR="0088071B" w14:paraId="216D3408" w14:textId="77777777" w:rsidTr="00730E82">
        <w:trPr>
          <w:trHeight w:val="240"/>
          <w:jc w:val="center"/>
        </w:trPr>
        <w:tc>
          <w:tcPr>
            <w:tcW w:w="4876" w:type="dxa"/>
            <w:tcBorders>
              <w:top w:val="nil"/>
              <w:left w:val="nil"/>
              <w:bottom w:val="nil"/>
              <w:right w:val="nil"/>
            </w:tcBorders>
            <w:hideMark/>
          </w:tcPr>
          <w:p w14:paraId="57089714"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F98BBE5" w14:textId="77777777" w:rsidR="0088071B" w:rsidRPr="00C574C2" w:rsidRDefault="0088071B" w:rsidP="00730E82">
            <w:pPr>
              <w:pStyle w:val="AmColumnHeading"/>
            </w:pPr>
            <w:r>
              <w:t>Izmjena</w:t>
            </w:r>
          </w:p>
        </w:tc>
      </w:tr>
      <w:tr w:rsidR="0088071B" w14:paraId="633A880C" w14:textId="77777777" w:rsidTr="00730E82">
        <w:trPr>
          <w:jc w:val="center"/>
        </w:trPr>
        <w:tc>
          <w:tcPr>
            <w:tcW w:w="4876" w:type="dxa"/>
            <w:tcBorders>
              <w:top w:val="nil"/>
              <w:left w:val="nil"/>
              <w:bottom w:val="nil"/>
              <w:right w:val="nil"/>
            </w:tcBorders>
          </w:tcPr>
          <w:p w14:paraId="7571E9D9" w14:textId="77777777" w:rsidR="0088071B" w:rsidRPr="00C574C2" w:rsidRDefault="0088071B" w:rsidP="00730E82">
            <w:pPr>
              <w:pStyle w:val="Normal6a"/>
            </w:pPr>
          </w:p>
        </w:tc>
        <w:tc>
          <w:tcPr>
            <w:tcW w:w="4876" w:type="dxa"/>
            <w:tcBorders>
              <w:top w:val="nil"/>
              <w:left w:val="nil"/>
              <w:bottom w:val="nil"/>
              <w:right w:val="nil"/>
            </w:tcBorders>
            <w:hideMark/>
          </w:tcPr>
          <w:p w14:paraId="2E252CF5" w14:textId="77777777" w:rsidR="0088071B" w:rsidRPr="00C574C2" w:rsidRDefault="0088071B" w:rsidP="00730E82">
            <w:pPr>
              <w:pStyle w:val="Normal6a"/>
            </w:pPr>
            <w:r>
              <w:rPr>
                <w:b/>
                <w:i/>
              </w:rPr>
              <w:t>67.a</w:t>
            </w:r>
            <w:r>
              <w:tab/>
            </w:r>
            <w:r>
              <w:rPr>
                <w:b/>
                <w:i/>
              </w:rPr>
              <w:t xml:space="preserve">prima na znanje optužbe objavljene 11. srpnja 2025. u videozapisu u kojem zviždač optužuje glavnog europskog tužitelja da je prikrio navodni nalog za uništavanje dokaza povezanih s korupcijom i zlouporabom sredstava Unije u Rumunjskoj; žali zbog toga što Komisija nije odgovorila na parlamentarna pitanja o tome je li videozapis vjerodostojan; poziva Komisiju </w:t>
            </w:r>
            <w:r>
              <w:rPr>
                <w:b/>
                <w:i/>
              </w:rPr>
              <w:lastRenderedPageBreak/>
              <w:t>da, uz potpuno poštovanje neovisnosti tužiteljstva i pretpostavke nedužnosti, bez odgode razjasni jesu li te optužbe ocijenjene i da o tome obavijesti Parlament;</w:t>
            </w:r>
          </w:p>
        </w:tc>
      </w:tr>
    </w:tbl>
    <w:p w14:paraId="5782146B"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4562177" w14:textId="77777777" w:rsidR="0088071B" w:rsidRPr="00C574C2" w:rsidRDefault="0088071B" w:rsidP="0088071B">
      <w:r>
        <w:rPr>
          <w:rStyle w:val="HideTWBExt"/>
        </w:rPr>
        <w:t>&lt;/Amend&gt;</w:t>
      </w:r>
    </w:p>
    <w:p w14:paraId="68ABF1C2" w14:textId="77777777" w:rsidR="0088071B" w:rsidRPr="00C574C2" w:rsidRDefault="0088071B" w:rsidP="0088071B">
      <w:pPr>
        <w:pStyle w:val="AmNumberTabs"/>
      </w:pPr>
      <w:r>
        <w:rPr>
          <w:rStyle w:val="HideTWBExt"/>
        </w:rPr>
        <w:t>&lt;Amend&gt;</w:t>
      </w:r>
      <w:r>
        <w:t>Amandman</w:t>
      </w:r>
      <w:r>
        <w:tab/>
      </w:r>
      <w:r>
        <w:tab/>
      </w:r>
      <w:r>
        <w:rPr>
          <w:rStyle w:val="HideTWBExt"/>
        </w:rPr>
        <w:t>&lt;NumAm&gt;</w:t>
      </w:r>
      <w:r>
        <w:t>47</w:t>
      </w:r>
      <w:r>
        <w:rPr>
          <w:rStyle w:val="HideTWBExt"/>
        </w:rPr>
        <w:t>&lt;/</w:t>
      </w:r>
      <w:proofErr w:type="spellStart"/>
      <w:r>
        <w:rPr>
          <w:rStyle w:val="HideTWBExt"/>
        </w:rPr>
        <w:t>NumAm</w:t>
      </w:r>
      <w:proofErr w:type="spellEnd"/>
      <w:r>
        <w:rPr>
          <w:rStyle w:val="HideTWBExt"/>
        </w:rPr>
        <w:t>&gt;</w:t>
      </w:r>
    </w:p>
    <w:p w14:paraId="27669245" w14:textId="77777777" w:rsidR="0088071B" w:rsidRPr="00C574C2" w:rsidRDefault="0088071B" w:rsidP="0088071B">
      <w:pPr>
        <w:pStyle w:val="NormalBold"/>
      </w:pPr>
      <w:r>
        <w:rPr>
          <w:rStyle w:val="HideTWBExt"/>
          <w:b w:val="0"/>
        </w:rPr>
        <w:t>&lt;RepeatBlock-By&gt;&lt;Members&gt;</w:t>
      </w:r>
      <w:proofErr w:type="spellStart"/>
      <w:r>
        <w:t>Virginie</w:t>
      </w:r>
      <w:proofErr w:type="spellEnd"/>
      <w:r>
        <w:t xml:space="preserve"> </w:t>
      </w:r>
      <w:proofErr w:type="spellStart"/>
      <w:r>
        <w:t>Joron</w:t>
      </w:r>
      <w:proofErr w:type="spellEnd"/>
      <w:r>
        <w:t>, Julien Sanchez</w:t>
      </w:r>
      <w:r>
        <w:rPr>
          <w:rStyle w:val="HideTWBExt"/>
          <w:b w:val="0"/>
        </w:rPr>
        <w:t>&lt;/</w:t>
      </w:r>
      <w:proofErr w:type="spellStart"/>
      <w:r>
        <w:rPr>
          <w:rStyle w:val="HideTWBExt"/>
          <w:b w:val="0"/>
        </w:rPr>
        <w:t>Members</w:t>
      </w:r>
      <w:proofErr w:type="spellEnd"/>
      <w:r>
        <w:rPr>
          <w:rStyle w:val="HideTWBExt"/>
          <w:b w:val="0"/>
        </w:rPr>
        <w:t>&gt;</w:t>
      </w:r>
    </w:p>
    <w:p w14:paraId="25061F09" w14:textId="77777777" w:rsidR="0088071B" w:rsidRPr="00C574C2" w:rsidRDefault="0088071B" w:rsidP="0088071B">
      <w:pPr>
        <w:pStyle w:val="NormalBold"/>
      </w:pPr>
      <w:r>
        <w:rPr>
          <w:rStyle w:val="HideTWBExt"/>
          <w:b w:val="0"/>
        </w:rPr>
        <w:t>&lt;/RepeatBlock-By&gt;</w:t>
      </w:r>
    </w:p>
    <w:p w14:paraId="76E1580F"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DFC35B4" w14:textId="77777777" w:rsidR="0088071B" w:rsidRPr="00C574C2" w:rsidRDefault="0088071B" w:rsidP="0088071B">
      <w:pPr>
        <w:pStyle w:val="NormalBold"/>
      </w:pPr>
      <w:r>
        <w:rPr>
          <w:rStyle w:val="HideTWBExt"/>
        </w:rPr>
        <w:t>&lt;Article&gt;</w:t>
      </w:r>
      <w:r>
        <w:t>Stavak 67.a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B67A8B5" w14:textId="77777777" w:rsidTr="00730E82">
        <w:trPr>
          <w:trHeight w:val="240"/>
          <w:jc w:val="center"/>
        </w:trPr>
        <w:tc>
          <w:tcPr>
            <w:tcW w:w="9752" w:type="dxa"/>
            <w:gridSpan w:val="2"/>
            <w:tcBorders>
              <w:top w:val="nil"/>
              <w:left w:val="nil"/>
              <w:bottom w:val="nil"/>
              <w:right w:val="nil"/>
            </w:tcBorders>
          </w:tcPr>
          <w:p w14:paraId="0FA516C8" w14:textId="77777777" w:rsidR="0088071B" w:rsidRPr="00C574C2" w:rsidRDefault="0088071B" w:rsidP="00730E82"/>
        </w:tc>
      </w:tr>
      <w:tr w:rsidR="0088071B" w14:paraId="5F7A2A69" w14:textId="77777777" w:rsidTr="00730E82">
        <w:trPr>
          <w:trHeight w:val="240"/>
          <w:jc w:val="center"/>
        </w:trPr>
        <w:tc>
          <w:tcPr>
            <w:tcW w:w="4876" w:type="dxa"/>
            <w:tcBorders>
              <w:top w:val="nil"/>
              <w:left w:val="nil"/>
              <w:bottom w:val="nil"/>
              <w:right w:val="nil"/>
            </w:tcBorders>
            <w:hideMark/>
          </w:tcPr>
          <w:p w14:paraId="62C00E7B"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CF85FA5" w14:textId="77777777" w:rsidR="0088071B" w:rsidRPr="00C574C2" w:rsidRDefault="0088071B" w:rsidP="00730E82">
            <w:pPr>
              <w:pStyle w:val="AmColumnHeading"/>
            </w:pPr>
            <w:r>
              <w:t>Izmjena</w:t>
            </w:r>
          </w:p>
        </w:tc>
      </w:tr>
      <w:tr w:rsidR="0088071B" w14:paraId="0A946C87" w14:textId="77777777" w:rsidTr="00730E82">
        <w:trPr>
          <w:jc w:val="center"/>
        </w:trPr>
        <w:tc>
          <w:tcPr>
            <w:tcW w:w="4876" w:type="dxa"/>
            <w:tcBorders>
              <w:top w:val="nil"/>
              <w:left w:val="nil"/>
              <w:bottom w:val="nil"/>
              <w:right w:val="nil"/>
            </w:tcBorders>
          </w:tcPr>
          <w:p w14:paraId="6CB9E684" w14:textId="77777777" w:rsidR="0088071B" w:rsidRPr="00C574C2" w:rsidRDefault="0088071B" w:rsidP="00730E82">
            <w:pPr>
              <w:pStyle w:val="Normal6a"/>
            </w:pPr>
          </w:p>
        </w:tc>
        <w:tc>
          <w:tcPr>
            <w:tcW w:w="4876" w:type="dxa"/>
            <w:tcBorders>
              <w:top w:val="nil"/>
              <w:left w:val="nil"/>
              <w:bottom w:val="nil"/>
              <w:right w:val="nil"/>
            </w:tcBorders>
            <w:hideMark/>
          </w:tcPr>
          <w:p w14:paraId="32CD5721" w14:textId="77777777" w:rsidR="0088071B" w:rsidRPr="00C574C2" w:rsidRDefault="0088071B" w:rsidP="00730E82">
            <w:pPr>
              <w:pStyle w:val="Normal6a"/>
            </w:pPr>
            <w:r>
              <w:rPr>
                <w:b/>
                <w:i/>
              </w:rPr>
              <w:t>67.a</w:t>
            </w:r>
            <w:r>
              <w:tab/>
            </w:r>
            <w:r>
              <w:rPr>
                <w:b/>
                <w:i/>
              </w:rPr>
              <w:t>prema podacima Europskog revizorskog suda Komisija je potpisala ugovore u ukupnoj vrijednosti od 71 milijarde eura, čime je omogućena nabava do 4,6 milijardi doza cjepiva protiv bolesti COVID-19</w:t>
            </w:r>
            <w:r>
              <w:rPr>
                <w:b/>
                <w:i/>
                <w:vertAlign w:val="superscript"/>
              </w:rPr>
              <w:t>1 a</w:t>
            </w:r>
            <w:r>
              <w:rPr>
                <w:b/>
                <w:i/>
              </w:rPr>
              <w:t>; žali zbog toga što Ured europskog javnog tužitelja (EPPO) i dalje odbija pružiti informacije ili odgovoriti na pitanja o sredstvima i broju osoblja dodijeljenog njegovoj istrazi o nabavi cjepiva protiv bolesti COVID-19, ili o vremenskom rasporedu te istrage;</w:t>
            </w:r>
          </w:p>
        </w:tc>
      </w:tr>
      <w:tr w:rsidR="0088071B" w14:paraId="26CCAD3A" w14:textId="77777777" w:rsidTr="00730E82">
        <w:trPr>
          <w:jc w:val="center"/>
        </w:trPr>
        <w:tc>
          <w:tcPr>
            <w:tcW w:w="4876" w:type="dxa"/>
            <w:tcBorders>
              <w:top w:val="nil"/>
              <w:left w:val="nil"/>
              <w:bottom w:val="nil"/>
              <w:right w:val="nil"/>
            </w:tcBorders>
          </w:tcPr>
          <w:p w14:paraId="7B141ADB" w14:textId="77777777" w:rsidR="0088071B" w:rsidRPr="00C574C2" w:rsidRDefault="0088071B" w:rsidP="00730E82"/>
        </w:tc>
        <w:tc>
          <w:tcPr>
            <w:tcW w:w="4876" w:type="dxa"/>
            <w:tcBorders>
              <w:top w:val="nil"/>
              <w:left w:val="nil"/>
              <w:bottom w:val="nil"/>
              <w:right w:val="nil"/>
            </w:tcBorders>
            <w:hideMark/>
          </w:tcPr>
          <w:p w14:paraId="4D573D04" w14:textId="77777777" w:rsidR="0088071B" w:rsidRPr="00C574C2" w:rsidRDefault="0088071B" w:rsidP="00730E82">
            <w:pPr>
              <w:pStyle w:val="Normal6a"/>
            </w:pPr>
            <w:r>
              <w:rPr>
                <w:b/>
                <w:i/>
              </w:rPr>
              <w:t>_________________</w:t>
            </w:r>
          </w:p>
        </w:tc>
      </w:tr>
      <w:tr w:rsidR="0088071B" w14:paraId="3176AEE4" w14:textId="77777777" w:rsidTr="00730E82">
        <w:trPr>
          <w:jc w:val="center"/>
        </w:trPr>
        <w:tc>
          <w:tcPr>
            <w:tcW w:w="4876" w:type="dxa"/>
            <w:tcBorders>
              <w:top w:val="nil"/>
              <w:left w:val="nil"/>
              <w:bottom w:val="nil"/>
              <w:right w:val="nil"/>
            </w:tcBorders>
          </w:tcPr>
          <w:p w14:paraId="151E5DB1" w14:textId="77777777" w:rsidR="0088071B" w:rsidRPr="00C574C2" w:rsidRDefault="0088071B" w:rsidP="00730E82"/>
        </w:tc>
        <w:tc>
          <w:tcPr>
            <w:tcW w:w="4876" w:type="dxa"/>
            <w:tcBorders>
              <w:top w:val="nil"/>
              <w:left w:val="nil"/>
              <w:bottom w:val="nil"/>
              <w:right w:val="nil"/>
            </w:tcBorders>
            <w:hideMark/>
          </w:tcPr>
          <w:p w14:paraId="48FD1E0D" w14:textId="77777777" w:rsidR="0088071B" w:rsidRPr="00C574C2" w:rsidRDefault="0088071B" w:rsidP="00730E82">
            <w:pPr>
              <w:pStyle w:val="Normal6a"/>
            </w:pPr>
            <w:r>
              <w:rPr>
                <w:b/>
                <w:i/>
                <w:vertAlign w:val="superscript"/>
              </w:rPr>
              <w:t>1 a</w:t>
            </w:r>
            <w:r>
              <w:t xml:space="preserve"> </w:t>
            </w:r>
            <w:r>
              <w:rPr>
                <w:b/>
                <w:i/>
              </w:rPr>
              <w:t>https://www.eca.europa.eu/Lists/ECADocuments/SR22_19/SR_EU_COVID_vaccine_procurement_HR.pdf</w:t>
            </w:r>
            <w:r>
              <w:rPr>
                <w:b/>
                <w:i/>
              </w:rPr>
              <w:br/>
              <w:t xml:space="preserve">https://www.euractiv.com/news/pfizergate-commission-broke-transparency-rules-over-von-der-leyen-texts-court-rules/ </w:t>
            </w:r>
          </w:p>
        </w:tc>
      </w:tr>
    </w:tbl>
    <w:p w14:paraId="31203653"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{FR}</w:t>
      </w:r>
      <w:proofErr w:type="spellStart"/>
      <w:r w:rsidRPr="00C574C2">
        <w:t>fr</w:t>
      </w:r>
      <w:proofErr w:type="spellEnd"/>
      <w:r w:rsidRPr="00C574C2">
        <w:rPr>
          <w:rStyle w:val="HideTWBExt"/>
        </w:rPr>
        <w:t>&lt;/Original&gt;</w:t>
      </w:r>
    </w:p>
    <w:p w14:paraId="3BD0CB4B" w14:textId="77777777" w:rsidR="0088071B" w:rsidRPr="00C574C2" w:rsidRDefault="0088071B" w:rsidP="0088071B">
      <w:r>
        <w:rPr>
          <w:rStyle w:val="HideTWBExt"/>
        </w:rPr>
        <w:t>&lt;/Amend&gt;</w:t>
      </w:r>
    </w:p>
    <w:p w14:paraId="5FE35DD3" w14:textId="77777777" w:rsidR="0088071B" w:rsidRPr="00C574C2" w:rsidRDefault="0088071B" w:rsidP="0088071B">
      <w:pPr>
        <w:pStyle w:val="AmNumberTabs"/>
      </w:pPr>
      <w:r>
        <w:rPr>
          <w:rStyle w:val="HideTWBExt"/>
        </w:rPr>
        <w:t>&lt;Amend&gt;</w:t>
      </w:r>
      <w:r>
        <w:t>Amandman</w:t>
      </w:r>
      <w:r>
        <w:tab/>
      </w:r>
      <w:r>
        <w:tab/>
      </w:r>
      <w:r>
        <w:rPr>
          <w:rStyle w:val="HideTWBExt"/>
        </w:rPr>
        <w:t>&lt;NumAm&gt;</w:t>
      </w:r>
      <w:r>
        <w:t>48</w:t>
      </w:r>
      <w:r>
        <w:rPr>
          <w:rStyle w:val="HideTWBExt"/>
        </w:rPr>
        <w:t>&lt;/</w:t>
      </w:r>
      <w:proofErr w:type="spellStart"/>
      <w:r>
        <w:rPr>
          <w:rStyle w:val="HideTWBExt"/>
        </w:rPr>
        <w:t>NumAm</w:t>
      </w:r>
      <w:proofErr w:type="spellEnd"/>
      <w:r>
        <w:rPr>
          <w:rStyle w:val="HideTWBExt"/>
        </w:rPr>
        <w:t>&gt;</w:t>
      </w:r>
    </w:p>
    <w:p w14:paraId="309344B7"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1CBFEAE3" w14:textId="77777777" w:rsidR="0088071B" w:rsidRPr="00C574C2" w:rsidRDefault="0088071B" w:rsidP="0088071B">
      <w:pPr>
        <w:pStyle w:val="NormalBold"/>
      </w:pPr>
      <w:r>
        <w:rPr>
          <w:rStyle w:val="HideTWBExt"/>
          <w:b w:val="0"/>
        </w:rPr>
        <w:t>&lt;/RepeatBlock-By&gt;</w:t>
      </w:r>
    </w:p>
    <w:p w14:paraId="09A2C81B"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4E36BC8" w14:textId="77777777" w:rsidR="0088071B" w:rsidRPr="00C574C2" w:rsidRDefault="0088071B" w:rsidP="0088071B">
      <w:pPr>
        <w:pStyle w:val="NormalBold"/>
      </w:pPr>
      <w:r>
        <w:rPr>
          <w:rStyle w:val="HideTWBExt"/>
        </w:rPr>
        <w:t>&lt;Article&gt;</w:t>
      </w:r>
      <w:r>
        <w:t>Stavak 74.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4995BA2" w14:textId="77777777" w:rsidTr="00730E82">
        <w:trPr>
          <w:trHeight w:val="240"/>
          <w:jc w:val="center"/>
        </w:trPr>
        <w:tc>
          <w:tcPr>
            <w:tcW w:w="9752" w:type="dxa"/>
            <w:gridSpan w:val="2"/>
            <w:tcBorders>
              <w:top w:val="nil"/>
              <w:left w:val="nil"/>
              <w:bottom w:val="nil"/>
              <w:right w:val="nil"/>
            </w:tcBorders>
          </w:tcPr>
          <w:p w14:paraId="63AAA56E" w14:textId="77777777" w:rsidR="0088071B" w:rsidRPr="00C574C2" w:rsidRDefault="0088071B" w:rsidP="00730E82"/>
        </w:tc>
      </w:tr>
      <w:tr w:rsidR="0088071B" w14:paraId="5851DDF9" w14:textId="77777777" w:rsidTr="00730E82">
        <w:trPr>
          <w:trHeight w:val="240"/>
          <w:jc w:val="center"/>
        </w:trPr>
        <w:tc>
          <w:tcPr>
            <w:tcW w:w="4876" w:type="dxa"/>
            <w:tcBorders>
              <w:top w:val="nil"/>
              <w:left w:val="nil"/>
              <w:bottom w:val="nil"/>
              <w:right w:val="nil"/>
            </w:tcBorders>
            <w:hideMark/>
          </w:tcPr>
          <w:p w14:paraId="2A5D1432"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FDC7A6F" w14:textId="77777777" w:rsidR="0088071B" w:rsidRPr="00C574C2" w:rsidRDefault="0088071B" w:rsidP="00730E82">
            <w:pPr>
              <w:pStyle w:val="AmColumnHeading"/>
            </w:pPr>
            <w:r>
              <w:t>Izmjena</w:t>
            </w:r>
          </w:p>
        </w:tc>
      </w:tr>
      <w:tr w:rsidR="0088071B" w14:paraId="155B2D35" w14:textId="77777777" w:rsidTr="00730E82">
        <w:trPr>
          <w:jc w:val="center"/>
        </w:trPr>
        <w:tc>
          <w:tcPr>
            <w:tcW w:w="4876" w:type="dxa"/>
            <w:tcBorders>
              <w:top w:val="nil"/>
              <w:left w:val="nil"/>
              <w:bottom w:val="nil"/>
              <w:right w:val="nil"/>
            </w:tcBorders>
            <w:hideMark/>
          </w:tcPr>
          <w:p w14:paraId="57BD77A4" w14:textId="77777777" w:rsidR="0088071B" w:rsidRPr="00C574C2" w:rsidRDefault="0088071B" w:rsidP="00730E82">
            <w:pPr>
              <w:pStyle w:val="Normal6a"/>
            </w:pPr>
            <w:r>
              <w:t>74.</w:t>
            </w:r>
            <w:r>
              <w:tab/>
              <w:t>i dalje smatra da je potrebno integrirati sustave vođenja predmeta EPPO-a i nacionalne sustave kako bi se povećala učinkovitost istraga, a to je potrebno izvršiti u okviru revizije Uredbe (EU) 2017/1939; očekuje da će za takvu integraciju biti potrebna zajednička usklađena razina digitalizacije u svim državama članicama sudionicama kako bi se uspostavilo digitalno radno okruženje s jednakim stupnjem sigurnosti koji ima središnji ured EPPO-a</w:t>
            </w:r>
            <w:r>
              <w:rPr>
                <w:b/>
                <w:i/>
              </w:rPr>
              <w:t xml:space="preserve"> te</w:t>
            </w:r>
            <w:r>
              <w:t xml:space="preserve"> bi s time povezane zajedničke troškove za države članice i Uniju trebalo uzeti u obzir pri proračunskoj procjeni i prognozi; cijeni ulogu pomoćnika nacionalnih delegiranih tužitelja i njihov doprinos učinkovitoj upotrebi i nadopunjavanju sustavâ te predlaže da se razmotri mogućnost da im se dodijeli poseban status pri reviziji Uredbe (EU) 2017/1939;</w:t>
            </w:r>
          </w:p>
        </w:tc>
        <w:tc>
          <w:tcPr>
            <w:tcW w:w="4876" w:type="dxa"/>
            <w:tcBorders>
              <w:top w:val="nil"/>
              <w:left w:val="nil"/>
              <w:bottom w:val="nil"/>
              <w:right w:val="nil"/>
            </w:tcBorders>
            <w:hideMark/>
          </w:tcPr>
          <w:p w14:paraId="1AA3B4C8" w14:textId="77777777" w:rsidR="0088071B" w:rsidRPr="00C574C2" w:rsidRDefault="0088071B" w:rsidP="00730E82">
            <w:pPr>
              <w:pStyle w:val="Normal6a"/>
            </w:pPr>
            <w:r>
              <w:t>74.</w:t>
            </w:r>
            <w:r>
              <w:tab/>
              <w:t>i dalje smatra da je potrebno integrirati sustave vođenja predmeta EPPO-a i nacionalne sustave kako bi se povećala učinkovitost istraga, a to je potrebno izvršiti u okviru revizije Uredbe (EU) 2017/1939; očekuje da će za takvu integraciju biti potrebna zajednička usklađena razina digitalizacije u svim državama članicama sudionicama kako bi se uspostavilo digitalno radno okruženje s jednakim stupnjem sigurnosti koji ima središnji ured EPPO-a</w:t>
            </w:r>
            <w:r>
              <w:rPr>
                <w:b/>
                <w:i/>
              </w:rPr>
              <w:t>, uz potpuno poštovanje nacionalnih pravnih okvira; podsjeća da</w:t>
            </w:r>
            <w:r>
              <w:t xml:space="preserve"> bi s time povezane zajedničke troškove za države članice i Uniju trebalo uzeti u obzir pri proračunskoj procjeni i prognozi; cijeni ulogu pomoćnika nacionalnih delegiranih tužitelja i njihov doprinos učinkovitoj upotrebi i nadopunjavanju sustavâ te predlaže da se razmotri mogućnost da im se dodijeli poseban status pri reviziji Uredbe (EU) 2017/1939; </w:t>
            </w:r>
            <w:r>
              <w:rPr>
                <w:b/>
                <w:i/>
              </w:rPr>
              <w:t>naglašava da bi se svaka buduća integracija trebala temeljiti na uravnoteženoj podjeli odgovornosti između Unije i država članica;</w:t>
            </w:r>
          </w:p>
        </w:tc>
      </w:tr>
    </w:tbl>
    <w:p w14:paraId="65E207D8"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B53CF26" w14:textId="77777777" w:rsidR="0088071B" w:rsidRPr="00C574C2" w:rsidRDefault="0088071B" w:rsidP="0088071B">
      <w:r>
        <w:rPr>
          <w:rStyle w:val="HideTWBExt"/>
        </w:rPr>
        <w:t>&lt;/Amend&gt;</w:t>
      </w:r>
    </w:p>
    <w:p w14:paraId="4D7E20AF" w14:textId="77777777" w:rsidR="0088071B" w:rsidRPr="00C574C2" w:rsidRDefault="0088071B" w:rsidP="0088071B">
      <w:pPr>
        <w:pStyle w:val="AmNumberTabs"/>
      </w:pPr>
      <w:r>
        <w:rPr>
          <w:rStyle w:val="HideTWBExt"/>
        </w:rPr>
        <w:t>&lt;Amend&gt;</w:t>
      </w:r>
      <w:r>
        <w:t>Amandman</w:t>
      </w:r>
      <w:r>
        <w:tab/>
      </w:r>
      <w:r>
        <w:tab/>
      </w:r>
      <w:r>
        <w:rPr>
          <w:rStyle w:val="HideTWBExt"/>
        </w:rPr>
        <w:t>&lt;NumAm&gt;</w:t>
      </w:r>
      <w:r>
        <w:t>49</w:t>
      </w:r>
      <w:r>
        <w:rPr>
          <w:rStyle w:val="HideTWBExt"/>
        </w:rPr>
        <w:t>&lt;/</w:t>
      </w:r>
      <w:proofErr w:type="spellStart"/>
      <w:r>
        <w:rPr>
          <w:rStyle w:val="HideTWBExt"/>
        </w:rPr>
        <w:t>NumAm</w:t>
      </w:r>
      <w:proofErr w:type="spellEnd"/>
      <w:r>
        <w:rPr>
          <w:rStyle w:val="HideTWBExt"/>
        </w:rPr>
        <w:t>&gt;</w:t>
      </w:r>
    </w:p>
    <w:p w14:paraId="7AB8AE2A"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19FE843C" w14:textId="77777777" w:rsidR="0088071B" w:rsidRPr="00C574C2" w:rsidRDefault="0088071B" w:rsidP="0088071B">
      <w:pPr>
        <w:pStyle w:val="NormalBold"/>
      </w:pPr>
      <w:r>
        <w:rPr>
          <w:rStyle w:val="HideTWBExt"/>
          <w:b w:val="0"/>
        </w:rPr>
        <w:t>&lt;/RepeatBlock-By&gt;</w:t>
      </w:r>
    </w:p>
    <w:p w14:paraId="5423B8C1"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9739E79" w14:textId="77777777" w:rsidR="0088071B" w:rsidRPr="00C574C2" w:rsidRDefault="0088071B" w:rsidP="0088071B">
      <w:pPr>
        <w:pStyle w:val="NormalBold"/>
      </w:pPr>
      <w:r>
        <w:rPr>
          <w:rStyle w:val="HideTWBExt"/>
        </w:rPr>
        <w:t>&lt;Article&gt;</w:t>
      </w:r>
      <w:r>
        <w:t>Stavak 75.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E319AC3" w14:textId="77777777" w:rsidTr="00730E82">
        <w:trPr>
          <w:trHeight w:val="240"/>
          <w:jc w:val="center"/>
        </w:trPr>
        <w:tc>
          <w:tcPr>
            <w:tcW w:w="9752" w:type="dxa"/>
            <w:gridSpan w:val="2"/>
            <w:tcBorders>
              <w:top w:val="nil"/>
              <w:left w:val="nil"/>
              <w:bottom w:val="nil"/>
              <w:right w:val="nil"/>
            </w:tcBorders>
          </w:tcPr>
          <w:p w14:paraId="63938A68" w14:textId="77777777" w:rsidR="0088071B" w:rsidRPr="00C574C2" w:rsidRDefault="0088071B" w:rsidP="00730E82"/>
        </w:tc>
      </w:tr>
      <w:tr w:rsidR="0088071B" w14:paraId="03548472" w14:textId="77777777" w:rsidTr="00730E82">
        <w:trPr>
          <w:trHeight w:val="240"/>
          <w:jc w:val="center"/>
        </w:trPr>
        <w:tc>
          <w:tcPr>
            <w:tcW w:w="4876" w:type="dxa"/>
            <w:tcBorders>
              <w:top w:val="nil"/>
              <w:left w:val="nil"/>
              <w:bottom w:val="nil"/>
              <w:right w:val="nil"/>
            </w:tcBorders>
            <w:hideMark/>
          </w:tcPr>
          <w:p w14:paraId="400B02A8"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171BC61" w14:textId="77777777" w:rsidR="0088071B" w:rsidRPr="00C574C2" w:rsidRDefault="0088071B" w:rsidP="00730E82">
            <w:pPr>
              <w:pStyle w:val="AmColumnHeading"/>
            </w:pPr>
            <w:r>
              <w:t>Izmjena</w:t>
            </w:r>
          </w:p>
        </w:tc>
      </w:tr>
      <w:tr w:rsidR="0088071B" w14:paraId="7A3328CC" w14:textId="77777777" w:rsidTr="00730E82">
        <w:trPr>
          <w:jc w:val="center"/>
        </w:trPr>
        <w:tc>
          <w:tcPr>
            <w:tcW w:w="4876" w:type="dxa"/>
            <w:tcBorders>
              <w:top w:val="nil"/>
              <w:left w:val="nil"/>
              <w:bottom w:val="nil"/>
              <w:right w:val="nil"/>
            </w:tcBorders>
            <w:hideMark/>
          </w:tcPr>
          <w:p w14:paraId="5C69CD86" w14:textId="77777777" w:rsidR="0088071B" w:rsidRPr="00C574C2" w:rsidRDefault="0088071B" w:rsidP="00730E82">
            <w:pPr>
              <w:pStyle w:val="Normal6a"/>
            </w:pPr>
            <w:r>
              <w:t>75.</w:t>
            </w:r>
            <w:r>
              <w:tab/>
              <w:t xml:space="preserve">smatra da je ključno ublažiti rizike za strukturni informatički integritet EPPO-a koji proizlaze iz agresivnih praksi organiziranih kriminalnih grupa nad kojima EPPO provodi istrage i kazneni progon, a koje su sklone agresivnim </w:t>
            </w:r>
            <w:r>
              <w:lastRenderedPageBreak/>
              <w:t xml:space="preserve">reakcijama na intervencije EPPO-a usmjerene na ometanje njihovih kriminalnih aktivnosti; cijeni činjenicu da su unaprijeđena sigurnosna strategija i okvir globalne politike informacijske sigurnosti koji su predloženi 2023. službeno odobreni i usvojeni 2024.; ističe da su </w:t>
            </w:r>
            <w:r>
              <w:rPr>
                <w:b/>
                <w:i/>
              </w:rPr>
              <w:t>za fizičku</w:t>
            </w:r>
            <w:r>
              <w:t xml:space="preserve"> i </w:t>
            </w:r>
            <w:r>
              <w:rPr>
                <w:b/>
                <w:i/>
              </w:rPr>
              <w:t>digitalnu</w:t>
            </w:r>
            <w:r>
              <w:t xml:space="preserve"> sigurnost te upravljanje njima potrebni resursi, kao što su oni iskorišteni za uspostavu posebne jedinice za kibernetičku i fizičku sigurnost;</w:t>
            </w:r>
          </w:p>
        </w:tc>
        <w:tc>
          <w:tcPr>
            <w:tcW w:w="4876" w:type="dxa"/>
            <w:tcBorders>
              <w:top w:val="nil"/>
              <w:left w:val="nil"/>
              <w:bottom w:val="nil"/>
              <w:right w:val="nil"/>
            </w:tcBorders>
            <w:hideMark/>
          </w:tcPr>
          <w:p w14:paraId="61FE7749" w14:textId="77777777" w:rsidR="0088071B" w:rsidRPr="00C574C2" w:rsidRDefault="0088071B" w:rsidP="00730E82">
            <w:pPr>
              <w:pStyle w:val="Normal6a"/>
            </w:pPr>
            <w:r>
              <w:lastRenderedPageBreak/>
              <w:t>75.</w:t>
            </w:r>
            <w:r>
              <w:tab/>
              <w:t xml:space="preserve">smatra da je ključno ublažiti rizike za strukturni informatički integritet EPPO-a koji proizlaze iz agresivnih praksi organiziranih kriminalnih grupa nad kojima EPPO provodi istrage i kazneni progon, a koje su sklone agresivnim </w:t>
            </w:r>
            <w:r>
              <w:lastRenderedPageBreak/>
              <w:t xml:space="preserve">reakcijama na intervencije EPPO-a usmjerene na ometanje njihovih kriminalnih aktivnosti; cijeni činjenicu da su unaprijeđena sigurnosna strategija i okvir globalne politike informacijske sigurnosti koji su predloženi 2023. službeno odobreni i usvojeni 2024.; ističe da su </w:t>
            </w:r>
            <w:r>
              <w:rPr>
                <w:b/>
                <w:i/>
              </w:rPr>
              <w:t>fizička</w:t>
            </w:r>
            <w:r>
              <w:t xml:space="preserve"> i </w:t>
            </w:r>
            <w:r>
              <w:rPr>
                <w:b/>
                <w:i/>
              </w:rPr>
              <w:t>digitalna</w:t>
            </w:r>
            <w:r>
              <w:t xml:space="preserve"> sigurnost te upravljanje njima</w:t>
            </w:r>
            <w:r>
              <w:rPr>
                <w:b/>
                <w:i/>
              </w:rPr>
              <w:t xml:space="preserve"> presudni za omogućavanje operativne neovisnosti i učinkovitosti EPPO-a te da su za njih</w:t>
            </w:r>
            <w:r>
              <w:t xml:space="preserve"> potrebni resursi, kao što su oni iskorišteni za uspostavu posebne jedinice za kibernetičku i fizičku sigurnost;</w:t>
            </w:r>
          </w:p>
        </w:tc>
      </w:tr>
    </w:tbl>
    <w:p w14:paraId="17B10EED"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7E965477" w14:textId="77777777" w:rsidR="0088071B" w:rsidRPr="00C574C2" w:rsidRDefault="0088071B" w:rsidP="0088071B">
      <w:r>
        <w:rPr>
          <w:rStyle w:val="HideTWBExt"/>
        </w:rPr>
        <w:t>&lt;/Amend&gt;</w:t>
      </w:r>
    </w:p>
    <w:p w14:paraId="6EBA7180" w14:textId="77777777" w:rsidR="0088071B" w:rsidRPr="00C574C2" w:rsidRDefault="0088071B" w:rsidP="0088071B">
      <w:pPr>
        <w:pStyle w:val="AmNumberTabs"/>
      </w:pPr>
      <w:r>
        <w:rPr>
          <w:rStyle w:val="HideTWBExt"/>
        </w:rPr>
        <w:t>&lt;Amend&gt;</w:t>
      </w:r>
      <w:r>
        <w:t>Amandman</w:t>
      </w:r>
      <w:r>
        <w:tab/>
      </w:r>
      <w:r>
        <w:tab/>
      </w:r>
      <w:r>
        <w:rPr>
          <w:rStyle w:val="HideTWBExt"/>
        </w:rPr>
        <w:t>&lt;NumAm&gt;</w:t>
      </w:r>
      <w:r>
        <w:t>50</w:t>
      </w:r>
      <w:r>
        <w:rPr>
          <w:rStyle w:val="HideTWBExt"/>
        </w:rPr>
        <w:t>&lt;/</w:t>
      </w:r>
      <w:proofErr w:type="spellStart"/>
      <w:r>
        <w:rPr>
          <w:rStyle w:val="HideTWBExt"/>
        </w:rPr>
        <w:t>NumAm</w:t>
      </w:r>
      <w:proofErr w:type="spellEnd"/>
      <w:r>
        <w:rPr>
          <w:rStyle w:val="HideTWBExt"/>
        </w:rPr>
        <w:t>&gt;</w:t>
      </w:r>
    </w:p>
    <w:p w14:paraId="01A13FD4"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221A531A" w14:textId="77777777" w:rsidR="0088071B" w:rsidRPr="00C574C2" w:rsidRDefault="0088071B" w:rsidP="0088071B">
      <w:pPr>
        <w:pStyle w:val="NormalBold"/>
      </w:pPr>
      <w:r>
        <w:rPr>
          <w:rStyle w:val="HideTWBExt"/>
          <w:b w:val="0"/>
        </w:rPr>
        <w:t>&lt;/RepeatBlock-By&gt;</w:t>
      </w:r>
    </w:p>
    <w:p w14:paraId="66F2D0EE"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C46208E" w14:textId="77777777" w:rsidR="0088071B" w:rsidRPr="00C574C2" w:rsidRDefault="0088071B" w:rsidP="0088071B">
      <w:pPr>
        <w:pStyle w:val="NormalBold"/>
      </w:pPr>
      <w:r>
        <w:rPr>
          <w:rStyle w:val="HideTWBExt"/>
        </w:rPr>
        <w:t>&lt;Article&gt;</w:t>
      </w:r>
      <w:r>
        <w:t>Stavak 77.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A446764" w14:textId="77777777" w:rsidTr="00730E82">
        <w:trPr>
          <w:trHeight w:val="240"/>
          <w:jc w:val="center"/>
        </w:trPr>
        <w:tc>
          <w:tcPr>
            <w:tcW w:w="9752" w:type="dxa"/>
            <w:gridSpan w:val="2"/>
            <w:tcBorders>
              <w:top w:val="nil"/>
              <w:left w:val="nil"/>
              <w:bottom w:val="nil"/>
              <w:right w:val="nil"/>
            </w:tcBorders>
          </w:tcPr>
          <w:p w14:paraId="795B9A89" w14:textId="77777777" w:rsidR="0088071B" w:rsidRPr="00C574C2" w:rsidRDefault="0088071B" w:rsidP="00730E82"/>
        </w:tc>
      </w:tr>
      <w:tr w:rsidR="0088071B" w14:paraId="3961DD12" w14:textId="77777777" w:rsidTr="00730E82">
        <w:trPr>
          <w:trHeight w:val="240"/>
          <w:jc w:val="center"/>
        </w:trPr>
        <w:tc>
          <w:tcPr>
            <w:tcW w:w="4876" w:type="dxa"/>
            <w:tcBorders>
              <w:top w:val="nil"/>
              <w:left w:val="nil"/>
              <w:bottom w:val="nil"/>
              <w:right w:val="nil"/>
            </w:tcBorders>
            <w:hideMark/>
          </w:tcPr>
          <w:p w14:paraId="3D3F3747"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3D38715D" w14:textId="77777777" w:rsidR="0088071B" w:rsidRPr="00C574C2" w:rsidRDefault="0088071B" w:rsidP="00730E82">
            <w:pPr>
              <w:pStyle w:val="AmColumnHeading"/>
            </w:pPr>
            <w:r>
              <w:t>Izmjena</w:t>
            </w:r>
          </w:p>
        </w:tc>
      </w:tr>
      <w:tr w:rsidR="0088071B" w14:paraId="66465E3C" w14:textId="77777777" w:rsidTr="00730E82">
        <w:trPr>
          <w:jc w:val="center"/>
        </w:trPr>
        <w:tc>
          <w:tcPr>
            <w:tcW w:w="4876" w:type="dxa"/>
            <w:tcBorders>
              <w:top w:val="nil"/>
              <w:left w:val="nil"/>
              <w:bottom w:val="nil"/>
              <w:right w:val="nil"/>
            </w:tcBorders>
            <w:hideMark/>
          </w:tcPr>
          <w:p w14:paraId="7A6ABEAC" w14:textId="77777777" w:rsidR="0088071B" w:rsidRPr="00C574C2" w:rsidRDefault="0088071B" w:rsidP="00730E82">
            <w:pPr>
              <w:pStyle w:val="Normal6a"/>
            </w:pPr>
            <w:r>
              <w:t>77.</w:t>
            </w:r>
            <w:r>
              <w:tab/>
              <w:t xml:space="preserve">napominje da u EPPO u operativnim područjima primjenjuje velik oprez pri upotrebi umjetne inteligencije i slaže se da, iako UI može pomoći s obradom podataka, evaluacija dokaza i donošenje </w:t>
            </w:r>
            <w:proofErr w:type="spellStart"/>
            <w:r>
              <w:t>postupovnih</w:t>
            </w:r>
            <w:proofErr w:type="spellEnd"/>
            <w:r>
              <w:t xml:space="preserve"> odluka moraju ostati u strogoj i potpunoj ljudskoj nadležnosti; ističe da EPPO ne smatra UI rješenjem za smanjenje potreba za osobljem, već kao alat za podršku pri suočavanju sa sve većim radnim opterećenjem; potiče ciljana ulaganja u UI alate i osposobljavanje, čije bi</w:t>
            </w:r>
            <w:r>
              <w:rPr>
                <w:b/>
                <w:i/>
              </w:rPr>
              <w:t xml:space="preserve"> se</w:t>
            </w:r>
            <w:r>
              <w:t xml:space="preserve"> učinke na proračun trebalo ublažiti povećanjem učinkovitosti u području prevođenja i drugih sustava potpore; poziva EPPO da pruži smjernice osoblju o korištenju tih instrumenata, posebno za uobičajene postupke svojstvene jedinstvenom mandatu EPPO-a;</w:t>
            </w:r>
          </w:p>
        </w:tc>
        <w:tc>
          <w:tcPr>
            <w:tcW w:w="4876" w:type="dxa"/>
            <w:tcBorders>
              <w:top w:val="nil"/>
              <w:left w:val="nil"/>
              <w:bottom w:val="nil"/>
              <w:right w:val="nil"/>
            </w:tcBorders>
            <w:hideMark/>
          </w:tcPr>
          <w:p w14:paraId="6C21C318" w14:textId="77777777" w:rsidR="0088071B" w:rsidRPr="00C574C2" w:rsidRDefault="0088071B" w:rsidP="00730E82">
            <w:pPr>
              <w:pStyle w:val="Normal6a"/>
            </w:pPr>
            <w:r>
              <w:t>77.</w:t>
            </w:r>
            <w:r>
              <w:tab/>
              <w:t xml:space="preserve">napominje da u EPPO u operativnim područjima primjenjuje velik oprez pri upotrebi umjetne inteligencije i slaže se da, iako UI može pomoći s obradom podataka, evaluacija dokaza i donošenje </w:t>
            </w:r>
            <w:proofErr w:type="spellStart"/>
            <w:r>
              <w:t>postupovnih</w:t>
            </w:r>
            <w:proofErr w:type="spellEnd"/>
            <w:r>
              <w:t xml:space="preserve"> odluka moraju ostati u strogoj i potpunoj ljudskoj nadležnosti; </w:t>
            </w:r>
            <w:r>
              <w:rPr>
                <w:b/>
                <w:i/>
              </w:rPr>
              <w:t>pozdravlja taj pristup kao ključan za zaštitu temeljnih prava, pravne sigurnosti i odgovornosti;</w:t>
            </w:r>
            <w:r>
              <w:t xml:space="preserve"> ističe da EPPO ne smatra UI rješenjem za smanjenje potreba za osobljem, već kao alat za podršku pri suočavanju sa sve većim radnim opterećenjem; potiče ciljana ulaganja u UI alate</w:t>
            </w:r>
            <w:r>
              <w:rPr>
                <w:b/>
                <w:i/>
              </w:rPr>
              <w:t>, pod uvjetom da njihova upotreba ostane razmjerna</w:t>
            </w:r>
            <w:r>
              <w:t xml:space="preserve"> i </w:t>
            </w:r>
            <w:r>
              <w:rPr>
                <w:b/>
                <w:i/>
              </w:rPr>
              <w:t xml:space="preserve">pod ljudskim nadzorom, te u </w:t>
            </w:r>
            <w:r>
              <w:t xml:space="preserve">osposobljavanje, čije bi učinke na proračun trebalo ublažiti povećanjem učinkovitosti u području prevođenja i drugih sustava potpore; poziva EPPO da pruži smjernice osoblju o </w:t>
            </w:r>
            <w:r>
              <w:lastRenderedPageBreak/>
              <w:t>korištenju tih instrumenata, posebno za uobičajene postupke svojstvene jedinstvenom mandatu EPPO-a;</w:t>
            </w:r>
          </w:p>
        </w:tc>
      </w:tr>
    </w:tbl>
    <w:p w14:paraId="349A2101"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17F0EAD9" w14:textId="77777777" w:rsidR="0088071B" w:rsidRPr="00C574C2" w:rsidRDefault="0088071B" w:rsidP="0088071B">
      <w:r>
        <w:rPr>
          <w:rStyle w:val="HideTWBExt"/>
        </w:rPr>
        <w:t>&lt;/Amend&gt;</w:t>
      </w:r>
    </w:p>
    <w:p w14:paraId="6E6E6FF6" w14:textId="77777777" w:rsidR="0088071B" w:rsidRPr="00C574C2" w:rsidRDefault="0088071B" w:rsidP="0088071B">
      <w:pPr>
        <w:pStyle w:val="AmNumberTabs"/>
      </w:pPr>
      <w:r>
        <w:rPr>
          <w:rStyle w:val="HideTWBExt"/>
        </w:rPr>
        <w:t>&lt;Amend&gt;</w:t>
      </w:r>
      <w:r>
        <w:t>Amandman</w:t>
      </w:r>
      <w:r>
        <w:tab/>
      </w:r>
      <w:r>
        <w:tab/>
      </w:r>
      <w:r>
        <w:rPr>
          <w:rStyle w:val="HideTWBExt"/>
        </w:rPr>
        <w:t>&lt;NumAm&gt;</w:t>
      </w:r>
      <w:r>
        <w:t>51</w:t>
      </w:r>
      <w:r>
        <w:rPr>
          <w:rStyle w:val="HideTWBExt"/>
        </w:rPr>
        <w:t>&lt;/</w:t>
      </w:r>
      <w:proofErr w:type="spellStart"/>
      <w:r>
        <w:rPr>
          <w:rStyle w:val="HideTWBExt"/>
        </w:rPr>
        <w:t>NumAm</w:t>
      </w:r>
      <w:proofErr w:type="spellEnd"/>
      <w:r>
        <w:rPr>
          <w:rStyle w:val="HideTWBExt"/>
        </w:rPr>
        <w:t>&gt;</w:t>
      </w:r>
    </w:p>
    <w:p w14:paraId="1DCA124D"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6C2CD708" w14:textId="77777777" w:rsidR="0088071B" w:rsidRPr="00C574C2" w:rsidRDefault="0088071B" w:rsidP="0088071B">
      <w:pPr>
        <w:pStyle w:val="NormalBold"/>
      </w:pPr>
      <w:r>
        <w:rPr>
          <w:rStyle w:val="HideTWBExt"/>
          <w:b w:val="0"/>
        </w:rPr>
        <w:t>&lt;/RepeatBlock-By&gt;</w:t>
      </w:r>
    </w:p>
    <w:p w14:paraId="0F423D8D"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B401692" w14:textId="77777777" w:rsidR="0088071B" w:rsidRPr="00C574C2" w:rsidRDefault="0088071B" w:rsidP="0088071B">
      <w:pPr>
        <w:pStyle w:val="NormalBold"/>
      </w:pPr>
      <w:r>
        <w:rPr>
          <w:rStyle w:val="HideTWBExt"/>
        </w:rPr>
        <w:t>&lt;Article&gt;</w:t>
      </w:r>
      <w:r>
        <w:t>Stavak 87.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43E3945" w14:textId="77777777" w:rsidTr="00730E82">
        <w:trPr>
          <w:trHeight w:val="240"/>
          <w:jc w:val="center"/>
        </w:trPr>
        <w:tc>
          <w:tcPr>
            <w:tcW w:w="9752" w:type="dxa"/>
            <w:gridSpan w:val="2"/>
            <w:tcBorders>
              <w:top w:val="nil"/>
              <w:left w:val="nil"/>
              <w:bottom w:val="nil"/>
              <w:right w:val="nil"/>
            </w:tcBorders>
          </w:tcPr>
          <w:p w14:paraId="64AEE2C3" w14:textId="77777777" w:rsidR="0088071B" w:rsidRPr="00C574C2" w:rsidRDefault="0088071B" w:rsidP="00730E82"/>
        </w:tc>
      </w:tr>
      <w:tr w:rsidR="0088071B" w14:paraId="43CAAD11" w14:textId="77777777" w:rsidTr="00730E82">
        <w:trPr>
          <w:trHeight w:val="240"/>
          <w:jc w:val="center"/>
        </w:trPr>
        <w:tc>
          <w:tcPr>
            <w:tcW w:w="4876" w:type="dxa"/>
            <w:tcBorders>
              <w:top w:val="nil"/>
              <w:left w:val="nil"/>
              <w:bottom w:val="nil"/>
              <w:right w:val="nil"/>
            </w:tcBorders>
            <w:hideMark/>
          </w:tcPr>
          <w:p w14:paraId="0227CB29"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BA9951F" w14:textId="77777777" w:rsidR="0088071B" w:rsidRPr="00C574C2" w:rsidRDefault="0088071B" w:rsidP="00730E82">
            <w:pPr>
              <w:pStyle w:val="AmColumnHeading"/>
            </w:pPr>
            <w:r>
              <w:t>Izmjena</w:t>
            </w:r>
          </w:p>
        </w:tc>
      </w:tr>
      <w:tr w:rsidR="0088071B" w14:paraId="1CA7DB9F" w14:textId="77777777" w:rsidTr="00730E82">
        <w:trPr>
          <w:jc w:val="center"/>
        </w:trPr>
        <w:tc>
          <w:tcPr>
            <w:tcW w:w="4876" w:type="dxa"/>
            <w:tcBorders>
              <w:top w:val="nil"/>
              <w:left w:val="nil"/>
              <w:bottom w:val="nil"/>
              <w:right w:val="nil"/>
            </w:tcBorders>
            <w:hideMark/>
          </w:tcPr>
          <w:p w14:paraId="515E37BF" w14:textId="77777777" w:rsidR="0088071B" w:rsidRPr="00C574C2" w:rsidRDefault="0088071B" w:rsidP="00730E82">
            <w:pPr>
              <w:pStyle w:val="Normal6a"/>
            </w:pPr>
            <w:r>
              <w:t>87.</w:t>
            </w:r>
            <w:r>
              <w:tab/>
              <w:t xml:space="preserve">svjestan je napora koje EPPO ulaže u učinkovitu suradnju s </w:t>
            </w:r>
            <w:proofErr w:type="spellStart"/>
            <w:r>
              <w:t>Europolom</w:t>
            </w:r>
            <w:proofErr w:type="spellEnd"/>
            <w:r>
              <w:t xml:space="preserve">, OLAF-om i </w:t>
            </w:r>
            <w:proofErr w:type="spellStart"/>
            <w:r>
              <w:t>Eurojustom</w:t>
            </w:r>
            <w:proofErr w:type="spellEnd"/>
            <w:r>
              <w:t xml:space="preserve">, koja se izvršava u skladu s mandatima tih organizacija, putem redovitih sastanaka na rukovodećoj i tehničkoj razini te u okviru postupka „ima/nema pogotka” koji se koristi za dvosmjernu razmjenu informacija i radi izbjegavanja udvostručavanja aktivnosti; međutim, žali zbog ograničene operativne suradnje između OLAF-a i EPPO-a, što je vidljivo iz dosljedni malog broja predmeta EPPO-a u kojima potporu pruža OLAF (četiri predmeta 2023. i pet predmeta 2024.) u usporedbi s brojem predmeta u kojima je EPPO 2024. primio potporu </w:t>
            </w:r>
            <w:proofErr w:type="spellStart"/>
            <w:r>
              <w:t>Eurojusta</w:t>
            </w:r>
            <w:proofErr w:type="spellEnd"/>
            <w:r>
              <w:t xml:space="preserve"> (25) i </w:t>
            </w:r>
            <w:proofErr w:type="spellStart"/>
            <w:r>
              <w:t>Europola</w:t>
            </w:r>
            <w:proofErr w:type="spellEnd"/>
            <w:r>
              <w:t xml:space="preserve"> (83); napominje da se suradnja s </w:t>
            </w:r>
            <w:proofErr w:type="spellStart"/>
            <w:r>
              <w:t>Europolom</w:t>
            </w:r>
            <w:proofErr w:type="spellEnd"/>
            <w:r>
              <w:t xml:space="preserve"> suočava s ograničenjima koja proizlaze iz nacionalnog </w:t>
            </w:r>
            <w:proofErr w:type="spellStart"/>
            <w:r>
              <w:t>postupovnog</w:t>
            </w:r>
            <w:proofErr w:type="spellEnd"/>
            <w:r>
              <w:t xml:space="preserve"> kaznenog prava i dostupnosti podataka EPPO-a; smatra da bi dodatno poboljšanje suradnje s </w:t>
            </w:r>
            <w:proofErr w:type="spellStart"/>
            <w:r>
              <w:t>Europolom</w:t>
            </w:r>
            <w:proofErr w:type="spellEnd"/>
            <w:r>
              <w:t xml:space="preserve"> omogućilo sinergije i optimizaciju resursa, neovisno o hitnoj potrebi za time da EPPO razvije vlastitu internu analitičku platformu, koja je ključna za brzo tumačenje podataka prikupljenih tijekom njegovih istraga i utvrđivanje operativnih strategija u prekograničnim slučajevima za koje je potreban pristup cijelom sustavu vođenja predmeta EPPO-a; poziva sve strane da istraže dodatne načine za </w:t>
            </w:r>
            <w:r>
              <w:lastRenderedPageBreak/>
              <w:t>stvaranje sinergija</w:t>
            </w:r>
            <w:r>
              <w:rPr>
                <w:b/>
                <w:i/>
              </w:rPr>
              <w:t xml:space="preserve"> i</w:t>
            </w:r>
            <w:r>
              <w:t xml:space="preserve"> jačanje suradnje na operativnoj razini; pozdravlja uspostavu posebnih radnih skupina za najavljenu Komisijinu reviziju strukture za borbu protiv prijevara i očekuje da će se raspravama, u kojima će sudjelovati sve komponente strukture za borbu protiv prijevara, postići vidljiva poboljšanja načina suradnje i koordinacije aktivnosti, koje će Komisija predstaviti do kraja 2026.;</w:t>
            </w:r>
          </w:p>
        </w:tc>
        <w:tc>
          <w:tcPr>
            <w:tcW w:w="4876" w:type="dxa"/>
            <w:tcBorders>
              <w:top w:val="nil"/>
              <w:left w:val="nil"/>
              <w:bottom w:val="nil"/>
              <w:right w:val="nil"/>
            </w:tcBorders>
            <w:hideMark/>
          </w:tcPr>
          <w:p w14:paraId="268D7AAC" w14:textId="77777777" w:rsidR="0088071B" w:rsidRPr="00C574C2" w:rsidRDefault="0088071B" w:rsidP="00730E82">
            <w:pPr>
              <w:pStyle w:val="Normal6a"/>
            </w:pPr>
            <w:r>
              <w:lastRenderedPageBreak/>
              <w:t>87.</w:t>
            </w:r>
            <w:r>
              <w:tab/>
              <w:t xml:space="preserve">svjestan je napora koje EPPO ulaže u učinkovitu suradnju s </w:t>
            </w:r>
            <w:proofErr w:type="spellStart"/>
            <w:r>
              <w:t>Europolom</w:t>
            </w:r>
            <w:proofErr w:type="spellEnd"/>
            <w:r>
              <w:t xml:space="preserve">, OLAF-om i </w:t>
            </w:r>
            <w:proofErr w:type="spellStart"/>
            <w:r>
              <w:t>Eurojustom</w:t>
            </w:r>
            <w:proofErr w:type="spellEnd"/>
            <w:r>
              <w:t xml:space="preserve">, koja se izvršava u skladu s mandatima tih organizacija, putem redovitih sastanaka na rukovodećoj i tehničkoj razini te u okviru postupka „ima/nema pogotka” koji se koristi za dvosmjernu razmjenu informacija i radi izbjegavanja udvostručavanja aktivnosti; međutim, žali zbog ograničene operativne suradnje između OLAF-a i EPPO-a, što je vidljivo iz dosljedni malog broja predmeta EPPO-a u kojima potporu pruža OLAF (četiri predmeta 2023. i pet predmeta 2024.) u usporedbi s brojem predmeta u kojima je EPPO 2024. primio potporu </w:t>
            </w:r>
            <w:proofErr w:type="spellStart"/>
            <w:r>
              <w:t>Eurojusta</w:t>
            </w:r>
            <w:proofErr w:type="spellEnd"/>
            <w:r>
              <w:t xml:space="preserve"> (25) i </w:t>
            </w:r>
            <w:proofErr w:type="spellStart"/>
            <w:r>
              <w:t>Europola</w:t>
            </w:r>
            <w:proofErr w:type="spellEnd"/>
            <w:r>
              <w:t xml:space="preserve"> (83); napominje da se suradnja s </w:t>
            </w:r>
            <w:proofErr w:type="spellStart"/>
            <w:r>
              <w:t>Europolom</w:t>
            </w:r>
            <w:proofErr w:type="spellEnd"/>
            <w:r>
              <w:t xml:space="preserve"> suočava s ograničenjima koja proizlaze iz nacionalnog </w:t>
            </w:r>
            <w:proofErr w:type="spellStart"/>
            <w:r>
              <w:t>postupovnog</w:t>
            </w:r>
            <w:proofErr w:type="spellEnd"/>
            <w:r>
              <w:t xml:space="preserve"> kaznenog prava i dostupnosti podataka EPPO-a; smatra da bi dodatno poboljšanje suradnje s </w:t>
            </w:r>
            <w:proofErr w:type="spellStart"/>
            <w:r>
              <w:t>Europolom</w:t>
            </w:r>
            <w:proofErr w:type="spellEnd"/>
            <w:r>
              <w:t xml:space="preserve"> omogućilo sinergije i optimizaciju resursa, neovisno o hitnoj potrebi za time da EPPO razvije vlastitu internu analitičku platformu, koja je ključna za brzo tumačenje podataka prikupljenih tijekom njegovih istraga i utvrđivanje operativnih strategija u prekograničnim slučajevima za koje je potreban pristup cijelom sustavu vođenja predmeta EPPO-a; poziva sve strane da istraže dodatne načine za </w:t>
            </w:r>
            <w:r>
              <w:lastRenderedPageBreak/>
              <w:t>stvaranje sinergija</w:t>
            </w:r>
            <w:r>
              <w:rPr>
                <w:b/>
                <w:i/>
              </w:rPr>
              <w:t>,</w:t>
            </w:r>
            <w:r>
              <w:t xml:space="preserve"> jačanje suradnje na operativnoj razini</w:t>
            </w:r>
            <w:r>
              <w:rPr>
                <w:b/>
                <w:i/>
              </w:rPr>
              <w:t>, izbjegavanje udvostručavanja zadaća i bolje iskorištavanje postojećih analitičkih kapaciteta</w:t>
            </w:r>
            <w:r>
              <w:t>; pozdravlja uspostavu posebnih radnih skupina za najavljenu Komisijinu reviziju strukture za borbu protiv prijevara i očekuje da će se raspravama, u kojima će sudjelovati sve komponente strukture za borbu protiv prijevara, postići vidljiva poboljšanja načina suradnje i koordinacije aktivnosti, koje će Komisija predstaviti do kraja 2026.;</w:t>
            </w:r>
          </w:p>
        </w:tc>
      </w:tr>
    </w:tbl>
    <w:p w14:paraId="6EA13302"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92EC22C" w14:textId="77777777" w:rsidR="0088071B" w:rsidRPr="00C574C2" w:rsidRDefault="0088071B" w:rsidP="0088071B">
      <w:r>
        <w:rPr>
          <w:rStyle w:val="HideTWBExt"/>
        </w:rPr>
        <w:t>&lt;/Amend&gt;</w:t>
      </w:r>
    </w:p>
    <w:p w14:paraId="5E3B7C60" w14:textId="77777777" w:rsidR="0088071B" w:rsidRPr="00C574C2" w:rsidRDefault="0088071B" w:rsidP="0088071B">
      <w:pPr>
        <w:pStyle w:val="AmNumberTabs"/>
      </w:pPr>
      <w:r>
        <w:rPr>
          <w:rStyle w:val="HideTWBExt"/>
        </w:rPr>
        <w:t>&lt;Amend&gt;</w:t>
      </w:r>
      <w:r>
        <w:t>Amandman</w:t>
      </w:r>
      <w:r>
        <w:tab/>
      </w:r>
      <w:r>
        <w:tab/>
      </w:r>
      <w:r>
        <w:rPr>
          <w:rStyle w:val="HideTWBExt"/>
        </w:rPr>
        <w:t>&lt;NumAm&gt;</w:t>
      </w:r>
      <w:r>
        <w:t>52</w:t>
      </w:r>
      <w:r>
        <w:rPr>
          <w:rStyle w:val="HideTWBExt"/>
        </w:rPr>
        <w:t>&lt;/</w:t>
      </w:r>
      <w:proofErr w:type="spellStart"/>
      <w:r>
        <w:rPr>
          <w:rStyle w:val="HideTWBExt"/>
        </w:rPr>
        <w:t>NumAm</w:t>
      </w:r>
      <w:proofErr w:type="spellEnd"/>
      <w:r>
        <w:rPr>
          <w:rStyle w:val="HideTWBExt"/>
        </w:rPr>
        <w:t>&gt;</w:t>
      </w:r>
    </w:p>
    <w:p w14:paraId="2B1F49B1"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6A5AC478" w14:textId="77777777" w:rsidR="0088071B" w:rsidRPr="00C574C2" w:rsidRDefault="0088071B" w:rsidP="0088071B">
      <w:pPr>
        <w:pStyle w:val="NormalBold"/>
      </w:pPr>
      <w:r>
        <w:rPr>
          <w:rStyle w:val="HideTWBExt"/>
          <w:b w:val="0"/>
        </w:rPr>
        <w:t>&lt;/RepeatBlock-By&gt;</w:t>
      </w:r>
    </w:p>
    <w:p w14:paraId="37302023"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C4DB1CF" w14:textId="77777777" w:rsidR="0088071B" w:rsidRPr="00C574C2" w:rsidRDefault="0088071B" w:rsidP="0088071B">
      <w:pPr>
        <w:pStyle w:val="NormalBold"/>
      </w:pPr>
      <w:r>
        <w:rPr>
          <w:rStyle w:val="HideTWBExt"/>
        </w:rPr>
        <w:t>&lt;Article&gt;</w:t>
      </w:r>
      <w:r>
        <w:t>Stavak 89.</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534C1035" w14:textId="77777777" w:rsidTr="00730E82">
        <w:trPr>
          <w:trHeight w:val="240"/>
          <w:jc w:val="center"/>
        </w:trPr>
        <w:tc>
          <w:tcPr>
            <w:tcW w:w="9752" w:type="dxa"/>
            <w:gridSpan w:val="2"/>
            <w:tcBorders>
              <w:top w:val="nil"/>
              <w:left w:val="nil"/>
              <w:bottom w:val="nil"/>
              <w:right w:val="nil"/>
            </w:tcBorders>
          </w:tcPr>
          <w:p w14:paraId="5BAB3CE5" w14:textId="77777777" w:rsidR="0088071B" w:rsidRPr="00C574C2" w:rsidRDefault="0088071B" w:rsidP="00730E82"/>
        </w:tc>
      </w:tr>
      <w:tr w:rsidR="0088071B" w14:paraId="1F6892E3" w14:textId="77777777" w:rsidTr="00730E82">
        <w:trPr>
          <w:trHeight w:val="240"/>
          <w:jc w:val="center"/>
        </w:trPr>
        <w:tc>
          <w:tcPr>
            <w:tcW w:w="4876" w:type="dxa"/>
            <w:tcBorders>
              <w:top w:val="nil"/>
              <w:left w:val="nil"/>
              <w:bottom w:val="nil"/>
              <w:right w:val="nil"/>
            </w:tcBorders>
            <w:hideMark/>
          </w:tcPr>
          <w:p w14:paraId="28169420"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53D656C" w14:textId="77777777" w:rsidR="0088071B" w:rsidRPr="00C574C2" w:rsidRDefault="0088071B" w:rsidP="00730E82">
            <w:pPr>
              <w:pStyle w:val="AmColumnHeading"/>
            </w:pPr>
            <w:r>
              <w:t>Izmjena</w:t>
            </w:r>
          </w:p>
        </w:tc>
      </w:tr>
      <w:tr w:rsidR="0088071B" w14:paraId="4958DBED" w14:textId="77777777" w:rsidTr="00730E82">
        <w:trPr>
          <w:jc w:val="center"/>
        </w:trPr>
        <w:tc>
          <w:tcPr>
            <w:tcW w:w="4876" w:type="dxa"/>
            <w:tcBorders>
              <w:top w:val="nil"/>
              <w:left w:val="nil"/>
              <w:bottom w:val="nil"/>
              <w:right w:val="nil"/>
            </w:tcBorders>
            <w:hideMark/>
          </w:tcPr>
          <w:p w14:paraId="09D7E037" w14:textId="77777777" w:rsidR="0088071B" w:rsidRPr="00C574C2" w:rsidRDefault="0088071B" w:rsidP="00730E82">
            <w:pPr>
              <w:pStyle w:val="Normal6a"/>
            </w:pPr>
            <w:r>
              <w:t>89.</w:t>
            </w:r>
            <w:r>
              <w:tab/>
              <w:t xml:space="preserve">smatra da revizija regulatornih okvira OLAF-a i EPPO-a omogućuje da se razmotre brojni aspekti njihove suradnje u odnosu na iskustva stečena kroz godine operativnog djelovanja; naglašava da su pouke stečene u provedbi dodatnih istraga (koje predlaže OLAF) i istraga za potporu (koje traži EPPO) omogućile prikupljanje dobrog skupa informacija na kojima se može ponovno izgraditi </w:t>
            </w:r>
            <w:r>
              <w:rPr>
                <w:b/>
                <w:i/>
              </w:rPr>
              <w:t>modul</w:t>
            </w:r>
            <w:r>
              <w:t xml:space="preserve"> njihove suradnje; ističe da je isto operativno iskustvo pokazalo da postoji potreba za većim otkrivanjem prijevara i boljim prijavljivanjem; napominje da je 2024. u Parlamentu </w:t>
            </w:r>
            <w:r>
              <w:rPr>
                <w:b/>
                <w:i/>
              </w:rPr>
              <w:t>održana prva međunarodna razmjena stajališta</w:t>
            </w:r>
            <w:r>
              <w:t xml:space="preserve"> između tužitelja iz EPPO-a i istražitelja iz OLAF-a; smatra da </w:t>
            </w:r>
            <w:r>
              <w:rPr>
                <w:b/>
                <w:i/>
              </w:rPr>
              <w:t xml:space="preserve">je </w:t>
            </w:r>
            <w:r>
              <w:t xml:space="preserve">se može smatrati pilot-projektom za praksu razmjene </w:t>
            </w:r>
            <w:r>
              <w:rPr>
                <w:b/>
                <w:i/>
              </w:rPr>
              <w:t xml:space="preserve">stajališta </w:t>
            </w:r>
            <w:r>
              <w:t xml:space="preserve">koja bi trebala </w:t>
            </w:r>
            <w:r>
              <w:rPr>
                <w:b/>
                <w:i/>
              </w:rPr>
              <w:t>postati obvezna i održavati se periodički</w:t>
            </w:r>
            <w:r>
              <w:t xml:space="preserve">; ponavlja da se odgovarajući dijalog i suradnja među komponentama strukture </w:t>
            </w:r>
            <w:r>
              <w:lastRenderedPageBreak/>
              <w:t xml:space="preserve">Unije za borbu protiv prijevara može postići samo uspostavom obveznog </w:t>
            </w:r>
            <w:proofErr w:type="spellStart"/>
            <w:r>
              <w:t>međuinstitucijskog</w:t>
            </w:r>
            <w:proofErr w:type="spellEnd"/>
            <w:r>
              <w:t xml:space="preserve"> foruma na kojem se mogu pokrenuti strateška pitanja te se o njima može raspraviti u cilju optimizacije resursa i postizanja veće vidljivosti rezultata;</w:t>
            </w:r>
          </w:p>
        </w:tc>
        <w:tc>
          <w:tcPr>
            <w:tcW w:w="4876" w:type="dxa"/>
            <w:tcBorders>
              <w:top w:val="nil"/>
              <w:left w:val="nil"/>
              <w:bottom w:val="nil"/>
              <w:right w:val="nil"/>
            </w:tcBorders>
            <w:hideMark/>
          </w:tcPr>
          <w:p w14:paraId="39C157FA" w14:textId="77777777" w:rsidR="0088071B" w:rsidRPr="00C574C2" w:rsidRDefault="0088071B" w:rsidP="00730E82">
            <w:pPr>
              <w:pStyle w:val="Normal6a"/>
            </w:pPr>
            <w:r>
              <w:lastRenderedPageBreak/>
              <w:t>89.</w:t>
            </w:r>
            <w:r>
              <w:tab/>
              <w:t xml:space="preserve">smatra da revizija regulatornih okvira OLAF-a i EPPO-a omogućuje da se razmotre brojni aspekti njihove suradnje u odnosu na iskustva stečena kroz godine operativnog djelovanja; naglašava da su pouke stečene u provedbi dodatnih istraga (koje predlaže OLAF) i istraga za potporu (koje traži EPPO) omogućile prikupljanje dobrog skupa informacija na kojima se može ponovno izgraditi </w:t>
            </w:r>
            <w:r>
              <w:rPr>
                <w:b/>
                <w:i/>
              </w:rPr>
              <w:t>načine</w:t>
            </w:r>
            <w:r>
              <w:t xml:space="preserve"> njihove suradnje; ističe da je isto operativno iskustvo pokazalo da postoji potreba za većim otkrivanjem prijevara i boljim prijavljivanjem; napominje da je 2024. u Parlamentu </w:t>
            </w:r>
            <w:r>
              <w:rPr>
                <w:b/>
                <w:i/>
              </w:rPr>
              <w:t>održan prvi zajednički sastanak</w:t>
            </w:r>
            <w:r>
              <w:t xml:space="preserve"> između tužitelja iz EPPO-a i istražitelja iz OLAF-a; smatra da se</w:t>
            </w:r>
            <w:r>
              <w:rPr>
                <w:b/>
                <w:i/>
              </w:rPr>
              <w:t xml:space="preserve"> on</w:t>
            </w:r>
            <w:r>
              <w:t xml:space="preserve"> može smatrati pilot-projektom za praksu razmjene koja bi</w:t>
            </w:r>
            <w:r>
              <w:rPr>
                <w:b/>
                <w:i/>
              </w:rPr>
              <w:t xml:space="preserve"> se</w:t>
            </w:r>
            <w:r>
              <w:t xml:space="preserve"> trebala </w:t>
            </w:r>
            <w:r>
              <w:rPr>
                <w:b/>
                <w:i/>
              </w:rPr>
              <w:t>održavati periodički, pod uvjetom da su dostupna financijska sredstva</w:t>
            </w:r>
            <w:r>
              <w:t xml:space="preserve">; ponavlja da se odgovarajući dijalog i suradnja među </w:t>
            </w:r>
            <w:r>
              <w:lastRenderedPageBreak/>
              <w:t xml:space="preserve">komponentama strukture Unije za borbu protiv prijevara može postići samo uspostavom obveznog </w:t>
            </w:r>
            <w:proofErr w:type="spellStart"/>
            <w:r>
              <w:t>međuinstitucijskog</w:t>
            </w:r>
            <w:proofErr w:type="spellEnd"/>
            <w:r>
              <w:t xml:space="preserve"> foruma na kojem se mogu pokrenuti strateška pitanja te se o njima može raspraviti u cilju optimizacije resursa i postizanja veće vidljivosti rezultata;</w:t>
            </w:r>
          </w:p>
        </w:tc>
      </w:tr>
    </w:tbl>
    <w:p w14:paraId="70F9DF39"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CF57C87" w14:textId="77777777" w:rsidR="0088071B" w:rsidRPr="00C574C2" w:rsidRDefault="0088071B" w:rsidP="0088071B">
      <w:r>
        <w:rPr>
          <w:rStyle w:val="HideTWBExt"/>
        </w:rPr>
        <w:t>&lt;/Amend&gt;</w:t>
      </w:r>
    </w:p>
    <w:p w14:paraId="51ABBEC4" w14:textId="77777777" w:rsidR="0088071B" w:rsidRPr="00C574C2" w:rsidRDefault="0088071B" w:rsidP="0088071B">
      <w:pPr>
        <w:pStyle w:val="AmNumberTabs"/>
      </w:pPr>
      <w:r>
        <w:rPr>
          <w:rStyle w:val="HideTWBExt"/>
        </w:rPr>
        <w:t>&lt;Amend&gt;</w:t>
      </w:r>
      <w:r>
        <w:t>Amandman</w:t>
      </w:r>
      <w:r>
        <w:tab/>
      </w:r>
      <w:r>
        <w:tab/>
      </w:r>
      <w:r>
        <w:rPr>
          <w:rStyle w:val="HideTWBExt"/>
        </w:rPr>
        <w:t>&lt;NumAm&gt;</w:t>
      </w:r>
      <w:r>
        <w:t>53</w:t>
      </w:r>
      <w:r>
        <w:rPr>
          <w:rStyle w:val="HideTWBExt"/>
        </w:rPr>
        <w:t>&lt;/</w:t>
      </w:r>
      <w:proofErr w:type="spellStart"/>
      <w:r>
        <w:rPr>
          <w:rStyle w:val="HideTWBExt"/>
        </w:rPr>
        <w:t>NumAm</w:t>
      </w:r>
      <w:proofErr w:type="spellEnd"/>
      <w:r>
        <w:rPr>
          <w:rStyle w:val="HideTWBExt"/>
        </w:rPr>
        <w:t>&gt;</w:t>
      </w:r>
    </w:p>
    <w:p w14:paraId="44C2427D" w14:textId="77777777" w:rsidR="0088071B" w:rsidRPr="00C574C2" w:rsidRDefault="0088071B" w:rsidP="0088071B">
      <w:pPr>
        <w:pStyle w:val="NormalBold"/>
      </w:pPr>
      <w:r>
        <w:rPr>
          <w:rStyle w:val="HideTWBExt"/>
          <w:b w:val="0"/>
        </w:rPr>
        <w:t>&lt;RepeatBlock-By&gt;&lt;Members&gt;</w:t>
      </w:r>
      <w:proofErr w:type="spellStart"/>
      <w:r>
        <w:t>Ondřej</w:t>
      </w:r>
      <w:proofErr w:type="spellEnd"/>
      <w:r>
        <w:t xml:space="preserve"> </w:t>
      </w:r>
      <w:proofErr w:type="spellStart"/>
      <w:r>
        <w:t>Knotek</w:t>
      </w:r>
      <w:proofErr w:type="spellEnd"/>
      <w:r>
        <w:t xml:space="preserve">, </w:t>
      </w:r>
      <w:proofErr w:type="spellStart"/>
      <w:r>
        <w:t>Virginie</w:t>
      </w:r>
      <w:proofErr w:type="spellEnd"/>
      <w:r>
        <w:t xml:space="preserve"> </w:t>
      </w:r>
      <w:proofErr w:type="spellStart"/>
      <w:r>
        <w:t>Joron</w:t>
      </w:r>
      <w:proofErr w:type="spellEnd"/>
      <w:r>
        <w:t>, Julien Sanchez</w:t>
      </w:r>
      <w:r>
        <w:rPr>
          <w:rStyle w:val="HideTWBExt"/>
          <w:b w:val="0"/>
        </w:rPr>
        <w:t>&lt;/</w:t>
      </w:r>
      <w:proofErr w:type="spellStart"/>
      <w:r>
        <w:rPr>
          <w:rStyle w:val="HideTWBExt"/>
          <w:b w:val="0"/>
        </w:rPr>
        <w:t>Members</w:t>
      </w:r>
      <w:proofErr w:type="spellEnd"/>
      <w:r>
        <w:rPr>
          <w:rStyle w:val="HideTWBExt"/>
          <w:b w:val="0"/>
        </w:rPr>
        <w:t>&gt;</w:t>
      </w:r>
    </w:p>
    <w:p w14:paraId="6B7D94B7" w14:textId="77777777" w:rsidR="0088071B" w:rsidRPr="00C574C2" w:rsidRDefault="0088071B" w:rsidP="0088071B">
      <w:pPr>
        <w:pStyle w:val="NormalBold"/>
      </w:pPr>
      <w:r>
        <w:rPr>
          <w:rStyle w:val="HideTWBExt"/>
          <w:b w:val="0"/>
        </w:rPr>
        <w:t>&lt;/RepeatBlock-By&gt;</w:t>
      </w:r>
    </w:p>
    <w:p w14:paraId="4BBF327B"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1007839" w14:textId="77777777" w:rsidR="0088071B" w:rsidRPr="00C574C2" w:rsidRDefault="0088071B" w:rsidP="0088071B">
      <w:pPr>
        <w:pStyle w:val="NormalBold"/>
      </w:pPr>
      <w:r>
        <w:rPr>
          <w:rStyle w:val="HideTWBExt"/>
        </w:rPr>
        <w:t>&lt;Article&gt;</w:t>
      </w:r>
      <w:r>
        <w:t>Stavak 91.a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09CD5C7" w14:textId="77777777" w:rsidTr="00730E82">
        <w:trPr>
          <w:trHeight w:val="240"/>
          <w:jc w:val="center"/>
        </w:trPr>
        <w:tc>
          <w:tcPr>
            <w:tcW w:w="9752" w:type="dxa"/>
            <w:gridSpan w:val="2"/>
            <w:tcBorders>
              <w:top w:val="nil"/>
              <w:left w:val="nil"/>
              <w:bottom w:val="nil"/>
              <w:right w:val="nil"/>
            </w:tcBorders>
          </w:tcPr>
          <w:p w14:paraId="0A10C687" w14:textId="77777777" w:rsidR="0088071B" w:rsidRPr="00C574C2" w:rsidRDefault="0088071B" w:rsidP="00730E82"/>
        </w:tc>
      </w:tr>
      <w:tr w:rsidR="0088071B" w14:paraId="19874E3C" w14:textId="77777777" w:rsidTr="00730E82">
        <w:trPr>
          <w:trHeight w:val="240"/>
          <w:jc w:val="center"/>
        </w:trPr>
        <w:tc>
          <w:tcPr>
            <w:tcW w:w="4876" w:type="dxa"/>
            <w:tcBorders>
              <w:top w:val="nil"/>
              <w:left w:val="nil"/>
              <w:bottom w:val="nil"/>
              <w:right w:val="nil"/>
            </w:tcBorders>
            <w:hideMark/>
          </w:tcPr>
          <w:p w14:paraId="5BC20321"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3CFEE440" w14:textId="77777777" w:rsidR="0088071B" w:rsidRPr="00C574C2" w:rsidRDefault="0088071B" w:rsidP="00730E82">
            <w:pPr>
              <w:pStyle w:val="AmColumnHeading"/>
            </w:pPr>
            <w:r>
              <w:t>Izmjena</w:t>
            </w:r>
          </w:p>
        </w:tc>
      </w:tr>
      <w:tr w:rsidR="0088071B" w14:paraId="1C1EC5DD" w14:textId="77777777" w:rsidTr="00730E82">
        <w:trPr>
          <w:jc w:val="center"/>
        </w:trPr>
        <w:tc>
          <w:tcPr>
            <w:tcW w:w="4876" w:type="dxa"/>
            <w:tcBorders>
              <w:top w:val="nil"/>
              <w:left w:val="nil"/>
              <w:bottom w:val="nil"/>
              <w:right w:val="nil"/>
            </w:tcBorders>
          </w:tcPr>
          <w:p w14:paraId="76D1053F" w14:textId="77777777" w:rsidR="0088071B" w:rsidRPr="00C574C2" w:rsidRDefault="0088071B" w:rsidP="00730E82">
            <w:pPr>
              <w:pStyle w:val="Normal6a"/>
            </w:pPr>
          </w:p>
        </w:tc>
        <w:tc>
          <w:tcPr>
            <w:tcW w:w="4876" w:type="dxa"/>
            <w:tcBorders>
              <w:top w:val="nil"/>
              <w:left w:val="nil"/>
              <w:bottom w:val="nil"/>
              <w:right w:val="nil"/>
            </w:tcBorders>
            <w:hideMark/>
          </w:tcPr>
          <w:p w14:paraId="4BC33D98" w14:textId="77777777" w:rsidR="0088071B" w:rsidRPr="00C574C2" w:rsidRDefault="0088071B" w:rsidP="00730E82">
            <w:pPr>
              <w:pStyle w:val="Normal6a"/>
            </w:pPr>
            <w:r>
              <w:rPr>
                <w:b/>
                <w:i/>
              </w:rPr>
              <w:t>91.a</w:t>
            </w:r>
            <w:r>
              <w:tab/>
            </w:r>
            <w:r>
              <w:rPr>
                <w:b/>
                <w:i/>
              </w:rPr>
              <w:t>naglašava da prijevare velikih razmjera u području PDV-a nisu samo financijski kriminal već i izravan napad na unutarnje tržište i pošteno tržišno natjecanje, čime se nerazmjerno nanosi šteta poreznim obveznicima i MSP-ovima koji poštuju zakone; naglašava da toleriranje velikih prijevara u vezi s PDV-om narušava povjerenje građana u Uniju; ustraje u tome da se s borbom protiv prijevara u vezi s PDV-om mora postupati kao s pitanjem političke vjerodostojnosti, a ne samo kao s pitanjem tehničke provedbe;</w:t>
            </w:r>
          </w:p>
        </w:tc>
      </w:tr>
    </w:tbl>
    <w:p w14:paraId="63997A5D"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11F81BC7" w14:textId="77777777" w:rsidR="0088071B" w:rsidRPr="00C574C2" w:rsidRDefault="0088071B" w:rsidP="0088071B">
      <w:r>
        <w:rPr>
          <w:rStyle w:val="HideTWBExt"/>
        </w:rPr>
        <w:t>&lt;/Amend&gt;</w:t>
      </w:r>
    </w:p>
    <w:p w14:paraId="3F7E96D2" w14:textId="77777777" w:rsidR="0088071B" w:rsidRPr="00C574C2" w:rsidRDefault="0088071B" w:rsidP="0088071B">
      <w:pPr>
        <w:pStyle w:val="AmNumberTabs"/>
      </w:pPr>
      <w:r>
        <w:rPr>
          <w:rStyle w:val="HideTWBExt"/>
        </w:rPr>
        <w:t>&lt;Amend&gt;</w:t>
      </w:r>
      <w:r>
        <w:t>Amandman</w:t>
      </w:r>
      <w:r>
        <w:tab/>
      </w:r>
      <w:r>
        <w:tab/>
      </w:r>
      <w:r>
        <w:rPr>
          <w:rStyle w:val="HideTWBExt"/>
        </w:rPr>
        <w:t>&lt;NumAm&gt;</w:t>
      </w:r>
      <w:r>
        <w:t>54</w:t>
      </w:r>
      <w:r>
        <w:rPr>
          <w:rStyle w:val="HideTWBExt"/>
        </w:rPr>
        <w:t>&lt;/</w:t>
      </w:r>
      <w:proofErr w:type="spellStart"/>
      <w:r>
        <w:rPr>
          <w:rStyle w:val="HideTWBExt"/>
        </w:rPr>
        <w:t>NumAm</w:t>
      </w:r>
      <w:proofErr w:type="spellEnd"/>
      <w:r>
        <w:rPr>
          <w:rStyle w:val="HideTWBExt"/>
        </w:rPr>
        <w:t>&gt;</w:t>
      </w:r>
    </w:p>
    <w:p w14:paraId="766CBFF1"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450C6F98"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0921FB8E" w14:textId="77777777" w:rsidR="0088071B" w:rsidRPr="00C574C2" w:rsidRDefault="0088071B" w:rsidP="0088071B">
      <w:pPr>
        <w:pStyle w:val="NormalBold"/>
      </w:pPr>
      <w:r>
        <w:rPr>
          <w:rStyle w:val="HideTWBExt"/>
          <w:b w:val="0"/>
        </w:rPr>
        <w:t>&lt;/RepeatBlock-By&gt;</w:t>
      </w:r>
    </w:p>
    <w:p w14:paraId="77BC282F"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85E9CB9" w14:textId="77777777" w:rsidR="0088071B" w:rsidRPr="00C574C2" w:rsidRDefault="0088071B" w:rsidP="0088071B">
      <w:pPr>
        <w:pStyle w:val="NormalBold"/>
      </w:pPr>
      <w:r>
        <w:rPr>
          <w:rStyle w:val="HideTWBExt"/>
        </w:rPr>
        <w:t>&lt;Article&gt;</w:t>
      </w:r>
      <w:r>
        <w:t>Stavak 95.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67598B7" w14:textId="77777777" w:rsidTr="00730E82">
        <w:trPr>
          <w:trHeight w:val="240"/>
          <w:jc w:val="center"/>
        </w:trPr>
        <w:tc>
          <w:tcPr>
            <w:tcW w:w="9752" w:type="dxa"/>
            <w:gridSpan w:val="2"/>
            <w:tcBorders>
              <w:top w:val="nil"/>
              <w:left w:val="nil"/>
              <w:bottom w:val="nil"/>
              <w:right w:val="nil"/>
            </w:tcBorders>
          </w:tcPr>
          <w:p w14:paraId="30AF0C3F" w14:textId="77777777" w:rsidR="0088071B" w:rsidRPr="00C574C2" w:rsidRDefault="0088071B" w:rsidP="00730E82"/>
        </w:tc>
      </w:tr>
      <w:tr w:rsidR="0088071B" w14:paraId="5B4A3750" w14:textId="77777777" w:rsidTr="00730E82">
        <w:trPr>
          <w:trHeight w:val="240"/>
          <w:jc w:val="center"/>
        </w:trPr>
        <w:tc>
          <w:tcPr>
            <w:tcW w:w="4876" w:type="dxa"/>
            <w:tcBorders>
              <w:top w:val="nil"/>
              <w:left w:val="nil"/>
              <w:bottom w:val="nil"/>
              <w:right w:val="nil"/>
            </w:tcBorders>
            <w:hideMark/>
          </w:tcPr>
          <w:p w14:paraId="2870776E"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DA26D5B" w14:textId="77777777" w:rsidR="0088071B" w:rsidRPr="00C574C2" w:rsidRDefault="0088071B" w:rsidP="00730E82">
            <w:pPr>
              <w:pStyle w:val="AmColumnHeading"/>
            </w:pPr>
            <w:r>
              <w:t>Izmjena</w:t>
            </w:r>
          </w:p>
        </w:tc>
      </w:tr>
      <w:tr w:rsidR="0088071B" w14:paraId="01877D6C" w14:textId="77777777" w:rsidTr="00730E82">
        <w:trPr>
          <w:jc w:val="center"/>
        </w:trPr>
        <w:tc>
          <w:tcPr>
            <w:tcW w:w="4876" w:type="dxa"/>
            <w:tcBorders>
              <w:top w:val="nil"/>
              <w:left w:val="nil"/>
              <w:bottom w:val="nil"/>
              <w:right w:val="nil"/>
            </w:tcBorders>
            <w:hideMark/>
          </w:tcPr>
          <w:p w14:paraId="4938F09F" w14:textId="77777777" w:rsidR="0088071B" w:rsidRPr="00C574C2" w:rsidRDefault="0088071B" w:rsidP="00730E82">
            <w:pPr>
              <w:pStyle w:val="Normal6a"/>
            </w:pPr>
            <w:r>
              <w:t>95.</w:t>
            </w:r>
            <w:r>
              <w:tab/>
              <w:t xml:space="preserve">uzima u obzir da se istrage EPPO-a </w:t>
            </w:r>
            <w:r>
              <w:lastRenderedPageBreak/>
              <w:t xml:space="preserve">mogu pokrenuti samo ako informacije dođu do tužitelja te očekuje od država članica da </w:t>
            </w:r>
            <w:proofErr w:type="spellStart"/>
            <w:r>
              <w:t>ispunjuju</w:t>
            </w:r>
            <w:proofErr w:type="spellEnd"/>
            <w:r>
              <w:t xml:space="preserve"> svoje pravne obveze i prijavljuju sve relevantne predmete EPPO-u; sa zabrinutošću napominje da su neke države članice kaznena djela koja utječu na financijske interese Unije prijavila kao nacionalne predmete i odbile priznati nadležnost EPPO-a u tim predmetima; izražava zabrinutost zbog mogućeg negativnog učinka na istragu tih sukoba nadležnosti prouzročenog gubitkom dokaza ili zakašnjelim prikupljanjem dokaza; poziva Komisiju da prikuplja i procjenjuje informacije o slučajevima sukoba nadležnosti kako bi mogla raspolagati relevantnim podacima za reviziju Uredbe (EU) 2017/1939;</w:t>
            </w:r>
          </w:p>
        </w:tc>
        <w:tc>
          <w:tcPr>
            <w:tcW w:w="4876" w:type="dxa"/>
            <w:tcBorders>
              <w:top w:val="nil"/>
              <w:left w:val="nil"/>
              <w:bottom w:val="nil"/>
              <w:right w:val="nil"/>
            </w:tcBorders>
            <w:hideMark/>
          </w:tcPr>
          <w:p w14:paraId="2873E791" w14:textId="77777777" w:rsidR="0088071B" w:rsidRPr="00C574C2" w:rsidRDefault="0088071B" w:rsidP="00730E82">
            <w:pPr>
              <w:pStyle w:val="Normal6a"/>
            </w:pPr>
            <w:r>
              <w:lastRenderedPageBreak/>
              <w:t>95.</w:t>
            </w:r>
            <w:r>
              <w:tab/>
              <w:t xml:space="preserve">uzima u obzir da se istrage EPPO-a </w:t>
            </w:r>
            <w:r>
              <w:lastRenderedPageBreak/>
              <w:t xml:space="preserve">mogu pokrenuti samo ako informacije dođu do tužitelja te očekuje od država članica da </w:t>
            </w:r>
            <w:proofErr w:type="spellStart"/>
            <w:r>
              <w:t>ispunjuju</w:t>
            </w:r>
            <w:proofErr w:type="spellEnd"/>
            <w:r>
              <w:t xml:space="preserve"> svoje pravne obveze i prijavljuju sve relevantne predmete EPPO-u;</w:t>
            </w:r>
            <w:r>
              <w:rPr>
                <w:b/>
                <w:i/>
              </w:rPr>
              <w:t xml:space="preserve"> sa zabrinutošću primjećuje da su 2024. i dalje postojali sukobi nadležnosti i sustavne prepreke za istrage EPPO-a, uključujući predmete koji izazivaju zabrinutost u pogledu vladavine prava; u tom pogledu podsjeća na javnu izjavu EPPO-a o odluci o sukobu nadležnosti u Hrvatskoj; poziva Komisiju da sustavno prati takve prepreke u okviru svoje odgovornosti za osiguravanje usklađenosti s pravom Unije i zaštitu financijskih interesa Unije;</w:t>
            </w:r>
            <w:r>
              <w:t xml:space="preserve"> sa zabrinutošću napominje da su neke države članice kaznena djela koja utječu na financijske interese Unije prijavila kao nacionalne predmete i odbile priznati nadležnost EPPO-a u tim predmetima; izražava zabrinutost zbog mogućeg negativnog učinka na istragu tih sukoba nadležnosti prouzročenog gubitkom dokaza ili zakašnjelim prikupljanjem dokaza; poziva Komisiju da prikuplja i procjenjuje informacije o slučajevima sukoba nadležnosti kako bi mogla raspolagati relevantnim podacima za reviziju Uredbe (EU) 2017/1939;</w:t>
            </w:r>
          </w:p>
        </w:tc>
      </w:tr>
    </w:tbl>
    <w:p w14:paraId="45E3403F"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3A248A94" w14:textId="77777777" w:rsidR="0088071B" w:rsidRPr="00C574C2" w:rsidRDefault="0088071B" w:rsidP="0088071B">
      <w:r>
        <w:rPr>
          <w:rStyle w:val="HideTWBExt"/>
        </w:rPr>
        <w:t>&lt;/Amend&gt;</w:t>
      </w:r>
    </w:p>
    <w:p w14:paraId="098537A7" w14:textId="77777777" w:rsidR="0088071B" w:rsidRPr="00C574C2" w:rsidRDefault="0088071B" w:rsidP="0088071B">
      <w:pPr>
        <w:pStyle w:val="AmNumberTabs"/>
      </w:pPr>
      <w:r>
        <w:rPr>
          <w:rStyle w:val="HideTWBExt"/>
        </w:rPr>
        <w:t>&lt;Amend&gt;</w:t>
      </w:r>
      <w:r>
        <w:t>Amandman</w:t>
      </w:r>
      <w:r>
        <w:tab/>
      </w:r>
      <w:r>
        <w:tab/>
      </w:r>
      <w:r>
        <w:rPr>
          <w:rStyle w:val="HideTWBExt"/>
        </w:rPr>
        <w:t>&lt;NumAm&gt;</w:t>
      </w:r>
      <w:r>
        <w:t>55</w:t>
      </w:r>
      <w:r>
        <w:rPr>
          <w:rStyle w:val="HideTWBExt"/>
        </w:rPr>
        <w:t>&lt;/</w:t>
      </w:r>
      <w:proofErr w:type="spellStart"/>
      <w:r>
        <w:rPr>
          <w:rStyle w:val="HideTWBExt"/>
        </w:rPr>
        <w:t>NumAm</w:t>
      </w:r>
      <w:proofErr w:type="spellEnd"/>
      <w:r>
        <w:rPr>
          <w:rStyle w:val="HideTWBExt"/>
        </w:rPr>
        <w:t>&gt;</w:t>
      </w:r>
    </w:p>
    <w:p w14:paraId="56B4C733"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704ADEF1" w14:textId="77777777" w:rsidR="0088071B" w:rsidRPr="00C574C2" w:rsidRDefault="0088071B" w:rsidP="0088071B">
      <w:pPr>
        <w:pStyle w:val="NormalBold"/>
      </w:pPr>
      <w:r>
        <w:rPr>
          <w:rStyle w:val="HideTWBExt"/>
          <w:b w:val="0"/>
        </w:rPr>
        <w:t>&lt;/RepeatBlock-By&gt;</w:t>
      </w:r>
    </w:p>
    <w:p w14:paraId="0357C794"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9902E57" w14:textId="77777777" w:rsidR="0088071B" w:rsidRPr="00C574C2" w:rsidRDefault="0088071B" w:rsidP="0088071B">
      <w:pPr>
        <w:pStyle w:val="NormalBold"/>
      </w:pPr>
      <w:r>
        <w:rPr>
          <w:rStyle w:val="HideTWBExt"/>
        </w:rPr>
        <w:t>&lt;Article&gt;</w:t>
      </w:r>
      <w:r>
        <w:t>Stavak 97.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0A6A47E" w14:textId="77777777" w:rsidTr="00730E82">
        <w:trPr>
          <w:trHeight w:val="240"/>
          <w:jc w:val="center"/>
        </w:trPr>
        <w:tc>
          <w:tcPr>
            <w:tcW w:w="9752" w:type="dxa"/>
            <w:gridSpan w:val="2"/>
            <w:tcBorders>
              <w:top w:val="nil"/>
              <w:left w:val="nil"/>
              <w:bottom w:val="nil"/>
              <w:right w:val="nil"/>
            </w:tcBorders>
          </w:tcPr>
          <w:p w14:paraId="0B4E9494" w14:textId="77777777" w:rsidR="0088071B" w:rsidRPr="00C574C2" w:rsidRDefault="0088071B" w:rsidP="00730E82"/>
        </w:tc>
      </w:tr>
      <w:tr w:rsidR="0088071B" w14:paraId="63A5C3DB" w14:textId="77777777" w:rsidTr="00730E82">
        <w:trPr>
          <w:trHeight w:val="240"/>
          <w:jc w:val="center"/>
        </w:trPr>
        <w:tc>
          <w:tcPr>
            <w:tcW w:w="4876" w:type="dxa"/>
            <w:tcBorders>
              <w:top w:val="nil"/>
              <w:left w:val="nil"/>
              <w:bottom w:val="nil"/>
              <w:right w:val="nil"/>
            </w:tcBorders>
            <w:hideMark/>
          </w:tcPr>
          <w:p w14:paraId="74014E7C"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12CEDA5" w14:textId="77777777" w:rsidR="0088071B" w:rsidRPr="00C574C2" w:rsidRDefault="0088071B" w:rsidP="00730E82">
            <w:pPr>
              <w:pStyle w:val="AmColumnHeading"/>
            </w:pPr>
            <w:r>
              <w:t>Izmjena</w:t>
            </w:r>
          </w:p>
        </w:tc>
      </w:tr>
      <w:tr w:rsidR="0088071B" w14:paraId="6654C3D9" w14:textId="77777777" w:rsidTr="00730E82">
        <w:trPr>
          <w:jc w:val="center"/>
        </w:trPr>
        <w:tc>
          <w:tcPr>
            <w:tcW w:w="4876" w:type="dxa"/>
            <w:tcBorders>
              <w:top w:val="nil"/>
              <w:left w:val="nil"/>
              <w:bottom w:val="nil"/>
              <w:right w:val="nil"/>
            </w:tcBorders>
            <w:hideMark/>
          </w:tcPr>
          <w:p w14:paraId="69579E92" w14:textId="77777777" w:rsidR="0088071B" w:rsidRPr="00C574C2" w:rsidRDefault="0088071B" w:rsidP="00730E82">
            <w:pPr>
              <w:pStyle w:val="Normal6a"/>
            </w:pPr>
            <w:r>
              <w:t>97.</w:t>
            </w:r>
            <w:r>
              <w:tab/>
              <w:t xml:space="preserve">napominje da je 2024. EPPO proveo „EPPO akademiju” i podmirio s tim povezane troškove, a organizirao ju je u suradnji s tijelom </w:t>
            </w:r>
            <w:proofErr w:type="spellStart"/>
            <w:r>
              <w:t>Guardia</w:t>
            </w:r>
            <w:proofErr w:type="spellEnd"/>
            <w:r>
              <w:t xml:space="preserve"> di </w:t>
            </w:r>
            <w:proofErr w:type="spellStart"/>
            <w:r>
              <w:t>Finanza</w:t>
            </w:r>
            <w:proofErr w:type="spellEnd"/>
            <w:r>
              <w:t xml:space="preserve"> u Italiji, pri čemu su održana dva međunarodna tečaja na terenu u trajanju od </w:t>
            </w:r>
            <w:r>
              <w:lastRenderedPageBreak/>
              <w:t>dva tjedna za 49 istražitelja; primjećuje da je u određenim državama članicama održano posebno osposobljavanje službenika za izvršavanje zakonodavstva o područjima kriminala obuhvaćenima mandatom EPPO-a; napominje da su u nekoliko navrata tijekom 2024. europski tužitelji i delegirani europski tužitelji pokrenuli dodatne aktivnosti informiranja, koje su se odnosile na decentraliziranu i središnju razinu te su bile namijenjene nacionalnim dionicima, delegacijama domaćinima iz tijela za pravosuđe, kazneni progon i izvršavanje zakonodavstva;</w:t>
            </w:r>
          </w:p>
        </w:tc>
        <w:tc>
          <w:tcPr>
            <w:tcW w:w="4876" w:type="dxa"/>
            <w:tcBorders>
              <w:top w:val="nil"/>
              <w:left w:val="nil"/>
              <w:bottom w:val="nil"/>
              <w:right w:val="nil"/>
            </w:tcBorders>
            <w:hideMark/>
          </w:tcPr>
          <w:p w14:paraId="616B2419" w14:textId="77777777" w:rsidR="0088071B" w:rsidRPr="00C574C2" w:rsidRDefault="0088071B" w:rsidP="00730E82">
            <w:pPr>
              <w:pStyle w:val="Normal6a"/>
            </w:pPr>
            <w:r>
              <w:lastRenderedPageBreak/>
              <w:t>97.</w:t>
            </w:r>
            <w:r>
              <w:tab/>
              <w:t xml:space="preserve">napominje da je 2024. EPPO proveo „EPPO akademiju” i podmirio s tim povezane troškove, a organizirao ju je u suradnji s tijelom </w:t>
            </w:r>
            <w:proofErr w:type="spellStart"/>
            <w:r>
              <w:t>Guardia</w:t>
            </w:r>
            <w:proofErr w:type="spellEnd"/>
            <w:r>
              <w:t xml:space="preserve"> di </w:t>
            </w:r>
            <w:proofErr w:type="spellStart"/>
            <w:r>
              <w:t>Finanza</w:t>
            </w:r>
            <w:proofErr w:type="spellEnd"/>
            <w:r>
              <w:t xml:space="preserve"> u Italiji, pri čemu su održana dva međunarodna tečaja na terenu u trajanju od </w:t>
            </w:r>
            <w:r>
              <w:lastRenderedPageBreak/>
              <w:t xml:space="preserve">dva tjedna za 49 istražitelja; primjećuje da je u određenim državama članicama održano posebno osposobljavanje službenika za izvršavanje zakonodavstva o područjima kriminala obuhvaćenima mandatom EPPO-a; </w:t>
            </w:r>
            <w:r>
              <w:rPr>
                <w:b/>
                <w:i/>
              </w:rPr>
              <w:t>poziva Komisiju da podupre taj vrijedni projekt osposobljavanja i osigura njegovo financiranje;</w:t>
            </w:r>
            <w:r>
              <w:t xml:space="preserve"> napominje da su u nekoliko navrata tijekom 2024. europski tužitelji i delegirani europski tužitelji pokrenuli dodatne aktivnosti informiranja, koje su se odnosile na decentraliziranu i središnju razinu te su bile namijenjene nacionalnim dionicima, delegacijama domaćinima iz tijela za pravosuđe, kazneni progon i izvršavanje zakonodavstva;</w:t>
            </w:r>
          </w:p>
        </w:tc>
      </w:tr>
    </w:tbl>
    <w:p w14:paraId="5CEA43D5"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23920B7" w14:textId="77777777" w:rsidR="0088071B" w:rsidRPr="00C574C2" w:rsidRDefault="0088071B" w:rsidP="0088071B">
      <w:r>
        <w:rPr>
          <w:rStyle w:val="HideTWBExt"/>
        </w:rPr>
        <w:t>&lt;/Amend&gt;</w:t>
      </w:r>
    </w:p>
    <w:p w14:paraId="096E8287" w14:textId="77777777" w:rsidR="0088071B" w:rsidRPr="00C574C2" w:rsidRDefault="0088071B" w:rsidP="0088071B">
      <w:pPr>
        <w:pStyle w:val="AmNumberTabs"/>
      </w:pPr>
      <w:r>
        <w:rPr>
          <w:rStyle w:val="HideTWBExt"/>
        </w:rPr>
        <w:t>&lt;Amend&gt;</w:t>
      </w:r>
      <w:r>
        <w:t>Amandman</w:t>
      </w:r>
      <w:r>
        <w:tab/>
      </w:r>
      <w:r>
        <w:tab/>
      </w:r>
      <w:r>
        <w:rPr>
          <w:rStyle w:val="HideTWBExt"/>
        </w:rPr>
        <w:t>&lt;NumAm&gt;</w:t>
      </w:r>
      <w:r>
        <w:t>56</w:t>
      </w:r>
      <w:r>
        <w:rPr>
          <w:rStyle w:val="HideTWBExt"/>
        </w:rPr>
        <w:t>&lt;/</w:t>
      </w:r>
      <w:proofErr w:type="spellStart"/>
      <w:r>
        <w:rPr>
          <w:rStyle w:val="HideTWBExt"/>
        </w:rPr>
        <w:t>NumAm</w:t>
      </w:r>
      <w:proofErr w:type="spellEnd"/>
      <w:r>
        <w:rPr>
          <w:rStyle w:val="HideTWBExt"/>
        </w:rPr>
        <w:t>&gt;</w:t>
      </w:r>
    </w:p>
    <w:p w14:paraId="6F923541" w14:textId="77777777" w:rsidR="0088071B" w:rsidRPr="00C574C2" w:rsidRDefault="0088071B" w:rsidP="0088071B">
      <w:pPr>
        <w:pStyle w:val="NormalBold"/>
      </w:pPr>
      <w:r>
        <w:rPr>
          <w:rStyle w:val="HideTWBExt"/>
          <w:b w:val="0"/>
        </w:rPr>
        <w:t>&lt;RepeatBlock-By&gt;&lt;Members&gt;</w:t>
      </w:r>
      <w:proofErr w:type="spellStart"/>
      <w:r>
        <w:t>Ondřej</w:t>
      </w:r>
      <w:proofErr w:type="spellEnd"/>
      <w:r>
        <w:t xml:space="preserve"> </w:t>
      </w:r>
      <w:proofErr w:type="spellStart"/>
      <w:r>
        <w:t>Knotek</w:t>
      </w:r>
      <w:proofErr w:type="spellEnd"/>
      <w:r>
        <w:t xml:space="preserve">, </w:t>
      </w:r>
      <w:proofErr w:type="spellStart"/>
      <w:r>
        <w:t>Virginie</w:t>
      </w:r>
      <w:proofErr w:type="spellEnd"/>
      <w:r>
        <w:t xml:space="preserve"> </w:t>
      </w:r>
      <w:proofErr w:type="spellStart"/>
      <w:r>
        <w:t>Joron</w:t>
      </w:r>
      <w:proofErr w:type="spellEnd"/>
      <w:r>
        <w:t>, Julien Sanchez</w:t>
      </w:r>
      <w:r>
        <w:rPr>
          <w:rStyle w:val="HideTWBExt"/>
          <w:b w:val="0"/>
        </w:rPr>
        <w:t>&lt;/</w:t>
      </w:r>
      <w:proofErr w:type="spellStart"/>
      <w:r>
        <w:rPr>
          <w:rStyle w:val="HideTWBExt"/>
          <w:b w:val="0"/>
        </w:rPr>
        <w:t>Members</w:t>
      </w:r>
      <w:proofErr w:type="spellEnd"/>
      <w:r>
        <w:rPr>
          <w:rStyle w:val="HideTWBExt"/>
          <w:b w:val="0"/>
        </w:rPr>
        <w:t>&gt;</w:t>
      </w:r>
    </w:p>
    <w:p w14:paraId="5711F200" w14:textId="77777777" w:rsidR="0088071B" w:rsidRPr="00C574C2" w:rsidRDefault="0088071B" w:rsidP="0088071B">
      <w:pPr>
        <w:pStyle w:val="NormalBold"/>
      </w:pPr>
      <w:r>
        <w:rPr>
          <w:rStyle w:val="HideTWBExt"/>
          <w:b w:val="0"/>
        </w:rPr>
        <w:t>&lt;/RepeatBlock-By&gt;</w:t>
      </w:r>
    </w:p>
    <w:p w14:paraId="667DDFB6"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5FC30AC" w14:textId="77777777" w:rsidR="0088071B" w:rsidRPr="00C574C2" w:rsidRDefault="0088071B" w:rsidP="0088071B">
      <w:pPr>
        <w:pStyle w:val="NormalBold"/>
      </w:pPr>
      <w:r>
        <w:rPr>
          <w:rStyle w:val="HideTWBExt"/>
        </w:rPr>
        <w:t>&lt;Article&gt;</w:t>
      </w:r>
      <w:r>
        <w:t>Stavak 99.a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0BB923A" w14:textId="77777777" w:rsidTr="00730E82">
        <w:trPr>
          <w:trHeight w:val="240"/>
          <w:jc w:val="center"/>
        </w:trPr>
        <w:tc>
          <w:tcPr>
            <w:tcW w:w="9752" w:type="dxa"/>
            <w:gridSpan w:val="2"/>
            <w:tcBorders>
              <w:top w:val="nil"/>
              <w:left w:val="nil"/>
              <w:bottom w:val="nil"/>
              <w:right w:val="nil"/>
            </w:tcBorders>
          </w:tcPr>
          <w:p w14:paraId="36E3EB03" w14:textId="77777777" w:rsidR="0088071B" w:rsidRPr="00C574C2" w:rsidRDefault="0088071B" w:rsidP="00730E82"/>
        </w:tc>
      </w:tr>
      <w:tr w:rsidR="0088071B" w14:paraId="4A1411B3" w14:textId="77777777" w:rsidTr="00730E82">
        <w:trPr>
          <w:trHeight w:val="240"/>
          <w:jc w:val="center"/>
        </w:trPr>
        <w:tc>
          <w:tcPr>
            <w:tcW w:w="4876" w:type="dxa"/>
            <w:tcBorders>
              <w:top w:val="nil"/>
              <w:left w:val="nil"/>
              <w:bottom w:val="nil"/>
              <w:right w:val="nil"/>
            </w:tcBorders>
            <w:hideMark/>
          </w:tcPr>
          <w:p w14:paraId="16E5A77F"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357603F" w14:textId="77777777" w:rsidR="0088071B" w:rsidRPr="00C574C2" w:rsidRDefault="0088071B" w:rsidP="00730E82">
            <w:pPr>
              <w:pStyle w:val="AmColumnHeading"/>
            </w:pPr>
            <w:r>
              <w:t>Izmjena</w:t>
            </w:r>
          </w:p>
        </w:tc>
      </w:tr>
      <w:tr w:rsidR="0088071B" w14:paraId="2BB0BD96" w14:textId="77777777" w:rsidTr="00730E82">
        <w:trPr>
          <w:jc w:val="center"/>
        </w:trPr>
        <w:tc>
          <w:tcPr>
            <w:tcW w:w="4876" w:type="dxa"/>
            <w:tcBorders>
              <w:top w:val="nil"/>
              <w:left w:val="nil"/>
              <w:bottom w:val="nil"/>
              <w:right w:val="nil"/>
            </w:tcBorders>
          </w:tcPr>
          <w:p w14:paraId="7EF7DE6F" w14:textId="77777777" w:rsidR="0088071B" w:rsidRPr="00C574C2" w:rsidRDefault="0088071B" w:rsidP="00730E82">
            <w:pPr>
              <w:pStyle w:val="Normal6a"/>
            </w:pPr>
          </w:p>
        </w:tc>
        <w:tc>
          <w:tcPr>
            <w:tcW w:w="4876" w:type="dxa"/>
            <w:tcBorders>
              <w:top w:val="nil"/>
              <w:left w:val="nil"/>
              <w:bottom w:val="nil"/>
              <w:right w:val="nil"/>
            </w:tcBorders>
            <w:hideMark/>
          </w:tcPr>
          <w:p w14:paraId="061D436F" w14:textId="77777777" w:rsidR="0088071B" w:rsidRPr="00C574C2" w:rsidRDefault="0088071B" w:rsidP="00730E82">
            <w:pPr>
              <w:pStyle w:val="Normal6a"/>
            </w:pPr>
            <w:r>
              <w:rPr>
                <w:b/>
                <w:i/>
              </w:rPr>
              <w:t>99.a</w:t>
            </w:r>
            <w:r>
              <w:tab/>
            </w:r>
            <w:r>
              <w:rPr>
                <w:b/>
                <w:i/>
              </w:rPr>
              <w:t>žali zbog toga što se, unatoč opetovanim upozorenjima Europskog parlamenta i Revizorskog suda, Komisija i dalje prekomjerno oslanja na ex post kontrole, čime se oslabljuje sposobnost Unije da spriječi, otkrije i ispravi zlouporabu sredstava iz Mehanizma za oporavak i otpornost; naglašava da dosad stečeno iskustvo s Mehanizmom za oporavak i otpornost pokazuje da su takvi instrumenti potrošnje Unije rizik za financijske interese Unije; upozorava na to da takve modele ne bi trebalo replicirati u budućim instrumentima Unije bez čvrstih, provedivih i ujednačenih kontrolnih mehanizama;</w:t>
            </w:r>
          </w:p>
        </w:tc>
      </w:tr>
    </w:tbl>
    <w:p w14:paraId="3665E92D"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7EAF3A56" w14:textId="77777777" w:rsidR="0088071B" w:rsidRPr="00C574C2" w:rsidRDefault="0088071B" w:rsidP="0088071B">
      <w:r>
        <w:rPr>
          <w:rStyle w:val="HideTWBExt"/>
        </w:rPr>
        <w:lastRenderedPageBreak/>
        <w:t>&lt;/Amend&gt;</w:t>
      </w:r>
    </w:p>
    <w:p w14:paraId="3E5F1DF3" w14:textId="77777777" w:rsidR="0088071B" w:rsidRPr="00C574C2" w:rsidRDefault="0088071B" w:rsidP="0088071B">
      <w:pPr>
        <w:pStyle w:val="AmNumberTabs"/>
      </w:pPr>
      <w:r>
        <w:rPr>
          <w:rStyle w:val="HideTWBExt"/>
        </w:rPr>
        <w:t>&lt;Amend&gt;</w:t>
      </w:r>
      <w:r>
        <w:t>Amandman</w:t>
      </w:r>
      <w:r>
        <w:tab/>
      </w:r>
      <w:r>
        <w:tab/>
      </w:r>
      <w:r>
        <w:rPr>
          <w:rStyle w:val="HideTWBExt"/>
        </w:rPr>
        <w:t>&lt;NumAm&gt;</w:t>
      </w:r>
      <w:r>
        <w:t>57</w:t>
      </w:r>
      <w:r>
        <w:rPr>
          <w:rStyle w:val="HideTWBExt"/>
        </w:rPr>
        <w:t>&lt;/</w:t>
      </w:r>
      <w:proofErr w:type="spellStart"/>
      <w:r>
        <w:rPr>
          <w:rStyle w:val="HideTWBExt"/>
        </w:rPr>
        <w:t>NumAm</w:t>
      </w:r>
      <w:proofErr w:type="spellEnd"/>
      <w:r>
        <w:rPr>
          <w:rStyle w:val="HideTWBExt"/>
        </w:rPr>
        <w:t>&gt;</w:t>
      </w:r>
    </w:p>
    <w:p w14:paraId="620CD967"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21FD345D" w14:textId="77777777" w:rsidR="0088071B" w:rsidRPr="00C574C2" w:rsidRDefault="0088071B" w:rsidP="0088071B">
      <w:pPr>
        <w:pStyle w:val="NormalBold"/>
      </w:pPr>
      <w:r>
        <w:rPr>
          <w:rStyle w:val="HideTWBExt"/>
          <w:b w:val="0"/>
        </w:rPr>
        <w:t>&lt;/RepeatBlock-By&gt;</w:t>
      </w:r>
    </w:p>
    <w:p w14:paraId="09CE9580"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54A0E70" w14:textId="77777777" w:rsidR="0088071B" w:rsidRPr="00C574C2" w:rsidRDefault="0088071B" w:rsidP="0088071B">
      <w:pPr>
        <w:pStyle w:val="NormalBold"/>
      </w:pPr>
      <w:r>
        <w:rPr>
          <w:rStyle w:val="HideTWBExt"/>
        </w:rPr>
        <w:t>&lt;Article&gt;</w:t>
      </w:r>
      <w:r>
        <w:t>Stavak 104.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73BEBE6E" w14:textId="77777777" w:rsidTr="00730E82">
        <w:trPr>
          <w:trHeight w:val="240"/>
          <w:jc w:val="center"/>
        </w:trPr>
        <w:tc>
          <w:tcPr>
            <w:tcW w:w="9752" w:type="dxa"/>
            <w:gridSpan w:val="2"/>
            <w:tcBorders>
              <w:top w:val="nil"/>
              <w:left w:val="nil"/>
              <w:bottom w:val="nil"/>
              <w:right w:val="nil"/>
            </w:tcBorders>
          </w:tcPr>
          <w:p w14:paraId="1518CEB5" w14:textId="77777777" w:rsidR="0088071B" w:rsidRPr="00C574C2" w:rsidRDefault="0088071B" w:rsidP="00730E82"/>
        </w:tc>
      </w:tr>
      <w:tr w:rsidR="0088071B" w14:paraId="721D2B14" w14:textId="77777777" w:rsidTr="00730E82">
        <w:trPr>
          <w:trHeight w:val="240"/>
          <w:jc w:val="center"/>
        </w:trPr>
        <w:tc>
          <w:tcPr>
            <w:tcW w:w="4876" w:type="dxa"/>
            <w:tcBorders>
              <w:top w:val="nil"/>
              <w:left w:val="nil"/>
              <w:bottom w:val="nil"/>
              <w:right w:val="nil"/>
            </w:tcBorders>
            <w:hideMark/>
          </w:tcPr>
          <w:p w14:paraId="779C8981"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B540A55" w14:textId="77777777" w:rsidR="0088071B" w:rsidRPr="00C574C2" w:rsidRDefault="0088071B" w:rsidP="00730E82">
            <w:pPr>
              <w:pStyle w:val="AmColumnHeading"/>
            </w:pPr>
            <w:r>
              <w:t>Izmjena</w:t>
            </w:r>
          </w:p>
        </w:tc>
      </w:tr>
      <w:tr w:rsidR="0088071B" w14:paraId="6C76124A" w14:textId="77777777" w:rsidTr="00730E82">
        <w:trPr>
          <w:jc w:val="center"/>
        </w:trPr>
        <w:tc>
          <w:tcPr>
            <w:tcW w:w="4876" w:type="dxa"/>
            <w:tcBorders>
              <w:top w:val="nil"/>
              <w:left w:val="nil"/>
              <w:bottom w:val="nil"/>
              <w:right w:val="nil"/>
            </w:tcBorders>
            <w:hideMark/>
          </w:tcPr>
          <w:p w14:paraId="640A940D" w14:textId="77777777" w:rsidR="0088071B" w:rsidRPr="00C574C2" w:rsidRDefault="0088071B" w:rsidP="00730E82">
            <w:pPr>
              <w:pStyle w:val="Normal6a"/>
            </w:pPr>
            <w:r>
              <w:t>104.</w:t>
            </w:r>
            <w:r>
              <w:tab/>
              <w:t xml:space="preserve">žali zbog toga što je Mađarska jedina preostala država članica koja se još nije pridružila EPPO-u, unatoč tome što ne postoje nikakve pravne ili ustavne prepreke; </w:t>
            </w:r>
            <w:r>
              <w:rPr>
                <w:b/>
                <w:i/>
              </w:rPr>
              <w:t>poziva</w:t>
            </w:r>
            <w:r>
              <w:t xml:space="preserve"> mađarsku vladu da se pridruži EPPO-u i smatra da bi </w:t>
            </w:r>
            <w:r>
              <w:rPr>
                <w:b/>
                <w:i/>
              </w:rPr>
              <w:t>to mogao biti odgovor</w:t>
            </w:r>
            <w:r>
              <w:t xml:space="preserve"> na </w:t>
            </w:r>
            <w:r>
              <w:rPr>
                <w:b/>
                <w:i/>
              </w:rPr>
              <w:t>velika očekivanja</w:t>
            </w:r>
            <w:r>
              <w:t xml:space="preserve"> civilnog društva i građana </w:t>
            </w:r>
            <w:r>
              <w:rPr>
                <w:b/>
                <w:i/>
              </w:rPr>
              <w:t>u cilju poboljšanja pravnih</w:t>
            </w:r>
            <w:r>
              <w:t xml:space="preserve"> zaštita od prijevare</w:t>
            </w:r>
            <w:r>
              <w:rPr>
                <w:b/>
                <w:i/>
              </w:rPr>
              <w:t xml:space="preserve"> i</w:t>
            </w:r>
            <w:r>
              <w:t xml:space="preserve"> korupcije </w:t>
            </w:r>
            <w:r>
              <w:rPr>
                <w:b/>
                <w:i/>
              </w:rPr>
              <w:t>te</w:t>
            </w:r>
            <w:r>
              <w:t xml:space="preserve"> drugih povreda dužnosti </w:t>
            </w:r>
            <w:r>
              <w:rPr>
                <w:b/>
                <w:i/>
              </w:rPr>
              <w:t>koje izravno utječu na financijske interese</w:t>
            </w:r>
            <w:r>
              <w:t xml:space="preserve"> Unije i dovode do slabljenja pozitivnih učinaka politika Unije </w:t>
            </w:r>
            <w:r>
              <w:rPr>
                <w:b/>
                <w:i/>
              </w:rPr>
              <w:t>koje podupiru rast i dobrobit među građanima</w:t>
            </w:r>
            <w:r>
              <w:t xml:space="preserve"> Mađarske;</w:t>
            </w:r>
          </w:p>
        </w:tc>
        <w:tc>
          <w:tcPr>
            <w:tcW w:w="4876" w:type="dxa"/>
            <w:tcBorders>
              <w:top w:val="nil"/>
              <w:left w:val="nil"/>
              <w:bottom w:val="nil"/>
              <w:right w:val="nil"/>
            </w:tcBorders>
            <w:hideMark/>
          </w:tcPr>
          <w:p w14:paraId="04DEA53F" w14:textId="77777777" w:rsidR="0088071B" w:rsidRPr="00C574C2" w:rsidRDefault="0088071B" w:rsidP="00730E82">
            <w:pPr>
              <w:pStyle w:val="Normal6a"/>
            </w:pPr>
            <w:r>
              <w:t>104.</w:t>
            </w:r>
            <w:r>
              <w:tab/>
            </w:r>
            <w:r>
              <w:rPr>
                <w:b/>
                <w:i/>
              </w:rPr>
              <w:t>duboko</w:t>
            </w:r>
            <w:r>
              <w:t xml:space="preserve"> žali zbog toga što je Mađarska jedina preostala država članica koja se još nije pridružila EPPO-u, unatoč tome što ne postoje nikakve pravne ili ustavne prepreke; </w:t>
            </w:r>
            <w:r>
              <w:rPr>
                <w:b/>
                <w:i/>
              </w:rPr>
              <w:t>snažno potiče</w:t>
            </w:r>
            <w:r>
              <w:t xml:space="preserve"> mađarsku vladu da se</w:t>
            </w:r>
            <w:r>
              <w:rPr>
                <w:b/>
                <w:i/>
              </w:rPr>
              <w:t xml:space="preserve"> bez daljnje odgode</w:t>
            </w:r>
            <w:r>
              <w:t xml:space="preserve"> pridruži EPPO-u</w:t>
            </w:r>
            <w:r>
              <w:rPr>
                <w:b/>
                <w:i/>
              </w:rPr>
              <w:t>; smatra da se kontinuirano nesudjelovanje može tumačiti samo kao namjeran pokušaj zaštite korupcije i zlouporabe sredstava Unije od neovisnog europskog nadzora;</w:t>
            </w:r>
            <w:r>
              <w:t xml:space="preserve"> smatra da bi </w:t>
            </w:r>
            <w:r>
              <w:rPr>
                <w:b/>
                <w:i/>
              </w:rPr>
              <w:t>se pristupanjem te zemlje EPPO-u konačno odgovorilo</w:t>
            </w:r>
            <w:r>
              <w:t xml:space="preserve"> na </w:t>
            </w:r>
            <w:r>
              <w:rPr>
                <w:b/>
                <w:i/>
              </w:rPr>
              <w:t>dugotrajne i legitimne zahtjeve</w:t>
            </w:r>
            <w:r>
              <w:t xml:space="preserve"> civilnog društva i građana </w:t>
            </w:r>
            <w:r>
              <w:rPr>
                <w:b/>
                <w:i/>
              </w:rPr>
              <w:t>da se poboljša pravna</w:t>
            </w:r>
            <w:r>
              <w:t xml:space="preserve"> zaštita od prijevare</w:t>
            </w:r>
            <w:r>
              <w:rPr>
                <w:b/>
                <w:i/>
              </w:rPr>
              <w:t>,</w:t>
            </w:r>
            <w:r>
              <w:t xml:space="preserve"> korupcije </w:t>
            </w:r>
            <w:r>
              <w:rPr>
                <w:b/>
                <w:i/>
              </w:rPr>
              <w:t>i</w:t>
            </w:r>
            <w:r>
              <w:t xml:space="preserve"> drugih </w:t>
            </w:r>
            <w:r>
              <w:rPr>
                <w:b/>
                <w:i/>
              </w:rPr>
              <w:t xml:space="preserve">teških </w:t>
            </w:r>
            <w:r>
              <w:t xml:space="preserve">povreda dužnosti </w:t>
            </w:r>
            <w:r>
              <w:rPr>
                <w:b/>
                <w:i/>
              </w:rPr>
              <w:t>te da se ponovno uspostavi povjerenje u zaštitu financijskih interesa</w:t>
            </w:r>
            <w:r>
              <w:t xml:space="preserve"> Unije</w:t>
            </w:r>
            <w:r>
              <w:rPr>
                <w:b/>
                <w:i/>
              </w:rPr>
              <w:t>, koji su trenutačno ugroženi trajnim nedostacima u provedbi</w:t>
            </w:r>
            <w:r>
              <w:t xml:space="preserve"> i</w:t>
            </w:r>
            <w:r>
              <w:rPr>
                <w:b/>
                <w:i/>
              </w:rPr>
              <w:t xml:space="preserve"> koji</w:t>
            </w:r>
            <w:r>
              <w:t xml:space="preserve"> dovode do slabljenja pozitivnih učinaka politika Unije </w:t>
            </w:r>
            <w:r>
              <w:rPr>
                <w:b/>
                <w:i/>
              </w:rPr>
              <w:t>namijenjenih za podupiranje rasta, kohezije i dobrobiti građana</w:t>
            </w:r>
            <w:r>
              <w:t xml:space="preserve"> Mađarske</w:t>
            </w:r>
            <w:r>
              <w:rPr>
                <w:b/>
                <w:i/>
              </w:rPr>
              <w:t>, MSP-ova te lokalnih i regionalnih vlasti</w:t>
            </w:r>
            <w:r>
              <w:t>;</w:t>
            </w:r>
          </w:p>
        </w:tc>
      </w:tr>
    </w:tbl>
    <w:p w14:paraId="08A887C3"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446D0673" w14:textId="77777777" w:rsidR="0088071B" w:rsidRPr="00C574C2" w:rsidRDefault="0088071B" w:rsidP="0088071B">
      <w:r>
        <w:rPr>
          <w:rStyle w:val="HideTWBExt"/>
        </w:rPr>
        <w:t>&lt;/Amend&gt;</w:t>
      </w:r>
    </w:p>
    <w:p w14:paraId="19D4830D" w14:textId="77777777" w:rsidR="0088071B" w:rsidRPr="00C574C2" w:rsidRDefault="0088071B" w:rsidP="0088071B">
      <w:pPr>
        <w:pStyle w:val="AmNumberTabs"/>
      </w:pPr>
      <w:r>
        <w:rPr>
          <w:rStyle w:val="HideTWBExt"/>
        </w:rPr>
        <w:t>&lt;Amend&gt;</w:t>
      </w:r>
      <w:r>
        <w:t>Amandman</w:t>
      </w:r>
      <w:r>
        <w:tab/>
      </w:r>
      <w:r>
        <w:tab/>
      </w:r>
      <w:r>
        <w:rPr>
          <w:rStyle w:val="HideTWBExt"/>
        </w:rPr>
        <w:t>&lt;NumAm&gt;</w:t>
      </w:r>
      <w:r>
        <w:t>58</w:t>
      </w:r>
      <w:r>
        <w:rPr>
          <w:rStyle w:val="HideTWBExt"/>
        </w:rPr>
        <w:t>&lt;/</w:t>
      </w:r>
      <w:proofErr w:type="spellStart"/>
      <w:r>
        <w:rPr>
          <w:rStyle w:val="HideTWBExt"/>
        </w:rPr>
        <w:t>NumAm</w:t>
      </w:r>
      <w:proofErr w:type="spellEnd"/>
      <w:r>
        <w:rPr>
          <w:rStyle w:val="HideTWBExt"/>
        </w:rPr>
        <w:t>&gt;</w:t>
      </w:r>
    </w:p>
    <w:p w14:paraId="08B45AE0" w14:textId="77777777" w:rsidR="0088071B" w:rsidRPr="00C574C2" w:rsidRDefault="0088071B" w:rsidP="0088071B">
      <w:pPr>
        <w:pStyle w:val="NormalBold"/>
      </w:pPr>
      <w:r>
        <w:rPr>
          <w:rStyle w:val="HideTWBExt"/>
          <w:b w:val="0"/>
        </w:rPr>
        <w:t>&lt;RepeatBlock-By&gt;&lt;Members&gt;</w:t>
      </w:r>
      <w:proofErr w:type="spellStart"/>
      <w:r>
        <w:t>Csaba</w:t>
      </w:r>
      <w:proofErr w:type="spellEnd"/>
      <w:r>
        <w:t xml:space="preserve"> Molnár</w:t>
      </w:r>
      <w:r>
        <w:rPr>
          <w:rStyle w:val="HideTWBExt"/>
          <w:b w:val="0"/>
        </w:rPr>
        <w:t>&lt;/</w:t>
      </w:r>
      <w:proofErr w:type="spellStart"/>
      <w:r>
        <w:rPr>
          <w:rStyle w:val="HideTWBExt"/>
          <w:b w:val="0"/>
        </w:rPr>
        <w:t>Members</w:t>
      </w:r>
      <w:proofErr w:type="spellEnd"/>
      <w:r>
        <w:rPr>
          <w:rStyle w:val="HideTWBExt"/>
          <w:b w:val="0"/>
        </w:rPr>
        <w:t>&gt;</w:t>
      </w:r>
    </w:p>
    <w:p w14:paraId="0A0EEBFD" w14:textId="77777777" w:rsidR="0088071B" w:rsidRPr="00C574C2" w:rsidRDefault="0088071B" w:rsidP="0088071B">
      <w:pPr>
        <w:pStyle w:val="NormalBold"/>
      </w:pPr>
      <w:r>
        <w:rPr>
          <w:rStyle w:val="HideTWBExt"/>
          <w:b w:val="0"/>
        </w:rPr>
        <w:t>&lt;/RepeatBlock-By&gt;</w:t>
      </w:r>
    </w:p>
    <w:p w14:paraId="79800D9E"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09755E4" w14:textId="77777777" w:rsidR="0088071B" w:rsidRPr="00C574C2" w:rsidRDefault="0088071B" w:rsidP="0088071B">
      <w:pPr>
        <w:pStyle w:val="NormalBold"/>
      </w:pPr>
      <w:r>
        <w:rPr>
          <w:rStyle w:val="HideTWBExt"/>
        </w:rPr>
        <w:t>&lt;Article&gt;</w:t>
      </w:r>
      <w:r>
        <w:t>Stavak 105.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5303902B" w14:textId="77777777" w:rsidTr="00730E82">
        <w:trPr>
          <w:trHeight w:val="240"/>
          <w:jc w:val="center"/>
        </w:trPr>
        <w:tc>
          <w:tcPr>
            <w:tcW w:w="9752" w:type="dxa"/>
            <w:gridSpan w:val="2"/>
            <w:tcBorders>
              <w:top w:val="nil"/>
              <w:left w:val="nil"/>
              <w:bottom w:val="nil"/>
              <w:right w:val="nil"/>
            </w:tcBorders>
          </w:tcPr>
          <w:p w14:paraId="08C6F076" w14:textId="77777777" w:rsidR="0088071B" w:rsidRPr="00C574C2" w:rsidRDefault="0088071B" w:rsidP="00730E82"/>
        </w:tc>
      </w:tr>
      <w:tr w:rsidR="0088071B" w14:paraId="1E76C171" w14:textId="77777777" w:rsidTr="00730E82">
        <w:trPr>
          <w:trHeight w:val="240"/>
          <w:jc w:val="center"/>
        </w:trPr>
        <w:tc>
          <w:tcPr>
            <w:tcW w:w="4876" w:type="dxa"/>
            <w:tcBorders>
              <w:top w:val="nil"/>
              <w:left w:val="nil"/>
              <w:bottom w:val="nil"/>
              <w:right w:val="nil"/>
            </w:tcBorders>
            <w:hideMark/>
          </w:tcPr>
          <w:p w14:paraId="4ABEAF64"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105B6D24" w14:textId="77777777" w:rsidR="0088071B" w:rsidRPr="00C574C2" w:rsidRDefault="0088071B" w:rsidP="00730E82">
            <w:pPr>
              <w:pStyle w:val="AmColumnHeading"/>
            </w:pPr>
            <w:r>
              <w:t>Izmjena</w:t>
            </w:r>
          </w:p>
        </w:tc>
      </w:tr>
      <w:tr w:rsidR="0088071B" w14:paraId="64720E5C" w14:textId="77777777" w:rsidTr="00730E82">
        <w:trPr>
          <w:jc w:val="center"/>
        </w:trPr>
        <w:tc>
          <w:tcPr>
            <w:tcW w:w="4876" w:type="dxa"/>
            <w:tcBorders>
              <w:top w:val="nil"/>
              <w:left w:val="nil"/>
              <w:bottom w:val="nil"/>
              <w:right w:val="nil"/>
            </w:tcBorders>
            <w:hideMark/>
          </w:tcPr>
          <w:p w14:paraId="4CE7CAD7" w14:textId="77777777" w:rsidR="0088071B" w:rsidRPr="00C574C2" w:rsidRDefault="0088071B" w:rsidP="00730E82">
            <w:pPr>
              <w:pStyle w:val="Normal6a"/>
            </w:pPr>
            <w:r>
              <w:t>105.</w:t>
            </w:r>
            <w:r>
              <w:tab/>
              <w:t>naglašava da svaki nedostatak suradnje bilo koje države članice s EPPO-</w:t>
            </w:r>
            <w:r>
              <w:lastRenderedPageBreak/>
              <w:t xml:space="preserve">om dovodi do stvaranja niša imuniteta i povlastica zbog kojih zaštita financijskih interesa Unije postaje neujednačena i neučinkovita, te poziva Komisiju da pokrene postupke zbog povrede protiv svake države članice koja sustavno ometa istrage pod vodstvom EPPO-a; </w:t>
            </w:r>
            <w:r>
              <w:rPr>
                <w:b/>
                <w:i/>
              </w:rPr>
              <w:t>traži od Komisije</w:t>
            </w:r>
            <w:r>
              <w:t xml:space="preserve"> da razmotri mogućnost da se sudjelovanje u EPPO-u smatra preduvjetom za primanje sredstava Unije te poziva Komisiju da pomno prati razinu suradnje država članica s EPPO-om; u tom smislu žali zbog predmeta prijavljenih 2024. o prijetnjama kojima su bili izloženi istražitelji OLAF-a i EPPO-a </w:t>
            </w:r>
            <w:r>
              <w:rPr>
                <w:b/>
                <w:i/>
              </w:rPr>
              <w:t>u</w:t>
            </w:r>
            <w:r>
              <w:t xml:space="preserve"> izvršavanju svojih zadaća na terenu; ističe da takve situacije narušavaju vladavinu prava i oslabljuju djelovanja Unije</w:t>
            </w:r>
            <w:r>
              <w:rPr>
                <w:b/>
                <w:i/>
              </w:rPr>
              <w:t>, te</w:t>
            </w:r>
            <w:r>
              <w:t xml:space="preserve"> poziva na uspostavu snažnih preventivnih i zaštitnih mjera za zaštitu osoblja kad djeluju u rizičnim uvjetima;</w:t>
            </w:r>
          </w:p>
        </w:tc>
        <w:tc>
          <w:tcPr>
            <w:tcW w:w="4876" w:type="dxa"/>
            <w:tcBorders>
              <w:top w:val="nil"/>
              <w:left w:val="nil"/>
              <w:bottom w:val="nil"/>
              <w:right w:val="nil"/>
            </w:tcBorders>
            <w:hideMark/>
          </w:tcPr>
          <w:p w14:paraId="735D7C2F" w14:textId="77777777" w:rsidR="0088071B" w:rsidRPr="00C574C2" w:rsidRDefault="0088071B" w:rsidP="00730E82">
            <w:pPr>
              <w:pStyle w:val="Normal6a"/>
            </w:pPr>
            <w:r>
              <w:lastRenderedPageBreak/>
              <w:t>105.</w:t>
            </w:r>
            <w:r>
              <w:tab/>
              <w:t>naglašava da svaki nedostatak suradnje bilo koje države članice s EPPO-</w:t>
            </w:r>
            <w:r>
              <w:lastRenderedPageBreak/>
              <w:t xml:space="preserve">om dovodi do stvaranja niša imuniteta i povlastica zbog kojih zaštita financijskih interesa Unije postaje neujednačena i neučinkovita, te poziva Komisiju da pokrene postupke zbog povrede protiv svake države članice koja sustavno ometa istrage pod vodstvom EPPO-a; </w:t>
            </w:r>
            <w:r>
              <w:rPr>
                <w:b/>
                <w:i/>
              </w:rPr>
              <w:t>poziva Komisiju</w:t>
            </w:r>
            <w:r>
              <w:t xml:space="preserve"> da razmotri mogućnost da se sudjelovanje u EPPO-u smatra preduvjetom za primanje sredstava Unije te poziva Komisiju da pomno prati razinu suradnje država članica s EPPO-om; u tom smislu </w:t>
            </w:r>
            <w:r>
              <w:rPr>
                <w:b/>
                <w:i/>
              </w:rPr>
              <w:t xml:space="preserve">duboko </w:t>
            </w:r>
            <w:r>
              <w:t>žali zbog predmeta prijavljenih 2024. o prijetnjama</w:t>
            </w:r>
            <w:r>
              <w:rPr>
                <w:b/>
                <w:i/>
              </w:rPr>
              <w:t xml:space="preserve"> vlada država članica</w:t>
            </w:r>
            <w:r>
              <w:t xml:space="preserve"> kojima su bili izloženi istražitelji OLAF-a i EPPO-a </w:t>
            </w:r>
            <w:r>
              <w:rPr>
                <w:b/>
                <w:i/>
              </w:rPr>
              <w:t>pri</w:t>
            </w:r>
            <w:r>
              <w:t xml:space="preserve"> izvršavanju svojih zadaća na terenu;</w:t>
            </w:r>
            <w:r>
              <w:rPr>
                <w:b/>
                <w:i/>
              </w:rPr>
              <w:t xml:space="preserve"> podsjeća na nekoliko pokušaja mađarske vlade da sustavnu špijunira osoblje Europske komisije i OLAF-a;</w:t>
            </w:r>
            <w:r>
              <w:t xml:space="preserve"> ističe da takve situacije narušavaju vladavinu prava</w:t>
            </w:r>
            <w:r>
              <w:rPr>
                <w:b/>
                <w:i/>
              </w:rPr>
              <w:t>, da čine ozbiljno kršenje uzajamnog povjerenja</w:t>
            </w:r>
            <w:r>
              <w:t xml:space="preserve"> i </w:t>
            </w:r>
            <w:r>
              <w:rPr>
                <w:b/>
                <w:i/>
              </w:rPr>
              <w:t xml:space="preserve">lojalne suradnje među državama članicama i institucijama EU-a te da su primjer šireg obrasca zlouporabe nadzornih ovlasti od strane države i da </w:t>
            </w:r>
            <w:r>
              <w:t>oslabljuju djelovanja Unije</w:t>
            </w:r>
            <w:r>
              <w:rPr>
                <w:b/>
                <w:i/>
              </w:rPr>
              <w:t xml:space="preserve">; </w:t>
            </w:r>
            <w:r>
              <w:t>poziva na uspostavu snažnih preventivnih i zaštitnih mjera za zaštitu osoblja kad djeluju u rizičnim uvjetima;</w:t>
            </w:r>
          </w:p>
        </w:tc>
      </w:tr>
    </w:tbl>
    <w:p w14:paraId="069DBFDC"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CD605A1" w14:textId="77777777" w:rsidR="0088071B" w:rsidRPr="00C574C2" w:rsidRDefault="0088071B" w:rsidP="0088071B">
      <w:r>
        <w:rPr>
          <w:rStyle w:val="HideTWBExt"/>
        </w:rPr>
        <w:t>&lt;/Amend&gt;</w:t>
      </w:r>
    </w:p>
    <w:p w14:paraId="36A34CAF" w14:textId="77777777" w:rsidR="0088071B" w:rsidRPr="00C574C2" w:rsidRDefault="0088071B" w:rsidP="0088071B">
      <w:pPr>
        <w:pStyle w:val="AmNumberTabs"/>
      </w:pPr>
      <w:r>
        <w:rPr>
          <w:rStyle w:val="HideTWBExt"/>
        </w:rPr>
        <w:t>&lt;Amend&gt;</w:t>
      </w:r>
      <w:r>
        <w:t>Amandman</w:t>
      </w:r>
      <w:r>
        <w:tab/>
      </w:r>
      <w:r>
        <w:tab/>
      </w:r>
      <w:r>
        <w:rPr>
          <w:rStyle w:val="HideTWBExt"/>
        </w:rPr>
        <w:t>&lt;NumAm&gt;</w:t>
      </w:r>
      <w:r>
        <w:t>59</w:t>
      </w:r>
      <w:r>
        <w:rPr>
          <w:rStyle w:val="HideTWBExt"/>
        </w:rPr>
        <w:t>&lt;/</w:t>
      </w:r>
      <w:proofErr w:type="spellStart"/>
      <w:r>
        <w:rPr>
          <w:rStyle w:val="HideTWBExt"/>
        </w:rPr>
        <w:t>NumAm</w:t>
      </w:r>
      <w:proofErr w:type="spellEnd"/>
      <w:r>
        <w:rPr>
          <w:rStyle w:val="HideTWBExt"/>
        </w:rPr>
        <w:t>&gt;</w:t>
      </w:r>
    </w:p>
    <w:p w14:paraId="31C1A094" w14:textId="77777777" w:rsidR="0088071B" w:rsidRPr="00C574C2" w:rsidRDefault="0088071B" w:rsidP="0088071B">
      <w:pPr>
        <w:pStyle w:val="NormalBold"/>
      </w:pPr>
      <w:r>
        <w:rPr>
          <w:rStyle w:val="HideTWBExt"/>
          <w:b w:val="0"/>
        </w:rPr>
        <w:t>&lt;RepeatBlock-By&gt;&lt;Members&gt;</w:t>
      </w:r>
      <w:r>
        <w:t xml:space="preserve">Tomáš </w:t>
      </w:r>
      <w:proofErr w:type="spellStart"/>
      <w:r>
        <w:t>Zdechovský</w:t>
      </w:r>
      <w:proofErr w:type="spellEnd"/>
      <w:r>
        <w:rPr>
          <w:rStyle w:val="HideTWBExt"/>
          <w:b w:val="0"/>
        </w:rPr>
        <w:t>&lt;/Members&gt;</w:t>
      </w:r>
    </w:p>
    <w:p w14:paraId="6C3A20C9" w14:textId="77777777" w:rsidR="0088071B" w:rsidRPr="00C574C2" w:rsidRDefault="0088071B" w:rsidP="0088071B">
      <w:pPr>
        <w:pStyle w:val="NormalBold"/>
      </w:pPr>
      <w:r>
        <w:rPr>
          <w:rStyle w:val="HideTWBExt"/>
          <w:b w:val="0"/>
        </w:rPr>
        <w:t>&lt;/RepeatBlock-By&gt;</w:t>
      </w:r>
    </w:p>
    <w:p w14:paraId="0D08A2C1"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F58709A" w14:textId="77777777" w:rsidR="0088071B" w:rsidRPr="00C574C2" w:rsidRDefault="0088071B" w:rsidP="0088071B">
      <w:pPr>
        <w:pStyle w:val="NormalBold"/>
      </w:pPr>
      <w:r>
        <w:rPr>
          <w:rStyle w:val="HideTWBExt"/>
        </w:rPr>
        <w:t>&lt;Article&gt;</w:t>
      </w:r>
      <w:r>
        <w:t>Stavak 105.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DB7DC8E" w14:textId="77777777" w:rsidTr="00730E82">
        <w:trPr>
          <w:trHeight w:val="240"/>
          <w:jc w:val="center"/>
        </w:trPr>
        <w:tc>
          <w:tcPr>
            <w:tcW w:w="9752" w:type="dxa"/>
            <w:gridSpan w:val="2"/>
            <w:tcBorders>
              <w:top w:val="nil"/>
              <w:left w:val="nil"/>
              <w:bottom w:val="nil"/>
              <w:right w:val="nil"/>
            </w:tcBorders>
          </w:tcPr>
          <w:p w14:paraId="1EE4770C" w14:textId="77777777" w:rsidR="0088071B" w:rsidRPr="00C574C2" w:rsidRDefault="0088071B" w:rsidP="00730E82"/>
        </w:tc>
      </w:tr>
      <w:tr w:rsidR="0088071B" w14:paraId="67420D06" w14:textId="77777777" w:rsidTr="00730E82">
        <w:trPr>
          <w:trHeight w:val="240"/>
          <w:jc w:val="center"/>
        </w:trPr>
        <w:tc>
          <w:tcPr>
            <w:tcW w:w="4876" w:type="dxa"/>
            <w:tcBorders>
              <w:top w:val="nil"/>
              <w:left w:val="nil"/>
              <w:bottom w:val="nil"/>
              <w:right w:val="nil"/>
            </w:tcBorders>
            <w:hideMark/>
          </w:tcPr>
          <w:p w14:paraId="5194FB37"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5B765FB2" w14:textId="77777777" w:rsidR="0088071B" w:rsidRPr="00C574C2" w:rsidRDefault="0088071B" w:rsidP="00730E82">
            <w:pPr>
              <w:pStyle w:val="AmColumnHeading"/>
            </w:pPr>
            <w:r>
              <w:t>Izmjena</w:t>
            </w:r>
          </w:p>
        </w:tc>
      </w:tr>
      <w:tr w:rsidR="0088071B" w14:paraId="6E39ECA6" w14:textId="77777777" w:rsidTr="00730E82">
        <w:trPr>
          <w:jc w:val="center"/>
        </w:trPr>
        <w:tc>
          <w:tcPr>
            <w:tcW w:w="4876" w:type="dxa"/>
            <w:tcBorders>
              <w:top w:val="nil"/>
              <w:left w:val="nil"/>
              <w:bottom w:val="nil"/>
              <w:right w:val="nil"/>
            </w:tcBorders>
            <w:hideMark/>
          </w:tcPr>
          <w:p w14:paraId="6BFA8574" w14:textId="77777777" w:rsidR="0088071B" w:rsidRPr="00C574C2" w:rsidRDefault="0088071B" w:rsidP="00730E82">
            <w:pPr>
              <w:pStyle w:val="Normal6a"/>
            </w:pPr>
            <w:r>
              <w:t>105.</w:t>
            </w:r>
            <w:r>
              <w:tab/>
              <w:t xml:space="preserve">naglašava da svaki nedostatak suradnje bilo koje države članice s EPPO-om dovodi do stvaranja niša imuniteta i povlastica zbog kojih zaštita financijskih interesa Unije postaje neujednačena i </w:t>
            </w:r>
            <w:r>
              <w:lastRenderedPageBreak/>
              <w:t>neučinkovita, te poziva Komisiju da pokrene postupke zbog povrede protiv svake države članice koja sustavno ometa istrage pod vodstvom EPPO-a; traži od Komisije da razmotri mogućnost da se sudjelovanje u EPPO-u smatra preduvjetom za primanje sredstava Unije te poziva Komisiju da pomno prati razinu suradnje država članica s EPPO-om; u tom smislu žali zbog predmeta prijavljenih 2024. o prijetnjama kojima su bili izloženi istražitelji OLAF-a i EPPO-a u izvršavanju svojih zadaća na terenu; ističe da takve situacije narušavaju vladavinu prava i oslabljuju djelovanja Unije, te poziva na uspostavu snažnih preventivnih i zaštitnih mjera za zaštitu osoblja kad djeluju u rizičnim uvjetima;</w:t>
            </w:r>
          </w:p>
        </w:tc>
        <w:tc>
          <w:tcPr>
            <w:tcW w:w="4876" w:type="dxa"/>
            <w:tcBorders>
              <w:top w:val="nil"/>
              <w:left w:val="nil"/>
              <w:bottom w:val="nil"/>
              <w:right w:val="nil"/>
            </w:tcBorders>
            <w:hideMark/>
          </w:tcPr>
          <w:p w14:paraId="04DEB106" w14:textId="77777777" w:rsidR="0088071B" w:rsidRPr="00C574C2" w:rsidRDefault="0088071B" w:rsidP="00730E82">
            <w:pPr>
              <w:pStyle w:val="Normal6a"/>
            </w:pPr>
            <w:r>
              <w:lastRenderedPageBreak/>
              <w:t>105.</w:t>
            </w:r>
            <w:r>
              <w:tab/>
              <w:t xml:space="preserve">naglašava da svaki nedostatak suradnje bilo koje države članice s EPPO-om dovodi do stvaranja niša imuniteta i povlastica zbog kojih zaštita financijskih interesa Unije postaje neujednačena i </w:t>
            </w:r>
            <w:r>
              <w:lastRenderedPageBreak/>
              <w:t>neučinkovita, te poziva Komisiju da pokrene postupke zbog povrede protiv svake države članice koja sustavno ometa istrage pod vodstvom EPPO-a;</w:t>
            </w:r>
            <w:r>
              <w:rPr>
                <w:b/>
                <w:i/>
              </w:rPr>
              <w:t xml:space="preserve"> poziva Komisiju da istraži mogućnost uvođenja nove klauzule u Uredbu o uvjetovanosti kojom bi se ispitalo je li nesudjelovanje u EPPO-u potencijalna prijetnja za financijske interese Unije;</w:t>
            </w:r>
            <w:r>
              <w:t xml:space="preserve"> traži od Komisije da razmotri mogućnost da se sudjelovanje u EPPO-u smatra preduvjetom za primanje sredstava Unije te poziva Komisiju da pomno prati razinu suradnje država članica s EPPO-om; u tom smislu žali zbog predmeta prijavljenih 2024. o prijetnjama kojima su bili izloženi istražitelji OLAF-a i EPPO-a u izvršavanju svojih zadaća na terenu; ističe da takve situacije narušavaju vladavinu prava i oslabljuju djelovanja Unije, te poziva na uspostavu snažnih preventivnih i zaštitnih mjera za zaštitu osoblja kad djeluju u rizičnim uvjetima;</w:t>
            </w:r>
          </w:p>
        </w:tc>
      </w:tr>
    </w:tbl>
    <w:p w14:paraId="3F38825B"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75EDC62E" w14:textId="77777777" w:rsidR="0088071B" w:rsidRPr="00C574C2" w:rsidRDefault="0088071B" w:rsidP="0088071B">
      <w:r>
        <w:rPr>
          <w:rStyle w:val="HideTWBExt"/>
        </w:rPr>
        <w:t>&lt;/Amend&gt;</w:t>
      </w:r>
    </w:p>
    <w:p w14:paraId="0CAC4F5F" w14:textId="77777777" w:rsidR="0088071B" w:rsidRPr="00C574C2" w:rsidRDefault="0088071B" w:rsidP="0088071B">
      <w:pPr>
        <w:pStyle w:val="AmNumberTabs"/>
      </w:pPr>
      <w:r>
        <w:rPr>
          <w:rStyle w:val="HideTWBExt"/>
        </w:rPr>
        <w:t>&lt;Amend&gt;</w:t>
      </w:r>
      <w:r>
        <w:t>Amandman</w:t>
      </w:r>
      <w:r>
        <w:tab/>
      </w:r>
      <w:r>
        <w:tab/>
      </w:r>
      <w:r>
        <w:rPr>
          <w:rStyle w:val="HideTWBExt"/>
        </w:rPr>
        <w:t>&lt;NumAm&gt;</w:t>
      </w:r>
      <w:r>
        <w:t>60</w:t>
      </w:r>
      <w:r>
        <w:rPr>
          <w:rStyle w:val="HideTWBExt"/>
        </w:rPr>
        <w:t>&lt;/</w:t>
      </w:r>
      <w:proofErr w:type="spellStart"/>
      <w:r>
        <w:rPr>
          <w:rStyle w:val="HideTWBExt"/>
        </w:rPr>
        <w:t>NumAm</w:t>
      </w:r>
      <w:proofErr w:type="spellEnd"/>
      <w:r>
        <w:rPr>
          <w:rStyle w:val="HideTWBExt"/>
        </w:rPr>
        <w:t>&gt;</w:t>
      </w:r>
    </w:p>
    <w:p w14:paraId="496DBA11"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1187EDC1" w14:textId="77777777" w:rsidR="0088071B" w:rsidRPr="00C574C2" w:rsidRDefault="0088071B" w:rsidP="0088071B">
      <w:pPr>
        <w:pStyle w:val="NormalBold"/>
      </w:pPr>
      <w:r>
        <w:rPr>
          <w:rStyle w:val="HideTWBExt"/>
          <w:b w:val="0"/>
        </w:rPr>
        <w:t>&lt;/RepeatBlock-By&gt;</w:t>
      </w:r>
    </w:p>
    <w:p w14:paraId="26B8B4D8"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6FE90FF" w14:textId="77777777" w:rsidR="0088071B" w:rsidRPr="00C574C2" w:rsidRDefault="0088071B" w:rsidP="0088071B">
      <w:pPr>
        <w:pStyle w:val="NormalBold"/>
      </w:pPr>
      <w:r>
        <w:rPr>
          <w:rStyle w:val="HideTWBExt"/>
        </w:rPr>
        <w:t>&lt;Article&gt;</w:t>
      </w:r>
      <w:r>
        <w:t>Stavak 105.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7B8C2468" w14:textId="77777777" w:rsidTr="00730E82">
        <w:trPr>
          <w:trHeight w:val="240"/>
          <w:jc w:val="center"/>
        </w:trPr>
        <w:tc>
          <w:tcPr>
            <w:tcW w:w="9752" w:type="dxa"/>
            <w:gridSpan w:val="2"/>
            <w:tcBorders>
              <w:top w:val="nil"/>
              <w:left w:val="nil"/>
              <w:bottom w:val="nil"/>
              <w:right w:val="nil"/>
            </w:tcBorders>
          </w:tcPr>
          <w:p w14:paraId="3F0D47E6" w14:textId="77777777" w:rsidR="0088071B" w:rsidRPr="00C574C2" w:rsidRDefault="0088071B" w:rsidP="00730E82"/>
        </w:tc>
      </w:tr>
      <w:tr w:rsidR="0088071B" w14:paraId="3A401724" w14:textId="77777777" w:rsidTr="00730E82">
        <w:trPr>
          <w:trHeight w:val="240"/>
          <w:jc w:val="center"/>
        </w:trPr>
        <w:tc>
          <w:tcPr>
            <w:tcW w:w="4876" w:type="dxa"/>
            <w:tcBorders>
              <w:top w:val="nil"/>
              <w:left w:val="nil"/>
              <w:bottom w:val="nil"/>
              <w:right w:val="nil"/>
            </w:tcBorders>
            <w:hideMark/>
          </w:tcPr>
          <w:p w14:paraId="4A5DB286"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796AB8E" w14:textId="77777777" w:rsidR="0088071B" w:rsidRPr="00C574C2" w:rsidRDefault="0088071B" w:rsidP="00730E82">
            <w:pPr>
              <w:pStyle w:val="AmColumnHeading"/>
            </w:pPr>
            <w:r>
              <w:t>Izmjena</w:t>
            </w:r>
          </w:p>
        </w:tc>
      </w:tr>
      <w:tr w:rsidR="0088071B" w14:paraId="485A0601" w14:textId="77777777" w:rsidTr="00730E82">
        <w:trPr>
          <w:jc w:val="center"/>
        </w:trPr>
        <w:tc>
          <w:tcPr>
            <w:tcW w:w="4876" w:type="dxa"/>
            <w:tcBorders>
              <w:top w:val="nil"/>
              <w:left w:val="nil"/>
              <w:bottom w:val="nil"/>
              <w:right w:val="nil"/>
            </w:tcBorders>
            <w:hideMark/>
          </w:tcPr>
          <w:p w14:paraId="47C48E87" w14:textId="77777777" w:rsidR="0088071B" w:rsidRPr="00C574C2" w:rsidRDefault="0088071B" w:rsidP="00730E82">
            <w:pPr>
              <w:pStyle w:val="Normal6a"/>
            </w:pPr>
            <w:r>
              <w:t>105.</w:t>
            </w:r>
            <w:r>
              <w:tab/>
              <w:t xml:space="preserve">naglašava da svaki nedostatak suradnje bilo koje države članice s EPPO-om dovodi do stvaranja niša imuniteta i povlastica zbog kojih zaštita financijskih interesa Unije postaje neujednačena i neučinkovita, te poziva Komisiju da pokrene postupke zbog povrede protiv svake države članice koja sustavno ometa istrage pod vodstvom EPPO-a; </w:t>
            </w:r>
            <w:r>
              <w:rPr>
                <w:b/>
                <w:i/>
              </w:rPr>
              <w:t xml:space="preserve">traži od Komisije da razmotri mogućnost da se sudjelovanje u EPPO-u smatra preduvjetom za primanje sredstava Unije </w:t>
            </w:r>
            <w:r>
              <w:rPr>
                <w:b/>
                <w:i/>
              </w:rPr>
              <w:lastRenderedPageBreak/>
              <w:t xml:space="preserve">te </w:t>
            </w:r>
            <w:r>
              <w:t>poziva Komisiju da pomno prati razinu suradnje država članica s EPPO-om; u tom smislu žali zbog predmeta prijavljenih 2024. o prijetnjama kojima su bili izloženi istražitelji OLAF-a i EPPO-a u izvršavanju svojih zadaća na terenu; ističe da takve situacije narušavaju vladavinu prava i oslabljuju djelovanja Unije, te poziva na uspostavu snažnih preventivnih i zaštitnih mjera za zaštitu osoblja kad djeluju u rizičnim uvjetima;</w:t>
            </w:r>
          </w:p>
        </w:tc>
        <w:tc>
          <w:tcPr>
            <w:tcW w:w="4876" w:type="dxa"/>
            <w:tcBorders>
              <w:top w:val="nil"/>
              <w:left w:val="nil"/>
              <w:bottom w:val="nil"/>
              <w:right w:val="nil"/>
            </w:tcBorders>
            <w:hideMark/>
          </w:tcPr>
          <w:p w14:paraId="5A9CB1B3" w14:textId="77777777" w:rsidR="0088071B" w:rsidRPr="00C574C2" w:rsidRDefault="0088071B" w:rsidP="00730E82">
            <w:pPr>
              <w:pStyle w:val="Normal6a"/>
            </w:pPr>
            <w:r>
              <w:lastRenderedPageBreak/>
              <w:t>105.</w:t>
            </w:r>
            <w:r>
              <w:tab/>
              <w:t xml:space="preserve">naglašava da svaki nedostatak suradnje bilo koje države članice s EPPO-om dovodi do stvaranja niša imuniteta i povlastica zbog kojih zaštita financijskih interesa Unije postaje neujednačena i neučinkovita, te poziva Komisiju da pokrene postupke zbog povrede protiv svake države članice koja sustavno ometa istrage pod vodstvom EPPO-a; poziva Komisiju da pomno prati razinu suradnje država članica s EPPO-om; u tom smislu žali zbog predmeta prijavljenih 2024. o </w:t>
            </w:r>
            <w:r>
              <w:lastRenderedPageBreak/>
              <w:t>prijetnjama kojima su bili izloženi istražitelji OLAF-a i EPPO-a u izvršavanju svojih zadaća na terenu; ističe da takve situacije narušavaju vladavinu prava i oslabljuju djelovanja Unije, te poziva na uspostavu snažnih preventivnih i zaštitnih mjera za zaštitu osoblja kad djeluju u rizičnim uvjetima;</w:t>
            </w:r>
          </w:p>
        </w:tc>
      </w:tr>
    </w:tbl>
    <w:p w14:paraId="40A5365F"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1D23A478" w14:textId="77777777" w:rsidR="0088071B" w:rsidRPr="00C574C2" w:rsidRDefault="0088071B" w:rsidP="0088071B">
      <w:r>
        <w:rPr>
          <w:rStyle w:val="HideTWBExt"/>
        </w:rPr>
        <w:t>&lt;/Amend&gt;</w:t>
      </w:r>
    </w:p>
    <w:p w14:paraId="203F3915" w14:textId="77777777" w:rsidR="0088071B" w:rsidRPr="00C574C2" w:rsidRDefault="0088071B" w:rsidP="0088071B">
      <w:pPr>
        <w:pStyle w:val="AmNumberTabs"/>
      </w:pPr>
      <w:r>
        <w:rPr>
          <w:rStyle w:val="HideTWBExt"/>
        </w:rPr>
        <w:t>&lt;Amend&gt;</w:t>
      </w:r>
      <w:r>
        <w:t>Amandman</w:t>
      </w:r>
      <w:r>
        <w:tab/>
      </w:r>
      <w:r>
        <w:tab/>
      </w:r>
      <w:r>
        <w:rPr>
          <w:rStyle w:val="HideTWBExt"/>
        </w:rPr>
        <w:t>&lt;NumAm&gt;</w:t>
      </w:r>
      <w:r>
        <w:t>61</w:t>
      </w:r>
      <w:r>
        <w:rPr>
          <w:rStyle w:val="HideTWBExt"/>
        </w:rPr>
        <w:t>&lt;/</w:t>
      </w:r>
      <w:proofErr w:type="spellStart"/>
      <w:r>
        <w:rPr>
          <w:rStyle w:val="HideTWBExt"/>
        </w:rPr>
        <w:t>NumAm</w:t>
      </w:r>
      <w:proofErr w:type="spellEnd"/>
      <w:r>
        <w:rPr>
          <w:rStyle w:val="HideTWBExt"/>
        </w:rPr>
        <w:t>&gt;</w:t>
      </w:r>
    </w:p>
    <w:p w14:paraId="347D8F4E" w14:textId="77777777" w:rsidR="0088071B" w:rsidRPr="00C574C2" w:rsidRDefault="0088071B" w:rsidP="0088071B">
      <w:pPr>
        <w:pStyle w:val="NormalBold"/>
      </w:pPr>
      <w:r>
        <w:rPr>
          <w:rStyle w:val="HideTWBExt"/>
          <w:b w:val="0"/>
        </w:rPr>
        <w:t>&lt;RepeatBlock-By&gt;&lt;Members&gt;</w:t>
      </w:r>
      <w:r>
        <w:t xml:space="preserve">Kinga </w:t>
      </w:r>
      <w:proofErr w:type="spellStart"/>
      <w:r>
        <w:t>Kollár</w:t>
      </w:r>
      <w:proofErr w:type="spellEnd"/>
      <w:r>
        <w:rPr>
          <w:rStyle w:val="HideTWBExt"/>
          <w:b w:val="0"/>
        </w:rPr>
        <w:t>&lt;/Members&gt;</w:t>
      </w:r>
    </w:p>
    <w:p w14:paraId="4FEF7169" w14:textId="77777777" w:rsidR="0088071B" w:rsidRPr="00C574C2" w:rsidRDefault="0088071B" w:rsidP="0088071B">
      <w:pPr>
        <w:pStyle w:val="NormalBold"/>
      </w:pPr>
      <w:r>
        <w:rPr>
          <w:rStyle w:val="HideTWBExt"/>
          <w:b w:val="0"/>
        </w:rPr>
        <w:t>&lt;/RepeatBlock-By&gt;</w:t>
      </w:r>
    </w:p>
    <w:p w14:paraId="2FDEAD53"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CAC1D60" w14:textId="77777777" w:rsidR="0088071B" w:rsidRPr="00C574C2" w:rsidRDefault="0088071B" w:rsidP="0088071B">
      <w:pPr>
        <w:pStyle w:val="NormalBold"/>
      </w:pPr>
      <w:r>
        <w:rPr>
          <w:rStyle w:val="HideTWBExt"/>
        </w:rPr>
        <w:t>&lt;Article&gt;</w:t>
      </w:r>
      <w:r>
        <w:t>Stavak 105.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1B28682" w14:textId="77777777" w:rsidTr="00730E82">
        <w:trPr>
          <w:trHeight w:val="240"/>
          <w:jc w:val="center"/>
        </w:trPr>
        <w:tc>
          <w:tcPr>
            <w:tcW w:w="9752" w:type="dxa"/>
            <w:gridSpan w:val="2"/>
            <w:tcBorders>
              <w:top w:val="nil"/>
              <w:left w:val="nil"/>
              <w:bottom w:val="nil"/>
              <w:right w:val="nil"/>
            </w:tcBorders>
          </w:tcPr>
          <w:p w14:paraId="41EFA5A5" w14:textId="77777777" w:rsidR="0088071B" w:rsidRPr="00C574C2" w:rsidRDefault="0088071B" w:rsidP="00730E82"/>
        </w:tc>
      </w:tr>
      <w:tr w:rsidR="0088071B" w14:paraId="1319482C" w14:textId="77777777" w:rsidTr="00730E82">
        <w:trPr>
          <w:trHeight w:val="240"/>
          <w:jc w:val="center"/>
        </w:trPr>
        <w:tc>
          <w:tcPr>
            <w:tcW w:w="4876" w:type="dxa"/>
            <w:tcBorders>
              <w:top w:val="nil"/>
              <w:left w:val="nil"/>
              <w:bottom w:val="nil"/>
              <w:right w:val="nil"/>
            </w:tcBorders>
            <w:hideMark/>
          </w:tcPr>
          <w:p w14:paraId="58DEDB5A"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7891F963" w14:textId="77777777" w:rsidR="0088071B" w:rsidRPr="00C574C2" w:rsidRDefault="0088071B" w:rsidP="00730E82">
            <w:pPr>
              <w:pStyle w:val="AmColumnHeading"/>
            </w:pPr>
            <w:r>
              <w:t>Izmjena</w:t>
            </w:r>
          </w:p>
        </w:tc>
      </w:tr>
      <w:tr w:rsidR="0088071B" w14:paraId="5B302D38" w14:textId="77777777" w:rsidTr="00730E82">
        <w:trPr>
          <w:jc w:val="center"/>
        </w:trPr>
        <w:tc>
          <w:tcPr>
            <w:tcW w:w="4876" w:type="dxa"/>
            <w:tcBorders>
              <w:top w:val="nil"/>
              <w:left w:val="nil"/>
              <w:bottom w:val="nil"/>
              <w:right w:val="nil"/>
            </w:tcBorders>
            <w:hideMark/>
          </w:tcPr>
          <w:p w14:paraId="4BF2878A" w14:textId="77777777" w:rsidR="0088071B" w:rsidRPr="00C574C2" w:rsidRDefault="0088071B" w:rsidP="00730E82">
            <w:pPr>
              <w:pStyle w:val="Normal6a"/>
            </w:pPr>
            <w:r>
              <w:t>105.</w:t>
            </w:r>
            <w:r>
              <w:tab/>
              <w:t xml:space="preserve">naglašava da svaki nedostatak suradnje bilo koje države članice s EPPO-om dovodi do stvaranja niša imuniteta i povlastica zbog kojih zaštita financijskih interesa Unije postaje neujednačena i neučinkovita, te poziva Komisiju da pokrene postupke zbog povrede protiv svake države članice koja sustavno ometa istrage pod vodstvom EPPO-a; </w:t>
            </w:r>
            <w:r>
              <w:rPr>
                <w:b/>
                <w:i/>
              </w:rPr>
              <w:t xml:space="preserve">traži od Komisije da razmotri mogućnost da se sudjelovanje u EPPO-u smatra preduvjetom za primanje sredstava Unije te </w:t>
            </w:r>
            <w:r>
              <w:t>poziva Komisiju da pomno prati razinu suradnje država članica s EPPO-om; u tom smislu žali zbog predmeta prijavljenih 2024. o prijetnjama kojima su bili izloženi istražitelji OLAF-a i EPPO-a u izvršavanju svojih zadaća na terenu; ističe da takve situacije narušavaju vladavinu prava i oslabljuju djelovanja Unije, te poziva na uspostavu snažnih preventivnih i zaštitnih mjera za zaštitu osoblja kad djeluju u rizičnim uvjetima;</w:t>
            </w:r>
          </w:p>
        </w:tc>
        <w:tc>
          <w:tcPr>
            <w:tcW w:w="4876" w:type="dxa"/>
            <w:tcBorders>
              <w:top w:val="nil"/>
              <w:left w:val="nil"/>
              <w:bottom w:val="nil"/>
              <w:right w:val="nil"/>
            </w:tcBorders>
            <w:hideMark/>
          </w:tcPr>
          <w:p w14:paraId="3246A4E1" w14:textId="77777777" w:rsidR="0088071B" w:rsidRPr="00C574C2" w:rsidRDefault="0088071B" w:rsidP="00730E82">
            <w:pPr>
              <w:pStyle w:val="Normal6a"/>
            </w:pPr>
            <w:r>
              <w:t>105.</w:t>
            </w:r>
            <w:r>
              <w:tab/>
              <w:t>naglašava da svaki nedostatak suradnje bilo koje države članice s EPPO-om dovodi do stvaranja niša imuniteta i povlastica zbog kojih zaštita financijskih interesa Unije postaje neujednačena i neučinkovita, te poziva Komisiju da pokrene postupke zbog povrede protiv svake države članice koja sustavno ometa istrage pod vodstvom EPPO-a; poziva Komisiju da pomno prati razinu suradnje država članica s EPPO-om; u tom smislu žali zbog predmeta prijavljenih 2024. o prijetnjama kojima su bili izloženi istražitelji OLAF-a i EPPO-a u izvršavanju svojih zadaća na terenu; ističe da takve situacije narušavaju vladavinu prava i oslabljuju djelovanja Unije, te poziva na uspostavu snažnih preventivnih i zaštitnih mjera za zaštitu osoblja kad djeluju u rizičnim uvjetima;</w:t>
            </w:r>
          </w:p>
        </w:tc>
      </w:tr>
    </w:tbl>
    <w:p w14:paraId="6243A33F"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57DA82EC" w14:textId="77777777" w:rsidR="0088071B" w:rsidRPr="00C574C2" w:rsidRDefault="0088071B" w:rsidP="0088071B">
      <w:r>
        <w:rPr>
          <w:rStyle w:val="HideTWBExt"/>
        </w:rPr>
        <w:t>&lt;/Amend&gt;</w:t>
      </w:r>
    </w:p>
    <w:p w14:paraId="75F0A061" w14:textId="77777777" w:rsidR="0088071B" w:rsidRPr="00C574C2" w:rsidRDefault="0088071B" w:rsidP="0088071B">
      <w:pPr>
        <w:pStyle w:val="AmNumberTabs"/>
      </w:pPr>
      <w:r>
        <w:rPr>
          <w:rStyle w:val="HideTWBExt"/>
        </w:rPr>
        <w:t>&lt;Amend&gt;</w:t>
      </w:r>
      <w:r>
        <w:t>Amandman</w:t>
      </w:r>
      <w:r>
        <w:tab/>
      </w:r>
      <w:r>
        <w:tab/>
      </w:r>
      <w:r>
        <w:rPr>
          <w:rStyle w:val="HideTWBExt"/>
        </w:rPr>
        <w:t>&lt;NumAm&gt;</w:t>
      </w:r>
      <w:r>
        <w:t>62</w:t>
      </w:r>
      <w:r>
        <w:rPr>
          <w:rStyle w:val="HideTWBExt"/>
        </w:rPr>
        <w:t>&lt;/</w:t>
      </w:r>
      <w:proofErr w:type="spellStart"/>
      <w:r>
        <w:rPr>
          <w:rStyle w:val="HideTWBExt"/>
        </w:rPr>
        <w:t>NumAm</w:t>
      </w:r>
      <w:proofErr w:type="spellEnd"/>
      <w:r>
        <w:rPr>
          <w:rStyle w:val="HideTWBExt"/>
        </w:rPr>
        <w:t>&gt;</w:t>
      </w:r>
    </w:p>
    <w:p w14:paraId="2B4590DE"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26D35038" w14:textId="77777777" w:rsidR="0088071B" w:rsidRPr="00C574C2" w:rsidRDefault="0088071B" w:rsidP="0088071B">
      <w:pPr>
        <w:pStyle w:val="NormalBold"/>
      </w:pPr>
      <w:r>
        <w:rPr>
          <w:rStyle w:val="HideTWBExt"/>
          <w:b w:val="0"/>
        </w:rPr>
        <w:t>&lt;/RepeatBlock-By&gt;</w:t>
      </w:r>
    </w:p>
    <w:p w14:paraId="13B93755"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38C7A31" w14:textId="77777777" w:rsidR="0088071B" w:rsidRPr="00C574C2" w:rsidRDefault="0088071B" w:rsidP="0088071B">
      <w:pPr>
        <w:pStyle w:val="NormalBold"/>
      </w:pPr>
      <w:r>
        <w:rPr>
          <w:rStyle w:val="HideTWBExt"/>
        </w:rPr>
        <w:t>&lt;Article&gt;</w:t>
      </w:r>
      <w:r>
        <w:t>Stavak 106.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4B1ECAD" w14:textId="77777777" w:rsidTr="00730E82">
        <w:trPr>
          <w:trHeight w:val="240"/>
          <w:jc w:val="center"/>
        </w:trPr>
        <w:tc>
          <w:tcPr>
            <w:tcW w:w="9752" w:type="dxa"/>
            <w:gridSpan w:val="2"/>
            <w:tcBorders>
              <w:top w:val="nil"/>
              <w:left w:val="nil"/>
              <w:bottom w:val="nil"/>
              <w:right w:val="nil"/>
            </w:tcBorders>
          </w:tcPr>
          <w:p w14:paraId="7F387A1F" w14:textId="77777777" w:rsidR="0088071B" w:rsidRPr="00C574C2" w:rsidRDefault="0088071B" w:rsidP="00730E82"/>
        </w:tc>
      </w:tr>
      <w:tr w:rsidR="0088071B" w14:paraId="056A559F" w14:textId="77777777" w:rsidTr="00730E82">
        <w:trPr>
          <w:trHeight w:val="240"/>
          <w:jc w:val="center"/>
        </w:trPr>
        <w:tc>
          <w:tcPr>
            <w:tcW w:w="4876" w:type="dxa"/>
            <w:tcBorders>
              <w:top w:val="nil"/>
              <w:left w:val="nil"/>
              <w:bottom w:val="nil"/>
              <w:right w:val="nil"/>
            </w:tcBorders>
            <w:hideMark/>
          </w:tcPr>
          <w:p w14:paraId="28D1749A"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67303ED" w14:textId="77777777" w:rsidR="0088071B" w:rsidRPr="00C574C2" w:rsidRDefault="0088071B" w:rsidP="00730E82">
            <w:pPr>
              <w:pStyle w:val="AmColumnHeading"/>
            </w:pPr>
            <w:r>
              <w:t>Izmjena</w:t>
            </w:r>
          </w:p>
        </w:tc>
      </w:tr>
      <w:tr w:rsidR="0088071B" w14:paraId="5BD20F88" w14:textId="77777777" w:rsidTr="00730E82">
        <w:trPr>
          <w:jc w:val="center"/>
        </w:trPr>
        <w:tc>
          <w:tcPr>
            <w:tcW w:w="4876" w:type="dxa"/>
            <w:tcBorders>
              <w:top w:val="nil"/>
              <w:left w:val="nil"/>
              <w:bottom w:val="nil"/>
              <w:right w:val="nil"/>
            </w:tcBorders>
            <w:hideMark/>
          </w:tcPr>
          <w:p w14:paraId="5B6362EB" w14:textId="77777777" w:rsidR="0088071B" w:rsidRPr="00C574C2" w:rsidRDefault="0088071B" w:rsidP="00730E82">
            <w:pPr>
              <w:pStyle w:val="Normal6a"/>
            </w:pPr>
            <w:r>
              <w:t>106.</w:t>
            </w:r>
            <w:r>
              <w:tab/>
              <w:t xml:space="preserve">naglašava da aktivnosti EPPO-a moraju doprinositi zaštiti financijskih interesa Unije i da se očekuje da će njihova provedba rezultirati povratom iznosa isplaćenih iz proračuna Unije koji zbog kriminalnih aktivnosti nisu iskorišteni u predviđenu svrhu; primjećuje da je postupak oduzimanja, koji omogućuje povrat takvih iznosa, u nadležnosti nacionalnih tijela te da bi se relevantni oduzeti iznosi, ili vrijednost imovine, koji proizlaze iz mjera koje donose delegirani europski tužitelji u državama članica, trebali vratiti u proračun Unije, nakon odbitka troškova koje su snosila tijela država članica za provedbu predmetnih mjera u skladu s člankom 38. Uredbe (EU) 2017/1939, koji se odnosi na imovinu i imovinske koristi kojima se raspolaže u skladu s primjenjivim nacionalnim pravom, ne dovodeći u pitanje prava Unije ili drugih žrtava na naknadu za štetu koju su pretrpjeli; podsjeća da je Odbor za proračunski nadzor Parlamenta predložio da se potencijalni prihodi koji proizlaze iz mjera zapljene i oduzimanja u proračunu Unije vode kao nenamjenski prihodi iz zasebne proračunske linije uspostavljene izmjenom proračuna; cijeni predanost EPPO-a suradnji s Komisijom u cilju podupiranja radnji usmjerenih na osiguravanje provedbe prethodno navedenog; smatra da je potrebno izmijeniti članak 38. kako bi se omogućila njegova učinkovita provedba i praćenje da bi se osigurala zaštita proračuna Unije te </w:t>
            </w:r>
            <w:r>
              <w:lastRenderedPageBreak/>
              <w:t>poziva Komisiju da sklopi potrebne dogovore s relevantnim nacionalnim tijelima kako bi se omogućilo da se predmetni iznosi vrate u proračun Unije i da predloži potrebna zakonodavna rješenja za učinkovitu provedbu;</w:t>
            </w:r>
          </w:p>
        </w:tc>
        <w:tc>
          <w:tcPr>
            <w:tcW w:w="4876" w:type="dxa"/>
            <w:tcBorders>
              <w:top w:val="nil"/>
              <w:left w:val="nil"/>
              <w:bottom w:val="nil"/>
              <w:right w:val="nil"/>
            </w:tcBorders>
            <w:hideMark/>
          </w:tcPr>
          <w:p w14:paraId="0ED6A704" w14:textId="77777777" w:rsidR="0088071B" w:rsidRPr="00C574C2" w:rsidRDefault="0088071B" w:rsidP="00730E82">
            <w:pPr>
              <w:pStyle w:val="Normal6a"/>
            </w:pPr>
            <w:r>
              <w:rPr>
                <w:i/>
              </w:rPr>
              <w:lastRenderedPageBreak/>
              <w:t>(Ne odnosi se na hrvatsku verziju.)</w:t>
            </w:r>
            <w:r>
              <w:t xml:space="preserve">       </w:t>
            </w:r>
          </w:p>
        </w:tc>
      </w:tr>
    </w:tbl>
    <w:p w14:paraId="24AAAE66"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42F1384D" w14:textId="77777777" w:rsidR="0088071B" w:rsidRPr="00C574C2" w:rsidRDefault="0088071B" w:rsidP="0088071B">
      <w:r>
        <w:rPr>
          <w:rStyle w:val="HideTWBExt"/>
        </w:rPr>
        <w:t>&lt;/Amend&gt;</w:t>
      </w:r>
    </w:p>
    <w:p w14:paraId="599DDDE4" w14:textId="77777777" w:rsidR="0088071B" w:rsidRPr="00C574C2" w:rsidRDefault="0088071B" w:rsidP="0088071B">
      <w:pPr>
        <w:pStyle w:val="AmNumberTabs"/>
      </w:pPr>
      <w:r>
        <w:rPr>
          <w:rStyle w:val="HideTWBExt"/>
        </w:rPr>
        <w:t>&lt;Amend&gt;</w:t>
      </w:r>
      <w:r>
        <w:t>Amandman</w:t>
      </w:r>
      <w:r>
        <w:tab/>
      </w:r>
      <w:r>
        <w:tab/>
      </w:r>
      <w:r>
        <w:rPr>
          <w:rStyle w:val="HideTWBExt"/>
        </w:rPr>
        <w:t>&lt;NumAm&gt;</w:t>
      </w:r>
      <w:r>
        <w:t>63</w:t>
      </w:r>
      <w:r>
        <w:rPr>
          <w:rStyle w:val="HideTWBExt"/>
        </w:rPr>
        <w:t>&lt;/</w:t>
      </w:r>
      <w:proofErr w:type="spellStart"/>
      <w:r>
        <w:rPr>
          <w:rStyle w:val="HideTWBExt"/>
        </w:rPr>
        <w:t>NumAm</w:t>
      </w:r>
      <w:proofErr w:type="spellEnd"/>
      <w:r>
        <w:rPr>
          <w:rStyle w:val="HideTWBExt"/>
        </w:rPr>
        <w:t>&gt;</w:t>
      </w:r>
    </w:p>
    <w:p w14:paraId="1856577C"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4366F9DA"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608BF6D0" w14:textId="77777777" w:rsidR="0088071B" w:rsidRPr="00C574C2" w:rsidRDefault="0088071B" w:rsidP="0088071B">
      <w:pPr>
        <w:pStyle w:val="NormalBold"/>
      </w:pPr>
      <w:r>
        <w:rPr>
          <w:rStyle w:val="HideTWBExt"/>
          <w:b w:val="0"/>
        </w:rPr>
        <w:t>&lt;/RepeatBlock-By&gt;</w:t>
      </w:r>
    </w:p>
    <w:p w14:paraId="74886280"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F37B9A5" w14:textId="77777777" w:rsidR="0088071B" w:rsidRPr="00C574C2" w:rsidRDefault="0088071B" w:rsidP="0088071B">
      <w:pPr>
        <w:pStyle w:val="NormalBold"/>
      </w:pPr>
      <w:r>
        <w:rPr>
          <w:rStyle w:val="HideTWBExt"/>
        </w:rPr>
        <w:t>&lt;Article&gt;</w:t>
      </w:r>
      <w:r>
        <w:t>Stavak 111.a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4D6A1EC" w14:textId="77777777" w:rsidTr="00730E82">
        <w:trPr>
          <w:trHeight w:val="240"/>
          <w:jc w:val="center"/>
        </w:trPr>
        <w:tc>
          <w:tcPr>
            <w:tcW w:w="9752" w:type="dxa"/>
            <w:gridSpan w:val="2"/>
            <w:tcBorders>
              <w:top w:val="nil"/>
              <w:left w:val="nil"/>
              <w:bottom w:val="nil"/>
              <w:right w:val="nil"/>
            </w:tcBorders>
          </w:tcPr>
          <w:p w14:paraId="07D9AD36" w14:textId="77777777" w:rsidR="0088071B" w:rsidRPr="00C574C2" w:rsidRDefault="0088071B" w:rsidP="00730E82"/>
        </w:tc>
      </w:tr>
      <w:tr w:rsidR="0088071B" w14:paraId="5EB41A30" w14:textId="77777777" w:rsidTr="00730E82">
        <w:trPr>
          <w:trHeight w:val="240"/>
          <w:jc w:val="center"/>
        </w:trPr>
        <w:tc>
          <w:tcPr>
            <w:tcW w:w="4876" w:type="dxa"/>
            <w:tcBorders>
              <w:top w:val="nil"/>
              <w:left w:val="nil"/>
              <w:bottom w:val="nil"/>
              <w:right w:val="nil"/>
            </w:tcBorders>
            <w:hideMark/>
          </w:tcPr>
          <w:p w14:paraId="790EA223"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16F1CE3" w14:textId="77777777" w:rsidR="0088071B" w:rsidRPr="00C574C2" w:rsidRDefault="0088071B" w:rsidP="00730E82">
            <w:pPr>
              <w:pStyle w:val="AmColumnHeading"/>
            </w:pPr>
            <w:r>
              <w:t>Izmjena</w:t>
            </w:r>
          </w:p>
        </w:tc>
      </w:tr>
      <w:tr w:rsidR="0088071B" w14:paraId="393ACA1C" w14:textId="77777777" w:rsidTr="00730E82">
        <w:trPr>
          <w:jc w:val="center"/>
        </w:trPr>
        <w:tc>
          <w:tcPr>
            <w:tcW w:w="4876" w:type="dxa"/>
            <w:tcBorders>
              <w:top w:val="nil"/>
              <w:left w:val="nil"/>
              <w:bottom w:val="nil"/>
              <w:right w:val="nil"/>
            </w:tcBorders>
          </w:tcPr>
          <w:p w14:paraId="3E5D8897" w14:textId="77777777" w:rsidR="0088071B" w:rsidRPr="00C574C2" w:rsidRDefault="0088071B" w:rsidP="00730E82">
            <w:pPr>
              <w:pStyle w:val="Normal6a"/>
            </w:pPr>
          </w:p>
        </w:tc>
        <w:tc>
          <w:tcPr>
            <w:tcW w:w="4876" w:type="dxa"/>
            <w:tcBorders>
              <w:top w:val="nil"/>
              <w:left w:val="nil"/>
              <w:bottom w:val="nil"/>
              <w:right w:val="nil"/>
            </w:tcBorders>
            <w:hideMark/>
          </w:tcPr>
          <w:p w14:paraId="254DEAF0" w14:textId="77777777" w:rsidR="0088071B" w:rsidRPr="00C574C2" w:rsidRDefault="0088071B" w:rsidP="00730E82">
            <w:pPr>
              <w:pStyle w:val="Normal6a"/>
            </w:pPr>
            <w:r>
              <w:rPr>
                <w:b/>
                <w:i/>
              </w:rPr>
              <w:t>111.a</w:t>
            </w:r>
            <w:r>
              <w:tab/>
            </w:r>
            <w:r>
              <w:rPr>
                <w:b/>
                <w:i/>
              </w:rPr>
              <w:t>prima na znanje iznimno velik javni interes za određene istrage EPPO-a, uključujući istragu o nabavi cjepiva protiv bolesti COVID-19 u Uniji; podsjeća da se transparentnost mora uravnotežiti s pretpostavkom nedužnosti i integritetom postupka; potiče EPPO da zadrži jasna načela javne komunikacije o tome kada i kako potvrđuje postojanje istraga i pruža ažurirane informacije te da istodobno osigura dostatna sredstva za vrlo složene slučajeve koji imaju velik učinak na proračun i ugled;</w:t>
            </w:r>
          </w:p>
        </w:tc>
      </w:tr>
    </w:tbl>
    <w:p w14:paraId="1F68749B"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054E2F63" w14:textId="77777777" w:rsidR="0088071B" w:rsidRPr="00C574C2" w:rsidRDefault="0088071B" w:rsidP="0088071B">
      <w:r>
        <w:rPr>
          <w:rStyle w:val="HideTWBExt"/>
        </w:rPr>
        <w:t>&lt;/Amend&gt;</w:t>
      </w:r>
    </w:p>
    <w:p w14:paraId="329DA748" w14:textId="77777777" w:rsidR="0088071B" w:rsidRPr="00C574C2" w:rsidRDefault="0088071B" w:rsidP="0088071B">
      <w:pPr>
        <w:pStyle w:val="AmNumberTabs"/>
      </w:pPr>
      <w:r>
        <w:rPr>
          <w:rStyle w:val="HideTWBExt"/>
        </w:rPr>
        <w:t>&lt;Amend&gt;</w:t>
      </w:r>
      <w:r>
        <w:t>Amandman</w:t>
      </w:r>
      <w:r>
        <w:tab/>
      </w:r>
      <w:r>
        <w:tab/>
      </w:r>
      <w:r>
        <w:rPr>
          <w:rStyle w:val="HideTWBExt"/>
        </w:rPr>
        <w:t>&lt;NumAm&gt;</w:t>
      </w:r>
      <w:r>
        <w:t>64</w:t>
      </w:r>
      <w:r>
        <w:rPr>
          <w:rStyle w:val="HideTWBExt"/>
        </w:rPr>
        <w:t>&lt;/</w:t>
      </w:r>
      <w:proofErr w:type="spellStart"/>
      <w:r>
        <w:rPr>
          <w:rStyle w:val="HideTWBExt"/>
        </w:rPr>
        <w:t>NumAm</w:t>
      </w:r>
      <w:proofErr w:type="spellEnd"/>
      <w:r>
        <w:rPr>
          <w:rStyle w:val="HideTWBExt"/>
        </w:rPr>
        <w:t>&gt;</w:t>
      </w:r>
    </w:p>
    <w:p w14:paraId="652751FE" w14:textId="77777777" w:rsidR="0088071B" w:rsidRPr="00C574C2" w:rsidRDefault="0088071B" w:rsidP="0088071B">
      <w:pPr>
        <w:pStyle w:val="NormalBold"/>
      </w:pPr>
      <w:r>
        <w:rPr>
          <w:rStyle w:val="HideTWBExt"/>
          <w:b w:val="0"/>
        </w:rPr>
        <w:t>&lt;RepeatBlock-By&gt;&lt;Members&gt;</w:t>
      </w:r>
      <w:proofErr w:type="spellStart"/>
      <w:r>
        <w:t>Cristian</w:t>
      </w:r>
      <w:proofErr w:type="spellEnd"/>
      <w:r>
        <w:t xml:space="preserve"> </w:t>
      </w:r>
      <w:proofErr w:type="spellStart"/>
      <w:r>
        <w:t>Terheş</w:t>
      </w:r>
      <w:proofErr w:type="spellEnd"/>
      <w:r>
        <w:rPr>
          <w:rStyle w:val="HideTWBExt"/>
          <w:b w:val="0"/>
        </w:rPr>
        <w:t>&lt;/Members&gt;</w:t>
      </w:r>
    </w:p>
    <w:p w14:paraId="30815923" w14:textId="77777777" w:rsidR="0088071B" w:rsidRPr="00C574C2" w:rsidRDefault="0088071B" w:rsidP="0088071B">
      <w:pPr>
        <w:pStyle w:val="NormalBold"/>
      </w:pPr>
      <w:r>
        <w:rPr>
          <w:rStyle w:val="HideTWBExt"/>
          <w:b w:val="0"/>
        </w:rPr>
        <w:t>&lt;/RepeatBlock-By&gt;</w:t>
      </w:r>
    </w:p>
    <w:p w14:paraId="6D4561B6"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9C286B2" w14:textId="77777777" w:rsidR="0088071B" w:rsidRPr="00C574C2" w:rsidRDefault="0088071B" w:rsidP="0088071B">
      <w:pPr>
        <w:pStyle w:val="NormalBold"/>
      </w:pPr>
      <w:r>
        <w:rPr>
          <w:rStyle w:val="HideTWBExt"/>
        </w:rPr>
        <w:t>&lt;Article&gt;</w:t>
      </w:r>
      <w:r>
        <w:t>Stavak 112.a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210FCF57" w14:textId="77777777" w:rsidTr="00730E82">
        <w:trPr>
          <w:trHeight w:val="240"/>
          <w:jc w:val="center"/>
        </w:trPr>
        <w:tc>
          <w:tcPr>
            <w:tcW w:w="9752" w:type="dxa"/>
            <w:gridSpan w:val="2"/>
            <w:tcBorders>
              <w:top w:val="nil"/>
              <w:left w:val="nil"/>
              <w:bottom w:val="nil"/>
              <w:right w:val="nil"/>
            </w:tcBorders>
          </w:tcPr>
          <w:p w14:paraId="56B60CA4" w14:textId="77777777" w:rsidR="0088071B" w:rsidRPr="00C574C2" w:rsidRDefault="0088071B" w:rsidP="00730E82"/>
        </w:tc>
      </w:tr>
      <w:tr w:rsidR="0088071B" w14:paraId="5C9582B5" w14:textId="77777777" w:rsidTr="00730E82">
        <w:trPr>
          <w:trHeight w:val="240"/>
          <w:jc w:val="center"/>
        </w:trPr>
        <w:tc>
          <w:tcPr>
            <w:tcW w:w="4876" w:type="dxa"/>
            <w:tcBorders>
              <w:top w:val="nil"/>
              <w:left w:val="nil"/>
              <w:bottom w:val="nil"/>
              <w:right w:val="nil"/>
            </w:tcBorders>
            <w:hideMark/>
          </w:tcPr>
          <w:p w14:paraId="7691F553"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587D5E3F" w14:textId="77777777" w:rsidR="0088071B" w:rsidRPr="00C574C2" w:rsidRDefault="0088071B" w:rsidP="00730E82">
            <w:pPr>
              <w:pStyle w:val="AmColumnHeading"/>
            </w:pPr>
            <w:r>
              <w:t>Izmjena</w:t>
            </w:r>
          </w:p>
        </w:tc>
      </w:tr>
      <w:tr w:rsidR="0088071B" w14:paraId="1E02EFF9" w14:textId="77777777" w:rsidTr="00730E82">
        <w:trPr>
          <w:jc w:val="center"/>
        </w:trPr>
        <w:tc>
          <w:tcPr>
            <w:tcW w:w="4876" w:type="dxa"/>
            <w:tcBorders>
              <w:top w:val="nil"/>
              <w:left w:val="nil"/>
              <w:bottom w:val="nil"/>
              <w:right w:val="nil"/>
            </w:tcBorders>
          </w:tcPr>
          <w:p w14:paraId="6EC44234" w14:textId="77777777" w:rsidR="0088071B" w:rsidRPr="00C574C2" w:rsidRDefault="0088071B" w:rsidP="00730E82">
            <w:pPr>
              <w:pStyle w:val="Normal6a"/>
            </w:pPr>
          </w:p>
        </w:tc>
        <w:tc>
          <w:tcPr>
            <w:tcW w:w="4876" w:type="dxa"/>
            <w:tcBorders>
              <w:top w:val="nil"/>
              <w:left w:val="nil"/>
              <w:bottom w:val="nil"/>
              <w:right w:val="nil"/>
            </w:tcBorders>
            <w:hideMark/>
          </w:tcPr>
          <w:p w14:paraId="7A2CA6AB" w14:textId="77777777" w:rsidR="0088071B" w:rsidRPr="00C574C2" w:rsidRDefault="0088071B" w:rsidP="00730E82">
            <w:pPr>
              <w:pStyle w:val="Normal6a"/>
            </w:pPr>
            <w:r>
              <w:rPr>
                <w:b/>
                <w:i/>
              </w:rPr>
              <w:t>112.a</w:t>
            </w:r>
            <w:r>
              <w:tab/>
            </w:r>
            <w:r>
              <w:rPr>
                <w:b/>
                <w:i/>
              </w:rPr>
              <w:t xml:space="preserve">s velikom zabrinutošću primjećuje dosad nezabilježenu prijevaru tijekom pandemije bolesti COVID-19, nedostatak </w:t>
            </w:r>
            <w:r>
              <w:rPr>
                <w:b/>
                <w:i/>
              </w:rPr>
              <w:lastRenderedPageBreak/>
              <w:t>transparentnosti u javnim institucijama i loše upravljanje javnim sredstvima EU-a; naglašava da se u izvješću o radu EPPO-a za 2023. i dalje ističu brojni slučajevi prijevare povezani sa sredstvima dodijeljenima za pandemiju bolesti COVID-19</w:t>
            </w:r>
            <w:r>
              <w:rPr>
                <w:b/>
                <w:i/>
                <w:vertAlign w:val="superscript"/>
              </w:rPr>
              <w:t>9a</w:t>
            </w:r>
            <w:r>
              <w:rPr>
                <w:b/>
                <w:i/>
              </w:rPr>
              <w:t>;</w:t>
            </w:r>
          </w:p>
        </w:tc>
      </w:tr>
      <w:tr w:rsidR="0088071B" w14:paraId="3FAB0993" w14:textId="77777777" w:rsidTr="00730E82">
        <w:trPr>
          <w:jc w:val="center"/>
        </w:trPr>
        <w:tc>
          <w:tcPr>
            <w:tcW w:w="4876" w:type="dxa"/>
            <w:tcBorders>
              <w:top w:val="nil"/>
              <w:left w:val="nil"/>
              <w:bottom w:val="nil"/>
              <w:right w:val="nil"/>
            </w:tcBorders>
          </w:tcPr>
          <w:p w14:paraId="71BCF50D" w14:textId="77777777" w:rsidR="0088071B" w:rsidRPr="00C574C2" w:rsidRDefault="0088071B" w:rsidP="00730E82"/>
        </w:tc>
        <w:tc>
          <w:tcPr>
            <w:tcW w:w="4876" w:type="dxa"/>
            <w:tcBorders>
              <w:top w:val="nil"/>
              <w:left w:val="nil"/>
              <w:bottom w:val="nil"/>
              <w:right w:val="nil"/>
            </w:tcBorders>
            <w:hideMark/>
          </w:tcPr>
          <w:p w14:paraId="7911EC81" w14:textId="77777777" w:rsidR="0088071B" w:rsidRPr="00C574C2" w:rsidRDefault="0088071B" w:rsidP="00730E82">
            <w:pPr>
              <w:pStyle w:val="Normal6a"/>
            </w:pPr>
            <w:r>
              <w:rPr>
                <w:b/>
                <w:i/>
              </w:rPr>
              <w:t>_________________</w:t>
            </w:r>
          </w:p>
        </w:tc>
      </w:tr>
      <w:tr w:rsidR="0088071B" w14:paraId="3B53EE8C" w14:textId="77777777" w:rsidTr="00730E82">
        <w:trPr>
          <w:jc w:val="center"/>
        </w:trPr>
        <w:tc>
          <w:tcPr>
            <w:tcW w:w="4876" w:type="dxa"/>
            <w:tcBorders>
              <w:top w:val="nil"/>
              <w:left w:val="nil"/>
              <w:bottom w:val="nil"/>
              <w:right w:val="nil"/>
            </w:tcBorders>
          </w:tcPr>
          <w:p w14:paraId="1F9B17DC" w14:textId="77777777" w:rsidR="0088071B" w:rsidRPr="00C574C2" w:rsidRDefault="0088071B" w:rsidP="00730E82"/>
        </w:tc>
        <w:tc>
          <w:tcPr>
            <w:tcW w:w="4876" w:type="dxa"/>
            <w:tcBorders>
              <w:top w:val="nil"/>
              <w:left w:val="nil"/>
              <w:bottom w:val="nil"/>
              <w:right w:val="nil"/>
            </w:tcBorders>
            <w:hideMark/>
          </w:tcPr>
          <w:p w14:paraId="1BEF0307" w14:textId="77777777" w:rsidR="0088071B" w:rsidRPr="00C574C2" w:rsidRDefault="0088071B" w:rsidP="00730E82">
            <w:pPr>
              <w:pStyle w:val="Normal6a"/>
            </w:pPr>
            <w:r>
              <w:rPr>
                <w:b/>
                <w:i/>
                <w:vertAlign w:val="superscript"/>
              </w:rPr>
              <w:t>9a</w:t>
            </w:r>
            <w:r>
              <w:t xml:space="preserve"> </w:t>
            </w:r>
            <w:r>
              <w:rPr>
                <w:b/>
                <w:i/>
              </w:rPr>
              <w:t>https://www.eppo.europa.eu/sites/default/files/2024-03/EPPO_Annual_Report_2023.pdf</w:t>
            </w:r>
          </w:p>
        </w:tc>
      </w:tr>
    </w:tbl>
    <w:p w14:paraId="1DF343E2"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187FF278" w14:textId="77777777" w:rsidR="0088071B" w:rsidRPr="00C574C2" w:rsidRDefault="0088071B" w:rsidP="0088071B">
      <w:r>
        <w:rPr>
          <w:rStyle w:val="HideTWBExt"/>
        </w:rPr>
        <w:t>&lt;/Amend&gt;</w:t>
      </w:r>
    </w:p>
    <w:p w14:paraId="79BA6420" w14:textId="77777777" w:rsidR="0088071B" w:rsidRPr="00C574C2" w:rsidRDefault="0088071B" w:rsidP="0088071B">
      <w:pPr>
        <w:pStyle w:val="AmNumberTabs"/>
      </w:pPr>
      <w:r>
        <w:rPr>
          <w:rStyle w:val="HideTWBExt"/>
        </w:rPr>
        <w:t>&lt;Amend&gt;</w:t>
      </w:r>
      <w:r>
        <w:t>Amandman</w:t>
      </w:r>
      <w:r>
        <w:tab/>
      </w:r>
      <w:r>
        <w:tab/>
      </w:r>
      <w:r>
        <w:rPr>
          <w:rStyle w:val="HideTWBExt"/>
        </w:rPr>
        <w:t>&lt;NumAm&gt;</w:t>
      </w:r>
      <w:r>
        <w:t>65</w:t>
      </w:r>
      <w:r>
        <w:rPr>
          <w:rStyle w:val="HideTWBExt"/>
        </w:rPr>
        <w:t>&lt;/</w:t>
      </w:r>
      <w:proofErr w:type="spellStart"/>
      <w:r>
        <w:rPr>
          <w:rStyle w:val="HideTWBExt"/>
        </w:rPr>
        <w:t>NumAm</w:t>
      </w:r>
      <w:proofErr w:type="spellEnd"/>
      <w:r>
        <w:rPr>
          <w:rStyle w:val="HideTWBExt"/>
        </w:rPr>
        <w:t>&gt;</w:t>
      </w:r>
    </w:p>
    <w:p w14:paraId="7EA00680" w14:textId="77777777" w:rsidR="0088071B" w:rsidRPr="00C574C2" w:rsidRDefault="0088071B" w:rsidP="0088071B">
      <w:pPr>
        <w:pStyle w:val="NormalBold"/>
      </w:pPr>
      <w:r>
        <w:rPr>
          <w:rStyle w:val="HideTWBExt"/>
          <w:b w:val="0"/>
        </w:rPr>
        <w:t>&lt;RepeatBlock-By&gt;&lt;Members&gt;</w:t>
      </w:r>
      <w:proofErr w:type="spellStart"/>
      <w:r>
        <w:t>Cristian</w:t>
      </w:r>
      <w:proofErr w:type="spellEnd"/>
      <w:r>
        <w:t xml:space="preserve"> </w:t>
      </w:r>
      <w:proofErr w:type="spellStart"/>
      <w:r>
        <w:t>Terheş</w:t>
      </w:r>
      <w:proofErr w:type="spellEnd"/>
      <w:r>
        <w:rPr>
          <w:rStyle w:val="HideTWBExt"/>
          <w:b w:val="0"/>
        </w:rPr>
        <w:t>&lt;/Members&gt;</w:t>
      </w:r>
    </w:p>
    <w:p w14:paraId="5C265103" w14:textId="77777777" w:rsidR="0088071B" w:rsidRPr="00C574C2" w:rsidRDefault="0088071B" w:rsidP="0088071B">
      <w:pPr>
        <w:pStyle w:val="NormalBold"/>
      </w:pPr>
      <w:r>
        <w:rPr>
          <w:rStyle w:val="HideTWBExt"/>
          <w:b w:val="0"/>
        </w:rPr>
        <w:t>&lt;/RepeatBlock-By&gt;</w:t>
      </w:r>
    </w:p>
    <w:p w14:paraId="44FECB50"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DCA9320" w14:textId="77777777" w:rsidR="0088071B" w:rsidRPr="00C574C2" w:rsidRDefault="0088071B" w:rsidP="0088071B">
      <w:pPr>
        <w:pStyle w:val="NormalBold"/>
      </w:pPr>
      <w:r>
        <w:rPr>
          <w:rStyle w:val="HideTWBExt"/>
        </w:rPr>
        <w:t>&lt;Article&gt;</w:t>
      </w:r>
      <w:r>
        <w:t>Stavak 112.b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14BB7C5E" w14:textId="77777777" w:rsidTr="00730E82">
        <w:trPr>
          <w:trHeight w:val="240"/>
          <w:jc w:val="center"/>
        </w:trPr>
        <w:tc>
          <w:tcPr>
            <w:tcW w:w="9752" w:type="dxa"/>
            <w:gridSpan w:val="2"/>
            <w:tcBorders>
              <w:top w:val="nil"/>
              <w:left w:val="nil"/>
              <w:bottom w:val="nil"/>
              <w:right w:val="nil"/>
            </w:tcBorders>
          </w:tcPr>
          <w:p w14:paraId="5F7B3560" w14:textId="77777777" w:rsidR="0088071B" w:rsidRPr="00C574C2" w:rsidRDefault="0088071B" w:rsidP="00730E82"/>
        </w:tc>
      </w:tr>
      <w:tr w:rsidR="0088071B" w14:paraId="2E85049A" w14:textId="77777777" w:rsidTr="00730E82">
        <w:trPr>
          <w:trHeight w:val="240"/>
          <w:jc w:val="center"/>
        </w:trPr>
        <w:tc>
          <w:tcPr>
            <w:tcW w:w="4876" w:type="dxa"/>
            <w:tcBorders>
              <w:top w:val="nil"/>
              <w:left w:val="nil"/>
              <w:bottom w:val="nil"/>
              <w:right w:val="nil"/>
            </w:tcBorders>
            <w:hideMark/>
          </w:tcPr>
          <w:p w14:paraId="779EE97A"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266FEA87" w14:textId="77777777" w:rsidR="0088071B" w:rsidRPr="00C574C2" w:rsidRDefault="0088071B" w:rsidP="00730E82">
            <w:pPr>
              <w:pStyle w:val="AmColumnHeading"/>
            </w:pPr>
            <w:r>
              <w:t>Izmjena</w:t>
            </w:r>
          </w:p>
        </w:tc>
      </w:tr>
      <w:tr w:rsidR="0088071B" w14:paraId="0830CC8B" w14:textId="77777777" w:rsidTr="00730E82">
        <w:trPr>
          <w:jc w:val="center"/>
        </w:trPr>
        <w:tc>
          <w:tcPr>
            <w:tcW w:w="4876" w:type="dxa"/>
            <w:tcBorders>
              <w:top w:val="nil"/>
              <w:left w:val="nil"/>
              <w:bottom w:val="nil"/>
              <w:right w:val="nil"/>
            </w:tcBorders>
          </w:tcPr>
          <w:p w14:paraId="400E4D54" w14:textId="77777777" w:rsidR="0088071B" w:rsidRPr="00C574C2" w:rsidRDefault="0088071B" w:rsidP="00730E82">
            <w:pPr>
              <w:pStyle w:val="Normal6a"/>
            </w:pPr>
          </w:p>
        </w:tc>
        <w:tc>
          <w:tcPr>
            <w:tcW w:w="4876" w:type="dxa"/>
            <w:tcBorders>
              <w:top w:val="nil"/>
              <w:left w:val="nil"/>
              <w:bottom w:val="nil"/>
              <w:right w:val="nil"/>
            </w:tcBorders>
            <w:hideMark/>
          </w:tcPr>
          <w:p w14:paraId="7FB970FE" w14:textId="77777777" w:rsidR="0088071B" w:rsidRPr="00C574C2" w:rsidRDefault="0088071B" w:rsidP="00730E82">
            <w:pPr>
              <w:pStyle w:val="Normal6a"/>
            </w:pPr>
            <w:r>
              <w:rPr>
                <w:b/>
                <w:i/>
              </w:rPr>
              <w:t>112.b</w:t>
            </w:r>
            <w:r>
              <w:tab/>
            </w:r>
            <w:r>
              <w:rPr>
                <w:b/>
                <w:i/>
              </w:rPr>
              <w:t>izražava duboku zabrinutost zbog nedostatka transparentnosti i javne komunikacije u vezi s istragom o nabavi cjepiva protiv bolesti COVID-19 u Europskoj uniji, što se općenito smatra jednim od najvećih slučajeva od velikog javnog interesa povezanih s prijevarama; napominje da je Ured europskog javnog tužitelja (EPPO) 2022. pokrenuo istragu, ali građani još nisu obaviješteni o njezinu napretku niti o ishodu; potiče EPPO na to da dodijeli odgovarajuće ljudske i financijske resurse kako bi se osiguralo brzo dovršenje istrage i da bez nepotrebne odgode javno priopći jasne informacije o njezinu statusu i zaključcima, uz potpuno poštovanje pravnih ograničenja;</w:t>
            </w:r>
          </w:p>
        </w:tc>
      </w:tr>
    </w:tbl>
    <w:p w14:paraId="5323A52B"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19845710" w14:textId="77777777" w:rsidR="0088071B" w:rsidRPr="00C574C2" w:rsidRDefault="0088071B" w:rsidP="0088071B">
      <w:r>
        <w:rPr>
          <w:rStyle w:val="HideTWBExt"/>
        </w:rPr>
        <w:t>&lt;/Amend&gt;</w:t>
      </w:r>
    </w:p>
    <w:p w14:paraId="2A44C37B" w14:textId="77777777" w:rsidR="0088071B" w:rsidRPr="00C574C2" w:rsidRDefault="0088071B" w:rsidP="0088071B">
      <w:pPr>
        <w:pStyle w:val="AmNumberTabs"/>
      </w:pPr>
      <w:r>
        <w:rPr>
          <w:rStyle w:val="HideTWBExt"/>
        </w:rPr>
        <w:lastRenderedPageBreak/>
        <w:t>&lt;Amend&gt;</w:t>
      </w:r>
      <w:r>
        <w:t>Amandman</w:t>
      </w:r>
      <w:r>
        <w:tab/>
      </w:r>
      <w:r>
        <w:tab/>
      </w:r>
      <w:r>
        <w:rPr>
          <w:rStyle w:val="HideTWBExt"/>
        </w:rPr>
        <w:t>&lt;NumAm&gt;</w:t>
      </w:r>
      <w:r>
        <w:t>66</w:t>
      </w:r>
      <w:r>
        <w:rPr>
          <w:rStyle w:val="HideTWBExt"/>
        </w:rPr>
        <w:t>&lt;/</w:t>
      </w:r>
      <w:proofErr w:type="spellStart"/>
      <w:r>
        <w:rPr>
          <w:rStyle w:val="HideTWBExt"/>
        </w:rPr>
        <w:t>NumAm</w:t>
      </w:r>
      <w:proofErr w:type="spellEnd"/>
      <w:r>
        <w:rPr>
          <w:rStyle w:val="HideTWBExt"/>
        </w:rPr>
        <w:t>&gt;</w:t>
      </w:r>
    </w:p>
    <w:p w14:paraId="2B0C0DFE" w14:textId="77777777" w:rsidR="0088071B" w:rsidRPr="00C574C2" w:rsidRDefault="0088071B" w:rsidP="0088071B">
      <w:pPr>
        <w:pStyle w:val="NormalBold"/>
      </w:pPr>
      <w:r>
        <w:rPr>
          <w:rStyle w:val="HideTWBExt"/>
          <w:b w:val="0"/>
        </w:rPr>
        <w:t>&lt;RepeatBlock-By&gt;&lt;Members&gt;</w:t>
      </w:r>
      <w:proofErr w:type="spellStart"/>
      <w:r>
        <w:t>Cristian</w:t>
      </w:r>
      <w:proofErr w:type="spellEnd"/>
      <w:r>
        <w:t xml:space="preserve"> </w:t>
      </w:r>
      <w:proofErr w:type="spellStart"/>
      <w:r>
        <w:t>Terheş</w:t>
      </w:r>
      <w:proofErr w:type="spellEnd"/>
      <w:r>
        <w:rPr>
          <w:rStyle w:val="HideTWBExt"/>
          <w:b w:val="0"/>
        </w:rPr>
        <w:t>&lt;/Members&gt;</w:t>
      </w:r>
    </w:p>
    <w:p w14:paraId="0881879E" w14:textId="77777777" w:rsidR="0088071B" w:rsidRPr="00C574C2" w:rsidRDefault="0088071B" w:rsidP="0088071B">
      <w:pPr>
        <w:pStyle w:val="NormalBold"/>
      </w:pPr>
      <w:r>
        <w:rPr>
          <w:rStyle w:val="HideTWBExt"/>
          <w:b w:val="0"/>
        </w:rPr>
        <w:t>&lt;/RepeatBlock-By&gt;</w:t>
      </w:r>
    </w:p>
    <w:p w14:paraId="6C3C70AB"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5BB39C5" w14:textId="77777777" w:rsidR="0088071B" w:rsidRPr="00C574C2" w:rsidRDefault="0088071B" w:rsidP="0088071B">
      <w:pPr>
        <w:pStyle w:val="NormalBold"/>
      </w:pPr>
      <w:r>
        <w:rPr>
          <w:rStyle w:val="HideTWBExt"/>
        </w:rPr>
        <w:t>&lt;Article&gt;</w:t>
      </w:r>
      <w:r>
        <w:t>Stavak 112.c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645C23B1" w14:textId="77777777" w:rsidTr="00730E82">
        <w:trPr>
          <w:trHeight w:val="240"/>
          <w:jc w:val="center"/>
        </w:trPr>
        <w:tc>
          <w:tcPr>
            <w:tcW w:w="9752" w:type="dxa"/>
            <w:gridSpan w:val="2"/>
            <w:tcBorders>
              <w:top w:val="nil"/>
              <w:left w:val="nil"/>
              <w:bottom w:val="nil"/>
              <w:right w:val="nil"/>
            </w:tcBorders>
          </w:tcPr>
          <w:p w14:paraId="5AA418E6" w14:textId="77777777" w:rsidR="0088071B" w:rsidRPr="00C574C2" w:rsidRDefault="0088071B" w:rsidP="00730E82"/>
        </w:tc>
      </w:tr>
      <w:tr w:rsidR="0088071B" w14:paraId="333149BF" w14:textId="77777777" w:rsidTr="00730E82">
        <w:trPr>
          <w:trHeight w:val="240"/>
          <w:jc w:val="center"/>
        </w:trPr>
        <w:tc>
          <w:tcPr>
            <w:tcW w:w="4876" w:type="dxa"/>
            <w:tcBorders>
              <w:top w:val="nil"/>
              <w:left w:val="nil"/>
              <w:bottom w:val="nil"/>
              <w:right w:val="nil"/>
            </w:tcBorders>
            <w:hideMark/>
          </w:tcPr>
          <w:p w14:paraId="3DD22BF8"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42EDADCC" w14:textId="77777777" w:rsidR="0088071B" w:rsidRPr="00C574C2" w:rsidRDefault="0088071B" w:rsidP="00730E82">
            <w:pPr>
              <w:pStyle w:val="AmColumnHeading"/>
            </w:pPr>
            <w:r>
              <w:t>Izmjena</w:t>
            </w:r>
          </w:p>
        </w:tc>
      </w:tr>
      <w:tr w:rsidR="0088071B" w14:paraId="5F5E7952" w14:textId="77777777" w:rsidTr="00730E82">
        <w:trPr>
          <w:jc w:val="center"/>
        </w:trPr>
        <w:tc>
          <w:tcPr>
            <w:tcW w:w="4876" w:type="dxa"/>
            <w:tcBorders>
              <w:top w:val="nil"/>
              <w:left w:val="nil"/>
              <w:bottom w:val="nil"/>
              <w:right w:val="nil"/>
            </w:tcBorders>
          </w:tcPr>
          <w:p w14:paraId="04E6E7AD" w14:textId="77777777" w:rsidR="0088071B" w:rsidRPr="00C574C2" w:rsidRDefault="0088071B" w:rsidP="00730E82">
            <w:pPr>
              <w:pStyle w:val="Normal6a"/>
            </w:pPr>
          </w:p>
        </w:tc>
        <w:tc>
          <w:tcPr>
            <w:tcW w:w="4876" w:type="dxa"/>
            <w:tcBorders>
              <w:top w:val="nil"/>
              <w:left w:val="nil"/>
              <w:bottom w:val="nil"/>
              <w:right w:val="nil"/>
            </w:tcBorders>
            <w:hideMark/>
          </w:tcPr>
          <w:p w14:paraId="29528FAC" w14:textId="77777777" w:rsidR="0088071B" w:rsidRPr="00C574C2" w:rsidRDefault="0088071B" w:rsidP="00730E82">
            <w:pPr>
              <w:pStyle w:val="Normal6a"/>
            </w:pPr>
            <w:r>
              <w:rPr>
                <w:b/>
                <w:i/>
              </w:rPr>
              <w:t>112.c</w:t>
            </w:r>
            <w:r>
              <w:tab/>
            </w:r>
            <w:r>
              <w:rPr>
                <w:b/>
                <w:i/>
              </w:rPr>
              <w:t xml:space="preserve">poziva na to da se sveobuhvatno ispita kako Europska komisija upotrebljava javna sredstva za financiranje organizacija koje se bave zagovaranjem povezanim s njezinim političkim prioritetima; ističe potrebu za potpunom transparentnošću u aktivnostima lobiranja; potiče EPPO da posveti veću pozornost praćenju financijskih sredstava EU-a koja Komisija dodjeljuje nevladinim organizacijama; naglašava da se u tematskom izvješću Europskog revizorskog suda br. 11/2025 o financijskim sredstvima EU-a dodijeljenima nevladinim organizacijama ističu veliki nedostaci u pogledu transparentnosti i nadzora, uključujući probleme s klasifikacijom, </w:t>
            </w:r>
            <w:proofErr w:type="spellStart"/>
            <w:r>
              <w:rPr>
                <w:b/>
                <w:i/>
              </w:rPr>
              <w:t>sljedivošću</w:t>
            </w:r>
            <w:proofErr w:type="spellEnd"/>
            <w:r>
              <w:rPr>
                <w:b/>
                <w:i/>
              </w:rPr>
              <w:t xml:space="preserve"> i praćenjem organizacija koje primaju sredstva EU-a, što se koristi u političkim raspravama o transparentnosti financiranja nevladinih organizacija</w:t>
            </w:r>
            <w:r>
              <w:rPr>
                <w:b/>
                <w:i/>
                <w:vertAlign w:val="superscript"/>
              </w:rPr>
              <w:t>1a</w:t>
            </w:r>
            <w:r>
              <w:rPr>
                <w:b/>
                <w:i/>
              </w:rPr>
              <w:t>;</w:t>
            </w:r>
          </w:p>
        </w:tc>
      </w:tr>
      <w:tr w:rsidR="0088071B" w14:paraId="6F173DDC" w14:textId="77777777" w:rsidTr="00730E82">
        <w:trPr>
          <w:jc w:val="center"/>
        </w:trPr>
        <w:tc>
          <w:tcPr>
            <w:tcW w:w="4876" w:type="dxa"/>
            <w:tcBorders>
              <w:top w:val="nil"/>
              <w:left w:val="nil"/>
              <w:bottom w:val="nil"/>
              <w:right w:val="nil"/>
            </w:tcBorders>
          </w:tcPr>
          <w:p w14:paraId="466135B3" w14:textId="77777777" w:rsidR="0088071B" w:rsidRPr="00C574C2" w:rsidRDefault="0088071B" w:rsidP="00730E82"/>
        </w:tc>
        <w:tc>
          <w:tcPr>
            <w:tcW w:w="4876" w:type="dxa"/>
            <w:tcBorders>
              <w:top w:val="nil"/>
              <w:left w:val="nil"/>
              <w:bottom w:val="nil"/>
              <w:right w:val="nil"/>
            </w:tcBorders>
            <w:hideMark/>
          </w:tcPr>
          <w:p w14:paraId="1A55F7FC" w14:textId="77777777" w:rsidR="0088071B" w:rsidRPr="00C574C2" w:rsidRDefault="0088071B" w:rsidP="00730E82">
            <w:pPr>
              <w:pStyle w:val="Normal6a"/>
            </w:pPr>
            <w:r>
              <w:rPr>
                <w:b/>
                <w:i/>
              </w:rPr>
              <w:t>_________________</w:t>
            </w:r>
          </w:p>
        </w:tc>
      </w:tr>
      <w:tr w:rsidR="0088071B" w14:paraId="2CC165C2" w14:textId="77777777" w:rsidTr="00730E82">
        <w:trPr>
          <w:jc w:val="center"/>
        </w:trPr>
        <w:tc>
          <w:tcPr>
            <w:tcW w:w="4876" w:type="dxa"/>
            <w:tcBorders>
              <w:top w:val="nil"/>
              <w:left w:val="nil"/>
              <w:bottom w:val="nil"/>
              <w:right w:val="nil"/>
            </w:tcBorders>
          </w:tcPr>
          <w:p w14:paraId="69AD0D6A" w14:textId="77777777" w:rsidR="0088071B" w:rsidRPr="00C574C2" w:rsidRDefault="0088071B" w:rsidP="00730E82"/>
        </w:tc>
        <w:tc>
          <w:tcPr>
            <w:tcW w:w="4876" w:type="dxa"/>
            <w:tcBorders>
              <w:top w:val="nil"/>
              <w:left w:val="nil"/>
              <w:bottom w:val="nil"/>
              <w:right w:val="nil"/>
            </w:tcBorders>
            <w:hideMark/>
          </w:tcPr>
          <w:p w14:paraId="2EE89C50" w14:textId="77777777" w:rsidR="0088071B" w:rsidRPr="00C574C2" w:rsidRDefault="0088071B" w:rsidP="00730E82">
            <w:pPr>
              <w:pStyle w:val="Normal6a"/>
            </w:pPr>
            <w:r>
              <w:rPr>
                <w:b/>
                <w:i/>
                <w:vertAlign w:val="superscript"/>
              </w:rPr>
              <w:t>1a</w:t>
            </w:r>
            <w:r>
              <w:t xml:space="preserve"> </w:t>
            </w:r>
            <w:r>
              <w:rPr>
                <w:b/>
                <w:i/>
              </w:rPr>
              <w:t>https://www.eca.europa.eu/hr/publications/sr-2025-11</w:t>
            </w:r>
          </w:p>
        </w:tc>
      </w:tr>
    </w:tbl>
    <w:p w14:paraId="12697BE7"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73C2F7C6" w14:textId="77777777" w:rsidR="0088071B" w:rsidRPr="00C574C2" w:rsidRDefault="0088071B" w:rsidP="0088071B">
      <w:r>
        <w:rPr>
          <w:rStyle w:val="HideTWBExt"/>
        </w:rPr>
        <w:t>&lt;/Amend&gt;</w:t>
      </w:r>
    </w:p>
    <w:p w14:paraId="5FCF15F6" w14:textId="77777777" w:rsidR="0088071B" w:rsidRPr="00C574C2" w:rsidRDefault="0088071B" w:rsidP="0088071B">
      <w:pPr>
        <w:pStyle w:val="AmNumberTabs"/>
      </w:pPr>
      <w:r>
        <w:rPr>
          <w:rStyle w:val="HideTWBExt"/>
        </w:rPr>
        <w:t>&lt;Amend&gt;</w:t>
      </w:r>
      <w:r>
        <w:t>Amandman</w:t>
      </w:r>
      <w:r>
        <w:tab/>
      </w:r>
      <w:r>
        <w:tab/>
      </w:r>
      <w:r>
        <w:rPr>
          <w:rStyle w:val="HideTWBExt"/>
        </w:rPr>
        <w:t>&lt;NumAm&gt;</w:t>
      </w:r>
      <w:r>
        <w:t>67</w:t>
      </w:r>
      <w:r>
        <w:rPr>
          <w:rStyle w:val="HideTWBExt"/>
        </w:rPr>
        <w:t>&lt;/</w:t>
      </w:r>
      <w:proofErr w:type="spellStart"/>
      <w:r>
        <w:rPr>
          <w:rStyle w:val="HideTWBExt"/>
        </w:rPr>
        <w:t>NumAm</w:t>
      </w:r>
      <w:proofErr w:type="spellEnd"/>
      <w:r>
        <w:rPr>
          <w:rStyle w:val="HideTWBExt"/>
        </w:rPr>
        <w:t>&gt;</w:t>
      </w:r>
    </w:p>
    <w:p w14:paraId="268A6D30" w14:textId="77777777" w:rsidR="0088071B" w:rsidRPr="00C574C2" w:rsidRDefault="0088071B" w:rsidP="0088071B">
      <w:pPr>
        <w:pStyle w:val="NormalBold"/>
      </w:pPr>
      <w:r>
        <w:rPr>
          <w:rStyle w:val="HideTWBExt"/>
          <w:b w:val="0"/>
        </w:rPr>
        <w:t>&lt;RepeatBlock-By&gt;&lt;Members&gt;</w:t>
      </w:r>
      <w:proofErr w:type="spellStart"/>
      <w:r>
        <w:t>Cristian</w:t>
      </w:r>
      <w:proofErr w:type="spellEnd"/>
      <w:r>
        <w:t xml:space="preserve"> </w:t>
      </w:r>
      <w:proofErr w:type="spellStart"/>
      <w:r>
        <w:t>Terheş</w:t>
      </w:r>
      <w:proofErr w:type="spellEnd"/>
      <w:r>
        <w:rPr>
          <w:rStyle w:val="HideTWBExt"/>
          <w:b w:val="0"/>
        </w:rPr>
        <w:t>&lt;/Members&gt;</w:t>
      </w:r>
    </w:p>
    <w:p w14:paraId="278B96B7" w14:textId="77777777" w:rsidR="0088071B" w:rsidRPr="00C574C2" w:rsidRDefault="0088071B" w:rsidP="0088071B">
      <w:pPr>
        <w:pStyle w:val="NormalBold"/>
      </w:pPr>
      <w:r>
        <w:rPr>
          <w:rStyle w:val="HideTWBExt"/>
          <w:b w:val="0"/>
        </w:rPr>
        <w:t>&lt;/RepeatBlock-By&gt;</w:t>
      </w:r>
    </w:p>
    <w:p w14:paraId="3121C0E0"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6F11568" w14:textId="77777777" w:rsidR="0088071B" w:rsidRPr="00C574C2" w:rsidRDefault="0088071B" w:rsidP="0088071B">
      <w:pPr>
        <w:pStyle w:val="NormalBold"/>
      </w:pPr>
      <w:r>
        <w:rPr>
          <w:rStyle w:val="HideTWBExt"/>
        </w:rPr>
        <w:t>&lt;Article&gt;</w:t>
      </w:r>
      <w:r>
        <w:t>Stavak 112.d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3D15B7F3" w14:textId="77777777" w:rsidTr="00730E82">
        <w:trPr>
          <w:trHeight w:val="240"/>
          <w:jc w:val="center"/>
        </w:trPr>
        <w:tc>
          <w:tcPr>
            <w:tcW w:w="9752" w:type="dxa"/>
            <w:gridSpan w:val="2"/>
            <w:tcBorders>
              <w:top w:val="nil"/>
              <w:left w:val="nil"/>
              <w:bottom w:val="nil"/>
              <w:right w:val="nil"/>
            </w:tcBorders>
          </w:tcPr>
          <w:p w14:paraId="19CF344A" w14:textId="77777777" w:rsidR="0088071B" w:rsidRPr="00C574C2" w:rsidRDefault="0088071B" w:rsidP="00730E82"/>
        </w:tc>
      </w:tr>
      <w:tr w:rsidR="0088071B" w14:paraId="23CD9D5A" w14:textId="77777777" w:rsidTr="00730E82">
        <w:trPr>
          <w:trHeight w:val="240"/>
          <w:jc w:val="center"/>
        </w:trPr>
        <w:tc>
          <w:tcPr>
            <w:tcW w:w="4876" w:type="dxa"/>
            <w:tcBorders>
              <w:top w:val="nil"/>
              <w:left w:val="nil"/>
              <w:bottom w:val="nil"/>
              <w:right w:val="nil"/>
            </w:tcBorders>
            <w:hideMark/>
          </w:tcPr>
          <w:p w14:paraId="053EC08B"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536D511D" w14:textId="77777777" w:rsidR="0088071B" w:rsidRPr="00C574C2" w:rsidRDefault="0088071B" w:rsidP="00730E82">
            <w:pPr>
              <w:pStyle w:val="AmColumnHeading"/>
            </w:pPr>
            <w:r>
              <w:t>Izmjena</w:t>
            </w:r>
          </w:p>
        </w:tc>
      </w:tr>
      <w:tr w:rsidR="0088071B" w14:paraId="30C7E300" w14:textId="77777777" w:rsidTr="00730E82">
        <w:trPr>
          <w:jc w:val="center"/>
        </w:trPr>
        <w:tc>
          <w:tcPr>
            <w:tcW w:w="4876" w:type="dxa"/>
            <w:tcBorders>
              <w:top w:val="nil"/>
              <w:left w:val="nil"/>
              <w:bottom w:val="nil"/>
              <w:right w:val="nil"/>
            </w:tcBorders>
          </w:tcPr>
          <w:p w14:paraId="221A5B0A" w14:textId="77777777" w:rsidR="0088071B" w:rsidRPr="00C574C2" w:rsidRDefault="0088071B" w:rsidP="00730E82">
            <w:pPr>
              <w:pStyle w:val="Normal6a"/>
            </w:pPr>
          </w:p>
        </w:tc>
        <w:tc>
          <w:tcPr>
            <w:tcW w:w="4876" w:type="dxa"/>
            <w:tcBorders>
              <w:top w:val="nil"/>
              <w:left w:val="nil"/>
              <w:bottom w:val="nil"/>
              <w:right w:val="nil"/>
            </w:tcBorders>
            <w:hideMark/>
          </w:tcPr>
          <w:p w14:paraId="68236433" w14:textId="77777777" w:rsidR="0088071B" w:rsidRPr="00C574C2" w:rsidRDefault="0088071B" w:rsidP="00730E82">
            <w:pPr>
              <w:pStyle w:val="Normal6a"/>
            </w:pPr>
            <w:r>
              <w:rPr>
                <w:b/>
                <w:i/>
              </w:rPr>
              <w:t>112.d</w:t>
            </w:r>
            <w:r>
              <w:tab/>
            </w:r>
            <w:r>
              <w:rPr>
                <w:b/>
                <w:i/>
              </w:rPr>
              <w:t>poziva na provođenje hitne istrage o tome kako Europska komisija upotrebljava javna sredstva za financiranje lobističke skupine u sjeni koja promiče njezine zelene politike; naglašava da bi lobiranje trebalo biti transparentno, uz potpuno otkrivanje svih uključenih strana;</w:t>
            </w:r>
          </w:p>
        </w:tc>
      </w:tr>
    </w:tbl>
    <w:p w14:paraId="7F5C551B"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1439F269" w14:textId="77777777" w:rsidR="0088071B" w:rsidRPr="00C574C2" w:rsidRDefault="0088071B" w:rsidP="0088071B">
      <w:r>
        <w:rPr>
          <w:rStyle w:val="HideTWBExt"/>
        </w:rPr>
        <w:t>&lt;/Amend&gt;</w:t>
      </w:r>
    </w:p>
    <w:p w14:paraId="018363FC" w14:textId="77777777" w:rsidR="0088071B" w:rsidRPr="00C574C2" w:rsidRDefault="0088071B" w:rsidP="0088071B">
      <w:pPr>
        <w:pStyle w:val="AmNumberTabs"/>
      </w:pPr>
      <w:r>
        <w:rPr>
          <w:rStyle w:val="HideTWBExt"/>
        </w:rPr>
        <w:t>&lt;Amend&gt;</w:t>
      </w:r>
      <w:r>
        <w:t>Amandman</w:t>
      </w:r>
      <w:r>
        <w:tab/>
      </w:r>
      <w:r>
        <w:tab/>
      </w:r>
      <w:r>
        <w:rPr>
          <w:rStyle w:val="HideTWBExt"/>
        </w:rPr>
        <w:t>&lt;NumAm&gt;</w:t>
      </w:r>
      <w:r>
        <w:t>68</w:t>
      </w:r>
      <w:r>
        <w:rPr>
          <w:rStyle w:val="HideTWBExt"/>
        </w:rPr>
        <w:t>&lt;/</w:t>
      </w:r>
      <w:proofErr w:type="spellStart"/>
      <w:r>
        <w:rPr>
          <w:rStyle w:val="HideTWBExt"/>
        </w:rPr>
        <w:t>NumAm</w:t>
      </w:r>
      <w:proofErr w:type="spellEnd"/>
      <w:r>
        <w:rPr>
          <w:rStyle w:val="HideTWBExt"/>
        </w:rPr>
        <w:t>&gt;</w:t>
      </w:r>
    </w:p>
    <w:p w14:paraId="289F670E" w14:textId="77777777" w:rsidR="0088071B" w:rsidRPr="00C574C2" w:rsidRDefault="0088071B" w:rsidP="0088071B">
      <w:pPr>
        <w:pStyle w:val="NormalBold"/>
      </w:pPr>
      <w:r>
        <w:rPr>
          <w:rStyle w:val="HideTWBExt"/>
          <w:b w:val="0"/>
        </w:rPr>
        <w:t>&lt;RepeatBlock-By&gt;&lt;Members&gt;</w:t>
      </w:r>
      <w:proofErr w:type="spellStart"/>
      <w:r>
        <w:t>Caterina</w:t>
      </w:r>
      <w:proofErr w:type="spellEnd"/>
      <w:r>
        <w:t xml:space="preserve"> </w:t>
      </w:r>
      <w:proofErr w:type="spellStart"/>
      <w:r>
        <w:t>Chinnici</w:t>
      </w:r>
      <w:proofErr w:type="spellEnd"/>
      <w:r>
        <w:rPr>
          <w:rStyle w:val="HideTWBExt"/>
          <w:b w:val="0"/>
        </w:rPr>
        <w:t>&lt;/Members&gt;</w:t>
      </w:r>
    </w:p>
    <w:p w14:paraId="064159E2" w14:textId="77777777" w:rsidR="0088071B" w:rsidRPr="00C574C2" w:rsidRDefault="0088071B" w:rsidP="0088071B">
      <w:pPr>
        <w:pStyle w:val="NormalBold"/>
      </w:pPr>
      <w:r>
        <w:rPr>
          <w:rStyle w:val="HideTWBExt"/>
          <w:b w:val="0"/>
        </w:rPr>
        <w:t>&lt;/RepeatBlock-By&gt;</w:t>
      </w:r>
    </w:p>
    <w:p w14:paraId="1421F142"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5312B01" w14:textId="77777777" w:rsidR="0088071B" w:rsidRPr="00C574C2" w:rsidRDefault="0088071B" w:rsidP="0088071B">
      <w:pPr>
        <w:pStyle w:val="NormalBold"/>
      </w:pPr>
      <w:r>
        <w:rPr>
          <w:rStyle w:val="HideTWBExt"/>
        </w:rPr>
        <w:t>&lt;Article&gt;</w:t>
      </w:r>
      <w:r>
        <w:t>Podnaslov 10.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48F1016C" w14:textId="77777777" w:rsidTr="00730E82">
        <w:trPr>
          <w:trHeight w:val="240"/>
          <w:jc w:val="center"/>
        </w:trPr>
        <w:tc>
          <w:tcPr>
            <w:tcW w:w="9752" w:type="dxa"/>
            <w:gridSpan w:val="2"/>
            <w:tcBorders>
              <w:top w:val="nil"/>
              <w:left w:val="nil"/>
              <w:bottom w:val="nil"/>
              <w:right w:val="nil"/>
            </w:tcBorders>
          </w:tcPr>
          <w:p w14:paraId="7A4BCC7E" w14:textId="77777777" w:rsidR="0088071B" w:rsidRPr="00C574C2" w:rsidRDefault="0088071B" w:rsidP="00730E82"/>
        </w:tc>
      </w:tr>
      <w:tr w:rsidR="0088071B" w14:paraId="1C5854B4" w14:textId="77777777" w:rsidTr="00730E82">
        <w:trPr>
          <w:trHeight w:val="240"/>
          <w:jc w:val="center"/>
        </w:trPr>
        <w:tc>
          <w:tcPr>
            <w:tcW w:w="4876" w:type="dxa"/>
            <w:tcBorders>
              <w:top w:val="nil"/>
              <w:left w:val="nil"/>
              <w:bottom w:val="nil"/>
              <w:right w:val="nil"/>
            </w:tcBorders>
            <w:hideMark/>
          </w:tcPr>
          <w:p w14:paraId="60D06B9E"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36BD6F01" w14:textId="77777777" w:rsidR="0088071B" w:rsidRPr="00C574C2" w:rsidRDefault="0088071B" w:rsidP="00730E82">
            <w:pPr>
              <w:pStyle w:val="AmColumnHeading"/>
            </w:pPr>
            <w:r>
              <w:t>Izmjena</w:t>
            </w:r>
          </w:p>
        </w:tc>
      </w:tr>
      <w:tr w:rsidR="0088071B" w14:paraId="2AB9BFAC" w14:textId="77777777" w:rsidTr="00730E82">
        <w:trPr>
          <w:jc w:val="center"/>
        </w:trPr>
        <w:tc>
          <w:tcPr>
            <w:tcW w:w="4876" w:type="dxa"/>
            <w:tcBorders>
              <w:top w:val="nil"/>
              <w:left w:val="nil"/>
              <w:bottom w:val="nil"/>
              <w:right w:val="nil"/>
            </w:tcBorders>
            <w:hideMark/>
          </w:tcPr>
          <w:p w14:paraId="03B640FB" w14:textId="77777777" w:rsidR="0088071B" w:rsidRPr="00C574C2" w:rsidRDefault="0088071B" w:rsidP="00730E82">
            <w:pPr>
              <w:pStyle w:val="Normal6a"/>
            </w:pPr>
            <w:r>
              <w:t>Posljedice ruske agresije na Ukrajinu</w:t>
            </w:r>
          </w:p>
        </w:tc>
        <w:tc>
          <w:tcPr>
            <w:tcW w:w="4876" w:type="dxa"/>
            <w:tcBorders>
              <w:top w:val="nil"/>
              <w:left w:val="nil"/>
              <w:bottom w:val="nil"/>
              <w:right w:val="nil"/>
            </w:tcBorders>
            <w:hideMark/>
          </w:tcPr>
          <w:p w14:paraId="01E78A85" w14:textId="77777777" w:rsidR="0088071B" w:rsidRPr="00C574C2" w:rsidRDefault="0088071B" w:rsidP="00730E82">
            <w:pPr>
              <w:pStyle w:val="Normal6a"/>
            </w:pPr>
            <w:r>
              <w:t xml:space="preserve">Posljedice </w:t>
            </w:r>
            <w:r>
              <w:rPr>
                <w:b/>
                <w:i/>
              </w:rPr>
              <w:t xml:space="preserve">nezakonite </w:t>
            </w:r>
            <w:r>
              <w:t>ruske agresije na Ukrajinu</w:t>
            </w:r>
          </w:p>
        </w:tc>
      </w:tr>
    </w:tbl>
    <w:p w14:paraId="32FAFB89" w14:textId="77777777" w:rsidR="0088071B" w:rsidRPr="00C574C2" w:rsidRDefault="0088071B" w:rsidP="0088071B">
      <w:pPr>
        <w:pStyle w:val="AmOrLang"/>
        <w:rPr>
          <w:lang w:eastAsia="en-US"/>
        </w:rPr>
      </w:pPr>
      <w:proofErr w:type="spellStart"/>
      <w:r w:rsidRPr="00C574C2">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61907D46" w14:textId="77777777" w:rsidR="0088071B" w:rsidRPr="00C574C2" w:rsidRDefault="0088071B" w:rsidP="0088071B">
      <w:r>
        <w:rPr>
          <w:rStyle w:val="HideTWBExt"/>
        </w:rPr>
        <w:t>&lt;/Amend&gt;</w:t>
      </w:r>
    </w:p>
    <w:p w14:paraId="79D98353" w14:textId="77777777" w:rsidR="0088071B" w:rsidRPr="00C574C2" w:rsidRDefault="0088071B" w:rsidP="0088071B">
      <w:pPr>
        <w:pStyle w:val="AmNumberTabs"/>
      </w:pPr>
      <w:r>
        <w:rPr>
          <w:rStyle w:val="HideTWBExt"/>
        </w:rPr>
        <w:t>&lt;Amend&gt;</w:t>
      </w:r>
      <w:r>
        <w:t>Amandman</w:t>
      </w:r>
      <w:r>
        <w:tab/>
      </w:r>
      <w:r>
        <w:tab/>
      </w:r>
      <w:r>
        <w:rPr>
          <w:rStyle w:val="HideTWBExt"/>
        </w:rPr>
        <w:t>&lt;NumAm&gt;</w:t>
      </w:r>
      <w:r>
        <w:t>69</w:t>
      </w:r>
      <w:r>
        <w:rPr>
          <w:rStyle w:val="HideTWBExt"/>
        </w:rPr>
        <w:t>&lt;/</w:t>
      </w:r>
      <w:proofErr w:type="spellStart"/>
      <w:r>
        <w:rPr>
          <w:rStyle w:val="HideTWBExt"/>
        </w:rPr>
        <w:t>NumAm</w:t>
      </w:r>
      <w:proofErr w:type="spellEnd"/>
      <w:r>
        <w:rPr>
          <w:rStyle w:val="HideTWBExt"/>
        </w:rPr>
        <w:t>&gt;</w:t>
      </w:r>
    </w:p>
    <w:p w14:paraId="288FF885" w14:textId="77777777" w:rsidR="0088071B" w:rsidRPr="00C574C2" w:rsidRDefault="0088071B" w:rsidP="0088071B">
      <w:pPr>
        <w:pStyle w:val="NormalBold"/>
      </w:pPr>
      <w:r>
        <w:rPr>
          <w:rStyle w:val="HideTWBExt"/>
          <w:b w:val="0"/>
        </w:rPr>
        <w:t>&lt;RepeatBlock-By&gt;&lt;Members&gt;</w:t>
      </w:r>
      <w:proofErr w:type="spellStart"/>
      <w:r>
        <w:t>Damian</w:t>
      </w:r>
      <w:proofErr w:type="spellEnd"/>
      <w:r>
        <w:t xml:space="preserve"> </w:t>
      </w:r>
      <w:proofErr w:type="spellStart"/>
      <w:r>
        <w:t>Boeselager</w:t>
      </w:r>
      <w:proofErr w:type="spellEnd"/>
      <w:r>
        <w:rPr>
          <w:rStyle w:val="HideTWBExt"/>
          <w:b w:val="0"/>
        </w:rPr>
        <w:t>&lt;/Members&gt;</w:t>
      </w:r>
    </w:p>
    <w:p w14:paraId="363DD96A" w14:textId="77777777" w:rsidR="0088071B" w:rsidRPr="00C574C2" w:rsidRDefault="0088071B" w:rsidP="0088071B">
      <w:r>
        <w:rPr>
          <w:rStyle w:val="HideTWBExt"/>
        </w:rPr>
        <w:t>&lt;AuNomDe&gt;</w:t>
      </w:r>
      <w:r>
        <w:rPr>
          <w:rStyle w:val="HideTWBInt"/>
          <w:color w:val="auto"/>
        </w:rPr>
        <w:t>{</w:t>
      </w:r>
      <w:proofErr w:type="spellStart"/>
      <w:r>
        <w:rPr>
          <w:rStyle w:val="HideTWBInt"/>
          <w:color w:val="auto"/>
        </w:rPr>
        <w:t>Verts</w:t>
      </w:r>
      <w:proofErr w:type="spellEnd"/>
      <w:r>
        <w:rPr>
          <w:rStyle w:val="HideTWBInt"/>
          <w:color w:val="auto"/>
        </w:rPr>
        <w:t>/ALE}</w:t>
      </w:r>
      <w:r>
        <w:t xml:space="preserve">u ime Kluba zastupnika </w:t>
      </w:r>
      <w:proofErr w:type="spellStart"/>
      <w:r>
        <w:t>Verts</w:t>
      </w:r>
      <w:proofErr w:type="spellEnd"/>
      <w:r>
        <w:t>/ALE-a</w:t>
      </w:r>
      <w:r>
        <w:rPr>
          <w:rStyle w:val="HideTWBExt"/>
        </w:rPr>
        <w:t>&lt;/</w:t>
      </w:r>
      <w:proofErr w:type="spellStart"/>
      <w:r>
        <w:rPr>
          <w:rStyle w:val="HideTWBExt"/>
        </w:rPr>
        <w:t>AuNomDe</w:t>
      </w:r>
      <w:proofErr w:type="spellEnd"/>
      <w:r>
        <w:rPr>
          <w:rStyle w:val="HideTWBExt"/>
        </w:rPr>
        <w:t>&gt;</w:t>
      </w:r>
    </w:p>
    <w:p w14:paraId="7DCA7BD7" w14:textId="77777777" w:rsidR="0088071B" w:rsidRPr="00C574C2" w:rsidRDefault="0088071B" w:rsidP="0088071B">
      <w:pPr>
        <w:pStyle w:val="NormalBold"/>
      </w:pPr>
      <w:r>
        <w:rPr>
          <w:rStyle w:val="HideTWBExt"/>
          <w:b w:val="0"/>
        </w:rPr>
        <w:t>&lt;/RepeatBlock-By&gt;</w:t>
      </w:r>
    </w:p>
    <w:p w14:paraId="5BFDDA1E" w14:textId="77777777" w:rsidR="0088071B" w:rsidRPr="00C574C2" w:rsidRDefault="0088071B" w:rsidP="0088071B">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4A5AA35" w14:textId="77777777" w:rsidR="0088071B" w:rsidRPr="00C574C2" w:rsidRDefault="0088071B" w:rsidP="0088071B">
      <w:pPr>
        <w:pStyle w:val="NormalBold"/>
      </w:pPr>
      <w:r>
        <w:rPr>
          <w:rStyle w:val="HideTWBExt"/>
        </w:rPr>
        <w:t>&lt;Article&gt;</w:t>
      </w:r>
      <w:r>
        <w:t>Stavak 115.a (novi)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8071B" w14:paraId="02C4BE5A" w14:textId="77777777" w:rsidTr="00730E82">
        <w:trPr>
          <w:trHeight w:val="240"/>
          <w:jc w:val="center"/>
        </w:trPr>
        <w:tc>
          <w:tcPr>
            <w:tcW w:w="9752" w:type="dxa"/>
            <w:gridSpan w:val="2"/>
            <w:tcBorders>
              <w:top w:val="nil"/>
              <w:left w:val="nil"/>
              <w:bottom w:val="nil"/>
              <w:right w:val="nil"/>
            </w:tcBorders>
          </w:tcPr>
          <w:p w14:paraId="527F9004" w14:textId="77777777" w:rsidR="0088071B" w:rsidRPr="00C574C2" w:rsidRDefault="0088071B" w:rsidP="00730E82"/>
        </w:tc>
      </w:tr>
      <w:tr w:rsidR="0088071B" w14:paraId="3DBC0DB0" w14:textId="77777777" w:rsidTr="00730E82">
        <w:trPr>
          <w:trHeight w:val="240"/>
          <w:jc w:val="center"/>
        </w:trPr>
        <w:tc>
          <w:tcPr>
            <w:tcW w:w="4876" w:type="dxa"/>
            <w:tcBorders>
              <w:top w:val="nil"/>
              <w:left w:val="nil"/>
              <w:bottom w:val="nil"/>
              <w:right w:val="nil"/>
            </w:tcBorders>
            <w:hideMark/>
          </w:tcPr>
          <w:p w14:paraId="50C72E74" w14:textId="77777777" w:rsidR="0088071B" w:rsidRPr="00C574C2" w:rsidRDefault="0088071B" w:rsidP="00730E82">
            <w:pPr>
              <w:pStyle w:val="AmColumnHeading"/>
            </w:pPr>
            <w:r>
              <w:t>Prijedlog rezolucije</w:t>
            </w:r>
          </w:p>
        </w:tc>
        <w:tc>
          <w:tcPr>
            <w:tcW w:w="4876" w:type="dxa"/>
            <w:tcBorders>
              <w:top w:val="nil"/>
              <w:left w:val="nil"/>
              <w:bottom w:val="nil"/>
              <w:right w:val="nil"/>
            </w:tcBorders>
            <w:hideMark/>
          </w:tcPr>
          <w:p w14:paraId="044DF4FC" w14:textId="77777777" w:rsidR="0088071B" w:rsidRPr="00C574C2" w:rsidRDefault="0088071B" w:rsidP="00730E82">
            <w:pPr>
              <w:pStyle w:val="AmColumnHeading"/>
            </w:pPr>
            <w:r>
              <w:t>Izmjena</w:t>
            </w:r>
          </w:p>
        </w:tc>
      </w:tr>
      <w:tr w:rsidR="0088071B" w14:paraId="42D8AEB3" w14:textId="77777777" w:rsidTr="00730E82">
        <w:trPr>
          <w:jc w:val="center"/>
        </w:trPr>
        <w:tc>
          <w:tcPr>
            <w:tcW w:w="4876" w:type="dxa"/>
            <w:tcBorders>
              <w:top w:val="nil"/>
              <w:left w:val="nil"/>
              <w:bottom w:val="nil"/>
              <w:right w:val="nil"/>
            </w:tcBorders>
          </w:tcPr>
          <w:p w14:paraId="7265DDDE" w14:textId="77777777" w:rsidR="0088071B" w:rsidRPr="00C574C2" w:rsidRDefault="0088071B" w:rsidP="00730E82">
            <w:pPr>
              <w:pStyle w:val="Normal6a"/>
            </w:pPr>
          </w:p>
        </w:tc>
        <w:tc>
          <w:tcPr>
            <w:tcW w:w="4876" w:type="dxa"/>
            <w:tcBorders>
              <w:top w:val="nil"/>
              <w:left w:val="nil"/>
              <w:bottom w:val="nil"/>
              <w:right w:val="nil"/>
            </w:tcBorders>
            <w:hideMark/>
          </w:tcPr>
          <w:p w14:paraId="48FD920C" w14:textId="77777777" w:rsidR="0088071B" w:rsidRPr="00C574C2" w:rsidRDefault="0088071B" w:rsidP="00730E82">
            <w:pPr>
              <w:pStyle w:val="Normal6a"/>
            </w:pPr>
            <w:r>
              <w:rPr>
                <w:b/>
                <w:i/>
              </w:rPr>
              <w:t>115.a</w:t>
            </w:r>
            <w:r>
              <w:tab/>
            </w:r>
            <w:r>
              <w:rPr>
                <w:b/>
                <w:i/>
              </w:rPr>
              <w:t xml:space="preserve">napominje da će sve veći iznos financijske potpore Unije Ukrajini, među ostalim u okviru Instrumenta za Ukrajinu, tijekom sljedećih godina vjerojatno stvoriti dodatne istražne zahtjeve za Ured europskog javnog tužitelja; ističe važnost predviđanja tih izazova s pomoću odgovarajućeg osoblja, sigurne digitalne infrastrukture i okvira pojačane suradnje kako bi se zaštitili financijski interesi Unije uz istodobno </w:t>
            </w:r>
            <w:r>
              <w:rPr>
                <w:b/>
                <w:i/>
              </w:rPr>
              <w:lastRenderedPageBreak/>
              <w:t>pružanje učinkovite potpore Ukrajini;</w:t>
            </w:r>
          </w:p>
        </w:tc>
      </w:tr>
    </w:tbl>
    <w:p w14:paraId="0DB2E8CA" w14:textId="77777777" w:rsidR="0088071B" w:rsidRPr="00C574C2" w:rsidRDefault="0088071B" w:rsidP="0088071B">
      <w:pPr>
        <w:pStyle w:val="AmOrLang"/>
        <w:rPr>
          <w:lang w:eastAsia="en-US"/>
        </w:rPr>
      </w:pPr>
      <w:proofErr w:type="spellStart"/>
      <w:r w:rsidRPr="00C574C2">
        <w:lastRenderedPageBreak/>
        <w:t>Or</w:t>
      </w:r>
      <w:proofErr w:type="spellEnd"/>
      <w:r w:rsidRPr="00C574C2">
        <w:t xml:space="preserve">. </w:t>
      </w:r>
      <w:r w:rsidRPr="00C574C2">
        <w:rPr>
          <w:rStyle w:val="HideTWBExt"/>
        </w:rPr>
        <w:t>&lt;Original&gt;</w:t>
      </w:r>
      <w:r w:rsidRPr="00C574C2">
        <w:rPr>
          <w:rStyle w:val="HideTWBInt"/>
        </w:rPr>
        <w:t>{EN}</w:t>
      </w:r>
      <w:proofErr w:type="spellStart"/>
      <w:r w:rsidRPr="00C574C2">
        <w:t>en</w:t>
      </w:r>
      <w:proofErr w:type="spellEnd"/>
      <w:r w:rsidRPr="00C574C2">
        <w:rPr>
          <w:rStyle w:val="HideTWBExt"/>
        </w:rPr>
        <w:t>&lt;/Original&gt;</w:t>
      </w:r>
    </w:p>
    <w:p w14:paraId="2399461B" w14:textId="60A57193" w:rsidR="0088071B" w:rsidRPr="00C574C2" w:rsidRDefault="0088071B" w:rsidP="0088071B">
      <w:r>
        <w:rPr>
          <w:rStyle w:val="HideTWBExt"/>
        </w:rPr>
        <w:t>&lt;/Amend&gt;</w:t>
      </w:r>
      <w:r w:rsidRPr="0088071B">
        <w:rPr>
          <w:rStyle w:val="HideTWBExt"/>
        </w:rPr>
        <w:t>&lt;/RepeatBlock-Amend&gt;</w:t>
      </w:r>
    </w:p>
    <w:p w14:paraId="4679325B" w14:textId="48518ED8" w:rsidR="00794E41" w:rsidRPr="00C574C2" w:rsidRDefault="00794E41" w:rsidP="0088071B"/>
    <w:sectPr w:rsidR="00794E41" w:rsidRPr="00C574C2" w:rsidSect="0088071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D13B0" w14:textId="77777777" w:rsidR="00C574C2" w:rsidRPr="00C574C2" w:rsidRDefault="00C574C2">
      <w:r w:rsidRPr="00C574C2">
        <w:separator/>
      </w:r>
    </w:p>
  </w:endnote>
  <w:endnote w:type="continuationSeparator" w:id="0">
    <w:p w14:paraId="5B214A2C" w14:textId="77777777" w:rsidR="00C574C2" w:rsidRPr="00C574C2" w:rsidRDefault="00C574C2">
      <w:r w:rsidRPr="00C574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69811" w14:textId="77777777" w:rsidR="0088071B" w:rsidRDefault="0088071B" w:rsidP="0088071B">
    <w:pPr>
      <w:pStyle w:val="EPFooter"/>
    </w:pPr>
    <w:r>
      <w:t>PE</w:t>
    </w:r>
    <w:r w:rsidRPr="0088071B">
      <w:rPr>
        <w:rStyle w:val="HideTWBExt"/>
      </w:rPr>
      <w:t>&lt;</w:t>
    </w:r>
    <w:proofErr w:type="spellStart"/>
    <w:r w:rsidRPr="0088071B">
      <w:rPr>
        <w:rStyle w:val="HideTWBExt"/>
      </w:rPr>
      <w:t>NoPE</w:t>
    </w:r>
    <w:proofErr w:type="spellEnd"/>
    <w:r w:rsidRPr="0088071B">
      <w:rPr>
        <w:rStyle w:val="HideTWBExt"/>
      </w:rPr>
      <w:t>&gt;</w:t>
    </w:r>
    <w:r>
      <w:t>784.137</w:t>
    </w:r>
    <w:r w:rsidRPr="0088071B">
      <w:rPr>
        <w:rStyle w:val="HideTWBExt"/>
      </w:rPr>
      <w:t>&lt;/</w:t>
    </w:r>
    <w:proofErr w:type="spellStart"/>
    <w:r w:rsidRPr="0088071B">
      <w:rPr>
        <w:rStyle w:val="HideTWBExt"/>
      </w:rPr>
      <w:t>NoPE</w:t>
    </w:r>
    <w:proofErr w:type="spellEnd"/>
    <w:r w:rsidRPr="0088071B">
      <w:rPr>
        <w:rStyle w:val="HideTWBExt"/>
      </w:rPr>
      <w:t>&gt;&lt;Version&gt;</w:t>
    </w:r>
    <w:r>
      <w:t>v01-00</w:t>
    </w:r>
    <w:r w:rsidRPr="0088071B">
      <w:rPr>
        <w:rStyle w:val="HideTWBExt"/>
      </w:rPr>
      <w:t>&lt;/</w:t>
    </w:r>
    <w:proofErr w:type="spellStart"/>
    <w:r w:rsidRPr="0088071B">
      <w:rPr>
        <w:rStyle w:val="HideTWBExt"/>
      </w:rPr>
      <w:t>Version</w:t>
    </w:r>
    <w:proofErr w:type="spellEnd"/>
    <w:r w:rsidRPr="0088071B">
      <w:rPr>
        <w:rStyle w:val="HideTWBExt"/>
      </w:rPr>
      <w:t>&gt;</w:t>
    </w:r>
    <w:r>
      <w:tab/>
    </w:r>
    <w:r>
      <w:fldChar w:fldCharType="begin"/>
    </w:r>
    <w:r>
      <w:instrText xml:space="preserve"> PAGE  \* MERGEFORMAT </w:instrText>
    </w:r>
    <w:r>
      <w:fldChar w:fldCharType="separate"/>
    </w:r>
    <w:r>
      <w:rPr>
        <w:noProof/>
      </w:rPr>
      <w:t>194</w:t>
    </w:r>
    <w:r>
      <w:fldChar w:fldCharType="end"/>
    </w:r>
    <w:r>
      <w:t>/</w:t>
    </w:r>
    <w:fldSimple w:instr=" NUMPAGES  \* MERGEFORMAT ">
      <w:r>
        <w:rPr>
          <w:noProof/>
        </w:rPr>
        <w:t>195</w:t>
      </w:r>
    </w:fldSimple>
    <w:r>
      <w:tab/>
    </w:r>
    <w:r w:rsidRPr="0088071B">
      <w:rPr>
        <w:rStyle w:val="HideTWBExt"/>
      </w:rPr>
      <w:t>&lt;PathFdR&gt;</w:t>
    </w:r>
    <w:r>
      <w:t>AM\1336325HR.docx</w:t>
    </w:r>
    <w:r w:rsidRPr="0088071B">
      <w:rPr>
        <w:rStyle w:val="HideTWBExt"/>
      </w:rPr>
      <w:t>&lt;/</w:t>
    </w:r>
    <w:proofErr w:type="spellStart"/>
    <w:r w:rsidRPr="0088071B">
      <w:rPr>
        <w:rStyle w:val="HideTWBExt"/>
      </w:rPr>
      <w:t>PathFdR</w:t>
    </w:r>
    <w:proofErr w:type="spellEnd"/>
    <w:r w:rsidRPr="0088071B">
      <w:rPr>
        <w:rStyle w:val="HideTWBExt"/>
      </w:rPr>
      <w:t>&gt;</w:t>
    </w:r>
  </w:p>
  <w:p w14:paraId="37643348" w14:textId="1F04B177" w:rsidR="00AD3D9F" w:rsidRPr="00C574C2" w:rsidRDefault="0088071B" w:rsidP="0088071B">
    <w:pPr>
      <w:pStyle w:val="EPFooter2"/>
    </w:pPr>
    <w:r>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D18ED" w14:textId="77777777" w:rsidR="0088071B" w:rsidRDefault="0088071B" w:rsidP="0088071B">
    <w:pPr>
      <w:pStyle w:val="EPFooter"/>
    </w:pPr>
    <w:r w:rsidRPr="0088071B">
      <w:rPr>
        <w:rStyle w:val="HideTWBExt"/>
      </w:rPr>
      <w:t>&lt;PathFdR&gt;</w:t>
    </w:r>
    <w:r>
      <w:t>AM\1336325HR.docx</w:t>
    </w:r>
    <w:r w:rsidRPr="0088071B">
      <w:rPr>
        <w:rStyle w:val="HideTWBExt"/>
      </w:rPr>
      <w:t>&lt;/</w:t>
    </w:r>
    <w:proofErr w:type="spellStart"/>
    <w:r w:rsidRPr="0088071B">
      <w:rPr>
        <w:rStyle w:val="HideTWBExt"/>
      </w:rPr>
      <w:t>PathFdR</w:t>
    </w:r>
    <w:proofErr w:type="spellEnd"/>
    <w:r w:rsidRPr="0088071B">
      <w:rPr>
        <w:rStyle w:val="HideTWBExt"/>
      </w:rPr>
      <w:t>&gt;</w:t>
    </w:r>
    <w:r>
      <w:tab/>
    </w:r>
    <w:r>
      <w:fldChar w:fldCharType="begin"/>
    </w:r>
    <w:r>
      <w:instrText xml:space="preserve"> PAGE  \* MERGEFORMAT </w:instrText>
    </w:r>
    <w:r>
      <w:fldChar w:fldCharType="separate"/>
    </w:r>
    <w:r>
      <w:rPr>
        <w:noProof/>
      </w:rPr>
      <w:t>195</w:t>
    </w:r>
    <w:r>
      <w:fldChar w:fldCharType="end"/>
    </w:r>
    <w:r>
      <w:t>/</w:t>
    </w:r>
    <w:fldSimple w:instr=" NUMPAGES  \* MERGEFORMAT ">
      <w:r>
        <w:rPr>
          <w:noProof/>
        </w:rPr>
        <w:t>195</w:t>
      </w:r>
    </w:fldSimple>
    <w:r>
      <w:tab/>
      <w:t>PE</w:t>
    </w:r>
    <w:r w:rsidRPr="0088071B">
      <w:rPr>
        <w:rStyle w:val="HideTWBExt"/>
      </w:rPr>
      <w:t>&lt;</w:t>
    </w:r>
    <w:proofErr w:type="spellStart"/>
    <w:r w:rsidRPr="0088071B">
      <w:rPr>
        <w:rStyle w:val="HideTWBExt"/>
      </w:rPr>
      <w:t>NoPE</w:t>
    </w:r>
    <w:proofErr w:type="spellEnd"/>
    <w:r w:rsidRPr="0088071B">
      <w:rPr>
        <w:rStyle w:val="HideTWBExt"/>
      </w:rPr>
      <w:t>&gt;</w:t>
    </w:r>
    <w:r>
      <w:t>784.137</w:t>
    </w:r>
    <w:r w:rsidRPr="0088071B">
      <w:rPr>
        <w:rStyle w:val="HideTWBExt"/>
      </w:rPr>
      <w:t>&lt;/</w:t>
    </w:r>
    <w:proofErr w:type="spellStart"/>
    <w:r w:rsidRPr="0088071B">
      <w:rPr>
        <w:rStyle w:val="HideTWBExt"/>
      </w:rPr>
      <w:t>NoPE</w:t>
    </w:r>
    <w:proofErr w:type="spellEnd"/>
    <w:r w:rsidRPr="0088071B">
      <w:rPr>
        <w:rStyle w:val="HideTWBExt"/>
      </w:rPr>
      <w:t>&gt;&lt;Version&gt;</w:t>
    </w:r>
    <w:r>
      <w:t>v01-00</w:t>
    </w:r>
    <w:r w:rsidRPr="0088071B">
      <w:rPr>
        <w:rStyle w:val="HideTWBExt"/>
      </w:rPr>
      <w:t>&lt;/</w:t>
    </w:r>
    <w:proofErr w:type="spellStart"/>
    <w:r w:rsidRPr="0088071B">
      <w:rPr>
        <w:rStyle w:val="HideTWBExt"/>
      </w:rPr>
      <w:t>Version</w:t>
    </w:r>
    <w:proofErr w:type="spellEnd"/>
    <w:r w:rsidRPr="0088071B">
      <w:rPr>
        <w:rStyle w:val="HideTWBExt"/>
      </w:rPr>
      <w:t>&gt;</w:t>
    </w:r>
  </w:p>
  <w:p w14:paraId="3B93C2F0" w14:textId="3154476D" w:rsidR="00AD3D9F" w:rsidRPr="00C574C2" w:rsidRDefault="0088071B" w:rsidP="0088071B">
    <w:pPr>
      <w:pStyle w:val="EPFooter2"/>
    </w:pPr>
    <w:r>
      <w:tab/>
    </w:r>
    <w:r>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83947" w14:textId="77777777" w:rsidR="0088071B" w:rsidRDefault="0088071B" w:rsidP="0088071B">
    <w:pPr>
      <w:pStyle w:val="EPFooter"/>
    </w:pPr>
    <w:r w:rsidRPr="0088071B">
      <w:rPr>
        <w:rStyle w:val="HideTWBExt"/>
      </w:rPr>
      <w:t>&lt;PathFdR&gt;</w:t>
    </w:r>
    <w:r>
      <w:t>AM\1336325HR.docx</w:t>
    </w:r>
    <w:r w:rsidRPr="0088071B">
      <w:rPr>
        <w:rStyle w:val="HideTWBExt"/>
      </w:rPr>
      <w:t>&lt;/</w:t>
    </w:r>
    <w:proofErr w:type="spellStart"/>
    <w:r w:rsidRPr="0088071B">
      <w:rPr>
        <w:rStyle w:val="HideTWBExt"/>
      </w:rPr>
      <w:t>PathFdR</w:t>
    </w:r>
    <w:proofErr w:type="spellEnd"/>
    <w:r w:rsidRPr="0088071B">
      <w:rPr>
        <w:rStyle w:val="HideTWBExt"/>
      </w:rPr>
      <w:t>&gt;</w:t>
    </w:r>
    <w:r>
      <w:tab/>
    </w:r>
    <w:r>
      <w:tab/>
      <w:t>PE</w:t>
    </w:r>
    <w:r w:rsidRPr="0088071B">
      <w:rPr>
        <w:rStyle w:val="HideTWBExt"/>
      </w:rPr>
      <w:t>&lt;</w:t>
    </w:r>
    <w:proofErr w:type="spellStart"/>
    <w:r w:rsidRPr="0088071B">
      <w:rPr>
        <w:rStyle w:val="HideTWBExt"/>
      </w:rPr>
      <w:t>NoPE</w:t>
    </w:r>
    <w:proofErr w:type="spellEnd"/>
    <w:r w:rsidRPr="0088071B">
      <w:rPr>
        <w:rStyle w:val="HideTWBExt"/>
      </w:rPr>
      <w:t>&gt;</w:t>
    </w:r>
    <w:r>
      <w:t>784.137</w:t>
    </w:r>
    <w:r w:rsidRPr="0088071B">
      <w:rPr>
        <w:rStyle w:val="HideTWBExt"/>
      </w:rPr>
      <w:t>&lt;/</w:t>
    </w:r>
    <w:proofErr w:type="spellStart"/>
    <w:r w:rsidRPr="0088071B">
      <w:rPr>
        <w:rStyle w:val="HideTWBExt"/>
      </w:rPr>
      <w:t>NoPE</w:t>
    </w:r>
    <w:proofErr w:type="spellEnd"/>
    <w:r w:rsidRPr="0088071B">
      <w:rPr>
        <w:rStyle w:val="HideTWBExt"/>
      </w:rPr>
      <w:t>&gt;&lt;Version&gt;</w:t>
    </w:r>
    <w:r>
      <w:t>v01-00</w:t>
    </w:r>
    <w:r w:rsidRPr="0088071B">
      <w:rPr>
        <w:rStyle w:val="HideTWBExt"/>
      </w:rPr>
      <w:t>&lt;/</w:t>
    </w:r>
    <w:proofErr w:type="spellStart"/>
    <w:r w:rsidRPr="0088071B">
      <w:rPr>
        <w:rStyle w:val="HideTWBExt"/>
      </w:rPr>
      <w:t>Version</w:t>
    </w:r>
    <w:proofErr w:type="spellEnd"/>
    <w:r w:rsidRPr="0088071B">
      <w:rPr>
        <w:rStyle w:val="HideTWBExt"/>
      </w:rPr>
      <w:t>&gt;</w:t>
    </w:r>
  </w:p>
  <w:p w14:paraId="3FE822DA" w14:textId="719B9B45" w:rsidR="00AD3D9F" w:rsidRPr="00C574C2" w:rsidRDefault="0088071B" w:rsidP="0088071B">
    <w:pPr>
      <w:pStyle w:val="EPFooter2"/>
    </w:pPr>
    <w:r>
      <w:t>HR</w:t>
    </w:r>
    <w:r>
      <w:tab/>
    </w:r>
    <w:r w:rsidRPr="0088071B">
      <w:rPr>
        <w:b w:val="0"/>
        <w:i/>
        <w:color w:val="C0C0C0"/>
        <w:sz w:val="22"/>
      </w:rPr>
      <w:t>Ujedinjena u raznolikosti</w:t>
    </w:r>
    <w:r>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31D1E" w14:textId="77777777" w:rsidR="00C574C2" w:rsidRPr="00C574C2" w:rsidRDefault="00C574C2">
      <w:r w:rsidRPr="00C574C2">
        <w:separator/>
      </w:r>
    </w:p>
  </w:footnote>
  <w:footnote w:type="continuationSeparator" w:id="0">
    <w:p w14:paraId="4E3B98BB" w14:textId="77777777" w:rsidR="00C574C2" w:rsidRPr="00C574C2" w:rsidRDefault="00C574C2">
      <w:r w:rsidRPr="00C574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0B838" w14:textId="77777777" w:rsidR="0088071B" w:rsidRDefault="008807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54F1" w14:textId="77777777" w:rsidR="0088071B" w:rsidRDefault="008807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26759" w14:textId="77777777" w:rsidR="0088071B" w:rsidRDefault="00880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54420383">
    <w:abstractNumId w:val="3"/>
  </w:num>
  <w:num w:numId="2" w16cid:durableId="953295198">
    <w:abstractNumId w:val="2"/>
  </w:num>
  <w:num w:numId="3" w16cid:durableId="465704471">
    <w:abstractNumId w:val="1"/>
  </w:num>
  <w:num w:numId="4" w16cid:durableId="670565989">
    <w:abstractNumId w:val="0"/>
  </w:num>
  <w:num w:numId="5" w16cid:durableId="50736995">
    <w:abstractNumId w:val="6"/>
  </w:num>
  <w:num w:numId="6" w16cid:durableId="1036154926">
    <w:abstractNumId w:val="5"/>
  </w:num>
  <w:num w:numId="7" w16cid:durableId="10240195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DOCDECMNU" w:val=" 1"/>
    <w:docVar w:name="AMPLURMNU" w:val=" 1"/>
    <w:docVar w:name="CODEMNU" w:val=" 8"/>
    <w:docVar w:name="COMKEY" w:val="CONT"/>
    <w:docVar w:name="COMMKEY" w:val="CONT"/>
    <w:docVar w:name="CVar" w:val="1"/>
    <w:docVar w:name="DOCDT" w:val="28/01/2026"/>
    <w:docVar w:name="iNoAmend" w:val="1"/>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440194 HideTWBExt;}{\*\cs18 \additive \v\f1\fs20\cf15 _x000d__x000a_\spriority0 \styrsid14440194 HideTWBInt;}{\s19\qr \li0\ri0\sb240\sa240\nowidctlpar\wrapdefault\aspalpha\aspnum\faauto\adjustright\rin0\lin0\itap0 \rtlch\fcs1 \af0\afs20\alang1025 \ltrch\fcs0 \fs24\lang2057\langfe2057\cgrid\langnp2057\langfenp2057 _x000d__x000a_\sbasedon0 \snext19 \spriority0 \styrsid14440194 AmOrLang;}{\s20\ql \li0\ri0\sa120\nowidctlpar\wrapdefault\aspalpha\aspnum\faauto\adjustright\rin0\lin0\itap0 \rtlch\fcs1 \af0\afs20\alang1025 \ltrch\fcs0 _x000d__x000a_\fs24\lang2057\langfe2057\cgrid\langnp2057\langfenp2057 \sbasedon0 \snext20 \spriority0 \styrsid14440194 Normal6a;}{\s21\ql \li0\ri0\nowidctlpar\wrapdefault\aspalpha\aspnum\faauto\adjustright\rin0\lin0\itap0 \rtlch\fcs1 \af0\afs20\alang1025 \ltrch\fcs0 _x000d__x000a_\b\fs24\lang2057\langfe2057\cgrid\langnp2057\langfenp2057 \sbasedon0 \snext21 \spriority0 \styrsid14440194 NormalBold;}{\s22\qc \li0\ri0\sa240\nowidctlpar\wrapdefault\aspalpha\aspnum\faauto\adjustright\rin0\lin0\itap0 \rtlch\fcs1 \af0\afs20\alang1025 _x000d__x000a_\ltrch\fcs0 \i\fs24\lang2057\langfe2057\cgrid\langnp2057\langfenp2057 \sbasedon0 \snext22 \spriority0 \styrsid14440194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440194 AmNumberTabs;}}{\*\rsidtbl \rsid24658\rsid223860\rsid735077\rsid1718133\rsid2892074\rsid3565327\rsid4666813\rsid6641733\rsid7823322_x000d__x000a_\rsid8476247\rsid9636012\rsid10377208\rsid11215221\rsid11549030\rsid12154954\rsid14382809\rsid14424199\rsid14440194\rsid15204470\rsid15285974\rsid15357240\rsid15950462\rsid16324206\rsid16662270}{\mmathPr\mmathFont34\mbrkBin0\mbrkBinSub0\msmallFrac0_x000d__x000a_\mdispDef1\mlMargin0\mrMargin0\mdefJc1\mwrapIndent1440\mintLim0\mnaryLim1}{\info{\author BENINCASA Caterina}{\operator BENINCASA Caterina}{\creatim\yr2026\mo1\dy28\hr19\min17}{\revtim\yr2026\mo1\dy28\hr19\min17}{\version1}{\edmins0}{\nofpages1}_x000d__x000a_{\nofwords92}{\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440194\newtblstyruls\nogrowautofit\usenormstyforlist\noindnmbrts\felnbrelev\nocxsptable\indrlsweleven\noafcnsttbl\afelev\utinl\hwelev\spltpgpar\notcvasp\notbrkcnstfrctbl\notvatxbx\krnprsnet\cachedcolbal _x000d__x000a_\nouicompat \fet0{\*\wgrffmtfilter 013f}\nofeaturethrottle1\ilfomacatclnup0{\*\template C:\\Users\\CBENIN~1\\AppData\\Local\\Temp\\Blank1.dotx}{\*\ftnsep \ltrpar \pard\plain \ltrpar_x000d__x000a_\ql \li0\ri0\widctlpar\wrapdefault\aspalpha\aspnum\faauto\adjustright\rin0\lin0\itap0 \rtlch\fcs1 \af0\afs20\alang1025 \ltrch\fcs0 \fs24\lang2057\langfe2057\cgrid\langnp2057\langfenp2057 {\rtlch\fcs1 \af0 \ltrch\fcs0 \insrsid8476247 \chftnsep _x000d__x000a_\par }}{\*\ftnsepc \ltrpar \pard\plain \ltrpar\ql \li0\ri0\widctlpar\wrapdefault\aspalpha\aspnum\faauto\adjustright\rin0\lin0\itap0 \rtlch\fcs1 \af0\afs20\alang1025 \ltrch\fcs0 \fs24\lang2057\langfe2057\cgrid\langnp2057\langfenp2057 {\rtlch\fcs1 \af0 _x000d__x000a_\ltrch\fcs0 \insrsid8476247 \chftnsepc _x000d__x000a_\par }}{\*\aftnsep \ltrpar \pard\plain \ltrpar\ql \li0\ri0\widctlpar\wrapdefault\aspalpha\aspnum\faauto\adjustright\rin0\lin0\itap0 \rtlch\fcs1 \af0\afs20\alang1025 \ltrch\fcs0 \fs24\lang2057\langfe2057\cgrid\langnp2057\langfenp2057 {\rtlch\fcs1 \af0 _x000d__x000a_\ltrch\fcs0 \insrsid8476247 \chftnsep _x000d__x000a_\par }}{\*\aftnsepc \ltrpar \pard\plain \ltrpar\ql \li0\ri0\widctlpar\wrapdefault\aspalpha\aspnum\faauto\adjustright\rin0\lin0\itap0 \rtlch\fcs1 \af0\afs20\alang1025 \ltrch\fcs0 \fs24\lang2057\langfe2057\cgrid\langnp2057\langfenp2057 {\rtlch\fcs1 \af0 _x000d__x000a_\ltrch\fcs0 \insrsid84762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4440194\charrsid9991129 {\*\bkmkstart restart}&lt;Amend&gt;}{\rtlch\fcs1 \af0 _x000d__x000a_\ltrch\fcs0 \insrsid14440194\charrsid9991129 Amendment\tab \tab }{\rtlch\fcs1 \af0 \ltrch\fcs0 \cs17\b0\v\f1\fs20\cf9\lang1024\langfe1024\noproof\insrsid14440194\charrsid9991129 &lt;NumAm&gt;}{\rtlch\fcs1 \af0 \ltrch\fcs0 \insrsid14440194\charrsid9991129 #}{_x000d__x000a_\rtlch\fcs1 \af1 \ltrch\fcs0 \cs18\v\f1\fs20\cf15\insrsid14440194\charrsid9991129 ENMIENDA@NRAM@}{\rtlch\fcs1 \af0 \ltrch\fcs0 \insrsid14440194\charrsid9991129 #}{\rtlch\fcs1 \af0 \ltrch\fcs0 _x000d__x000a_\cs17\b0\v\f1\fs20\cf9\lang1024\langfe1024\noproof\insrsid14440194\charrsid9991129 &lt;/NumAm&gt;}{\rtlch\fcs1 \af0 \ltrch\fcs0 \insrsid14440194\charrsid999112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4440194\charrsid9991129 &lt;RepeatBlock-By&gt;}{\rtlch\fcs1 \af0 \ltrch\fcs0 \insrsid14440194\charrsid9991129 #}{\rtlch\fcs1 \af1 \ltrch\fcs0 _x000d__x000a_\cs18\v\f1\fs20\cf15\insrsid14440194\charrsid9991129 (MOD@InsideLoop()}{\rtlch\fcs1 \af0 \ltrch\fcs0 \insrsid14440194\charrsid9991129 ##}{\rtlch\fcs1 \af1 \ltrch\fcs0 \cs18\v\f1\fs20\cf15\insrsid14440194\charrsid9991129 &gt;&gt;&gt;@[ZMEMBERSMSG]@}{\rtlch\fcs1 _x000d__x000a_\af0 \ltrch\fcs0 \insrsid14440194\charrsid9991129 #}{\rtlch\fcs1 \af0 \ltrch\fcs0 \cs17\b0\v\f1\fs20\cf9\lang1024\langfe1024\noproof\insrsid14440194\charrsid9991129 &lt;Members&gt;}{\rtlch\fcs1 \af0 \ltrch\fcs0 \insrsid14440194\charrsid9991129 #}{\rtlch\fcs1 _x000d__x000a_\af1 \ltrch\fcs0 \cs18\v\f1\fs20\cf15\insrsid14440194\charrsid9991129 (MOD@InsideLoop(\'a7)}{\rtlch\fcs1 \af0 \ltrch\fcs0 \insrsid14440194\charrsid9991129 #}{\rtlch\fcs1 \af0 \ltrch\fcs0 \cf10\insrsid14440194\charrsid9991129 \u9668\'3f}{\rtlch\fcs1 \af0 _x000d__x000a_\ltrch\fcs0 \insrsid14440194\charrsid9991129 #}{\rtlch\fcs1 \af1 \ltrch\fcs0 \cs18\v\f1\fs20\cf15\insrsid14440194\charrsid9991129 TVTMEMBERS\'a7@MEMBERS@}{\rtlch\fcs1 \af0 \ltrch\fcs0 \insrsid14440194\charrsid9991129 #}{\rtlch\fcs1 \af0 \ltrch\fcs0 _x000d__x000a_\cf10\insrsid14440194\charrsid9991129 \u9658\'3f}{\rtlch\fcs1 \af0 \ltrch\fcs0 \cs17\b0\v\f1\fs20\cf9\lang1024\langfe1024\noproof\insrsid14440194\charrsid9991129 &lt;/Members&gt;}{\rtlch\fcs1 \af0 \ltrch\fcs0 \insrsid14440194\charrsid999112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4440194\charrsid9991129 &lt;AuNomDe&gt;&lt;OptDel&gt;}{\rtlch\fcs1 \af0 \ltrch\fcs0 \insrsid14440194\charrsid9991129 #}{\rtlch\fcs1 \af1 \ltrch\fcs0 \cs18\v\f1\fs20\cf15\insrsid14440194\charrsid9991129 _x000d__x000a_MNU[ONBEHALFYES][NOTAPP]@CHOICE@}{\rtlch\fcs1 \af0 \ltrch\fcs0 \insrsid14440194\charrsid9991129 #}{\rtlch\fcs1 \af0 \ltrch\fcs0 \cs17\v\f1\fs20\cf9\lang1024\langfe1024\noproof\insrsid14440194\charrsid9991129 &lt;/OptDel&gt;&lt;/AuNomDe&gt;}{\rtlch\fcs1 \af0 _x000d__x000a_\ltrch\fcs0 \insrsid14440194\charrsid9991129 _x000d__x000a_\par &lt;&lt;&lt;}{\rtlch\fcs1 \af0 \ltrch\fcs0 \cs17\v\f1\fs20\cf9\lang1024\langfe1024\noproof\insrsid14440194\charrsid9991129 &lt;/RepeatBlock-By&gt;}{\rtlch\fcs1 \af0 \ltrch\fcs0 \insrsid14440194\charrsid999112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4440194\charrsid9991129 &lt;DocAmend&gt;}{\rtlch\fcs1 \af0 \ltrch\fcs0 \insrsid14440194\charrsid9991129 #}{\rtlch\fcs1 \af1 \ltrch\fcs0 \cs18\v\f1\fs20\cf15\insrsid14440194\charrsid9991129 _x000d__x000a_MNU[OPTAMDOCINI][AMDOCA1][OPTAMDOCNLE][AMDOCA1][AMDOCA2][AMDOCA1][AMDOCA1][OPTAMDOCDEC]@CHOICE@CODEMNU}{\rtlch\fcs1 \af0 \ltrch\fcs0 \insrsid14440194\charrsid9991129 #}{\rtlch\fcs1 \af0 \ltrch\fcs0 _x000d__x000a_\cs17\b0\v\f1\fs20\cf9\lang1024\langfe1024\noproof\insrsid14440194\charrsid9991129 &lt;/DocAmend&gt;}{\rtlch\fcs1 \af0 \ltrch\fcs0 \insrsid14440194\charrsid9991129 _x000d__x000a_\par }\pard \ltrpar\s21\ql \li0\ri0\nowidctlpar\wrapdefault\aspalpha\aspnum\faauto\adjustright\rin0\lin0\itap0\pararsid7949889 {\rtlch\fcs1 \af0 \ltrch\fcs0 \cs17\b0\v\f1\fs20\cf9\lang1024\langfe1024\noproof\insrsid14440194\charrsid9991129 &lt;Article&gt;}{_x000d__x000a_\rtlch\fcs1 \af0 \ltrch\fcs0 \cf10\insrsid14440194\charrsid9991129 \u9668\'3f}{\rtlch\fcs1 \af0 \ltrch\fcs0 \insrsid14440194\charrsid9991129 #}{\rtlch\fcs1 \af1 \ltrch\fcs0 \cs18\v\f1\fs20\cf15\insrsid14440194\charrsid9991129 TVTAMPART@AMPART@}{_x000d__x000a_\rtlch\fcs1 \af0 \ltrch\fcs0 \insrsid14440194\charrsid9991129 #}{\rtlch\fcs1 \af0 \ltrch\fcs0 \cf10\insrsid14440194\charrsid9991129 \u9658\'3f}{\rtlch\fcs1 \af0 \ltrch\fcs0 _x000d__x000a_\cs17\b0\v\f1\fs20\cf9\lang1024\langfe1024\noproof\insrsid14440194\charrsid9991129 &lt;/Article&gt;}{\rtlch\fcs1 \af0 \ltrch\fcs0 \insrsid14440194\charrsid999112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4440194\charrsid9991129 \cell }\pard\plain \ltrpar\ql \li0\ri0\widctlpar\intbl\wrapdefault\aspalpha\aspnum\faauto\adjustright\rin0\lin0 \rtlch\fcs1 _x000d__x000a_\af0\afs20\alang1025 \ltrch\fcs0 \fs24\lang2057\langfe2057\cgrid\langnp2057\langfenp2057 {\rtlch\fcs1 \af0 \ltrch\fcs0 \insrsid14440194\charrsid999112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4440194\charrsid9991129 #}{\rtlch\fcs1 \af1 \ltrch\fcs0 \cs18\v\f1\fs20\cf15\insrsid14440194\charrsid9991129 _x000d__x000a_MNU[OPTAMDOCINI][AMDOCA1][OPTAMDOCNLE][AMDOCA1][AMDOCA2][AMDOCA1][AMDOCA1][OPTAMDOCDEC]@CHOICE@CODEMNU}{\rtlch\fcs1 \af0 \ltrch\fcs0 \insrsid14440194\charrsid9991129 #\cell Amendment\cell }\pard\plain \ltrpar_x000d__x000a_\ql \li0\ri0\widctlpar\intbl\wrapdefault\aspalpha\aspnum\faauto\adjustright\rin0\lin0 \rtlch\fcs1 \af0\afs20\alang1025 \ltrch\fcs0 \fs24\lang2057\langfe2057\cgrid\langnp2057\langfenp2057 {\rtlch\fcs1 \af0 \ltrch\fcs0 \insrsid14440194\charrsid999112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4440194\charrsid9991129 ##\cell ##}{\rtlch\fcs1 \af0\afs24 \ltrch\fcs0 \insrsid14440194\charrsid9991129 \cell }\pard\plain \ltrpar\ql \li0\ri0\widctlpar\intbl\wrapdefault\aspalpha\aspnum\faauto\adjustright\rin0\lin0 \rtlch\fcs1 _x000d__x000a_\af0\afs20\alang1025 \ltrch\fcs0 \fs24\lang2057\langfe2057\cgrid\langnp2057\langfenp2057 {\rtlch\fcs1 \af0 \ltrch\fcs0 \insrsid14440194\charrsid999112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4440194\charrsid9991129 Or. }{\rtlch\fcs1 \af0 \ltrch\fcs0 \cs17\v\f1\fs20\cf9\lang1024\langfe1024\noproof\insrsid14440194\charrsid9991129 &lt;Original&gt;}{\rtlch\fcs1 \af0 \ltrch\fcs0 \insrsid14440194\charrsid9991129 #}{\rtlch\fcs1 \af1 \ltrch\fcs0 _x000d__x000a_\cs18\v\f1\fs20\cf15\insrsid14440194\charrsid9991129 KEY(MAIN/LANGMIN)sh@ORLANGMSG@}{\rtlch\fcs1 \af0 \ltrch\fcs0 \insrsid14440194\charrsid9991129 #}{\rtlch\fcs1 \af0 \ltrch\fcs0 _x000d__x000a_\cs17\v\f1\fs20\cf9\lang1024\langfe1024\noproof\insrsid14440194\charrsid9991129 &lt;/Original&gt;}{\rtlch\fcs1 \af0 \ltrch\fcs0 \insrsid14440194\charrsid999112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4440194\charrsid999112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c3_x000d__x000a_aa5e829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6"/>
    <w:docVar w:name="TVTAMPART" w:val="x"/>
    <w:docVar w:name="TVTMEMBERS1" w:val="x"/>
    <w:docVar w:name="TXTAUTHOR" w:val="Pasquale Tridico"/>
    <w:docVar w:name="TXTLANGUE" w:val="EN"/>
    <w:docVar w:name="TXTLANGUEMIN" w:val="en"/>
    <w:docVar w:name="TXTNRFIRSTAM" w:val="1"/>
    <w:docVar w:name="TXTNRLASTAM" w:val="1"/>
    <w:docVar w:name="TXTNRPE" w:val="784.137"/>
    <w:docVar w:name="TXTNRPE2" w:val="784.137"/>
    <w:docVar w:name="TXTNRPROC" w:val="2025/2155"/>
    <w:docVar w:name="TXTPEorAP" w:val="PE"/>
    <w:docVar w:name="TXTROUTE" w:val="AM\1336325XM.docx"/>
    <w:docVar w:name="TXTTITLE" w:val="Discharge 2024: General budget of the EU - European Public Prosecutors Office (the ‘EPPO’)"/>
    <w:docVar w:name="TXTVERSION" w:val="01-00"/>
    <w:docVar w:name="TXTVERSION2" w:val="01-00"/>
  </w:docVars>
  <w:rsids>
    <w:rsidRoot w:val="003C5540"/>
    <w:rsid w:val="000058AA"/>
    <w:rsid w:val="00057558"/>
    <w:rsid w:val="00072B4B"/>
    <w:rsid w:val="0011298B"/>
    <w:rsid w:val="0012108E"/>
    <w:rsid w:val="00125041"/>
    <w:rsid w:val="0015022B"/>
    <w:rsid w:val="00172501"/>
    <w:rsid w:val="00175062"/>
    <w:rsid w:val="001767FD"/>
    <w:rsid w:val="00180C7D"/>
    <w:rsid w:val="001B1694"/>
    <w:rsid w:val="001C108E"/>
    <w:rsid w:val="001C6BFC"/>
    <w:rsid w:val="00262416"/>
    <w:rsid w:val="00295953"/>
    <w:rsid w:val="002A3EAA"/>
    <w:rsid w:val="002B6DE3"/>
    <w:rsid w:val="002B799B"/>
    <w:rsid w:val="002F0149"/>
    <w:rsid w:val="00307E56"/>
    <w:rsid w:val="003C5540"/>
    <w:rsid w:val="003C7A69"/>
    <w:rsid w:val="003D7856"/>
    <w:rsid w:val="004106BA"/>
    <w:rsid w:val="0044299E"/>
    <w:rsid w:val="00444941"/>
    <w:rsid w:val="004B02E9"/>
    <w:rsid w:val="004D02AB"/>
    <w:rsid w:val="004E4A92"/>
    <w:rsid w:val="004F04CC"/>
    <w:rsid w:val="005613AB"/>
    <w:rsid w:val="005D04A2"/>
    <w:rsid w:val="005E5FA1"/>
    <w:rsid w:val="00663E24"/>
    <w:rsid w:val="006838B3"/>
    <w:rsid w:val="00742225"/>
    <w:rsid w:val="00794E41"/>
    <w:rsid w:val="007964AA"/>
    <w:rsid w:val="007B1846"/>
    <w:rsid w:val="007C1252"/>
    <w:rsid w:val="007E54B7"/>
    <w:rsid w:val="007F20B9"/>
    <w:rsid w:val="007F22E4"/>
    <w:rsid w:val="00812334"/>
    <w:rsid w:val="008305E9"/>
    <w:rsid w:val="00866CBA"/>
    <w:rsid w:val="00873A27"/>
    <w:rsid w:val="0088071B"/>
    <w:rsid w:val="00884176"/>
    <w:rsid w:val="008B040A"/>
    <w:rsid w:val="0093376E"/>
    <w:rsid w:val="0095177E"/>
    <w:rsid w:val="00952F4F"/>
    <w:rsid w:val="009531F4"/>
    <w:rsid w:val="00954A54"/>
    <w:rsid w:val="009B54E9"/>
    <w:rsid w:val="009C2758"/>
    <w:rsid w:val="00A530BE"/>
    <w:rsid w:val="00A57C56"/>
    <w:rsid w:val="00A7559D"/>
    <w:rsid w:val="00A771CC"/>
    <w:rsid w:val="00A804CE"/>
    <w:rsid w:val="00A836A6"/>
    <w:rsid w:val="00AD3D9F"/>
    <w:rsid w:val="00AE20EB"/>
    <w:rsid w:val="00B4019F"/>
    <w:rsid w:val="00B43C20"/>
    <w:rsid w:val="00B73033"/>
    <w:rsid w:val="00BE6658"/>
    <w:rsid w:val="00BF6585"/>
    <w:rsid w:val="00C4749E"/>
    <w:rsid w:val="00C574C2"/>
    <w:rsid w:val="00C646A0"/>
    <w:rsid w:val="00C72F6B"/>
    <w:rsid w:val="00C83592"/>
    <w:rsid w:val="00C85D0F"/>
    <w:rsid w:val="00CA7F28"/>
    <w:rsid w:val="00CF4E9D"/>
    <w:rsid w:val="00D2257D"/>
    <w:rsid w:val="00D34123"/>
    <w:rsid w:val="00D35B06"/>
    <w:rsid w:val="00D42F84"/>
    <w:rsid w:val="00D92DDE"/>
    <w:rsid w:val="00DA7120"/>
    <w:rsid w:val="00DC19A9"/>
    <w:rsid w:val="00DC1DD4"/>
    <w:rsid w:val="00DC3244"/>
    <w:rsid w:val="00DC36BD"/>
    <w:rsid w:val="00DF038C"/>
    <w:rsid w:val="00E67987"/>
    <w:rsid w:val="00EA1780"/>
    <w:rsid w:val="00EF54D2"/>
    <w:rsid w:val="00F000BE"/>
    <w:rsid w:val="00F15510"/>
    <w:rsid w:val="00F20F19"/>
    <w:rsid w:val="00F300AB"/>
    <w:rsid w:val="00F457AA"/>
    <w:rsid w:val="00F61FB2"/>
    <w:rsid w:val="00F925F1"/>
    <w:rsid w:val="00FA2D4B"/>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912392"/>
  <w15:chartTrackingRefBased/>
  <w15:docId w15:val="{606302F5-F0A2-4D1A-A9D2-670C70399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B73033"/>
    <w:pPr>
      <w:widowControl/>
      <w:spacing w:before="100" w:beforeAutospacing="1" w:after="100" w:afterAutospacing="1"/>
    </w:pPr>
    <w:rPr>
      <w:szCs w:val="24"/>
    </w:rPr>
  </w:style>
  <w:style w:type="paragraph" w:customStyle="1" w:styleId="AmJustText">
    <w:name w:val="AmJustText"/>
    <w:basedOn w:val="Normal"/>
    <w:rsid w:val="00B73033"/>
    <w:pPr>
      <w:widowControl/>
      <w:spacing w:after="240"/>
    </w:pPr>
    <w:rPr>
      <w:i/>
      <w:szCs w:val="24"/>
      <w:lang w:eastAsia="en-US"/>
    </w:rPr>
  </w:style>
  <w:style w:type="paragraph" w:customStyle="1" w:styleId="AmJustTitle">
    <w:name w:val="AmJustTitle"/>
    <w:basedOn w:val="Normal"/>
    <w:next w:val="AmJustText"/>
    <w:rsid w:val="00B73033"/>
    <w:pPr>
      <w:keepNext/>
      <w:widowControl/>
      <w:spacing w:before="240" w:after="240"/>
      <w:jc w:val="center"/>
    </w:pPr>
    <w:rPr>
      <w:i/>
      <w:szCs w:val="24"/>
      <w:lang w:eastAsia="en-US"/>
    </w:rPr>
  </w:style>
  <w:style w:type="paragraph" w:customStyle="1" w:styleId="AmCrossRef">
    <w:name w:val="AmCrossRef"/>
    <w:basedOn w:val="Normal"/>
    <w:rsid w:val="00B73033"/>
    <w:pPr>
      <w:widowControl/>
      <w:spacing w:before="240" w:after="240"/>
      <w:jc w:val="center"/>
    </w:pPr>
    <w:rPr>
      <w:i/>
      <w:szCs w:val="24"/>
      <w:lang w:eastAsia="en-US"/>
    </w:rPr>
  </w:style>
  <w:style w:type="paragraph" w:customStyle="1" w:styleId="EPFooterLandscape">
    <w:name w:val="EPFooterLandscape"/>
    <w:rsid w:val="00B73033"/>
    <w:pPr>
      <w:tabs>
        <w:tab w:val="center" w:pos="6800"/>
        <w:tab w:val="right" w:pos="15020"/>
      </w:tabs>
    </w:pPr>
    <w:rPr>
      <w:sz w:val="22"/>
      <w:lang w:eastAsia="en-US"/>
    </w:rPr>
  </w:style>
  <w:style w:type="paragraph" w:customStyle="1" w:styleId="Normal0">
    <w:name w:val="Normal0"/>
    <w:basedOn w:val="Normal"/>
    <w:rsid w:val="00B73033"/>
    <w:pPr>
      <w:widowControl/>
    </w:pPr>
    <w:rPr>
      <w:sz w:val="2"/>
      <w:szCs w:val="24"/>
      <w:lang w:eastAsia="en-US"/>
    </w:rPr>
  </w:style>
  <w:style w:type="paragraph" w:customStyle="1" w:styleId="EPFooter2Landscape">
    <w:name w:val="EPFooter2Landscape"/>
    <w:rsid w:val="00B73033"/>
    <w:pPr>
      <w:tabs>
        <w:tab w:val="center" w:pos="4520"/>
        <w:tab w:val="center" w:pos="9920"/>
        <w:tab w:val="right" w:pos="15020"/>
      </w:tabs>
    </w:pPr>
    <w:rPr>
      <w:rFonts w:ascii="Arial" w:eastAsia="Arial" w:hAnsi="Arial" w:cs="Arial"/>
      <w:b/>
      <w:sz w:val="48"/>
      <w:lang w:eastAsia="en-US"/>
    </w:rPr>
  </w:style>
  <w:style w:type="paragraph" w:customStyle="1" w:styleId="PMissingStyle">
    <w:name w:val="P_MissingStyle"/>
    <w:basedOn w:val="Normal"/>
    <w:rsid w:val="00B73033"/>
    <w:pPr>
      <w:widowControl/>
      <w:shd w:val="clear" w:color="auto" w:fill="000000"/>
    </w:pPr>
    <w:rPr>
      <w:color w:val="FFFFFF"/>
      <w:szCs w:val="24"/>
      <w:lang w:eastAsia="en-US"/>
    </w:rPr>
  </w:style>
  <w:style w:type="paragraph" w:customStyle="1" w:styleId="Normal12a">
    <w:name w:val="Normal12a"/>
    <w:basedOn w:val="Normal"/>
    <w:rsid w:val="00B73033"/>
    <w:pPr>
      <w:widowControl/>
      <w:spacing w:after="240"/>
    </w:pPr>
    <w:rPr>
      <w:szCs w:val="24"/>
      <w:lang w:eastAsia="en-US"/>
    </w:rPr>
  </w:style>
  <w:style w:type="paragraph" w:customStyle="1" w:styleId="NormalBold12b">
    <w:name w:val="NormalBold12b"/>
    <w:basedOn w:val="Normal"/>
    <w:rsid w:val="00B73033"/>
    <w:pPr>
      <w:widowControl/>
      <w:spacing w:before="240"/>
    </w:pPr>
    <w:rPr>
      <w:b/>
      <w:szCs w:val="24"/>
      <w:lang w:eastAsia="en-US"/>
    </w:rPr>
  </w:style>
  <w:style w:type="character" w:customStyle="1" w:styleId="EPFooter2Motto">
    <w:name w:val="EPFooter2Motto"/>
    <w:rsid w:val="00B73033"/>
    <w:rPr>
      <w:rFonts w:ascii="Arial" w:hAnsi="Arial" w:cs="Arial" w:hint="default"/>
      <w:b/>
      <w:bCs w:val="0"/>
      <w:i/>
      <w:iCs w:val="0"/>
      <w:color w:val="C0C0C0"/>
      <w:sz w:val="22"/>
    </w:rPr>
  </w:style>
  <w:style w:type="character" w:customStyle="1" w:styleId="EPFooter2Middle">
    <w:name w:val="EPFooter2Middle"/>
    <w:rsid w:val="00B73033"/>
    <w:rPr>
      <w:rFonts w:ascii="Arial" w:hAnsi="Arial" w:cs="Arial" w:hint="default"/>
      <w:b w:val="0"/>
      <w:bCs w:val="0"/>
      <w:i/>
      <w:iCs w:val="0"/>
      <w:color w:val="AEAAAA"/>
      <w:sz w:val="22"/>
      <w:shd w:val="pct50" w:color="auto" w:fill="auto"/>
    </w:rPr>
  </w:style>
  <w:style w:type="character" w:customStyle="1" w:styleId="CMissingStyle">
    <w:name w:val="C_MissingStyle"/>
    <w:rsid w:val="00B73033"/>
    <w:rPr>
      <w:color w:val="FFFFFF"/>
      <w:sz w:val="22"/>
      <w:shd w:val="clear" w:color="auto" w:fill="000000"/>
    </w:rPr>
  </w:style>
  <w:style w:type="paragraph" w:styleId="Footer">
    <w:name w:val="footer"/>
    <w:basedOn w:val="Normal"/>
    <w:link w:val="FooterChar"/>
    <w:semiHidden/>
    <w:rsid w:val="00884176"/>
    <w:pPr>
      <w:tabs>
        <w:tab w:val="center" w:pos="4513"/>
        <w:tab w:val="right" w:pos="9026"/>
      </w:tabs>
    </w:pPr>
  </w:style>
  <w:style w:type="character" w:customStyle="1" w:styleId="FooterChar">
    <w:name w:val="Footer Char"/>
    <w:basedOn w:val="DefaultParagraphFont"/>
    <w:link w:val="Footer"/>
    <w:semiHidden/>
    <w:rsid w:val="0088417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15349</Words>
  <Characters>92358</Characters>
  <Application>Microsoft Office Word</Application>
  <DocSecurity>0</DocSecurity>
  <Lines>3339</Lines>
  <Paragraphs>640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107145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2026-02-11T12:58:00Z</dcterms:created>
  <dcterms:modified xsi:type="dcterms:W3CDTF">2026-02-11T12:58:00Z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1336325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Created with">
    <vt:lpwstr>10.2.1 Build [20260110]</vt:lpwstr>
  </property>
  <property fmtid="{D5CDD505-2E9C-101B-9397-08002B2CF9AE}" pid="9" name="FooterPath">
    <vt:lpwstr>AM\1336325HR.docx</vt:lpwstr>
  </property>
  <property fmtid="{D5CDD505-2E9C-101B-9397-08002B2CF9AE}" pid="10" name="LastEdited with">
    <vt:lpwstr>10.2.1 Build [20260110]</vt:lpwstr>
  </property>
  <property fmtid="{D5CDD505-2E9C-101B-9397-08002B2CF9AE}" pid="11" name="OriLang">
    <vt:lpwstr>EN</vt:lpwstr>
  </property>
  <property fmtid="{D5CDD505-2E9C-101B-9397-08002B2CF9AE}" pid="12" name="PE number">
    <vt:lpwstr>784.137</vt:lpwstr>
  </property>
  <property fmtid="{D5CDD505-2E9C-101B-9397-08002B2CF9AE}" pid="13" name="SendToEpades">
    <vt:lpwstr>OK - 2026/01/28 19:52</vt:lpwstr>
  </property>
  <property fmtid="{D5CDD505-2E9C-101B-9397-08002B2CF9AE}" pid="14" name="SDLStudio">
    <vt:lpwstr/>
  </property>
  <property fmtid="{D5CDD505-2E9C-101B-9397-08002B2CF9AE}" pid="15" name="Bookout">
    <vt:lpwstr>OK - 2026/02/11 13:58</vt:lpwstr>
  </property>
</Properties>
</file>