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0F6BC7" w:rsidRPr="006B6379" w14:paraId="28871BDD" w14:textId="77777777" w:rsidTr="00C85D0F">
        <w:trPr>
          <w:trHeight w:hRule="exact" w:val="1418"/>
        </w:trPr>
        <w:tc>
          <w:tcPr>
            <w:tcW w:w="6804" w:type="dxa"/>
            <w:shd w:val="clear" w:color="auto" w:fill="auto"/>
            <w:vAlign w:val="center"/>
          </w:tcPr>
          <w:p w14:paraId="06172BCC" w14:textId="77777777" w:rsidR="005E5FA1" w:rsidRPr="006B6379" w:rsidRDefault="00E96208" w:rsidP="00C85D0F">
            <w:pPr>
              <w:pStyle w:val="EPName"/>
            </w:pPr>
            <w:r w:rsidRPr="006B6379">
              <w:t>Europees Parlement</w:t>
            </w:r>
          </w:p>
          <w:p w14:paraId="41F7F6F1" w14:textId="77777777" w:rsidR="005E5FA1" w:rsidRPr="006B6379" w:rsidRDefault="00E96208" w:rsidP="00C85D0F">
            <w:pPr>
              <w:pStyle w:val="EPTerm"/>
            </w:pPr>
            <w:r w:rsidRPr="006B6379">
              <w:t>2024-2029</w:t>
            </w:r>
          </w:p>
        </w:tc>
        <w:tc>
          <w:tcPr>
            <w:tcW w:w="2268" w:type="dxa"/>
            <w:shd w:val="clear" w:color="auto" w:fill="auto"/>
          </w:tcPr>
          <w:p w14:paraId="60C9607A" w14:textId="77777777" w:rsidR="005E5FA1" w:rsidRPr="006B6379" w:rsidRDefault="00E96208" w:rsidP="00C85D0F">
            <w:pPr>
              <w:pStyle w:val="EPLogo"/>
            </w:pPr>
            <w:r w:rsidRPr="006B6379">
              <w:rPr>
                <w:noProof/>
              </w:rPr>
              <w:drawing>
                <wp:inline distT="0" distB="0" distL="0" distR="0" wp14:anchorId="1C178E30" wp14:editId="4EB696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244A435" w14:textId="77777777" w:rsidR="00CF4E9D" w:rsidRPr="006B6379" w:rsidRDefault="00CF4E9D" w:rsidP="00CF4E9D">
      <w:pPr>
        <w:pStyle w:val="LineTop"/>
      </w:pPr>
    </w:p>
    <w:p w14:paraId="7E5C648F" w14:textId="77777777" w:rsidR="00CF4E9D" w:rsidRPr="006B6379" w:rsidRDefault="00E96208" w:rsidP="00CF4E9D">
      <w:pPr>
        <w:pStyle w:val="EPBody"/>
      </w:pPr>
      <w:r w:rsidRPr="006B6379">
        <w:rPr>
          <w:rStyle w:val="HideTWBExt"/>
          <w:i w:val="0"/>
          <w:szCs w:val="20"/>
        </w:rPr>
        <w:t>&lt;Commission&gt;</w:t>
      </w:r>
      <w:r w:rsidRPr="006B6379">
        <w:rPr>
          <w:rStyle w:val="HideTWBInt"/>
          <w:i w:val="0"/>
          <w:szCs w:val="20"/>
        </w:rPr>
        <w:t>{CONT}</w:t>
      </w:r>
      <w:r w:rsidRPr="006B6379">
        <w:t>Commissie begrotingscontrole</w:t>
      </w:r>
      <w:r w:rsidRPr="006B6379">
        <w:rPr>
          <w:rStyle w:val="HideTWBExt"/>
          <w:i w:val="0"/>
          <w:szCs w:val="20"/>
        </w:rPr>
        <w:t>&lt;/Commission&gt;</w:t>
      </w:r>
    </w:p>
    <w:p w14:paraId="398AC3F3" w14:textId="77777777" w:rsidR="00CF4E9D" w:rsidRPr="006B6379" w:rsidRDefault="00CF4E9D" w:rsidP="00CF4E9D">
      <w:pPr>
        <w:pStyle w:val="LineBottom"/>
      </w:pPr>
    </w:p>
    <w:p w14:paraId="1B8C20D0" w14:textId="77777777" w:rsidR="00794E41" w:rsidRPr="006B6379" w:rsidRDefault="00E96208" w:rsidP="00794E41">
      <w:pPr>
        <w:pStyle w:val="CoverReference"/>
      </w:pPr>
      <w:r w:rsidRPr="006B6379">
        <w:rPr>
          <w:rStyle w:val="HideTWBExt"/>
          <w:b w:val="0"/>
        </w:rPr>
        <w:t>&lt;RefProc&gt;</w:t>
      </w:r>
      <w:r w:rsidRPr="006B6379">
        <w:t>2025/2155</w:t>
      </w:r>
      <w:r w:rsidRPr="006B6379">
        <w:rPr>
          <w:rStyle w:val="HideTWBExt"/>
          <w:b w:val="0"/>
        </w:rPr>
        <w:t>&lt;/RefProc&gt;&lt;RefTypeProc&gt;</w:t>
      </w:r>
      <w:r w:rsidRPr="006B6379">
        <w:t>(DEC)</w:t>
      </w:r>
      <w:r w:rsidRPr="006B6379">
        <w:rPr>
          <w:rStyle w:val="HideTWBExt"/>
          <w:b w:val="0"/>
        </w:rPr>
        <w:t>&lt;/RefTypeProc&gt;</w:t>
      </w:r>
    </w:p>
    <w:p w14:paraId="69D395BD" w14:textId="77777777" w:rsidR="00794E41" w:rsidRPr="006B6379" w:rsidRDefault="00E96208" w:rsidP="00794E41">
      <w:pPr>
        <w:pStyle w:val="CoverDate"/>
      </w:pPr>
      <w:r w:rsidRPr="006B6379">
        <w:rPr>
          <w:rStyle w:val="HideTWBExt"/>
        </w:rPr>
        <w:t>&lt;Date&gt;</w:t>
      </w:r>
      <w:r w:rsidRPr="006B6379">
        <w:rPr>
          <w:rStyle w:val="HideTWBInt"/>
        </w:rPr>
        <w:t>{28/01/2026}</w:t>
      </w:r>
      <w:r w:rsidRPr="006B6379">
        <w:t>28.1.2026</w:t>
      </w:r>
      <w:r w:rsidRPr="006B6379">
        <w:rPr>
          <w:rStyle w:val="HideTWBExt"/>
        </w:rPr>
        <w:t>&lt;/Date&gt;</w:t>
      </w:r>
    </w:p>
    <w:p w14:paraId="75246D1E" w14:textId="77777777" w:rsidR="00794E41" w:rsidRPr="006B6379" w:rsidRDefault="00E96208" w:rsidP="00794E41">
      <w:pPr>
        <w:pStyle w:val="CoverDocType"/>
      </w:pPr>
      <w:r w:rsidRPr="006B6379">
        <w:rPr>
          <w:rStyle w:val="HideTWBExt"/>
          <w:b w:val="0"/>
        </w:rPr>
        <w:t>&lt;TypeAM&gt;</w:t>
      </w:r>
      <w:r w:rsidRPr="006B6379">
        <w:t>AMENDEMENTEN</w:t>
      </w:r>
      <w:r w:rsidRPr="006B6379">
        <w:rPr>
          <w:rStyle w:val="HideTWBExt"/>
          <w:b w:val="0"/>
        </w:rPr>
        <w:t>&lt;/TypeAM&gt;</w:t>
      </w:r>
    </w:p>
    <w:p w14:paraId="117B0299" w14:textId="77777777" w:rsidR="00794E41" w:rsidRPr="006B6379" w:rsidRDefault="00E96208" w:rsidP="00794E41">
      <w:pPr>
        <w:pStyle w:val="CoverDocType24a"/>
      </w:pPr>
      <w:r w:rsidRPr="006B6379">
        <w:rPr>
          <w:rStyle w:val="HideTWBExt"/>
          <w:b w:val="0"/>
        </w:rPr>
        <w:t>&lt;RangeAM&gt;</w:t>
      </w:r>
      <w:r w:rsidRPr="006B6379">
        <w:t>1 - 69</w:t>
      </w:r>
      <w:r w:rsidRPr="006B6379">
        <w:rPr>
          <w:rStyle w:val="HideTWBExt"/>
          <w:b w:val="0"/>
        </w:rPr>
        <w:t>&lt;/RangeAM&gt;</w:t>
      </w:r>
    </w:p>
    <w:p w14:paraId="371F743C" w14:textId="77777777" w:rsidR="00794E41" w:rsidRPr="006B6379" w:rsidRDefault="00E96208" w:rsidP="007B1846">
      <w:pPr>
        <w:pStyle w:val="CoverBold"/>
      </w:pPr>
      <w:r w:rsidRPr="006B6379">
        <w:rPr>
          <w:rStyle w:val="HideTWBExt"/>
          <w:b w:val="0"/>
        </w:rPr>
        <w:t>&lt;TitreType&gt;</w:t>
      </w:r>
      <w:r w:rsidRPr="006B6379">
        <w:t>Ontwerpverslag</w:t>
      </w:r>
      <w:r w:rsidRPr="006B6379">
        <w:rPr>
          <w:rStyle w:val="HideTWBExt"/>
          <w:b w:val="0"/>
        </w:rPr>
        <w:t>&lt;/TitreType&gt;</w:t>
      </w:r>
    </w:p>
    <w:p w14:paraId="4CBAF4AB" w14:textId="77777777" w:rsidR="00794E41" w:rsidRPr="006B6379" w:rsidRDefault="00E96208" w:rsidP="007B1846">
      <w:pPr>
        <w:pStyle w:val="CoverBold"/>
      </w:pPr>
      <w:r w:rsidRPr="006B6379">
        <w:rPr>
          <w:rStyle w:val="HideTWBExt"/>
          <w:b w:val="0"/>
        </w:rPr>
        <w:t>&lt;Rapporteur&gt;</w:t>
      </w:r>
      <w:r w:rsidRPr="006B6379">
        <w:t>Pasquale Tridico</w:t>
      </w:r>
      <w:r w:rsidRPr="006B6379">
        <w:rPr>
          <w:rStyle w:val="HideTWBExt"/>
          <w:b w:val="0"/>
        </w:rPr>
        <w:t>&lt;/Rapporteur&gt;</w:t>
      </w:r>
    </w:p>
    <w:p w14:paraId="3B4919EA" w14:textId="77777777" w:rsidR="00794E41" w:rsidRPr="006B6379" w:rsidRDefault="00E96208" w:rsidP="00794E41">
      <w:pPr>
        <w:pStyle w:val="CoverNormal24a"/>
      </w:pPr>
      <w:r w:rsidRPr="006B6379">
        <w:rPr>
          <w:rStyle w:val="HideTWBExt"/>
        </w:rPr>
        <w:t>&lt;DocRefPE&gt;</w:t>
      </w:r>
      <w:r w:rsidRPr="006B6379">
        <w:t>(PE784.137v01-00)</w:t>
      </w:r>
      <w:r w:rsidRPr="006B6379">
        <w:rPr>
          <w:rStyle w:val="HideTWBExt"/>
        </w:rPr>
        <w:t>&lt;/DocRefPE&gt;</w:t>
      </w:r>
    </w:p>
    <w:p w14:paraId="7E73FF05" w14:textId="77777777" w:rsidR="00794E41" w:rsidRPr="006B6379" w:rsidRDefault="00E96208" w:rsidP="00794E41">
      <w:pPr>
        <w:pStyle w:val="CoverNormal"/>
      </w:pPr>
      <w:r w:rsidRPr="006B6379">
        <w:rPr>
          <w:rStyle w:val="HideTWBExt"/>
        </w:rPr>
        <w:t>&lt;Titre&gt;</w:t>
      </w:r>
      <w:r w:rsidRPr="006B6379">
        <w:t>Kwijting 2024: algemene begroting van de EU – Europees Openbaar Ministerie (“EOM”)</w:t>
      </w:r>
      <w:r w:rsidRPr="006B6379">
        <w:rPr>
          <w:rStyle w:val="HideTWBExt"/>
        </w:rPr>
        <w:t>&lt;/Titre&gt;</w:t>
      </w:r>
    </w:p>
    <w:p w14:paraId="430B5AED" w14:textId="77777777" w:rsidR="00794E41" w:rsidRPr="006B6379" w:rsidRDefault="00E96208" w:rsidP="00794E41">
      <w:pPr>
        <w:pStyle w:val="CoverNormal24a"/>
      </w:pPr>
      <w:r w:rsidRPr="006B6379">
        <w:rPr>
          <w:rStyle w:val="HideTWBExt"/>
        </w:rPr>
        <w:t>&lt;DocRef&gt;</w:t>
      </w:r>
      <w:r w:rsidRPr="006B6379">
        <w:t>(2025/2155(DEC))</w:t>
      </w:r>
      <w:r w:rsidRPr="006B6379">
        <w:rPr>
          <w:rStyle w:val="HideTWBExt"/>
        </w:rPr>
        <w:t>&lt;/DocRef&gt;</w:t>
      </w:r>
    </w:p>
    <w:p w14:paraId="25AC1688" w14:textId="77777777" w:rsidR="00794E41" w:rsidRPr="006B6379" w:rsidRDefault="00E96208" w:rsidP="008B040A">
      <w:pPr>
        <w:widowControl/>
        <w:tabs>
          <w:tab w:val="center" w:pos="4677"/>
        </w:tabs>
      </w:pPr>
      <w:r w:rsidRPr="006B6379">
        <w:br w:type="page"/>
      </w:r>
      <w:r w:rsidRPr="006B6379">
        <w:lastRenderedPageBreak/>
        <w:t>AM_Com_NonLegReport</w:t>
      </w:r>
    </w:p>
    <w:p w14:paraId="7F492A57" w14:textId="2BE4C543" w:rsidR="00B73033" w:rsidRPr="006B6379" w:rsidRDefault="00E96208" w:rsidP="006B6379">
      <w:pPr>
        <w:pStyle w:val="AmNumberTabs"/>
      </w:pPr>
      <w:r w:rsidRPr="006B6379">
        <w:br w:type="page"/>
      </w:r>
    </w:p>
    <w:p w14:paraId="0054AB5B" w14:textId="7EDEFF3A" w:rsidR="006B6379" w:rsidRPr="00E96208" w:rsidRDefault="006B6379" w:rsidP="006B6379">
      <w:pPr>
        <w:pStyle w:val="AmNumberTabs"/>
      </w:pPr>
      <w:r w:rsidRPr="006B6379">
        <w:rPr>
          <w:rStyle w:val="HideTWBExt"/>
          <w:b w:val="0"/>
        </w:rPr>
        <w:t>&lt;RepeatBlock-Amend&gt;</w:t>
      </w:r>
      <w:r>
        <w:rPr>
          <w:rStyle w:val="HideTWBExt"/>
        </w:rPr>
        <w:t>&lt;Amend&gt;</w:t>
      </w:r>
      <w:r>
        <w:t>Amendement</w:t>
      </w:r>
      <w:r>
        <w:tab/>
      </w:r>
      <w:r>
        <w:tab/>
      </w:r>
      <w:r>
        <w:rPr>
          <w:rStyle w:val="HideTWBExt"/>
        </w:rPr>
        <w:t>&lt;NumAm&gt;</w:t>
      </w:r>
      <w:r>
        <w:t>1</w:t>
      </w:r>
      <w:r>
        <w:rPr>
          <w:rStyle w:val="HideTWBExt"/>
        </w:rPr>
        <w:t>&lt;/NumAm&gt;</w:t>
      </w:r>
    </w:p>
    <w:p w14:paraId="4B3E72FD" w14:textId="77777777" w:rsidR="006B6379" w:rsidRPr="00E96208" w:rsidRDefault="006B6379" w:rsidP="006B6379">
      <w:pPr>
        <w:pStyle w:val="NormalBold"/>
      </w:pPr>
      <w:r>
        <w:rPr>
          <w:rStyle w:val="HideTWBExt"/>
          <w:b w:val="0"/>
        </w:rPr>
        <w:t>&lt;RepeatBlock-By&gt;&lt;Members&gt;</w:t>
      </w:r>
      <w:r>
        <w:t>Csaba Molnár</w:t>
      </w:r>
      <w:r>
        <w:rPr>
          <w:rStyle w:val="HideTWBExt"/>
          <w:b w:val="0"/>
        </w:rPr>
        <w:t>&lt;/Members&gt;</w:t>
      </w:r>
    </w:p>
    <w:p w14:paraId="35CE1ED7" w14:textId="77777777" w:rsidR="006B6379" w:rsidRPr="00E96208" w:rsidRDefault="006B6379" w:rsidP="006B6379">
      <w:pPr>
        <w:pStyle w:val="NormalBold"/>
      </w:pPr>
      <w:r>
        <w:rPr>
          <w:rStyle w:val="HideTWBExt"/>
          <w:b w:val="0"/>
        </w:rPr>
        <w:t>&lt;/RepeatBlock-By&gt;</w:t>
      </w:r>
    </w:p>
    <w:p w14:paraId="3F81F88B" w14:textId="77777777" w:rsidR="006B6379" w:rsidRPr="00E96208" w:rsidRDefault="006B6379" w:rsidP="006B6379">
      <w:pPr>
        <w:pStyle w:val="NormalBold"/>
      </w:pPr>
      <w:r>
        <w:rPr>
          <w:rStyle w:val="HideTWBExt"/>
        </w:rPr>
        <w:t>&lt;DocAmend&gt;</w:t>
      </w:r>
      <w:r>
        <w:t>Ontwerpresolutie</w:t>
      </w:r>
      <w:r>
        <w:rPr>
          <w:rStyle w:val="HideTWBExt"/>
        </w:rPr>
        <w:t>&lt;/DocAmend&gt;</w:t>
      </w:r>
    </w:p>
    <w:p w14:paraId="7828CF8C" w14:textId="77777777" w:rsidR="006B6379" w:rsidRPr="00E96208" w:rsidRDefault="006B6379" w:rsidP="006B6379">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6C44A505" w14:textId="77777777" w:rsidTr="00B30934">
        <w:trPr>
          <w:trHeight w:val="240"/>
          <w:jc w:val="center"/>
        </w:trPr>
        <w:tc>
          <w:tcPr>
            <w:tcW w:w="9752" w:type="dxa"/>
            <w:gridSpan w:val="2"/>
            <w:tcBorders>
              <w:top w:val="nil"/>
              <w:left w:val="nil"/>
              <w:bottom w:val="nil"/>
              <w:right w:val="nil"/>
            </w:tcBorders>
          </w:tcPr>
          <w:p w14:paraId="50AF3302" w14:textId="77777777" w:rsidR="006B6379" w:rsidRPr="00E96208" w:rsidRDefault="006B6379" w:rsidP="00B30934"/>
        </w:tc>
      </w:tr>
      <w:tr w:rsidR="006B6379" w14:paraId="7DA53050" w14:textId="77777777" w:rsidTr="00B30934">
        <w:trPr>
          <w:trHeight w:val="240"/>
          <w:jc w:val="center"/>
        </w:trPr>
        <w:tc>
          <w:tcPr>
            <w:tcW w:w="4876" w:type="dxa"/>
            <w:tcBorders>
              <w:top w:val="nil"/>
              <w:left w:val="nil"/>
              <w:bottom w:val="nil"/>
              <w:right w:val="nil"/>
            </w:tcBorders>
            <w:hideMark/>
          </w:tcPr>
          <w:p w14:paraId="207BB418"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44B8B930" w14:textId="77777777" w:rsidR="006B6379" w:rsidRPr="00E96208" w:rsidRDefault="006B6379" w:rsidP="00B30934">
            <w:pPr>
              <w:pStyle w:val="AmColumnHeading"/>
            </w:pPr>
            <w:r>
              <w:t>Amendement</w:t>
            </w:r>
          </w:p>
        </w:tc>
      </w:tr>
      <w:tr w:rsidR="006B6379" w14:paraId="74A819AA" w14:textId="77777777" w:rsidTr="00B30934">
        <w:trPr>
          <w:jc w:val="center"/>
        </w:trPr>
        <w:tc>
          <w:tcPr>
            <w:tcW w:w="4876" w:type="dxa"/>
            <w:tcBorders>
              <w:top w:val="nil"/>
              <w:left w:val="nil"/>
              <w:bottom w:val="nil"/>
              <w:right w:val="nil"/>
            </w:tcBorders>
            <w:hideMark/>
          </w:tcPr>
          <w:p w14:paraId="453B7103" w14:textId="77777777" w:rsidR="006B6379" w:rsidRPr="00E96208" w:rsidRDefault="006B6379" w:rsidP="00B30934">
            <w:pPr>
              <w:pStyle w:val="Normal6a"/>
            </w:pPr>
            <w:r>
              <w:t>B.</w:t>
            </w:r>
            <w:r>
              <w:tab/>
              <w:t>overwegende dat de bevoegdheid van het EOM verschillende soorten fraude omvat, waaronder btw-fraude met schade van meer dan 10 miljoen EUR, witwassen van geld, corruptie en andere strafbare feiten, waarbij het EOM de functie van aanklager uitoefent bij de bevoegde rechtbanken van de deelnemende lidstaten, tot het einde van de procedure;</w:t>
            </w:r>
          </w:p>
        </w:tc>
        <w:tc>
          <w:tcPr>
            <w:tcW w:w="4876" w:type="dxa"/>
            <w:tcBorders>
              <w:top w:val="nil"/>
              <w:left w:val="nil"/>
              <w:bottom w:val="nil"/>
              <w:right w:val="nil"/>
            </w:tcBorders>
            <w:hideMark/>
          </w:tcPr>
          <w:p w14:paraId="146B54FD" w14:textId="77777777" w:rsidR="006B6379" w:rsidRPr="00E96208" w:rsidRDefault="006B6379" w:rsidP="00B30934">
            <w:pPr>
              <w:pStyle w:val="Normal6a"/>
            </w:pPr>
            <w:r>
              <w:t>B.</w:t>
            </w:r>
            <w:r>
              <w:tab/>
              <w:t xml:space="preserve">overwegende dat de bevoegdheid van het EOM verschillende soorten fraude omvat, waaronder </w:t>
            </w:r>
            <w:r>
              <w:rPr>
                <w:b/>
                <w:i/>
              </w:rPr>
              <w:t>grensoverschrijdende</w:t>
            </w:r>
            <w:r>
              <w:t xml:space="preserve"> btw-fraude met schade van meer dan 10 miljoen EUR, witwassen van geld, corruptie en andere strafbare feiten, waarbij het EOM de functie van aanklager uitoefent bij de bevoegde rechtbanken van de deelnemende lidstaten, tot het einde van de procedure;</w:t>
            </w:r>
          </w:p>
        </w:tc>
      </w:tr>
    </w:tbl>
    <w:p w14:paraId="6FED91F4"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08053FF2" w14:textId="77777777" w:rsidR="006B6379" w:rsidRPr="00E96208" w:rsidRDefault="006B6379" w:rsidP="006B6379">
      <w:r>
        <w:rPr>
          <w:rStyle w:val="HideTWBExt"/>
        </w:rPr>
        <w:t>&lt;/Amend&gt;</w:t>
      </w:r>
    </w:p>
    <w:p w14:paraId="51A566CD" w14:textId="77777777" w:rsidR="006B6379" w:rsidRPr="00E96208" w:rsidRDefault="006B6379" w:rsidP="006B6379">
      <w:pPr>
        <w:pStyle w:val="AmNumberTabs"/>
      </w:pPr>
      <w:r>
        <w:rPr>
          <w:rStyle w:val="HideTWBExt"/>
        </w:rPr>
        <w:t>&lt;Amend&gt;</w:t>
      </w:r>
      <w:r>
        <w:t>Amendement</w:t>
      </w:r>
      <w:r>
        <w:tab/>
      </w:r>
      <w:r>
        <w:tab/>
      </w:r>
      <w:r>
        <w:rPr>
          <w:rStyle w:val="HideTWBExt"/>
        </w:rPr>
        <w:t>&lt;NumAm&gt;</w:t>
      </w:r>
      <w:r>
        <w:t>2</w:t>
      </w:r>
      <w:r>
        <w:rPr>
          <w:rStyle w:val="HideTWBExt"/>
        </w:rPr>
        <w:t>&lt;/NumAm&gt;</w:t>
      </w:r>
    </w:p>
    <w:p w14:paraId="51659A51" w14:textId="77777777" w:rsidR="006B6379" w:rsidRPr="00E96208" w:rsidRDefault="006B6379" w:rsidP="006B6379">
      <w:pPr>
        <w:pStyle w:val="NormalBold"/>
      </w:pPr>
      <w:r>
        <w:rPr>
          <w:rStyle w:val="HideTWBExt"/>
          <w:b w:val="0"/>
        </w:rPr>
        <w:t>&lt;RepeatBlock-By&gt;&lt;Members&gt;</w:t>
      </w:r>
      <w:r>
        <w:t>Ondřej Knotek, Virginie Joron, Julien Sanchez</w:t>
      </w:r>
      <w:r>
        <w:rPr>
          <w:rStyle w:val="HideTWBExt"/>
          <w:b w:val="0"/>
        </w:rPr>
        <w:t>&lt;/Members&gt;</w:t>
      </w:r>
    </w:p>
    <w:p w14:paraId="41DDF915" w14:textId="77777777" w:rsidR="006B6379" w:rsidRPr="00E96208" w:rsidRDefault="006B6379" w:rsidP="006B6379">
      <w:pPr>
        <w:pStyle w:val="NormalBold"/>
      </w:pPr>
      <w:r>
        <w:rPr>
          <w:rStyle w:val="HideTWBExt"/>
          <w:b w:val="0"/>
        </w:rPr>
        <w:t>&lt;/RepeatBlock-By&gt;</w:t>
      </w:r>
    </w:p>
    <w:p w14:paraId="7BA9646E" w14:textId="77777777" w:rsidR="006B6379" w:rsidRPr="00E96208" w:rsidRDefault="006B6379" w:rsidP="006B6379">
      <w:pPr>
        <w:pStyle w:val="NormalBold"/>
      </w:pPr>
      <w:r>
        <w:rPr>
          <w:rStyle w:val="HideTWBExt"/>
        </w:rPr>
        <w:t>&lt;DocAmend&gt;</w:t>
      </w:r>
      <w:r>
        <w:t>Ontwerpresolutie</w:t>
      </w:r>
      <w:r>
        <w:rPr>
          <w:rStyle w:val="HideTWBExt"/>
        </w:rPr>
        <w:t>&lt;/DocAmend&gt;</w:t>
      </w:r>
    </w:p>
    <w:p w14:paraId="2C7ECCF1" w14:textId="77777777" w:rsidR="006B6379" w:rsidRPr="00E96208" w:rsidRDefault="006B6379" w:rsidP="006B6379">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0097368E" w14:textId="77777777" w:rsidTr="00B30934">
        <w:trPr>
          <w:trHeight w:val="240"/>
          <w:jc w:val="center"/>
        </w:trPr>
        <w:tc>
          <w:tcPr>
            <w:tcW w:w="9752" w:type="dxa"/>
            <w:gridSpan w:val="2"/>
            <w:tcBorders>
              <w:top w:val="nil"/>
              <w:left w:val="nil"/>
              <w:bottom w:val="nil"/>
              <w:right w:val="nil"/>
            </w:tcBorders>
          </w:tcPr>
          <w:p w14:paraId="1789127E" w14:textId="77777777" w:rsidR="006B6379" w:rsidRPr="00E96208" w:rsidRDefault="006B6379" w:rsidP="00B30934"/>
        </w:tc>
      </w:tr>
      <w:tr w:rsidR="006B6379" w14:paraId="2D005260" w14:textId="77777777" w:rsidTr="00B30934">
        <w:trPr>
          <w:trHeight w:val="240"/>
          <w:jc w:val="center"/>
        </w:trPr>
        <w:tc>
          <w:tcPr>
            <w:tcW w:w="4876" w:type="dxa"/>
            <w:tcBorders>
              <w:top w:val="nil"/>
              <w:left w:val="nil"/>
              <w:bottom w:val="nil"/>
              <w:right w:val="nil"/>
            </w:tcBorders>
            <w:hideMark/>
          </w:tcPr>
          <w:p w14:paraId="4414A3B4"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66D8FA1F" w14:textId="77777777" w:rsidR="006B6379" w:rsidRPr="00E96208" w:rsidRDefault="006B6379" w:rsidP="00B30934">
            <w:pPr>
              <w:pStyle w:val="AmColumnHeading"/>
            </w:pPr>
            <w:r>
              <w:t>Amendement</w:t>
            </w:r>
          </w:p>
        </w:tc>
      </w:tr>
      <w:tr w:rsidR="006B6379" w14:paraId="3F0A748F" w14:textId="77777777" w:rsidTr="00B30934">
        <w:trPr>
          <w:jc w:val="center"/>
        </w:trPr>
        <w:tc>
          <w:tcPr>
            <w:tcW w:w="4876" w:type="dxa"/>
            <w:tcBorders>
              <w:top w:val="nil"/>
              <w:left w:val="nil"/>
              <w:bottom w:val="nil"/>
              <w:right w:val="nil"/>
            </w:tcBorders>
            <w:hideMark/>
          </w:tcPr>
          <w:p w14:paraId="006501EC" w14:textId="77777777" w:rsidR="006B6379" w:rsidRPr="00E96208" w:rsidRDefault="006B6379" w:rsidP="00B30934">
            <w:pPr>
              <w:pStyle w:val="Normal6a"/>
            </w:pPr>
            <w:r>
              <w:t>D.</w:t>
            </w:r>
            <w:r>
              <w:tab/>
              <w:t xml:space="preserve">overwegende dat het EOM tussenbeide komt wanneer de prerogatieven van de nationale autoriteiten die deze strafbare feiten onderzoeken en vervolgen, ophouden bij de grenzen van hun land, en andere organisaties zoals </w:t>
            </w:r>
            <w:proofErr w:type="spellStart"/>
            <w:r>
              <w:t>Eurojust</w:t>
            </w:r>
            <w:proofErr w:type="spellEnd"/>
            <w:r>
              <w:t>, OLAF en Europol niet over de nodige bevoegdheden beschikken om de desbetreffende strafrechtelijke onderzoeken en vervolgingen uit te voeren;</w:t>
            </w:r>
          </w:p>
        </w:tc>
        <w:tc>
          <w:tcPr>
            <w:tcW w:w="4876" w:type="dxa"/>
            <w:tcBorders>
              <w:top w:val="nil"/>
              <w:left w:val="nil"/>
              <w:bottom w:val="nil"/>
              <w:right w:val="nil"/>
            </w:tcBorders>
            <w:hideMark/>
          </w:tcPr>
          <w:p w14:paraId="3E07746E" w14:textId="77777777" w:rsidR="006B6379" w:rsidRPr="00E96208" w:rsidRDefault="006B6379" w:rsidP="00B30934">
            <w:pPr>
              <w:pStyle w:val="Normal6a"/>
            </w:pPr>
            <w:r>
              <w:t>D.</w:t>
            </w:r>
            <w:r>
              <w:tab/>
              <w:t xml:space="preserve">overwegende dat het EOM tussenbeide komt wanneer de prerogatieven van de nationale autoriteiten die deze strafbare feiten onderzoeken en vervolgen, ophouden bij de grenzen van hun land, en andere organisaties zoals </w:t>
            </w:r>
            <w:proofErr w:type="spellStart"/>
            <w:r>
              <w:t>Eurojust</w:t>
            </w:r>
            <w:proofErr w:type="spellEnd"/>
            <w:r>
              <w:t xml:space="preserve">, OLAF en Europol niet over de nodige bevoegdheden beschikken om de desbetreffende strafrechtelijke onderzoeken en vervolgingen uit te voeren; </w:t>
            </w:r>
            <w:r>
              <w:rPr>
                <w:b/>
                <w:i/>
              </w:rPr>
              <w:t>overwegende dat de uitoefening van vervolgingsbevoegdheden op het niveau van de Unie strikte garanties inzake vertrouwelijkheid en discretie vereist, alsook solide waarborgen om elke vorm van politieke beïnvloeding of inmenging te voorkomen;</w:t>
            </w:r>
          </w:p>
        </w:tc>
      </w:tr>
    </w:tbl>
    <w:p w14:paraId="0F265696"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4CD47AA7" w14:textId="77777777" w:rsidR="006B6379" w:rsidRPr="00E96208" w:rsidRDefault="006B6379" w:rsidP="006B6379">
      <w:r>
        <w:rPr>
          <w:rStyle w:val="HideTWBExt"/>
        </w:rPr>
        <w:t>&lt;/Amend&gt;</w:t>
      </w:r>
    </w:p>
    <w:p w14:paraId="7BCCDAA8" w14:textId="77777777" w:rsidR="006B6379" w:rsidRPr="00E96208" w:rsidRDefault="006B6379" w:rsidP="006B6379">
      <w:pPr>
        <w:pStyle w:val="AmNumberTabs"/>
      </w:pPr>
      <w:r>
        <w:rPr>
          <w:rStyle w:val="HideTWBExt"/>
        </w:rPr>
        <w:t>&lt;Amend&gt;</w:t>
      </w:r>
      <w:r>
        <w:t>Amendement</w:t>
      </w:r>
      <w:r>
        <w:tab/>
      </w:r>
      <w:r>
        <w:tab/>
      </w:r>
      <w:r>
        <w:rPr>
          <w:rStyle w:val="HideTWBExt"/>
        </w:rPr>
        <w:t>&lt;NumAm&gt;</w:t>
      </w:r>
      <w:r>
        <w:t>3</w:t>
      </w:r>
      <w:r>
        <w:rPr>
          <w:rStyle w:val="HideTWBExt"/>
        </w:rPr>
        <w:t>&lt;/NumAm&gt;</w:t>
      </w:r>
    </w:p>
    <w:p w14:paraId="7CED64C6" w14:textId="77777777" w:rsidR="006B6379" w:rsidRPr="00E96208" w:rsidRDefault="006B6379" w:rsidP="006B6379">
      <w:pPr>
        <w:pStyle w:val="NormalBold"/>
      </w:pPr>
      <w:r>
        <w:rPr>
          <w:rStyle w:val="HideTWBExt"/>
          <w:b w:val="0"/>
        </w:rPr>
        <w:t>&lt;RepeatBlock-By&gt;&lt;Members&gt;</w:t>
      </w:r>
      <w:r>
        <w:t>Gilles Boyer, Olivier Chastel, Vlad Vasile-Voiculescu, Michal Wiezik</w:t>
      </w:r>
      <w:r>
        <w:rPr>
          <w:rStyle w:val="HideTWBExt"/>
          <w:b w:val="0"/>
        </w:rPr>
        <w:t>&lt;/Members&gt;</w:t>
      </w:r>
    </w:p>
    <w:p w14:paraId="3A4008F9" w14:textId="77777777" w:rsidR="006B6379" w:rsidRPr="00E96208" w:rsidRDefault="006B6379" w:rsidP="006B6379">
      <w:pPr>
        <w:pStyle w:val="NormalBold"/>
      </w:pPr>
      <w:r>
        <w:rPr>
          <w:rStyle w:val="HideTWBExt"/>
          <w:b w:val="0"/>
        </w:rPr>
        <w:t>&lt;/RepeatBlock-By&gt;</w:t>
      </w:r>
    </w:p>
    <w:p w14:paraId="45A51AD6" w14:textId="77777777" w:rsidR="006B6379" w:rsidRPr="00E96208" w:rsidRDefault="006B6379" w:rsidP="006B6379">
      <w:pPr>
        <w:pStyle w:val="NormalBold"/>
      </w:pPr>
      <w:r>
        <w:rPr>
          <w:rStyle w:val="HideTWBExt"/>
        </w:rPr>
        <w:t>&lt;DocAmend&gt;</w:t>
      </w:r>
      <w:r>
        <w:t>Ontwerpresolutie</w:t>
      </w:r>
      <w:r>
        <w:rPr>
          <w:rStyle w:val="HideTWBExt"/>
        </w:rPr>
        <w:t>&lt;/DocAmend&gt;</w:t>
      </w:r>
    </w:p>
    <w:p w14:paraId="6A037089" w14:textId="77777777" w:rsidR="006B6379" w:rsidRPr="00E96208" w:rsidRDefault="006B6379" w:rsidP="006B6379">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4551AE33" w14:textId="77777777" w:rsidTr="00B30934">
        <w:trPr>
          <w:trHeight w:val="240"/>
          <w:jc w:val="center"/>
        </w:trPr>
        <w:tc>
          <w:tcPr>
            <w:tcW w:w="9752" w:type="dxa"/>
            <w:gridSpan w:val="2"/>
            <w:tcBorders>
              <w:top w:val="nil"/>
              <w:left w:val="nil"/>
              <w:bottom w:val="nil"/>
              <w:right w:val="nil"/>
            </w:tcBorders>
          </w:tcPr>
          <w:p w14:paraId="21012E15" w14:textId="77777777" w:rsidR="006B6379" w:rsidRPr="00E96208" w:rsidRDefault="006B6379" w:rsidP="00B30934"/>
        </w:tc>
      </w:tr>
      <w:tr w:rsidR="006B6379" w14:paraId="78892346" w14:textId="77777777" w:rsidTr="00B30934">
        <w:trPr>
          <w:trHeight w:val="240"/>
          <w:jc w:val="center"/>
        </w:trPr>
        <w:tc>
          <w:tcPr>
            <w:tcW w:w="4876" w:type="dxa"/>
            <w:tcBorders>
              <w:top w:val="nil"/>
              <w:left w:val="nil"/>
              <w:bottom w:val="nil"/>
              <w:right w:val="nil"/>
            </w:tcBorders>
            <w:hideMark/>
          </w:tcPr>
          <w:p w14:paraId="6994BACF"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09CF80B4" w14:textId="77777777" w:rsidR="006B6379" w:rsidRPr="00E96208" w:rsidRDefault="006B6379" w:rsidP="00B30934">
            <w:pPr>
              <w:pStyle w:val="AmColumnHeading"/>
            </w:pPr>
            <w:r>
              <w:t>Amendement</w:t>
            </w:r>
          </w:p>
        </w:tc>
      </w:tr>
      <w:tr w:rsidR="006B6379" w14:paraId="18C031BA" w14:textId="77777777" w:rsidTr="00B30934">
        <w:trPr>
          <w:jc w:val="center"/>
        </w:trPr>
        <w:tc>
          <w:tcPr>
            <w:tcW w:w="4876" w:type="dxa"/>
            <w:tcBorders>
              <w:top w:val="nil"/>
              <w:left w:val="nil"/>
              <w:bottom w:val="nil"/>
              <w:right w:val="nil"/>
            </w:tcBorders>
            <w:hideMark/>
          </w:tcPr>
          <w:p w14:paraId="401B22E0" w14:textId="77777777" w:rsidR="006B6379" w:rsidRPr="00E96208" w:rsidRDefault="006B6379" w:rsidP="00B30934">
            <w:pPr>
              <w:pStyle w:val="Normal6a"/>
            </w:pPr>
            <w:r>
              <w:t>D.</w:t>
            </w:r>
            <w:r>
              <w:tab/>
              <w:t xml:space="preserve">overwegende dat het EOM </w:t>
            </w:r>
            <w:r>
              <w:rPr>
                <w:b/>
                <w:i/>
              </w:rPr>
              <w:t>tussenbeide komt wanneer</w:t>
            </w:r>
            <w:r>
              <w:t xml:space="preserve"> de </w:t>
            </w:r>
            <w:r>
              <w:rPr>
                <w:b/>
                <w:i/>
              </w:rPr>
              <w:t>prerogatieven</w:t>
            </w:r>
            <w:r>
              <w:t xml:space="preserve"> van de </w:t>
            </w:r>
            <w:r>
              <w:rPr>
                <w:b/>
                <w:i/>
              </w:rPr>
              <w:t>nationale autoriteiten die deze strafbare feiten</w:t>
            </w:r>
            <w:r>
              <w:t xml:space="preserve"> onderzoeken en vervolgen</w:t>
            </w:r>
            <w:r>
              <w:rPr>
                <w:b/>
                <w:i/>
              </w:rPr>
              <w:t>, ophouden bij</w:t>
            </w:r>
            <w:r>
              <w:t xml:space="preserve"> de </w:t>
            </w:r>
            <w:r>
              <w:rPr>
                <w:b/>
                <w:i/>
              </w:rPr>
              <w:t>grenzen</w:t>
            </w:r>
            <w:r>
              <w:t xml:space="preserve"> van </w:t>
            </w:r>
            <w:r>
              <w:rPr>
                <w:b/>
                <w:i/>
              </w:rPr>
              <w:t>hun land</w:t>
            </w:r>
            <w:r>
              <w:t xml:space="preserve">, </w:t>
            </w:r>
            <w:r>
              <w:rPr>
                <w:b/>
                <w:i/>
              </w:rPr>
              <w:t>en</w:t>
            </w:r>
            <w:r>
              <w:t xml:space="preserve"> andere organisaties zoals </w:t>
            </w:r>
            <w:proofErr w:type="spellStart"/>
            <w:r>
              <w:t>Eurojust</w:t>
            </w:r>
            <w:proofErr w:type="spellEnd"/>
            <w:r>
              <w:t>, OLAF en Europol niet over de nodige bevoegdheden beschikken om de desbetreffende strafrechtelijke onderzoeken en vervolgingen uit te voeren;</w:t>
            </w:r>
          </w:p>
        </w:tc>
        <w:tc>
          <w:tcPr>
            <w:tcW w:w="4876" w:type="dxa"/>
            <w:tcBorders>
              <w:top w:val="nil"/>
              <w:left w:val="nil"/>
              <w:bottom w:val="nil"/>
              <w:right w:val="nil"/>
            </w:tcBorders>
            <w:hideMark/>
          </w:tcPr>
          <w:p w14:paraId="6C15BB52" w14:textId="77777777" w:rsidR="006B6379" w:rsidRPr="00E96208" w:rsidRDefault="006B6379" w:rsidP="00B30934">
            <w:pPr>
              <w:pStyle w:val="Normal6a"/>
            </w:pPr>
            <w:r>
              <w:t>D.</w:t>
            </w:r>
            <w:r>
              <w:tab/>
              <w:t xml:space="preserve">overwegende dat het EOM </w:t>
            </w:r>
            <w:r>
              <w:rPr>
                <w:b/>
                <w:i/>
              </w:rPr>
              <w:t>verankerd is in</w:t>
            </w:r>
            <w:r>
              <w:t xml:space="preserve"> de </w:t>
            </w:r>
            <w:r>
              <w:rPr>
                <w:b/>
                <w:i/>
              </w:rPr>
              <w:t>nationale rechtsstelsels</w:t>
            </w:r>
            <w:r>
              <w:t xml:space="preserve"> van de </w:t>
            </w:r>
            <w:r>
              <w:rPr>
                <w:b/>
                <w:i/>
              </w:rPr>
              <w:t>deelnemende lidstaten en een prioritaire bevoegdheid heeft voor het</w:t>
            </w:r>
            <w:r>
              <w:t xml:space="preserve"> onderzoeken en vervolgen</w:t>
            </w:r>
            <w:r>
              <w:rPr>
                <w:b/>
                <w:i/>
              </w:rPr>
              <w:t xml:space="preserve"> van strafbare feiten die</w:t>
            </w:r>
            <w:r>
              <w:t xml:space="preserve"> de </w:t>
            </w:r>
            <w:r>
              <w:rPr>
                <w:b/>
                <w:i/>
              </w:rPr>
              <w:t>financiële belangen</w:t>
            </w:r>
            <w:r>
              <w:t xml:space="preserve"> van </w:t>
            </w:r>
            <w:r>
              <w:rPr>
                <w:b/>
                <w:i/>
              </w:rPr>
              <w:t>de EU schaden</w:t>
            </w:r>
            <w:r>
              <w:t xml:space="preserve">, </w:t>
            </w:r>
            <w:r>
              <w:rPr>
                <w:b/>
                <w:i/>
              </w:rPr>
              <w:t>terwijl</w:t>
            </w:r>
            <w:r>
              <w:t xml:space="preserve"> andere organisaties zoals </w:t>
            </w:r>
            <w:proofErr w:type="spellStart"/>
            <w:r>
              <w:t>Eurojust</w:t>
            </w:r>
            <w:proofErr w:type="spellEnd"/>
            <w:r>
              <w:t>, OLAF en Europol niet over de nodige bevoegdheden beschikken om de desbetreffende strafrechtelijke onderzoeken en vervolgingen uit te voeren;</w:t>
            </w:r>
          </w:p>
        </w:tc>
      </w:tr>
    </w:tbl>
    <w:p w14:paraId="204066A4"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61AE72A6" w14:textId="77777777" w:rsidR="006B6379" w:rsidRPr="00E96208" w:rsidRDefault="006B6379" w:rsidP="006B6379">
      <w:r>
        <w:rPr>
          <w:rStyle w:val="HideTWBExt"/>
        </w:rPr>
        <w:t>&lt;/Amend&gt;</w:t>
      </w:r>
    </w:p>
    <w:p w14:paraId="772DD03F" w14:textId="77777777" w:rsidR="006B6379" w:rsidRPr="00E96208" w:rsidRDefault="006B6379" w:rsidP="006B6379">
      <w:pPr>
        <w:pStyle w:val="AmNumberTabs"/>
      </w:pPr>
      <w:r>
        <w:rPr>
          <w:rStyle w:val="HideTWBExt"/>
        </w:rPr>
        <w:t>&lt;Amend&gt;</w:t>
      </w:r>
      <w:r>
        <w:t>Amendement</w:t>
      </w:r>
      <w:r>
        <w:tab/>
      </w:r>
      <w:r>
        <w:tab/>
      </w:r>
      <w:r>
        <w:rPr>
          <w:rStyle w:val="HideTWBExt"/>
        </w:rPr>
        <w:t>&lt;NumAm&gt;</w:t>
      </w:r>
      <w:r>
        <w:t>4</w:t>
      </w:r>
      <w:r>
        <w:rPr>
          <w:rStyle w:val="HideTWBExt"/>
        </w:rPr>
        <w:t>&lt;/NumAm&gt;</w:t>
      </w:r>
    </w:p>
    <w:p w14:paraId="339AF94C"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5B5AAE8D" w14:textId="77777777" w:rsidR="006B6379" w:rsidRPr="00E96208" w:rsidRDefault="006B6379" w:rsidP="006B6379">
      <w:pPr>
        <w:pStyle w:val="NormalBold"/>
      </w:pPr>
      <w:r>
        <w:rPr>
          <w:rStyle w:val="HideTWBExt"/>
          <w:b w:val="0"/>
        </w:rPr>
        <w:t>&lt;/RepeatBlock-By&gt;</w:t>
      </w:r>
    </w:p>
    <w:p w14:paraId="40E73E2D" w14:textId="77777777" w:rsidR="006B6379" w:rsidRPr="00E96208" w:rsidRDefault="006B6379" w:rsidP="006B6379">
      <w:pPr>
        <w:pStyle w:val="NormalBold"/>
      </w:pPr>
      <w:r>
        <w:rPr>
          <w:rStyle w:val="HideTWBExt"/>
        </w:rPr>
        <w:t>&lt;DocAmend&gt;</w:t>
      </w:r>
      <w:r>
        <w:t>Ontwerpresolutie</w:t>
      </w:r>
      <w:r>
        <w:rPr>
          <w:rStyle w:val="HideTWBExt"/>
        </w:rPr>
        <w:t>&lt;/DocAmend&gt;</w:t>
      </w:r>
    </w:p>
    <w:p w14:paraId="02490DDB" w14:textId="77777777" w:rsidR="006B6379" w:rsidRPr="00E96208" w:rsidRDefault="006B6379" w:rsidP="006B6379">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2A608467" w14:textId="77777777" w:rsidTr="00B30934">
        <w:trPr>
          <w:trHeight w:val="240"/>
          <w:jc w:val="center"/>
        </w:trPr>
        <w:tc>
          <w:tcPr>
            <w:tcW w:w="9752" w:type="dxa"/>
            <w:gridSpan w:val="2"/>
            <w:tcBorders>
              <w:top w:val="nil"/>
              <w:left w:val="nil"/>
              <w:bottom w:val="nil"/>
              <w:right w:val="nil"/>
            </w:tcBorders>
          </w:tcPr>
          <w:p w14:paraId="47A5454D" w14:textId="77777777" w:rsidR="006B6379" w:rsidRPr="00E96208" w:rsidRDefault="006B6379" w:rsidP="00B30934"/>
        </w:tc>
      </w:tr>
      <w:tr w:rsidR="006B6379" w14:paraId="79342A45" w14:textId="77777777" w:rsidTr="00B30934">
        <w:trPr>
          <w:trHeight w:val="240"/>
          <w:jc w:val="center"/>
        </w:trPr>
        <w:tc>
          <w:tcPr>
            <w:tcW w:w="4876" w:type="dxa"/>
            <w:tcBorders>
              <w:top w:val="nil"/>
              <w:left w:val="nil"/>
              <w:bottom w:val="nil"/>
              <w:right w:val="nil"/>
            </w:tcBorders>
            <w:hideMark/>
          </w:tcPr>
          <w:p w14:paraId="53C41D56"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25A655BE" w14:textId="77777777" w:rsidR="006B6379" w:rsidRPr="00E96208" w:rsidRDefault="006B6379" w:rsidP="00B30934">
            <w:pPr>
              <w:pStyle w:val="AmColumnHeading"/>
            </w:pPr>
            <w:r>
              <w:t>Amendement</w:t>
            </w:r>
          </w:p>
        </w:tc>
      </w:tr>
      <w:tr w:rsidR="006B6379" w14:paraId="71BB8CB3" w14:textId="77777777" w:rsidTr="00B30934">
        <w:trPr>
          <w:jc w:val="center"/>
        </w:trPr>
        <w:tc>
          <w:tcPr>
            <w:tcW w:w="4876" w:type="dxa"/>
            <w:tcBorders>
              <w:top w:val="nil"/>
              <w:left w:val="nil"/>
              <w:bottom w:val="nil"/>
              <w:right w:val="nil"/>
            </w:tcBorders>
            <w:hideMark/>
          </w:tcPr>
          <w:p w14:paraId="61468782" w14:textId="77777777" w:rsidR="006B6379" w:rsidRPr="00E96208" w:rsidRDefault="006B6379" w:rsidP="00B30934">
            <w:pPr>
              <w:pStyle w:val="Normal6a"/>
            </w:pPr>
            <w:r>
              <w:t>E.</w:t>
            </w:r>
            <w:r>
              <w:tab/>
              <w:t xml:space="preserve">overwegende dat de procedurele handelingen van het EOM onderworpen zijn aan rechterlijke toetsing door de nationale rechtbanken en dat het Hof van Justitie van de Europese Unie – door middel van een prejudiciële beslissing of rechterlijke toetsing – </w:t>
            </w:r>
            <w:r>
              <w:rPr>
                <w:b/>
                <w:i/>
              </w:rPr>
              <w:t>residuele bevoegdheden heeft om</w:t>
            </w:r>
            <w:r>
              <w:t xml:space="preserve"> een consistente toepassing van het Unierecht</w:t>
            </w:r>
            <w:r>
              <w:rPr>
                <w:b/>
                <w:i/>
              </w:rPr>
              <w:t xml:space="preserve"> te waarborgen</w:t>
            </w:r>
            <w:r>
              <w:t>;</w:t>
            </w:r>
          </w:p>
        </w:tc>
        <w:tc>
          <w:tcPr>
            <w:tcW w:w="4876" w:type="dxa"/>
            <w:tcBorders>
              <w:top w:val="nil"/>
              <w:left w:val="nil"/>
              <w:bottom w:val="nil"/>
              <w:right w:val="nil"/>
            </w:tcBorders>
            <w:hideMark/>
          </w:tcPr>
          <w:p w14:paraId="69C97C89" w14:textId="77777777" w:rsidR="006B6379" w:rsidRPr="00E96208" w:rsidRDefault="006B6379" w:rsidP="00B30934">
            <w:pPr>
              <w:pStyle w:val="Normal6a"/>
            </w:pPr>
            <w:r>
              <w:t>E.</w:t>
            </w:r>
            <w:r>
              <w:tab/>
              <w:t xml:space="preserve">overwegende dat de procedurele handelingen van het EOM onderworpen zijn aan rechterlijke toetsing door de nationale rechtbanken </w:t>
            </w:r>
            <w:r>
              <w:rPr>
                <w:b/>
                <w:i/>
              </w:rPr>
              <w:t xml:space="preserve">in overeenstemming met het nationale recht </w:t>
            </w:r>
            <w:r>
              <w:t xml:space="preserve">en dat het Hof van Justitie van de Europese Unie – door middel van een prejudiciële beslissing of rechterlijke toetsing – </w:t>
            </w:r>
            <w:r>
              <w:rPr>
                <w:b/>
                <w:i/>
              </w:rPr>
              <w:t>waakt over</w:t>
            </w:r>
            <w:r>
              <w:t xml:space="preserve"> een consistente toepassing van het Unierecht</w:t>
            </w:r>
            <w:r>
              <w:rPr>
                <w:b/>
                <w:i/>
              </w:rPr>
              <w:t>, met name over de eenvormige uitlegging van de EOM-verordening en de PIF-richtlijn</w:t>
            </w:r>
            <w:r>
              <w:t>;</w:t>
            </w:r>
          </w:p>
        </w:tc>
      </w:tr>
    </w:tbl>
    <w:p w14:paraId="4311B5AC"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19737110" w14:textId="77777777" w:rsidR="006B6379" w:rsidRPr="00E96208" w:rsidRDefault="006B6379" w:rsidP="006B6379">
      <w:r>
        <w:rPr>
          <w:rStyle w:val="HideTWBExt"/>
        </w:rPr>
        <w:t>&lt;/Amend&gt;</w:t>
      </w:r>
    </w:p>
    <w:p w14:paraId="5ACF6751" w14:textId="77777777" w:rsidR="006B6379" w:rsidRPr="00E96208" w:rsidRDefault="006B6379" w:rsidP="006B6379">
      <w:pPr>
        <w:pStyle w:val="AmNumberTabs"/>
      </w:pPr>
      <w:r>
        <w:rPr>
          <w:rStyle w:val="HideTWBExt"/>
        </w:rPr>
        <w:t>&lt;Amend&gt;</w:t>
      </w:r>
      <w:r>
        <w:t>Amendement</w:t>
      </w:r>
      <w:r>
        <w:tab/>
      </w:r>
      <w:r>
        <w:tab/>
      </w:r>
      <w:r>
        <w:rPr>
          <w:rStyle w:val="HideTWBExt"/>
        </w:rPr>
        <w:t>&lt;NumAm&gt;</w:t>
      </w:r>
      <w:r>
        <w:t>5</w:t>
      </w:r>
      <w:r>
        <w:rPr>
          <w:rStyle w:val="HideTWBExt"/>
        </w:rPr>
        <w:t>&lt;/NumAm&gt;</w:t>
      </w:r>
    </w:p>
    <w:p w14:paraId="61BB81BD"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716D1E67" w14:textId="77777777" w:rsidR="006B6379" w:rsidRPr="00E96208" w:rsidRDefault="006B6379" w:rsidP="006B6379">
      <w:pPr>
        <w:pStyle w:val="NormalBold"/>
      </w:pPr>
      <w:r>
        <w:rPr>
          <w:rStyle w:val="HideTWBExt"/>
          <w:b w:val="0"/>
        </w:rPr>
        <w:t>&lt;/RepeatBlock-By&gt;</w:t>
      </w:r>
    </w:p>
    <w:p w14:paraId="02344118" w14:textId="77777777" w:rsidR="006B6379" w:rsidRPr="00E96208" w:rsidRDefault="006B6379" w:rsidP="006B6379">
      <w:pPr>
        <w:pStyle w:val="NormalBold"/>
      </w:pPr>
      <w:r>
        <w:rPr>
          <w:rStyle w:val="HideTWBExt"/>
        </w:rPr>
        <w:t>&lt;DocAmend&gt;</w:t>
      </w:r>
      <w:r>
        <w:t>Ontwerpresolutie</w:t>
      </w:r>
      <w:r>
        <w:rPr>
          <w:rStyle w:val="HideTWBExt"/>
        </w:rPr>
        <w:t>&lt;/DocAmend&gt;</w:t>
      </w:r>
    </w:p>
    <w:p w14:paraId="29B1E9F2" w14:textId="77777777" w:rsidR="006B6379" w:rsidRPr="00E96208" w:rsidRDefault="006B6379" w:rsidP="006B6379">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30BCC90B" w14:textId="77777777" w:rsidTr="00B30934">
        <w:trPr>
          <w:trHeight w:val="240"/>
          <w:jc w:val="center"/>
        </w:trPr>
        <w:tc>
          <w:tcPr>
            <w:tcW w:w="9752" w:type="dxa"/>
            <w:gridSpan w:val="2"/>
            <w:tcBorders>
              <w:top w:val="nil"/>
              <w:left w:val="nil"/>
              <w:bottom w:val="nil"/>
              <w:right w:val="nil"/>
            </w:tcBorders>
          </w:tcPr>
          <w:p w14:paraId="2968B38C" w14:textId="77777777" w:rsidR="006B6379" w:rsidRPr="00E96208" w:rsidRDefault="006B6379" w:rsidP="00B30934"/>
        </w:tc>
      </w:tr>
      <w:tr w:rsidR="006B6379" w14:paraId="18D05B9C" w14:textId="77777777" w:rsidTr="00B30934">
        <w:trPr>
          <w:trHeight w:val="240"/>
          <w:jc w:val="center"/>
        </w:trPr>
        <w:tc>
          <w:tcPr>
            <w:tcW w:w="4876" w:type="dxa"/>
            <w:tcBorders>
              <w:top w:val="nil"/>
              <w:left w:val="nil"/>
              <w:bottom w:val="nil"/>
              <w:right w:val="nil"/>
            </w:tcBorders>
            <w:hideMark/>
          </w:tcPr>
          <w:p w14:paraId="557973E6"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2F6034A5" w14:textId="77777777" w:rsidR="006B6379" w:rsidRPr="00E96208" w:rsidRDefault="006B6379" w:rsidP="00B30934">
            <w:pPr>
              <w:pStyle w:val="AmColumnHeading"/>
            </w:pPr>
            <w:r>
              <w:t>Amendement</w:t>
            </w:r>
          </w:p>
        </w:tc>
      </w:tr>
      <w:tr w:rsidR="006B6379" w14:paraId="71960643" w14:textId="77777777" w:rsidTr="00B30934">
        <w:trPr>
          <w:jc w:val="center"/>
        </w:trPr>
        <w:tc>
          <w:tcPr>
            <w:tcW w:w="4876" w:type="dxa"/>
            <w:tcBorders>
              <w:top w:val="nil"/>
              <w:left w:val="nil"/>
              <w:bottom w:val="nil"/>
              <w:right w:val="nil"/>
            </w:tcBorders>
            <w:hideMark/>
          </w:tcPr>
          <w:p w14:paraId="0C5735F5" w14:textId="77777777" w:rsidR="006B6379" w:rsidRPr="00E96208" w:rsidRDefault="006B6379" w:rsidP="00B30934">
            <w:pPr>
              <w:pStyle w:val="Normal6a"/>
            </w:pPr>
            <w:r>
              <w:t>F.</w:t>
            </w:r>
            <w:r>
              <w:tab/>
              <w:t xml:space="preserve">overwegende dat het EOM bestaat uit een centraal niveau, met hoofdkantoor in Luxemburg, bestaande uit de Europees hoofdaanklager, 24 Europese aanklagers (één per deelnemende lidstaat na de toetreding van Polen en Zweden tot het EOM, </w:t>
            </w:r>
            <w:r>
              <w:rPr>
                <w:b/>
                <w:i/>
              </w:rPr>
              <w:t>respectievelijk</w:t>
            </w:r>
            <w:r>
              <w:t xml:space="preserve"> op 20 maart en 19 juli 2024) en de administratief directeur, en een gedecentraliseerd, nationaal niveau, bestaande uit de gedelegeerde Europese aanklagers in de 24 deelnemende lidstaten;</w:t>
            </w:r>
          </w:p>
        </w:tc>
        <w:tc>
          <w:tcPr>
            <w:tcW w:w="4876" w:type="dxa"/>
            <w:tcBorders>
              <w:top w:val="nil"/>
              <w:left w:val="nil"/>
              <w:bottom w:val="nil"/>
              <w:right w:val="nil"/>
            </w:tcBorders>
            <w:hideMark/>
          </w:tcPr>
          <w:p w14:paraId="08BDBA05" w14:textId="77777777" w:rsidR="006B6379" w:rsidRPr="00E96208" w:rsidRDefault="006B6379" w:rsidP="00B30934">
            <w:pPr>
              <w:pStyle w:val="Normal6a"/>
            </w:pPr>
            <w:r>
              <w:t>F.</w:t>
            </w:r>
            <w:r>
              <w:tab/>
              <w:t xml:space="preserve">overwegende dat het EOM bestaat uit een centraal niveau, met hoofdkantoor in Luxemburg, bestaande uit de Europees hoofdaanklager, 24 Europese aanklagers (één per deelnemende lidstaat na de toetreding van Polen en Zweden tot het EOM, op </w:t>
            </w:r>
            <w:r>
              <w:rPr>
                <w:b/>
                <w:i/>
              </w:rPr>
              <w:t>respectievelijk</w:t>
            </w:r>
            <w:r>
              <w:t xml:space="preserve"> 20 maart en 19 juli 2024) en de administratief directeur, en een gedecentraliseerd, nationaal niveau, bestaande uit de gedelegeerde Europese aanklagers in de 24 deelnemende lidstaten;</w:t>
            </w:r>
          </w:p>
        </w:tc>
      </w:tr>
    </w:tbl>
    <w:p w14:paraId="237B3E3D"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4A0F746A" w14:textId="77777777" w:rsidR="006B6379" w:rsidRPr="00E96208" w:rsidRDefault="006B6379" w:rsidP="006B6379">
      <w:r>
        <w:rPr>
          <w:rStyle w:val="HideTWBExt"/>
        </w:rPr>
        <w:t>&lt;/Amend&gt;</w:t>
      </w:r>
    </w:p>
    <w:p w14:paraId="4EC2E3D1" w14:textId="77777777" w:rsidR="006B6379" w:rsidRPr="00E96208" w:rsidRDefault="006B6379" w:rsidP="006B6379">
      <w:pPr>
        <w:pStyle w:val="AmNumberTabs"/>
      </w:pPr>
      <w:r>
        <w:rPr>
          <w:rStyle w:val="HideTWBExt"/>
        </w:rPr>
        <w:t>&lt;Amend&gt;</w:t>
      </w:r>
      <w:r>
        <w:t>Amendement</w:t>
      </w:r>
      <w:r>
        <w:tab/>
      </w:r>
      <w:r>
        <w:tab/>
      </w:r>
      <w:r>
        <w:rPr>
          <w:rStyle w:val="HideTWBExt"/>
        </w:rPr>
        <w:t>&lt;NumAm&gt;</w:t>
      </w:r>
      <w:r>
        <w:t>6</w:t>
      </w:r>
      <w:r>
        <w:rPr>
          <w:rStyle w:val="HideTWBExt"/>
        </w:rPr>
        <w:t>&lt;/NumAm&gt;</w:t>
      </w:r>
    </w:p>
    <w:p w14:paraId="25AA9701" w14:textId="77777777" w:rsidR="006B6379" w:rsidRPr="00E96208" w:rsidRDefault="006B6379" w:rsidP="006B6379">
      <w:pPr>
        <w:pStyle w:val="NormalBold"/>
      </w:pPr>
      <w:r>
        <w:rPr>
          <w:rStyle w:val="HideTWBExt"/>
          <w:b w:val="0"/>
        </w:rPr>
        <w:t>&lt;RepeatBlock-By&gt;&lt;Members&gt;</w:t>
      </w:r>
      <w:r>
        <w:t>Gilles Boyer, Olivier Chastel, Vlad Vasile-Voiculescu, Michal Wiezik</w:t>
      </w:r>
      <w:r>
        <w:rPr>
          <w:rStyle w:val="HideTWBExt"/>
          <w:b w:val="0"/>
        </w:rPr>
        <w:t>&lt;/Members&gt;</w:t>
      </w:r>
    </w:p>
    <w:p w14:paraId="1C6FBF2E" w14:textId="77777777" w:rsidR="006B6379" w:rsidRPr="00E96208" w:rsidRDefault="006B6379" w:rsidP="006B6379">
      <w:pPr>
        <w:pStyle w:val="NormalBold"/>
      </w:pPr>
      <w:r>
        <w:rPr>
          <w:rStyle w:val="HideTWBExt"/>
          <w:b w:val="0"/>
        </w:rPr>
        <w:t>&lt;/RepeatBlock-By&gt;</w:t>
      </w:r>
    </w:p>
    <w:p w14:paraId="06061BEF" w14:textId="77777777" w:rsidR="006B6379" w:rsidRPr="00E96208" w:rsidRDefault="006B6379" w:rsidP="006B6379">
      <w:pPr>
        <w:pStyle w:val="NormalBold"/>
      </w:pPr>
      <w:r>
        <w:rPr>
          <w:rStyle w:val="HideTWBExt"/>
        </w:rPr>
        <w:t>&lt;DocAmend&gt;</w:t>
      </w:r>
      <w:r>
        <w:t>Ontwerpresolutie</w:t>
      </w:r>
      <w:r>
        <w:rPr>
          <w:rStyle w:val="HideTWBExt"/>
        </w:rPr>
        <w:t>&lt;/DocAmend&gt;</w:t>
      </w:r>
    </w:p>
    <w:p w14:paraId="336A5998" w14:textId="77777777" w:rsidR="006B6379" w:rsidRPr="00E96208" w:rsidRDefault="006B6379" w:rsidP="006B6379">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0A5D8C26" w14:textId="77777777" w:rsidTr="00B30934">
        <w:trPr>
          <w:trHeight w:val="240"/>
          <w:jc w:val="center"/>
        </w:trPr>
        <w:tc>
          <w:tcPr>
            <w:tcW w:w="9752" w:type="dxa"/>
            <w:gridSpan w:val="2"/>
            <w:tcBorders>
              <w:top w:val="nil"/>
              <w:left w:val="nil"/>
              <w:bottom w:val="nil"/>
              <w:right w:val="nil"/>
            </w:tcBorders>
          </w:tcPr>
          <w:p w14:paraId="11FBF7C9" w14:textId="77777777" w:rsidR="006B6379" w:rsidRPr="00E96208" w:rsidRDefault="006B6379" w:rsidP="00B30934"/>
        </w:tc>
      </w:tr>
      <w:tr w:rsidR="006B6379" w14:paraId="78DB936D" w14:textId="77777777" w:rsidTr="00B30934">
        <w:trPr>
          <w:trHeight w:val="240"/>
          <w:jc w:val="center"/>
        </w:trPr>
        <w:tc>
          <w:tcPr>
            <w:tcW w:w="4876" w:type="dxa"/>
            <w:tcBorders>
              <w:top w:val="nil"/>
              <w:left w:val="nil"/>
              <w:bottom w:val="nil"/>
              <w:right w:val="nil"/>
            </w:tcBorders>
            <w:hideMark/>
          </w:tcPr>
          <w:p w14:paraId="41D65523"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568CF68E" w14:textId="77777777" w:rsidR="006B6379" w:rsidRPr="00E96208" w:rsidRDefault="006B6379" w:rsidP="00B30934">
            <w:pPr>
              <w:pStyle w:val="AmColumnHeading"/>
            </w:pPr>
            <w:r>
              <w:t>Amendement</w:t>
            </w:r>
          </w:p>
        </w:tc>
      </w:tr>
      <w:tr w:rsidR="006B6379" w14:paraId="417566BD" w14:textId="77777777" w:rsidTr="00B30934">
        <w:trPr>
          <w:jc w:val="center"/>
        </w:trPr>
        <w:tc>
          <w:tcPr>
            <w:tcW w:w="4876" w:type="dxa"/>
            <w:tcBorders>
              <w:top w:val="nil"/>
              <w:left w:val="nil"/>
              <w:bottom w:val="nil"/>
              <w:right w:val="nil"/>
            </w:tcBorders>
            <w:hideMark/>
          </w:tcPr>
          <w:p w14:paraId="1AB3C7BE" w14:textId="77777777" w:rsidR="006B6379" w:rsidRPr="00E96208" w:rsidRDefault="006B6379" w:rsidP="00B30934">
            <w:pPr>
              <w:pStyle w:val="Normal6a"/>
            </w:pPr>
            <w:r>
              <w:t>G.</w:t>
            </w:r>
            <w:r>
              <w:tab/>
              <w:t>overwegende dat de Europees hoofdaanklager en de 24 Europese aanklagers op centraal niveau het college van het EOM (“het college”) vormen</w:t>
            </w:r>
            <w:r>
              <w:rPr>
                <w:b/>
                <w:i/>
              </w:rPr>
              <w:t>, dat tot</w:t>
            </w:r>
            <w:r>
              <w:t xml:space="preserve"> taak </w:t>
            </w:r>
            <w:r>
              <w:rPr>
                <w:b/>
                <w:i/>
              </w:rPr>
              <w:t>heeft</w:t>
            </w:r>
            <w:r>
              <w:t xml:space="preserve"> toezicht te houden op de onderzoeken en vervolgingen die worden uitgevoerd door de gedelegeerde Europese aanklagers op nationaal niveau, die volledig onafhankelijk opereren van hun nationale autoriteiten;</w:t>
            </w:r>
          </w:p>
        </w:tc>
        <w:tc>
          <w:tcPr>
            <w:tcW w:w="4876" w:type="dxa"/>
            <w:tcBorders>
              <w:top w:val="nil"/>
              <w:left w:val="nil"/>
              <w:bottom w:val="nil"/>
              <w:right w:val="nil"/>
            </w:tcBorders>
            <w:hideMark/>
          </w:tcPr>
          <w:p w14:paraId="7E028356" w14:textId="77777777" w:rsidR="006B6379" w:rsidRPr="00E96208" w:rsidRDefault="006B6379" w:rsidP="00B30934">
            <w:pPr>
              <w:pStyle w:val="Normal6a"/>
            </w:pPr>
            <w:r>
              <w:t>G.</w:t>
            </w:r>
            <w:r>
              <w:tab/>
              <w:t xml:space="preserve">overwegende dat de Europees hoofdaanklager en de 24 Europese aanklagers op centraal niveau het college van het EOM (“het college”) vormen </w:t>
            </w:r>
            <w:r>
              <w:rPr>
                <w:b/>
                <w:i/>
              </w:rPr>
              <w:t>en zij worden toegewezen aan 15 permanente kamers met als</w:t>
            </w:r>
            <w:r>
              <w:t xml:space="preserve"> taak toezicht te houden op de onderzoeken en vervolgingen die worden uitgevoerd door de gedelegeerde Europese aanklagers op nationaal niveau, die volledig onafhankelijk opereren van hun nationale autoriteiten;</w:t>
            </w:r>
          </w:p>
        </w:tc>
      </w:tr>
    </w:tbl>
    <w:p w14:paraId="4FF33B19"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412F1123" w14:textId="77777777" w:rsidR="006B6379" w:rsidRPr="00E96208" w:rsidRDefault="006B6379" w:rsidP="006B6379">
      <w:r>
        <w:rPr>
          <w:rStyle w:val="HideTWBExt"/>
        </w:rPr>
        <w:t>&lt;/Amend&gt;</w:t>
      </w:r>
    </w:p>
    <w:p w14:paraId="159735C0" w14:textId="77777777" w:rsidR="006B6379" w:rsidRPr="00E96208" w:rsidRDefault="006B6379" w:rsidP="006B6379">
      <w:pPr>
        <w:pStyle w:val="AmNumberTabs"/>
      </w:pPr>
      <w:r>
        <w:rPr>
          <w:rStyle w:val="HideTWBExt"/>
        </w:rPr>
        <w:t>&lt;Amend&gt;</w:t>
      </w:r>
      <w:r>
        <w:t>Amendement</w:t>
      </w:r>
      <w:r>
        <w:tab/>
      </w:r>
      <w:r>
        <w:tab/>
      </w:r>
      <w:r>
        <w:rPr>
          <w:rStyle w:val="HideTWBExt"/>
        </w:rPr>
        <w:t>&lt;NumAm&gt;</w:t>
      </w:r>
      <w:r>
        <w:t>7</w:t>
      </w:r>
      <w:r>
        <w:rPr>
          <w:rStyle w:val="HideTWBExt"/>
        </w:rPr>
        <w:t>&lt;/NumAm&gt;</w:t>
      </w:r>
    </w:p>
    <w:p w14:paraId="64F5C7DC" w14:textId="77777777" w:rsidR="006B6379" w:rsidRPr="00E96208" w:rsidRDefault="006B6379" w:rsidP="006B6379">
      <w:pPr>
        <w:pStyle w:val="NormalBold"/>
      </w:pPr>
      <w:r>
        <w:rPr>
          <w:rStyle w:val="HideTWBExt"/>
          <w:b w:val="0"/>
        </w:rPr>
        <w:t>&lt;RepeatBlock-By&gt;&lt;Members&gt;</w:t>
      </w:r>
      <w:r>
        <w:t>Gilles Boyer, Olivier Chastel, Vlad Vasile-Voiculescu, Michal Wiezik</w:t>
      </w:r>
      <w:r>
        <w:rPr>
          <w:rStyle w:val="HideTWBExt"/>
          <w:b w:val="0"/>
        </w:rPr>
        <w:t>&lt;/Members&gt;</w:t>
      </w:r>
    </w:p>
    <w:p w14:paraId="44013D34" w14:textId="77777777" w:rsidR="006B6379" w:rsidRPr="00E96208" w:rsidRDefault="006B6379" w:rsidP="006B6379">
      <w:pPr>
        <w:pStyle w:val="NormalBold"/>
      </w:pPr>
      <w:r>
        <w:rPr>
          <w:rStyle w:val="HideTWBExt"/>
          <w:b w:val="0"/>
        </w:rPr>
        <w:t>&lt;/RepeatBlock-By&gt;</w:t>
      </w:r>
    </w:p>
    <w:p w14:paraId="7E95DE83" w14:textId="77777777" w:rsidR="006B6379" w:rsidRPr="00E96208" w:rsidRDefault="006B6379" w:rsidP="006B6379">
      <w:pPr>
        <w:pStyle w:val="NormalBold"/>
      </w:pPr>
      <w:r>
        <w:rPr>
          <w:rStyle w:val="HideTWBExt"/>
        </w:rPr>
        <w:t>&lt;DocAmend&gt;</w:t>
      </w:r>
      <w:r>
        <w:t>Ontwerpresolutie</w:t>
      </w:r>
      <w:r>
        <w:rPr>
          <w:rStyle w:val="HideTWBExt"/>
        </w:rPr>
        <w:t>&lt;/DocAmend&gt;</w:t>
      </w:r>
    </w:p>
    <w:p w14:paraId="568633A3" w14:textId="77777777" w:rsidR="006B6379" w:rsidRPr="00E96208" w:rsidRDefault="006B6379" w:rsidP="006B6379">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0FC1456B" w14:textId="77777777" w:rsidTr="00B30934">
        <w:trPr>
          <w:trHeight w:val="240"/>
          <w:jc w:val="center"/>
        </w:trPr>
        <w:tc>
          <w:tcPr>
            <w:tcW w:w="9752" w:type="dxa"/>
            <w:gridSpan w:val="2"/>
            <w:tcBorders>
              <w:top w:val="nil"/>
              <w:left w:val="nil"/>
              <w:bottom w:val="nil"/>
              <w:right w:val="nil"/>
            </w:tcBorders>
          </w:tcPr>
          <w:p w14:paraId="7577CB5A" w14:textId="77777777" w:rsidR="006B6379" w:rsidRPr="00E96208" w:rsidRDefault="006B6379" w:rsidP="00B30934"/>
        </w:tc>
      </w:tr>
      <w:tr w:rsidR="006B6379" w14:paraId="41B9B4A0" w14:textId="77777777" w:rsidTr="00B30934">
        <w:trPr>
          <w:trHeight w:val="240"/>
          <w:jc w:val="center"/>
        </w:trPr>
        <w:tc>
          <w:tcPr>
            <w:tcW w:w="4876" w:type="dxa"/>
            <w:tcBorders>
              <w:top w:val="nil"/>
              <w:left w:val="nil"/>
              <w:bottom w:val="nil"/>
              <w:right w:val="nil"/>
            </w:tcBorders>
            <w:hideMark/>
          </w:tcPr>
          <w:p w14:paraId="0490C7F5"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4153AA51" w14:textId="77777777" w:rsidR="006B6379" w:rsidRPr="00E96208" w:rsidRDefault="006B6379" w:rsidP="00B30934">
            <w:pPr>
              <w:pStyle w:val="AmColumnHeading"/>
            </w:pPr>
            <w:r>
              <w:t>Amendement</w:t>
            </w:r>
          </w:p>
        </w:tc>
      </w:tr>
      <w:tr w:rsidR="006B6379" w14:paraId="3CF29B23" w14:textId="77777777" w:rsidTr="00B30934">
        <w:trPr>
          <w:jc w:val="center"/>
        </w:trPr>
        <w:tc>
          <w:tcPr>
            <w:tcW w:w="4876" w:type="dxa"/>
            <w:tcBorders>
              <w:top w:val="nil"/>
              <w:left w:val="nil"/>
              <w:bottom w:val="nil"/>
              <w:right w:val="nil"/>
            </w:tcBorders>
            <w:hideMark/>
          </w:tcPr>
          <w:p w14:paraId="0C5337BE" w14:textId="77777777" w:rsidR="006B6379" w:rsidRPr="00E96208" w:rsidRDefault="006B6379" w:rsidP="00B30934">
            <w:pPr>
              <w:pStyle w:val="Normal6a"/>
            </w:pPr>
            <w:r>
              <w:t>K.</w:t>
            </w:r>
            <w:r>
              <w:tab/>
              <w:t xml:space="preserve">overwegende dat bij het onderzoek van het beheer van de middelen van het EOM en de daarmee samenhangende uitgaven </w:t>
            </w:r>
            <w:r>
              <w:rPr>
                <w:b/>
                <w:i/>
              </w:rPr>
              <w:t>niet mag worden voorbijgegaan aan het onderzoek van operationele activiteiten, de methoden voor de uitvoering ervan en de gevolgen en impact daarvan en dat daarbij rekening</w:t>
            </w:r>
            <w:r>
              <w:t xml:space="preserve"> moet worden </w:t>
            </w:r>
            <w:r>
              <w:rPr>
                <w:b/>
                <w:i/>
              </w:rPr>
              <w:t>gehouden met de specifieke kenmerken van vervolging</w:t>
            </w:r>
            <w:r>
              <w:t xml:space="preserve"> en </w:t>
            </w:r>
            <w:r>
              <w:rPr>
                <w:b/>
                <w:i/>
              </w:rPr>
              <w:t>onderzoek door middel van een voortdurende evaluatie</w:t>
            </w:r>
            <w:r>
              <w:t xml:space="preserve"> om </w:t>
            </w:r>
            <w:r>
              <w:rPr>
                <w:b/>
                <w:i/>
              </w:rPr>
              <w:t>ervoor te zorgen dat er voldoende middelen beschikbaar blijven om de operationele doeltreffendheid</w:t>
            </w:r>
            <w:r>
              <w:t xml:space="preserve"> te waarborgen;</w:t>
            </w:r>
          </w:p>
        </w:tc>
        <w:tc>
          <w:tcPr>
            <w:tcW w:w="4876" w:type="dxa"/>
            <w:tcBorders>
              <w:top w:val="nil"/>
              <w:left w:val="nil"/>
              <w:bottom w:val="nil"/>
              <w:right w:val="nil"/>
            </w:tcBorders>
            <w:hideMark/>
          </w:tcPr>
          <w:p w14:paraId="6F8E30CA" w14:textId="77777777" w:rsidR="006B6379" w:rsidRPr="00E96208" w:rsidRDefault="006B6379" w:rsidP="00B30934">
            <w:pPr>
              <w:pStyle w:val="Normal6a"/>
            </w:pPr>
            <w:r>
              <w:t>K.</w:t>
            </w:r>
            <w:r>
              <w:tab/>
              <w:t xml:space="preserve">overwegende dat bij het onderzoek van het beheer van de middelen van het EOM en de daarmee samenhangende uitgaven </w:t>
            </w:r>
            <w:r>
              <w:rPr>
                <w:b/>
                <w:i/>
              </w:rPr>
              <w:t>ook voortdurend</w:t>
            </w:r>
            <w:r>
              <w:t xml:space="preserve"> moet worden </w:t>
            </w:r>
            <w:r>
              <w:rPr>
                <w:b/>
                <w:i/>
              </w:rPr>
              <w:t>nagegaan of er voldoende middelen beschikbaar blijven</w:t>
            </w:r>
            <w:r>
              <w:t xml:space="preserve"> en </w:t>
            </w:r>
            <w:r>
              <w:rPr>
                <w:b/>
                <w:i/>
              </w:rPr>
              <w:t>of deze doeltreffend worden besteed</w:t>
            </w:r>
            <w:r>
              <w:t xml:space="preserve"> om </w:t>
            </w:r>
            <w:r>
              <w:rPr>
                <w:b/>
                <w:i/>
              </w:rPr>
              <w:t>operationeel succes</w:t>
            </w:r>
            <w:r>
              <w:t xml:space="preserve"> te waarborgen;</w:t>
            </w:r>
          </w:p>
        </w:tc>
      </w:tr>
    </w:tbl>
    <w:p w14:paraId="42365AF7"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3A4C99FC" w14:textId="77777777" w:rsidR="006B6379" w:rsidRPr="00E96208" w:rsidRDefault="006B6379" w:rsidP="006B6379">
      <w:r>
        <w:rPr>
          <w:rStyle w:val="HideTWBExt"/>
        </w:rPr>
        <w:t>&lt;/Amend&gt;</w:t>
      </w:r>
    </w:p>
    <w:p w14:paraId="469E5772" w14:textId="77777777" w:rsidR="006B6379" w:rsidRPr="00E96208" w:rsidRDefault="006B6379" w:rsidP="006B6379">
      <w:pPr>
        <w:pStyle w:val="AmNumberTabs"/>
      </w:pPr>
      <w:r>
        <w:rPr>
          <w:rStyle w:val="HideTWBExt"/>
        </w:rPr>
        <w:t>&lt;Amend&gt;</w:t>
      </w:r>
      <w:r>
        <w:t>Amendement</w:t>
      </w:r>
      <w:r>
        <w:tab/>
      </w:r>
      <w:r>
        <w:tab/>
      </w:r>
      <w:r>
        <w:rPr>
          <w:rStyle w:val="HideTWBExt"/>
        </w:rPr>
        <w:t>&lt;NumAm&gt;</w:t>
      </w:r>
      <w:r>
        <w:t>8</w:t>
      </w:r>
      <w:r>
        <w:rPr>
          <w:rStyle w:val="HideTWBExt"/>
        </w:rPr>
        <w:t>&lt;/NumAm&gt;</w:t>
      </w:r>
    </w:p>
    <w:p w14:paraId="438D8CF3"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28652CA2" w14:textId="77777777" w:rsidR="006B6379" w:rsidRPr="00E96208" w:rsidRDefault="006B6379" w:rsidP="006B6379">
      <w:pPr>
        <w:pStyle w:val="NormalBold"/>
      </w:pPr>
      <w:r>
        <w:rPr>
          <w:rStyle w:val="HideTWBExt"/>
          <w:b w:val="0"/>
        </w:rPr>
        <w:t>&lt;/RepeatBlock-By&gt;</w:t>
      </w:r>
    </w:p>
    <w:p w14:paraId="4C6DFAF9" w14:textId="77777777" w:rsidR="006B6379" w:rsidRPr="00E96208" w:rsidRDefault="006B6379" w:rsidP="006B6379">
      <w:pPr>
        <w:pStyle w:val="NormalBold"/>
      </w:pPr>
      <w:r>
        <w:rPr>
          <w:rStyle w:val="HideTWBExt"/>
        </w:rPr>
        <w:t>&lt;DocAmend&gt;</w:t>
      </w:r>
      <w:r>
        <w:t>Ontwerpresolutie</w:t>
      </w:r>
      <w:r>
        <w:rPr>
          <w:rStyle w:val="HideTWBExt"/>
        </w:rPr>
        <w:t>&lt;/DocAmend&gt;</w:t>
      </w:r>
    </w:p>
    <w:p w14:paraId="3241FE2C" w14:textId="77777777" w:rsidR="006B6379" w:rsidRPr="00E96208" w:rsidRDefault="006B6379" w:rsidP="006B6379">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007C17D1" w14:textId="77777777" w:rsidTr="00B30934">
        <w:trPr>
          <w:trHeight w:val="240"/>
          <w:jc w:val="center"/>
        </w:trPr>
        <w:tc>
          <w:tcPr>
            <w:tcW w:w="9752" w:type="dxa"/>
            <w:gridSpan w:val="2"/>
            <w:tcBorders>
              <w:top w:val="nil"/>
              <w:left w:val="nil"/>
              <w:bottom w:val="nil"/>
              <w:right w:val="nil"/>
            </w:tcBorders>
          </w:tcPr>
          <w:p w14:paraId="28C09E0D" w14:textId="77777777" w:rsidR="006B6379" w:rsidRPr="00E96208" w:rsidRDefault="006B6379" w:rsidP="00B30934"/>
        </w:tc>
      </w:tr>
      <w:tr w:rsidR="006B6379" w14:paraId="335EEB87" w14:textId="77777777" w:rsidTr="00B30934">
        <w:trPr>
          <w:trHeight w:val="240"/>
          <w:jc w:val="center"/>
        </w:trPr>
        <w:tc>
          <w:tcPr>
            <w:tcW w:w="4876" w:type="dxa"/>
            <w:tcBorders>
              <w:top w:val="nil"/>
              <w:left w:val="nil"/>
              <w:bottom w:val="nil"/>
              <w:right w:val="nil"/>
            </w:tcBorders>
            <w:hideMark/>
          </w:tcPr>
          <w:p w14:paraId="33AA5E28"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29EAE4F9" w14:textId="77777777" w:rsidR="006B6379" w:rsidRPr="00E96208" w:rsidRDefault="006B6379" w:rsidP="00B30934">
            <w:pPr>
              <w:pStyle w:val="AmColumnHeading"/>
            </w:pPr>
            <w:r>
              <w:t>Amendement</w:t>
            </w:r>
          </w:p>
        </w:tc>
      </w:tr>
      <w:tr w:rsidR="006B6379" w14:paraId="3C2B1854" w14:textId="77777777" w:rsidTr="00B30934">
        <w:trPr>
          <w:jc w:val="center"/>
        </w:trPr>
        <w:tc>
          <w:tcPr>
            <w:tcW w:w="4876" w:type="dxa"/>
            <w:tcBorders>
              <w:top w:val="nil"/>
              <w:left w:val="nil"/>
              <w:bottom w:val="nil"/>
              <w:right w:val="nil"/>
            </w:tcBorders>
            <w:hideMark/>
          </w:tcPr>
          <w:p w14:paraId="5B7E6BAD" w14:textId="77777777" w:rsidR="006B6379" w:rsidRPr="00E96208" w:rsidRDefault="006B6379" w:rsidP="00B30934">
            <w:pPr>
              <w:pStyle w:val="Normal6a"/>
            </w:pPr>
            <w:r>
              <w:t>K.</w:t>
            </w:r>
            <w:r>
              <w:tab/>
              <w:t xml:space="preserve">overwegende dat bij het onderzoek van het beheer van de middelen van het EOM en de daarmee samenhangende uitgaven niet mag worden voorbijgegaan aan </w:t>
            </w:r>
            <w:r>
              <w:rPr>
                <w:b/>
                <w:i/>
              </w:rPr>
              <w:t>het onderzoek van</w:t>
            </w:r>
            <w:r>
              <w:t xml:space="preserve"> operationele activiteiten, </w:t>
            </w:r>
            <w:r>
              <w:rPr>
                <w:b/>
                <w:i/>
              </w:rPr>
              <w:t>de methoden voor de uitvoering ervan en</w:t>
            </w:r>
            <w:r>
              <w:t xml:space="preserve"> de gevolgen en impact daarvan en dat daarbij rekening moet worden gehouden met de specifieke kenmerken van vervolging en onderzoek door middel van een voortdurende evaluatie om ervoor te zorgen dat er voldoende middelen beschikbaar blijven om de operationele doeltreffendheid te waarborgen;</w:t>
            </w:r>
          </w:p>
        </w:tc>
        <w:tc>
          <w:tcPr>
            <w:tcW w:w="4876" w:type="dxa"/>
            <w:tcBorders>
              <w:top w:val="nil"/>
              <w:left w:val="nil"/>
              <w:bottom w:val="nil"/>
              <w:right w:val="nil"/>
            </w:tcBorders>
            <w:hideMark/>
          </w:tcPr>
          <w:p w14:paraId="1BF5B4F0" w14:textId="77777777" w:rsidR="006B6379" w:rsidRPr="00E96208" w:rsidRDefault="006B6379" w:rsidP="00B30934">
            <w:pPr>
              <w:pStyle w:val="Normal6a"/>
            </w:pPr>
            <w:r>
              <w:t>K.</w:t>
            </w:r>
            <w:r>
              <w:tab/>
              <w:t xml:space="preserve">overwegende dat bij het onderzoek van het beheer van de middelen van het EOM en de daarmee samenhangende uitgaven niet mag worden voorbijgegaan aan operationele activiteiten, </w:t>
            </w:r>
            <w:r>
              <w:rPr>
                <w:b/>
                <w:i/>
              </w:rPr>
              <w:t>met inbegrip van</w:t>
            </w:r>
            <w:r>
              <w:t xml:space="preserve"> de gevolgen en impact daarvan en dat daarbij rekening moet worden gehouden met de specifieke kenmerken van vervolging en onderzoek door middel van een voortdurende evaluatie om ervoor te zorgen dat er voldoende middelen beschikbaar blijven om de operationele doeltreffendheid te waarborgen;</w:t>
            </w:r>
          </w:p>
        </w:tc>
      </w:tr>
    </w:tbl>
    <w:p w14:paraId="5C5130BF"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31C7EE3F" w14:textId="77777777" w:rsidR="006B6379" w:rsidRPr="00E96208" w:rsidRDefault="006B6379" w:rsidP="006B6379">
      <w:r>
        <w:rPr>
          <w:rStyle w:val="HideTWBExt"/>
        </w:rPr>
        <w:t>&lt;/Amend&gt;</w:t>
      </w:r>
    </w:p>
    <w:p w14:paraId="53C658F1" w14:textId="77777777" w:rsidR="006B6379" w:rsidRPr="00E96208" w:rsidRDefault="006B6379" w:rsidP="006B6379">
      <w:pPr>
        <w:pStyle w:val="AmNumberTabs"/>
      </w:pPr>
      <w:r>
        <w:rPr>
          <w:rStyle w:val="HideTWBExt"/>
        </w:rPr>
        <w:t>&lt;Amend&gt;</w:t>
      </w:r>
      <w:r>
        <w:t>Amendement</w:t>
      </w:r>
      <w:r>
        <w:tab/>
      </w:r>
      <w:r>
        <w:tab/>
      </w:r>
      <w:r>
        <w:rPr>
          <w:rStyle w:val="HideTWBExt"/>
        </w:rPr>
        <w:t>&lt;NumAm&gt;</w:t>
      </w:r>
      <w:r>
        <w:t>9</w:t>
      </w:r>
      <w:r>
        <w:rPr>
          <w:rStyle w:val="HideTWBExt"/>
        </w:rPr>
        <w:t>&lt;/NumAm&gt;</w:t>
      </w:r>
    </w:p>
    <w:p w14:paraId="7B4EF322" w14:textId="77777777" w:rsidR="006B6379" w:rsidRPr="00E96208" w:rsidRDefault="006B6379" w:rsidP="006B6379">
      <w:pPr>
        <w:pStyle w:val="NormalBold"/>
      </w:pPr>
      <w:r>
        <w:rPr>
          <w:rStyle w:val="HideTWBExt"/>
          <w:b w:val="0"/>
        </w:rPr>
        <w:t>&lt;RepeatBlock-By&gt;&lt;Members&gt;</w:t>
      </w:r>
      <w:r>
        <w:t>Csaba Molnár</w:t>
      </w:r>
      <w:r>
        <w:rPr>
          <w:rStyle w:val="HideTWBExt"/>
          <w:b w:val="0"/>
        </w:rPr>
        <w:t>&lt;/Members&gt;</w:t>
      </w:r>
    </w:p>
    <w:p w14:paraId="1ED25A89" w14:textId="77777777" w:rsidR="006B6379" w:rsidRPr="00E96208" w:rsidRDefault="006B6379" w:rsidP="006B6379">
      <w:pPr>
        <w:pStyle w:val="NormalBold"/>
      </w:pPr>
      <w:r>
        <w:rPr>
          <w:rStyle w:val="HideTWBExt"/>
          <w:b w:val="0"/>
        </w:rPr>
        <w:t>&lt;/RepeatBlock-By&gt;</w:t>
      </w:r>
    </w:p>
    <w:p w14:paraId="06E804ED" w14:textId="77777777" w:rsidR="006B6379" w:rsidRPr="00E96208" w:rsidRDefault="006B6379" w:rsidP="006B6379">
      <w:pPr>
        <w:pStyle w:val="NormalBold"/>
      </w:pPr>
      <w:r>
        <w:rPr>
          <w:rStyle w:val="HideTWBExt"/>
        </w:rPr>
        <w:t>&lt;DocAmend&gt;</w:t>
      </w:r>
      <w:r>
        <w:t>Ontwerpresolutie</w:t>
      </w:r>
      <w:r>
        <w:rPr>
          <w:rStyle w:val="HideTWBExt"/>
        </w:rPr>
        <w:t>&lt;/DocAmend&gt;</w:t>
      </w:r>
    </w:p>
    <w:p w14:paraId="0E11B2B2" w14:textId="77777777" w:rsidR="006B6379" w:rsidRPr="00E96208" w:rsidRDefault="006B6379" w:rsidP="006B6379">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3B2E15E8" w14:textId="77777777" w:rsidTr="00B30934">
        <w:trPr>
          <w:trHeight w:val="240"/>
          <w:jc w:val="center"/>
        </w:trPr>
        <w:tc>
          <w:tcPr>
            <w:tcW w:w="9752" w:type="dxa"/>
            <w:gridSpan w:val="2"/>
            <w:tcBorders>
              <w:top w:val="nil"/>
              <w:left w:val="nil"/>
              <w:bottom w:val="nil"/>
              <w:right w:val="nil"/>
            </w:tcBorders>
          </w:tcPr>
          <w:p w14:paraId="58010BC9" w14:textId="77777777" w:rsidR="006B6379" w:rsidRPr="00E96208" w:rsidRDefault="006B6379" w:rsidP="00B30934"/>
        </w:tc>
      </w:tr>
      <w:tr w:rsidR="006B6379" w14:paraId="2C94945C" w14:textId="77777777" w:rsidTr="00B30934">
        <w:trPr>
          <w:trHeight w:val="240"/>
          <w:jc w:val="center"/>
        </w:trPr>
        <w:tc>
          <w:tcPr>
            <w:tcW w:w="4876" w:type="dxa"/>
            <w:tcBorders>
              <w:top w:val="nil"/>
              <w:left w:val="nil"/>
              <w:bottom w:val="nil"/>
              <w:right w:val="nil"/>
            </w:tcBorders>
            <w:hideMark/>
          </w:tcPr>
          <w:p w14:paraId="720B30BB"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325972C4" w14:textId="77777777" w:rsidR="006B6379" w:rsidRPr="00E96208" w:rsidRDefault="006B6379" w:rsidP="00B30934">
            <w:pPr>
              <w:pStyle w:val="AmColumnHeading"/>
            </w:pPr>
            <w:r>
              <w:t>Amendement</w:t>
            </w:r>
          </w:p>
        </w:tc>
      </w:tr>
      <w:tr w:rsidR="006B6379" w14:paraId="34189B13" w14:textId="77777777" w:rsidTr="00B30934">
        <w:trPr>
          <w:jc w:val="center"/>
        </w:trPr>
        <w:tc>
          <w:tcPr>
            <w:tcW w:w="4876" w:type="dxa"/>
            <w:tcBorders>
              <w:top w:val="nil"/>
              <w:left w:val="nil"/>
              <w:bottom w:val="nil"/>
              <w:right w:val="nil"/>
            </w:tcBorders>
            <w:hideMark/>
          </w:tcPr>
          <w:p w14:paraId="5B0C4804" w14:textId="77777777" w:rsidR="006B6379" w:rsidRPr="00E96208" w:rsidRDefault="006B6379" w:rsidP="00B30934">
            <w:pPr>
              <w:pStyle w:val="Normal6a"/>
            </w:pPr>
            <w:r>
              <w:t>2.</w:t>
            </w:r>
            <w:r>
              <w:tab/>
              <w:t>erkent het belang van het EOM voor de bescherming van de financiële belangen van de Unie en met name de begroting van de Unie; herinnert aan de krachtige steun van het Parlement voor de oprichting van het EOM en spreekt zijn waardering uit voor het werk dat het EOM verricht bij het onderzoeken en vervolgen van misdrijven zoals fraude, corruptie en ernstige grensoverschrijdende btw-fraude;</w:t>
            </w:r>
          </w:p>
        </w:tc>
        <w:tc>
          <w:tcPr>
            <w:tcW w:w="4876" w:type="dxa"/>
            <w:tcBorders>
              <w:top w:val="nil"/>
              <w:left w:val="nil"/>
              <w:bottom w:val="nil"/>
              <w:right w:val="nil"/>
            </w:tcBorders>
            <w:hideMark/>
          </w:tcPr>
          <w:p w14:paraId="01339CF2" w14:textId="77777777" w:rsidR="006B6379" w:rsidRPr="00E96208" w:rsidRDefault="006B6379" w:rsidP="00B30934">
            <w:pPr>
              <w:pStyle w:val="Normal6a"/>
            </w:pPr>
            <w:r>
              <w:t>2.</w:t>
            </w:r>
            <w:r>
              <w:tab/>
              <w:t xml:space="preserve">erkent het belang van het EOM voor de bescherming van de financiële belangen van de Unie en met name de begroting van de Unie; herinnert aan de krachtige steun van het Parlement voor de oprichting van het EOM en spreekt zijn waardering uit voor het werk dat het EOM verricht bij het onderzoeken en vervolgen van misdrijven zoals fraude, corruptie en ernstige grensoverschrijdende btw-fraude; </w:t>
            </w:r>
            <w:r>
              <w:rPr>
                <w:b/>
                <w:i/>
              </w:rPr>
              <w:t xml:space="preserve">wijst nogmaals op de centrale rol van het EOM bij de bescherming van de financiële belangen van de Unie en beklemtoont dat het een hoeksteen vormt van het fraudebestrijdingskader van de Unie en van het bredere </w:t>
            </w:r>
            <w:proofErr w:type="spellStart"/>
            <w:r>
              <w:rPr>
                <w:b/>
                <w:i/>
              </w:rPr>
              <w:t>governancesysteem</w:t>
            </w:r>
            <w:proofErr w:type="spellEnd"/>
            <w:r>
              <w:rPr>
                <w:b/>
                <w:i/>
              </w:rPr>
              <w:t xml:space="preserve"> dat gebaseerd is op integriteit, verantwoordingsplicht, transparantie en goed financieel beheer;</w:t>
            </w:r>
          </w:p>
        </w:tc>
      </w:tr>
    </w:tbl>
    <w:p w14:paraId="2F01F35C"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78E1CC06" w14:textId="77777777" w:rsidR="006B6379" w:rsidRPr="00E96208" w:rsidRDefault="006B6379" w:rsidP="006B6379">
      <w:r>
        <w:rPr>
          <w:rStyle w:val="HideTWBExt"/>
        </w:rPr>
        <w:t>&lt;/Amend&gt;</w:t>
      </w:r>
    </w:p>
    <w:p w14:paraId="11EF26CA" w14:textId="77777777" w:rsidR="006B6379" w:rsidRPr="00E96208" w:rsidRDefault="006B6379" w:rsidP="006B6379">
      <w:pPr>
        <w:pStyle w:val="AmNumberTabs"/>
      </w:pPr>
      <w:r>
        <w:rPr>
          <w:rStyle w:val="HideTWBExt"/>
        </w:rPr>
        <w:t>&lt;Amend&gt;</w:t>
      </w:r>
      <w:r>
        <w:t>Amendement</w:t>
      </w:r>
      <w:r>
        <w:tab/>
      </w:r>
      <w:r>
        <w:tab/>
      </w:r>
      <w:r>
        <w:rPr>
          <w:rStyle w:val="HideTWBExt"/>
        </w:rPr>
        <w:t>&lt;NumAm&gt;</w:t>
      </w:r>
      <w:r>
        <w:t>10</w:t>
      </w:r>
      <w:r>
        <w:rPr>
          <w:rStyle w:val="HideTWBExt"/>
        </w:rPr>
        <w:t>&lt;/NumAm&gt;</w:t>
      </w:r>
    </w:p>
    <w:p w14:paraId="1EAFC5E3" w14:textId="77777777" w:rsidR="006B6379" w:rsidRPr="00E96208" w:rsidRDefault="006B6379" w:rsidP="006B6379">
      <w:pPr>
        <w:pStyle w:val="NormalBold"/>
      </w:pPr>
      <w:r>
        <w:rPr>
          <w:rStyle w:val="HideTWBExt"/>
          <w:b w:val="0"/>
        </w:rPr>
        <w:t>&lt;RepeatBlock-By&gt;&lt;Members&gt;</w:t>
      </w:r>
      <w:r>
        <w:t>Damian Boeselager</w:t>
      </w:r>
      <w:r>
        <w:rPr>
          <w:rStyle w:val="HideTWBExt"/>
          <w:b w:val="0"/>
        </w:rPr>
        <w:t>&lt;/Members&gt;</w:t>
      </w:r>
    </w:p>
    <w:p w14:paraId="58475946" w14:textId="77777777" w:rsidR="006B6379" w:rsidRPr="00E96208" w:rsidRDefault="006B6379" w:rsidP="006B6379">
      <w:r>
        <w:rPr>
          <w:rStyle w:val="HideTWBExt"/>
        </w:rPr>
        <w:t>&lt;AuNomDe&gt;</w:t>
      </w:r>
      <w:r>
        <w:rPr>
          <w:rStyle w:val="HideTWBInt"/>
          <w:color w:val="auto"/>
        </w:rPr>
        <w:t>{Verts/ALE}</w:t>
      </w:r>
      <w:r>
        <w:t>namens de Verts/ALE‐Fractie</w:t>
      </w:r>
      <w:r>
        <w:rPr>
          <w:rStyle w:val="HideTWBExt"/>
        </w:rPr>
        <w:t>&lt;/AuNomDe&gt;</w:t>
      </w:r>
    </w:p>
    <w:p w14:paraId="4438BB08" w14:textId="77777777" w:rsidR="006B6379" w:rsidRPr="00E96208" w:rsidRDefault="006B6379" w:rsidP="006B6379">
      <w:pPr>
        <w:pStyle w:val="NormalBold"/>
      </w:pPr>
      <w:r>
        <w:rPr>
          <w:rStyle w:val="HideTWBExt"/>
          <w:b w:val="0"/>
        </w:rPr>
        <w:t>&lt;/RepeatBlock-By&gt;</w:t>
      </w:r>
    </w:p>
    <w:p w14:paraId="4F6BEB43" w14:textId="77777777" w:rsidR="006B6379" w:rsidRPr="00E96208" w:rsidRDefault="006B6379" w:rsidP="006B6379">
      <w:pPr>
        <w:pStyle w:val="NormalBold"/>
      </w:pPr>
      <w:r>
        <w:rPr>
          <w:rStyle w:val="HideTWBExt"/>
        </w:rPr>
        <w:t>&lt;DocAmend&gt;</w:t>
      </w:r>
      <w:r>
        <w:t>Ontwerpresolutie</w:t>
      </w:r>
      <w:r>
        <w:rPr>
          <w:rStyle w:val="HideTWBExt"/>
        </w:rPr>
        <w:t>&lt;/DocAmend&gt;</w:t>
      </w:r>
    </w:p>
    <w:p w14:paraId="7A2D3C82" w14:textId="77777777" w:rsidR="006B6379" w:rsidRPr="00E96208" w:rsidRDefault="006B6379" w:rsidP="006B6379">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5CCE71CC" w14:textId="77777777" w:rsidTr="00B30934">
        <w:trPr>
          <w:trHeight w:val="240"/>
          <w:jc w:val="center"/>
        </w:trPr>
        <w:tc>
          <w:tcPr>
            <w:tcW w:w="9752" w:type="dxa"/>
            <w:gridSpan w:val="2"/>
            <w:tcBorders>
              <w:top w:val="nil"/>
              <w:left w:val="nil"/>
              <w:bottom w:val="nil"/>
              <w:right w:val="nil"/>
            </w:tcBorders>
          </w:tcPr>
          <w:p w14:paraId="347738E5" w14:textId="77777777" w:rsidR="006B6379" w:rsidRPr="00E96208" w:rsidRDefault="006B6379" w:rsidP="00B30934"/>
        </w:tc>
      </w:tr>
      <w:tr w:rsidR="006B6379" w14:paraId="659BFC31" w14:textId="77777777" w:rsidTr="00B30934">
        <w:trPr>
          <w:trHeight w:val="240"/>
          <w:jc w:val="center"/>
        </w:trPr>
        <w:tc>
          <w:tcPr>
            <w:tcW w:w="4876" w:type="dxa"/>
            <w:tcBorders>
              <w:top w:val="nil"/>
              <w:left w:val="nil"/>
              <w:bottom w:val="nil"/>
              <w:right w:val="nil"/>
            </w:tcBorders>
            <w:hideMark/>
          </w:tcPr>
          <w:p w14:paraId="76F07952"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026B334F" w14:textId="77777777" w:rsidR="006B6379" w:rsidRPr="00E96208" w:rsidRDefault="006B6379" w:rsidP="00B30934">
            <w:pPr>
              <w:pStyle w:val="AmColumnHeading"/>
            </w:pPr>
            <w:r>
              <w:t>Amendement</w:t>
            </w:r>
          </w:p>
        </w:tc>
      </w:tr>
      <w:tr w:rsidR="006B6379" w14:paraId="6BB67900" w14:textId="77777777" w:rsidTr="00B30934">
        <w:trPr>
          <w:jc w:val="center"/>
        </w:trPr>
        <w:tc>
          <w:tcPr>
            <w:tcW w:w="4876" w:type="dxa"/>
            <w:tcBorders>
              <w:top w:val="nil"/>
              <w:left w:val="nil"/>
              <w:bottom w:val="nil"/>
              <w:right w:val="nil"/>
            </w:tcBorders>
            <w:hideMark/>
          </w:tcPr>
          <w:p w14:paraId="2C26E13C" w14:textId="77777777" w:rsidR="006B6379" w:rsidRPr="00E96208" w:rsidRDefault="006B6379" w:rsidP="00B30934">
            <w:pPr>
              <w:pStyle w:val="Normal6a"/>
            </w:pPr>
            <w:r>
              <w:t>3.</w:t>
            </w:r>
            <w:r>
              <w:tab/>
              <w:t>wijst op de unieke rol van het EOM met betrekking tot de rechtshandhaving van de Unie als openbaar ministerie en wijst erop dat het EOM vanwege zijn aard verplicht is alle zaken die onder zijn bevoegdheid vallen te onderzoeken wanneer deze onder zijn aandacht worden gebracht; benadrukt derhalve de noodzaak om snel de nodige middelen beschikbaar te stellen om zijn taken uit te voeren en de voortgang en de tijdige afronding van onderzoeken te waarborgen;</w:t>
            </w:r>
          </w:p>
        </w:tc>
        <w:tc>
          <w:tcPr>
            <w:tcW w:w="4876" w:type="dxa"/>
            <w:tcBorders>
              <w:top w:val="nil"/>
              <w:left w:val="nil"/>
              <w:bottom w:val="nil"/>
              <w:right w:val="nil"/>
            </w:tcBorders>
            <w:hideMark/>
          </w:tcPr>
          <w:p w14:paraId="6A9B87D2" w14:textId="77777777" w:rsidR="006B6379" w:rsidRPr="00E96208" w:rsidRDefault="006B6379" w:rsidP="00B30934">
            <w:pPr>
              <w:pStyle w:val="Normal6a"/>
            </w:pPr>
            <w:r>
              <w:t>3.</w:t>
            </w:r>
            <w:r>
              <w:tab/>
              <w:t xml:space="preserve">wijst op de unieke rol van het EOM met betrekking tot de rechtshandhaving van de Unie als openbaar ministerie en wijst erop dat het EOM vanwege zijn aard verplicht is alle zaken die onder zijn bevoegdheid vallen te onderzoeken wanneer deze onder zijn aandacht worden gebracht; benadrukt derhalve de noodzaak om snel de nodige middelen beschikbaar te stellen om zijn taken uit te voeren en de voortgang en de tijdige afronding van onderzoeken te waarborgen; </w:t>
            </w:r>
            <w:r>
              <w:rPr>
                <w:b/>
                <w:i/>
              </w:rPr>
              <w:t>brengt in herinnering dat het EOM volgens het jaarverslag 2024 van het EOM 2 666 lopende onderzoeken had behandeld op het einde van 2024, met een geschatte schade van 24,8 miljard EUR, en dat rechters bevriezingsbevelen ter waarde van 2,42 miljard EUR hadden uitgevaardigd; beklemtoont dat deze cijfers een structurele discrepantie tussen de toename van de werklast en de toegewezen middelen bevestigen;</w:t>
            </w:r>
          </w:p>
        </w:tc>
      </w:tr>
    </w:tbl>
    <w:p w14:paraId="524CDC8D"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69B5E842" w14:textId="77777777" w:rsidR="006B6379" w:rsidRPr="00E96208" w:rsidRDefault="006B6379" w:rsidP="006B6379">
      <w:r>
        <w:rPr>
          <w:rStyle w:val="HideTWBExt"/>
        </w:rPr>
        <w:t>&lt;/Amend&gt;</w:t>
      </w:r>
    </w:p>
    <w:p w14:paraId="29AD4294" w14:textId="77777777" w:rsidR="006B6379" w:rsidRPr="00E96208" w:rsidRDefault="006B6379" w:rsidP="006B6379">
      <w:pPr>
        <w:pStyle w:val="AmNumberTabs"/>
      </w:pPr>
      <w:r>
        <w:rPr>
          <w:rStyle w:val="HideTWBExt"/>
        </w:rPr>
        <w:t>&lt;Amend&gt;</w:t>
      </w:r>
      <w:r>
        <w:t>Amendement</w:t>
      </w:r>
      <w:r>
        <w:tab/>
      </w:r>
      <w:r>
        <w:tab/>
      </w:r>
      <w:r>
        <w:rPr>
          <w:rStyle w:val="HideTWBExt"/>
        </w:rPr>
        <w:t>&lt;NumAm&gt;</w:t>
      </w:r>
      <w:r>
        <w:t>11</w:t>
      </w:r>
      <w:r>
        <w:rPr>
          <w:rStyle w:val="HideTWBExt"/>
        </w:rPr>
        <w:t>&lt;/NumAm&gt;</w:t>
      </w:r>
    </w:p>
    <w:p w14:paraId="76DFECC6" w14:textId="77777777" w:rsidR="006B6379" w:rsidRPr="00E96208" w:rsidRDefault="006B6379" w:rsidP="006B6379">
      <w:pPr>
        <w:pStyle w:val="NormalBold"/>
      </w:pPr>
      <w:r>
        <w:rPr>
          <w:rStyle w:val="HideTWBExt"/>
          <w:b w:val="0"/>
        </w:rPr>
        <w:t>&lt;RepeatBlock-By&gt;&lt;Members&gt;</w:t>
      </w:r>
      <w:r>
        <w:t>Pasquale Tridico</w:t>
      </w:r>
      <w:r>
        <w:rPr>
          <w:rStyle w:val="HideTWBExt"/>
          <w:b w:val="0"/>
        </w:rPr>
        <w:t>&lt;/Members&gt;</w:t>
      </w:r>
    </w:p>
    <w:p w14:paraId="078B4CF0" w14:textId="77777777" w:rsidR="006B6379" w:rsidRPr="00E96208" w:rsidRDefault="006B6379" w:rsidP="006B6379">
      <w:pPr>
        <w:pStyle w:val="NormalBold"/>
      </w:pPr>
      <w:r>
        <w:rPr>
          <w:rStyle w:val="HideTWBExt"/>
          <w:b w:val="0"/>
        </w:rPr>
        <w:t>&lt;/RepeatBlock-By&gt;</w:t>
      </w:r>
    </w:p>
    <w:p w14:paraId="061340F9" w14:textId="77777777" w:rsidR="006B6379" w:rsidRPr="00E96208" w:rsidRDefault="006B6379" w:rsidP="006B6379">
      <w:pPr>
        <w:pStyle w:val="NormalBold"/>
      </w:pPr>
      <w:r>
        <w:rPr>
          <w:rStyle w:val="HideTWBExt"/>
        </w:rPr>
        <w:t>&lt;DocAmend&gt;</w:t>
      </w:r>
      <w:r>
        <w:t>Ontwerpresolutie</w:t>
      </w:r>
      <w:r>
        <w:rPr>
          <w:rStyle w:val="HideTWBExt"/>
        </w:rPr>
        <w:t>&lt;/DocAmend&gt;</w:t>
      </w:r>
    </w:p>
    <w:p w14:paraId="2BB04343" w14:textId="77777777" w:rsidR="006B6379" w:rsidRPr="00E96208" w:rsidRDefault="006B6379" w:rsidP="006B6379">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3F389D83" w14:textId="77777777" w:rsidTr="00B30934">
        <w:trPr>
          <w:trHeight w:val="240"/>
          <w:jc w:val="center"/>
        </w:trPr>
        <w:tc>
          <w:tcPr>
            <w:tcW w:w="9752" w:type="dxa"/>
            <w:gridSpan w:val="2"/>
            <w:tcBorders>
              <w:top w:val="nil"/>
              <w:left w:val="nil"/>
              <w:bottom w:val="nil"/>
              <w:right w:val="nil"/>
            </w:tcBorders>
          </w:tcPr>
          <w:p w14:paraId="24111AA9" w14:textId="77777777" w:rsidR="006B6379" w:rsidRPr="00E96208" w:rsidRDefault="006B6379" w:rsidP="00B30934"/>
        </w:tc>
      </w:tr>
      <w:tr w:rsidR="006B6379" w14:paraId="11480343" w14:textId="77777777" w:rsidTr="00B30934">
        <w:trPr>
          <w:trHeight w:val="240"/>
          <w:jc w:val="center"/>
        </w:trPr>
        <w:tc>
          <w:tcPr>
            <w:tcW w:w="4876" w:type="dxa"/>
            <w:tcBorders>
              <w:top w:val="nil"/>
              <w:left w:val="nil"/>
              <w:bottom w:val="nil"/>
              <w:right w:val="nil"/>
            </w:tcBorders>
            <w:hideMark/>
          </w:tcPr>
          <w:p w14:paraId="79FF7571"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58495B7F" w14:textId="77777777" w:rsidR="006B6379" w:rsidRPr="00E96208" w:rsidRDefault="006B6379" w:rsidP="00B30934">
            <w:pPr>
              <w:pStyle w:val="AmColumnHeading"/>
            </w:pPr>
            <w:r>
              <w:t>Amendement</w:t>
            </w:r>
          </w:p>
        </w:tc>
      </w:tr>
      <w:tr w:rsidR="006B6379" w14:paraId="5BA2B1F5" w14:textId="77777777" w:rsidTr="00B30934">
        <w:trPr>
          <w:jc w:val="center"/>
        </w:trPr>
        <w:tc>
          <w:tcPr>
            <w:tcW w:w="4876" w:type="dxa"/>
            <w:tcBorders>
              <w:top w:val="nil"/>
              <w:left w:val="nil"/>
              <w:bottom w:val="nil"/>
              <w:right w:val="nil"/>
            </w:tcBorders>
            <w:hideMark/>
          </w:tcPr>
          <w:p w14:paraId="12B1D8F1" w14:textId="77777777" w:rsidR="006B6379" w:rsidRPr="00E96208" w:rsidRDefault="006B6379" w:rsidP="00B30934">
            <w:pPr>
              <w:pStyle w:val="Normal6a"/>
            </w:pPr>
            <w:r>
              <w:t>3.</w:t>
            </w:r>
            <w:r>
              <w:tab/>
              <w:t>wijst op de unieke rol van het EOM met betrekking tot de rechtshandhaving van de Unie als openbaar ministerie en wijst erop dat het EOM vanwege zijn aard verplicht is alle zaken die onder zijn bevoegdheid vallen te onderzoeken wanneer deze onder zijn aandacht worden gebracht; benadrukt derhalve de noodzaak om snel de nodige middelen beschikbaar te stellen om zijn taken uit te voeren en de voortgang en de tijdige afronding van onderzoeken te waarborgen;</w:t>
            </w:r>
          </w:p>
        </w:tc>
        <w:tc>
          <w:tcPr>
            <w:tcW w:w="4876" w:type="dxa"/>
            <w:tcBorders>
              <w:top w:val="nil"/>
              <w:left w:val="nil"/>
              <w:bottom w:val="nil"/>
              <w:right w:val="nil"/>
            </w:tcBorders>
            <w:hideMark/>
          </w:tcPr>
          <w:p w14:paraId="4BDC407C" w14:textId="77777777" w:rsidR="006B6379" w:rsidRPr="00E96208" w:rsidRDefault="006B6379" w:rsidP="00B30934">
            <w:pPr>
              <w:pStyle w:val="Normal6a"/>
            </w:pPr>
            <w:r>
              <w:t>3.</w:t>
            </w:r>
            <w:r>
              <w:tab/>
              <w:t>wijst op de unieke rol van het EOM met betrekking tot de rechtshandhaving van de Unie als openbaar ministerie en wijst erop dat het EOM vanwege zijn aard verplicht is alle zaken die onder zijn bevoegdheid vallen te onderzoeken wanneer deze onder zijn aandacht worden gebracht; benadrukt derhalve de noodzaak om snel de nodige middelen beschikbaar te stellen om zijn taken uit te voeren en de voortgang en de tijdige afronding van onderzoeken te waarborgen</w:t>
            </w:r>
            <w:r>
              <w:rPr>
                <w:b/>
                <w:i/>
              </w:rPr>
              <w:t>, waaronder het onderzoek naar de aankoop van het COVID-19-vaccin in de Unie, dat van groot openbaar belang is en in 2022 van start is gegaan maar waarin tot op heden geen besluit is genomen en waarover geen informatie meer is vrijgegeven</w:t>
            </w:r>
            <w:r>
              <w:t>;</w:t>
            </w:r>
          </w:p>
        </w:tc>
      </w:tr>
    </w:tbl>
    <w:p w14:paraId="0B91E6D6"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7751699E" w14:textId="77777777" w:rsidR="006B6379" w:rsidRPr="00E96208" w:rsidRDefault="006B6379" w:rsidP="006B6379">
      <w:r>
        <w:rPr>
          <w:rStyle w:val="HideTWBExt"/>
        </w:rPr>
        <w:t>&lt;/Amend&gt;</w:t>
      </w:r>
    </w:p>
    <w:p w14:paraId="2867C647" w14:textId="77777777" w:rsidR="006B6379" w:rsidRPr="00E96208" w:rsidRDefault="006B6379" w:rsidP="006B6379">
      <w:pPr>
        <w:pStyle w:val="AmNumberTabs"/>
      </w:pPr>
      <w:r>
        <w:rPr>
          <w:rStyle w:val="HideTWBExt"/>
        </w:rPr>
        <w:t>&lt;Amend&gt;</w:t>
      </w:r>
      <w:r>
        <w:t>Amendement</w:t>
      </w:r>
      <w:r>
        <w:tab/>
      </w:r>
      <w:r>
        <w:tab/>
      </w:r>
      <w:r>
        <w:rPr>
          <w:rStyle w:val="HideTWBExt"/>
        </w:rPr>
        <w:t>&lt;NumAm&gt;</w:t>
      </w:r>
      <w:r>
        <w:t>12</w:t>
      </w:r>
      <w:r>
        <w:rPr>
          <w:rStyle w:val="HideTWBExt"/>
        </w:rPr>
        <w:t>&lt;/NumAm&gt;</w:t>
      </w:r>
    </w:p>
    <w:p w14:paraId="302E5C7F" w14:textId="77777777" w:rsidR="006B6379" w:rsidRPr="00E96208" w:rsidRDefault="006B6379" w:rsidP="006B6379">
      <w:pPr>
        <w:pStyle w:val="NormalBold"/>
      </w:pPr>
      <w:r>
        <w:rPr>
          <w:rStyle w:val="HideTWBExt"/>
          <w:b w:val="0"/>
        </w:rPr>
        <w:t>&lt;RepeatBlock-By&gt;&lt;Members&gt;</w:t>
      </w:r>
      <w:r>
        <w:t>Gilles Boyer, Olivier Chastel, Vlad Vasile-Voiculescu, Michal Wiezik</w:t>
      </w:r>
      <w:r>
        <w:rPr>
          <w:rStyle w:val="HideTWBExt"/>
          <w:b w:val="0"/>
        </w:rPr>
        <w:t>&lt;/Members&gt;</w:t>
      </w:r>
    </w:p>
    <w:p w14:paraId="7D9F51A5" w14:textId="77777777" w:rsidR="006B6379" w:rsidRPr="00E96208" w:rsidRDefault="006B6379" w:rsidP="006B6379">
      <w:pPr>
        <w:pStyle w:val="NormalBold"/>
      </w:pPr>
      <w:r>
        <w:rPr>
          <w:rStyle w:val="HideTWBExt"/>
          <w:b w:val="0"/>
        </w:rPr>
        <w:t>&lt;/RepeatBlock-By&gt;</w:t>
      </w:r>
    </w:p>
    <w:p w14:paraId="640C1B27" w14:textId="77777777" w:rsidR="006B6379" w:rsidRPr="00E96208" w:rsidRDefault="006B6379" w:rsidP="006B6379">
      <w:pPr>
        <w:pStyle w:val="NormalBold"/>
      </w:pPr>
      <w:r>
        <w:rPr>
          <w:rStyle w:val="HideTWBExt"/>
        </w:rPr>
        <w:t>&lt;DocAmend&gt;</w:t>
      </w:r>
      <w:r>
        <w:t>Ontwerpresolutie</w:t>
      </w:r>
      <w:r>
        <w:rPr>
          <w:rStyle w:val="HideTWBExt"/>
        </w:rPr>
        <w:t>&lt;/DocAmend&gt;</w:t>
      </w:r>
    </w:p>
    <w:p w14:paraId="3F7A9CE1" w14:textId="77777777" w:rsidR="006B6379" w:rsidRPr="00E96208" w:rsidRDefault="006B6379" w:rsidP="006B6379">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271230C6" w14:textId="77777777" w:rsidTr="00B30934">
        <w:trPr>
          <w:trHeight w:val="240"/>
          <w:jc w:val="center"/>
        </w:trPr>
        <w:tc>
          <w:tcPr>
            <w:tcW w:w="9752" w:type="dxa"/>
            <w:gridSpan w:val="2"/>
            <w:tcBorders>
              <w:top w:val="nil"/>
              <w:left w:val="nil"/>
              <w:bottom w:val="nil"/>
              <w:right w:val="nil"/>
            </w:tcBorders>
          </w:tcPr>
          <w:p w14:paraId="5DE14B4A" w14:textId="77777777" w:rsidR="006B6379" w:rsidRPr="00E96208" w:rsidRDefault="006B6379" w:rsidP="00B30934"/>
        </w:tc>
      </w:tr>
      <w:tr w:rsidR="006B6379" w14:paraId="7E781520" w14:textId="77777777" w:rsidTr="00B30934">
        <w:trPr>
          <w:trHeight w:val="240"/>
          <w:jc w:val="center"/>
        </w:trPr>
        <w:tc>
          <w:tcPr>
            <w:tcW w:w="4876" w:type="dxa"/>
            <w:tcBorders>
              <w:top w:val="nil"/>
              <w:left w:val="nil"/>
              <w:bottom w:val="nil"/>
              <w:right w:val="nil"/>
            </w:tcBorders>
            <w:hideMark/>
          </w:tcPr>
          <w:p w14:paraId="7FE5DC11"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30386499" w14:textId="77777777" w:rsidR="006B6379" w:rsidRPr="00E96208" w:rsidRDefault="006B6379" w:rsidP="00B30934">
            <w:pPr>
              <w:pStyle w:val="AmColumnHeading"/>
            </w:pPr>
            <w:r>
              <w:t>Amendement</w:t>
            </w:r>
          </w:p>
        </w:tc>
      </w:tr>
      <w:tr w:rsidR="006B6379" w14:paraId="38F1936B" w14:textId="77777777" w:rsidTr="00B30934">
        <w:trPr>
          <w:jc w:val="center"/>
        </w:trPr>
        <w:tc>
          <w:tcPr>
            <w:tcW w:w="4876" w:type="dxa"/>
            <w:tcBorders>
              <w:top w:val="nil"/>
              <w:left w:val="nil"/>
              <w:bottom w:val="nil"/>
              <w:right w:val="nil"/>
            </w:tcBorders>
            <w:hideMark/>
          </w:tcPr>
          <w:p w14:paraId="5FCF5AC5" w14:textId="77777777" w:rsidR="006B6379" w:rsidRPr="00E96208" w:rsidRDefault="006B6379" w:rsidP="00B30934">
            <w:pPr>
              <w:pStyle w:val="Normal6a"/>
            </w:pPr>
            <w:r>
              <w:t>3.</w:t>
            </w:r>
            <w:r>
              <w:tab/>
              <w:t xml:space="preserve">wijst op de unieke rol van het EOM met betrekking tot de rechtshandhaving van de Unie als openbaar ministerie en wijst erop dat het EOM vanwege zijn aard verplicht is alle zaken die onder zijn bevoegdheid vallen te onderzoeken wanneer deze onder zijn aandacht worden gebracht; benadrukt derhalve de noodzaak om snel de nodige middelen </w:t>
            </w:r>
            <w:r>
              <w:rPr>
                <w:b/>
                <w:i/>
              </w:rPr>
              <w:t>beschikbaar</w:t>
            </w:r>
            <w:r>
              <w:t xml:space="preserve"> te </w:t>
            </w:r>
            <w:r>
              <w:rPr>
                <w:b/>
                <w:i/>
              </w:rPr>
              <w:t>stellen</w:t>
            </w:r>
            <w:r>
              <w:t xml:space="preserve"> om zijn taken uit te voeren en de voortgang en de tijdige afronding van onderzoeken te waarborgen;</w:t>
            </w:r>
          </w:p>
        </w:tc>
        <w:tc>
          <w:tcPr>
            <w:tcW w:w="4876" w:type="dxa"/>
            <w:tcBorders>
              <w:top w:val="nil"/>
              <w:left w:val="nil"/>
              <w:bottom w:val="nil"/>
              <w:right w:val="nil"/>
            </w:tcBorders>
            <w:hideMark/>
          </w:tcPr>
          <w:p w14:paraId="30DA1202" w14:textId="77777777" w:rsidR="006B6379" w:rsidRPr="00E96208" w:rsidRDefault="006B6379" w:rsidP="00B30934">
            <w:pPr>
              <w:pStyle w:val="Normal6a"/>
            </w:pPr>
            <w:r>
              <w:t>3.</w:t>
            </w:r>
            <w:r>
              <w:tab/>
              <w:t>wijst op de unieke rol van het EOM met betrekking tot de rechtshandhaving van de Unie als openbaar ministerie en wijst erop dat het EOM vanwege zijn aard verplicht is alle zaken die onder zijn bevoegdheid vallen te onderzoeken wanneer deze onder zijn aandacht worden gebracht</w:t>
            </w:r>
            <w:r>
              <w:rPr>
                <w:b/>
                <w:i/>
              </w:rPr>
              <w:t>, met beperkte manoeuvreerruimte</w:t>
            </w:r>
            <w:r>
              <w:t xml:space="preserve">; benadrukt derhalve de noodzaak </w:t>
            </w:r>
            <w:r>
              <w:rPr>
                <w:b/>
                <w:i/>
              </w:rPr>
              <w:t xml:space="preserve">van een kader voor middelen dat is afgestemd op zijn dwingende bevoegdheid; vraagt de Commissie </w:t>
            </w:r>
            <w:r>
              <w:t xml:space="preserve">om snel de nodige middelen </w:t>
            </w:r>
            <w:r>
              <w:rPr>
                <w:b/>
                <w:i/>
              </w:rPr>
              <w:t>toe</w:t>
            </w:r>
            <w:r>
              <w:t xml:space="preserve"> te </w:t>
            </w:r>
            <w:r>
              <w:rPr>
                <w:b/>
                <w:i/>
              </w:rPr>
              <w:t>wijzen</w:t>
            </w:r>
            <w:r>
              <w:t xml:space="preserve"> om</w:t>
            </w:r>
            <w:r>
              <w:rPr>
                <w:b/>
                <w:i/>
              </w:rPr>
              <w:t xml:space="preserve"> het EOM in staat te stellen</w:t>
            </w:r>
            <w:r>
              <w:t xml:space="preserve"> zijn taken uit te voeren en de voortgang en de tijdige afronding van onderzoeken te waarborgen;</w:t>
            </w:r>
          </w:p>
        </w:tc>
      </w:tr>
    </w:tbl>
    <w:p w14:paraId="26B14EA8"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7B235440" w14:textId="77777777" w:rsidR="006B6379" w:rsidRPr="00E96208" w:rsidRDefault="006B6379" w:rsidP="006B6379">
      <w:r>
        <w:rPr>
          <w:rStyle w:val="HideTWBExt"/>
        </w:rPr>
        <w:t>&lt;/Amend&gt;</w:t>
      </w:r>
    </w:p>
    <w:p w14:paraId="2AB259D4" w14:textId="77777777" w:rsidR="006B6379" w:rsidRPr="00E96208" w:rsidRDefault="006B6379" w:rsidP="006B6379">
      <w:pPr>
        <w:pStyle w:val="AmNumberTabs"/>
      </w:pPr>
      <w:r>
        <w:rPr>
          <w:rStyle w:val="HideTWBExt"/>
        </w:rPr>
        <w:t>&lt;Amend&gt;</w:t>
      </w:r>
      <w:r>
        <w:t>Amendement</w:t>
      </w:r>
      <w:r>
        <w:tab/>
      </w:r>
      <w:r>
        <w:tab/>
      </w:r>
      <w:r>
        <w:rPr>
          <w:rStyle w:val="HideTWBExt"/>
        </w:rPr>
        <w:t>&lt;NumAm&gt;</w:t>
      </w:r>
      <w:r>
        <w:t>13</w:t>
      </w:r>
      <w:r>
        <w:rPr>
          <w:rStyle w:val="HideTWBExt"/>
        </w:rPr>
        <w:t>&lt;/NumAm&gt;</w:t>
      </w:r>
    </w:p>
    <w:p w14:paraId="172CDBBB"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2EF653E0" w14:textId="77777777" w:rsidR="006B6379" w:rsidRPr="00E96208" w:rsidRDefault="006B6379" w:rsidP="006B6379">
      <w:pPr>
        <w:pStyle w:val="NormalBold"/>
      </w:pPr>
      <w:r>
        <w:rPr>
          <w:rStyle w:val="HideTWBExt"/>
          <w:b w:val="0"/>
        </w:rPr>
        <w:t>&lt;/RepeatBlock-By&gt;</w:t>
      </w:r>
    </w:p>
    <w:p w14:paraId="3AFC8208" w14:textId="77777777" w:rsidR="006B6379" w:rsidRPr="00E96208" w:rsidRDefault="006B6379" w:rsidP="006B6379">
      <w:pPr>
        <w:pStyle w:val="NormalBold"/>
      </w:pPr>
      <w:r>
        <w:rPr>
          <w:rStyle w:val="HideTWBExt"/>
        </w:rPr>
        <w:t>&lt;DocAmend&gt;</w:t>
      </w:r>
      <w:r>
        <w:t>Ontwerpresolutie</w:t>
      </w:r>
      <w:r>
        <w:rPr>
          <w:rStyle w:val="HideTWBExt"/>
        </w:rPr>
        <w:t>&lt;/DocAmend&gt;</w:t>
      </w:r>
    </w:p>
    <w:p w14:paraId="04153597" w14:textId="77777777" w:rsidR="006B6379" w:rsidRPr="00E96208" w:rsidRDefault="006B6379" w:rsidP="006B6379">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1E4862E1" w14:textId="77777777" w:rsidTr="00B30934">
        <w:trPr>
          <w:trHeight w:val="240"/>
          <w:jc w:val="center"/>
        </w:trPr>
        <w:tc>
          <w:tcPr>
            <w:tcW w:w="9752" w:type="dxa"/>
            <w:gridSpan w:val="2"/>
            <w:tcBorders>
              <w:top w:val="nil"/>
              <w:left w:val="nil"/>
              <w:bottom w:val="nil"/>
              <w:right w:val="nil"/>
            </w:tcBorders>
          </w:tcPr>
          <w:p w14:paraId="3CB59CAD" w14:textId="77777777" w:rsidR="006B6379" w:rsidRPr="00E96208" w:rsidRDefault="006B6379" w:rsidP="00B30934"/>
        </w:tc>
      </w:tr>
      <w:tr w:rsidR="006B6379" w14:paraId="165ADE42" w14:textId="77777777" w:rsidTr="00B30934">
        <w:trPr>
          <w:trHeight w:val="240"/>
          <w:jc w:val="center"/>
        </w:trPr>
        <w:tc>
          <w:tcPr>
            <w:tcW w:w="4876" w:type="dxa"/>
            <w:tcBorders>
              <w:top w:val="nil"/>
              <w:left w:val="nil"/>
              <w:bottom w:val="nil"/>
              <w:right w:val="nil"/>
            </w:tcBorders>
            <w:hideMark/>
          </w:tcPr>
          <w:p w14:paraId="5A0616E5"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36A94222" w14:textId="77777777" w:rsidR="006B6379" w:rsidRPr="00E96208" w:rsidRDefault="006B6379" w:rsidP="00B30934">
            <w:pPr>
              <w:pStyle w:val="AmColumnHeading"/>
            </w:pPr>
            <w:r>
              <w:t>Amendement</w:t>
            </w:r>
          </w:p>
        </w:tc>
      </w:tr>
      <w:tr w:rsidR="006B6379" w14:paraId="616ADAD7" w14:textId="77777777" w:rsidTr="00B30934">
        <w:trPr>
          <w:jc w:val="center"/>
        </w:trPr>
        <w:tc>
          <w:tcPr>
            <w:tcW w:w="4876" w:type="dxa"/>
            <w:tcBorders>
              <w:top w:val="nil"/>
              <w:left w:val="nil"/>
              <w:bottom w:val="nil"/>
              <w:right w:val="nil"/>
            </w:tcBorders>
            <w:hideMark/>
          </w:tcPr>
          <w:p w14:paraId="370D3D87" w14:textId="77777777" w:rsidR="006B6379" w:rsidRPr="00E96208" w:rsidRDefault="006B6379" w:rsidP="00B30934">
            <w:pPr>
              <w:pStyle w:val="Normal6a"/>
            </w:pPr>
            <w:r>
              <w:t>3.</w:t>
            </w:r>
            <w:r>
              <w:tab/>
              <w:t>wijst op de unieke rol van het EOM met betrekking tot de rechtshandhaving van de Unie als openbaar ministerie en wijst erop dat het EOM vanwege zijn aard verplicht is alle zaken die onder zijn bevoegdheid vallen te onderzoeken wanneer deze onder zijn aandacht worden gebracht; benadrukt derhalve de noodzaak om snel de nodige middelen beschikbaar te stellen om zijn taken uit te voeren en de voortgang en de tijdige afronding van onderzoeken te waarborgen;</w:t>
            </w:r>
          </w:p>
        </w:tc>
        <w:tc>
          <w:tcPr>
            <w:tcW w:w="4876" w:type="dxa"/>
            <w:tcBorders>
              <w:top w:val="nil"/>
              <w:left w:val="nil"/>
              <w:bottom w:val="nil"/>
              <w:right w:val="nil"/>
            </w:tcBorders>
            <w:hideMark/>
          </w:tcPr>
          <w:p w14:paraId="11FE3CB0" w14:textId="77777777" w:rsidR="006B6379" w:rsidRPr="00E96208" w:rsidRDefault="006B6379" w:rsidP="00B30934">
            <w:pPr>
              <w:pStyle w:val="Normal6a"/>
            </w:pPr>
            <w:r>
              <w:t>3.</w:t>
            </w:r>
            <w:r>
              <w:tab/>
              <w:t xml:space="preserve">wijst op de unieke rol van het EOM met betrekking tot de rechtshandhaving van de Unie als openbaar ministerie en wijst erop dat het EOM vanwege zijn aard verplicht is alle zaken die onder zijn bevoegdheid vallen te onderzoeken wanneer deze onder zijn aandacht worden gebracht; </w:t>
            </w:r>
            <w:r>
              <w:rPr>
                <w:b/>
                <w:i/>
              </w:rPr>
              <w:t>beklemtoont dat de middelen moeten worden afgestemd op de operationele behoeften;</w:t>
            </w:r>
            <w:r>
              <w:t xml:space="preserve"> benadrukt derhalve de noodzaak om snel de nodige middelen beschikbaar te stellen om zijn taken uit te voeren en de voortgang en de tijdige afronding van onderzoeken te waarborgen;</w:t>
            </w:r>
          </w:p>
        </w:tc>
      </w:tr>
    </w:tbl>
    <w:p w14:paraId="5B5A5F11"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34FDFDC5" w14:textId="77777777" w:rsidR="006B6379" w:rsidRPr="00E96208" w:rsidRDefault="006B6379" w:rsidP="006B6379">
      <w:r>
        <w:rPr>
          <w:rStyle w:val="HideTWBExt"/>
        </w:rPr>
        <w:t>&lt;/Amend&gt;</w:t>
      </w:r>
    </w:p>
    <w:p w14:paraId="49290493" w14:textId="77777777" w:rsidR="006B6379" w:rsidRPr="00E96208" w:rsidRDefault="006B6379" w:rsidP="006B6379">
      <w:pPr>
        <w:pStyle w:val="AmNumberTabs"/>
      </w:pPr>
      <w:r>
        <w:rPr>
          <w:rStyle w:val="HideTWBExt"/>
        </w:rPr>
        <w:t>&lt;Amend&gt;</w:t>
      </w:r>
      <w:r>
        <w:t>Amendement</w:t>
      </w:r>
      <w:r>
        <w:tab/>
      </w:r>
      <w:r>
        <w:tab/>
      </w:r>
      <w:r>
        <w:rPr>
          <w:rStyle w:val="HideTWBExt"/>
        </w:rPr>
        <w:t>&lt;NumAm&gt;</w:t>
      </w:r>
      <w:r>
        <w:t>14</w:t>
      </w:r>
      <w:r>
        <w:rPr>
          <w:rStyle w:val="HideTWBExt"/>
        </w:rPr>
        <w:t>&lt;/NumAm&gt;</w:t>
      </w:r>
    </w:p>
    <w:p w14:paraId="45A1473B" w14:textId="77777777" w:rsidR="006B6379" w:rsidRPr="00E96208" w:rsidRDefault="006B6379" w:rsidP="006B6379">
      <w:pPr>
        <w:pStyle w:val="NormalBold"/>
      </w:pPr>
      <w:r>
        <w:rPr>
          <w:rStyle w:val="HideTWBExt"/>
          <w:b w:val="0"/>
        </w:rPr>
        <w:t>&lt;RepeatBlock-By&gt;&lt;Members&gt;</w:t>
      </w:r>
      <w:r>
        <w:t>Gilles Boyer, Olivier Chastel, Vlad Vasile-Voiculescu, Michal Wiezik</w:t>
      </w:r>
      <w:r>
        <w:rPr>
          <w:rStyle w:val="HideTWBExt"/>
          <w:b w:val="0"/>
        </w:rPr>
        <w:t>&lt;/Members&gt;</w:t>
      </w:r>
    </w:p>
    <w:p w14:paraId="57367561" w14:textId="77777777" w:rsidR="006B6379" w:rsidRPr="00E96208" w:rsidRDefault="006B6379" w:rsidP="006B6379">
      <w:pPr>
        <w:pStyle w:val="NormalBold"/>
      </w:pPr>
      <w:r>
        <w:rPr>
          <w:rStyle w:val="HideTWBExt"/>
          <w:b w:val="0"/>
        </w:rPr>
        <w:t>&lt;/RepeatBlock-By&gt;</w:t>
      </w:r>
    </w:p>
    <w:p w14:paraId="5F41E6FF" w14:textId="77777777" w:rsidR="006B6379" w:rsidRPr="00E96208" w:rsidRDefault="006B6379" w:rsidP="006B6379">
      <w:pPr>
        <w:pStyle w:val="NormalBold"/>
      </w:pPr>
      <w:r>
        <w:rPr>
          <w:rStyle w:val="HideTWBExt"/>
        </w:rPr>
        <w:t>&lt;DocAmend&gt;</w:t>
      </w:r>
      <w:r>
        <w:t>Ontwerpresolutie</w:t>
      </w:r>
      <w:r>
        <w:rPr>
          <w:rStyle w:val="HideTWBExt"/>
        </w:rPr>
        <w:t>&lt;/DocAmend&gt;</w:t>
      </w:r>
    </w:p>
    <w:p w14:paraId="7E47BFE4" w14:textId="77777777" w:rsidR="006B6379" w:rsidRPr="00E96208" w:rsidRDefault="006B6379" w:rsidP="006B6379">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19C287E7" w14:textId="77777777" w:rsidTr="00B30934">
        <w:trPr>
          <w:trHeight w:val="240"/>
          <w:jc w:val="center"/>
        </w:trPr>
        <w:tc>
          <w:tcPr>
            <w:tcW w:w="9752" w:type="dxa"/>
            <w:gridSpan w:val="2"/>
            <w:tcBorders>
              <w:top w:val="nil"/>
              <w:left w:val="nil"/>
              <w:bottom w:val="nil"/>
              <w:right w:val="nil"/>
            </w:tcBorders>
          </w:tcPr>
          <w:p w14:paraId="21998651" w14:textId="77777777" w:rsidR="006B6379" w:rsidRPr="00E96208" w:rsidRDefault="006B6379" w:rsidP="00B30934"/>
        </w:tc>
      </w:tr>
      <w:tr w:rsidR="006B6379" w14:paraId="311FD439" w14:textId="77777777" w:rsidTr="00B30934">
        <w:trPr>
          <w:trHeight w:val="240"/>
          <w:jc w:val="center"/>
        </w:trPr>
        <w:tc>
          <w:tcPr>
            <w:tcW w:w="4876" w:type="dxa"/>
            <w:tcBorders>
              <w:top w:val="nil"/>
              <w:left w:val="nil"/>
              <w:bottom w:val="nil"/>
              <w:right w:val="nil"/>
            </w:tcBorders>
            <w:hideMark/>
          </w:tcPr>
          <w:p w14:paraId="56E45E6A"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1206FCE0" w14:textId="77777777" w:rsidR="006B6379" w:rsidRPr="00E96208" w:rsidRDefault="006B6379" w:rsidP="00B30934">
            <w:pPr>
              <w:pStyle w:val="AmColumnHeading"/>
            </w:pPr>
            <w:r>
              <w:t>Amendement</w:t>
            </w:r>
          </w:p>
        </w:tc>
      </w:tr>
      <w:tr w:rsidR="006B6379" w14:paraId="170EB8FC" w14:textId="77777777" w:rsidTr="00B30934">
        <w:trPr>
          <w:jc w:val="center"/>
        </w:trPr>
        <w:tc>
          <w:tcPr>
            <w:tcW w:w="4876" w:type="dxa"/>
            <w:tcBorders>
              <w:top w:val="nil"/>
              <w:left w:val="nil"/>
              <w:bottom w:val="nil"/>
              <w:right w:val="nil"/>
            </w:tcBorders>
            <w:hideMark/>
          </w:tcPr>
          <w:p w14:paraId="2D1D670D" w14:textId="77777777" w:rsidR="006B6379" w:rsidRPr="00E96208" w:rsidRDefault="006B6379" w:rsidP="00B30934">
            <w:pPr>
              <w:pStyle w:val="Normal6a"/>
            </w:pPr>
            <w:r>
              <w:t>5.</w:t>
            </w:r>
            <w:r>
              <w:tab/>
              <w:t>wijst erop dat de oorspronkelijke begroting voor 2024 (ten bedrage van 71 888 321 EUR) die door de begrotingsautoriteit van de Unie was goedgekeurd, 24 % lager was dan het bedrag dat het EOM in zijn raming van de ontvangsten en uitgaven voor 2024 had gevraagd, ook al was dit bedrag 9 % hoger dan het voorgaande jaar; merkt op dat er in 2024 twee gewijzigde begrotingen zijn goedgekeurd en dat, na het verzoek van het EOM in februari 2024, de begroting in juni 2024 met 3 600 000 EUR is verhoogd, met financiële en personele middelen om de hogere kosten in verband met de deelname van Polen en Zweden aan het EOM te dekken; benadrukt dat de verhoging bedoeld was om de salarissen te dekken van de bijkomende gedelegeerde Europese aanklagers die in Polen en Zweden zouden worden aangesteld en van het personeel dat zou worden aangeworven, alsook de daarmee samenhangende operationele uitgaven, maar dat een deel van deze extra middelen werd toegewezen aan het personeel van het hoofdkantoor om het project voor IT-autonomie voor te bereiden dat werd opgelegd door de stopzetting van de IT-diensten van de Commissie; merkt op dat de tweede gewijzigde begroting het niveau van de kredieten in november 2024, op voorstel van de begrotingsautoriteit van de Unie, met 894 047 EUR heeft verhoogd, om de hoge loonindexering in 2024 op te vangen, en dat, aangezien het EOM reeds een deel van zijn eerste gewijzigde begroting had toegewezen om te anticiperen op de hoger dan verwachte loonindexering, de in de tweede begroting extra toegekende middelen werden herschikt naar uitgaven op het gebied van veiligheid;</w:t>
            </w:r>
          </w:p>
        </w:tc>
        <w:tc>
          <w:tcPr>
            <w:tcW w:w="4876" w:type="dxa"/>
            <w:tcBorders>
              <w:top w:val="nil"/>
              <w:left w:val="nil"/>
              <w:bottom w:val="nil"/>
              <w:right w:val="nil"/>
            </w:tcBorders>
            <w:hideMark/>
          </w:tcPr>
          <w:p w14:paraId="5C07171E" w14:textId="77777777" w:rsidR="006B6379" w:rsidRPr="00E96208" w:rsidRDefault="006B6379" w:rsidP="00B30934">
            <w:pPr>
              <w:pStyle w:val="Normal6a"/>
            </w:pPr>
            <w:r>
              <w:t>5.</w:t>
            </w:r>
            <w:r>
              <w:tab/>
              <w:t xml:space="preserve">wijst erop dat de oorspronkelijke begroting voor 2024 (ten bedrage van 71 888 321 EUR) die door de begrotingsautoriteit van de Unie was goedgekeurd, 24 % lager was dan het bedrag dat het EOM in zijn raming van de ontvangsten en uitgaven voor 2024 had gevraagd, ook al was dit bedrag 9 % hoger dan het voorgaande jaar; merkt op dat er in 2024 twee gewijzigde begrotingen zijn goedgekeurd en dat, na het verzoek van het EOM in februari 2024, de begroting in juni 2024 met 3 600 000 EUR is verhoogd, met financiële en personele middelen om de hogere kosten in verband met de deelname van Polen en Zweden aan het EOM te dekken; benadrukt dat de verhoging bedoeld was om de salarissen te dekken van de bijkomende gedelegeerde Europese aanklagers die in Polen en Zweden zouden worden aangesteld en van het personeel dat zou worden aangeworven, alsook de daarmee samenhangende operationele uitgaven, maar dat een deel van deze extra middelen werd toegewezen aan het personeel van het hoofdkantoor om het project voor IT-autonomie voor te bereiden dat werd opgelegd door de stopzetting van de IT-diensten van de Commissie; merkt op dat de tweede gewijzigde begroting het niveau van de kredieten in november 2024, op voorstel van de begrotingsautoriteit van de Unie, met 894 047 EUR heeft verhoogd, om de hoge loonindexering in 2024 op te vangen, en dat, aangezien het EOM reeds een deel van zijn eerste gewijzigde begroting had toegewezen om te anticiperen op de hoger dan verwachte loonindexering, de in de tweede begroting extra toegekende middelen werden herschikt naar uitgaven op het gebied van veiligheid; </w:t>
            </w:r>
            <w:r>
              <w:rPr>
                <w:b/>
                <w:i/>
              </w:rPr>
              <w:t>is van mening dat uit het feit dat steeds opnieuw toevlucht moet worden genomen tot gewijzigde begrotingen blijkt dat er behoefte is aan een meer realistische ex-</w:t>
            </w:r>
            <w:proofErr w:type="spellStart"/>
            <w:r>
              <w:rPr>
                <w:b/>
                <w:i/>
              </w:rPr>
              <w:t>antebegrotingsaanpak</w:t>
            </w:r>
            <w:proofErr w:type="spellEnd"/>
            <w:r>
              <w:rPr>
                <w:b/>
                <w:i/>
              </w:rPr>
              <w:t xml:space="preserve"> en aan een eerdere en meer gestructureerde samenwerking met het EOM tijdens de jaarlijkse begrotingsprocedure;</w:t>
            </w:r>
          </w:p>
        </w:tc>
      </w:tr>
    </w:tbl>
    <w:p w14:paraId="2ADB6248"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3D56299E" w14:textId="77777777" w:rsidR="006B6379" w:rsidRPr="00E96208" w:rsidRDefault="006B6379" w:rsidP="006B6379">
      <w:r>
        <w:rPr>
          <w:rStyle w:val="HideTWBExt"/>
        </w:rPr>
        <w:t>&lt;/Amend&gt;</w:t>
      </w:r>
    </w:p>
    <w:p w14:paraId="2D0C985A" w14:textId="77777777" w:rsidR="006B6379" w:rsidRPr="00E96208" w:rsidRDefault="006B6379" w:rsidP="006B6379">
      <w:pPr>
        <w:pStyle w:val="AmNumberTabs"/>
      </w:pPr>
      <w:r>
        <w:rPr>
          <w:rStyle w:val="HideTWBExt"/>
        </w:rPr>
        <w:t>&lt;Amend&gt;</w:t>
      </w:r>
      <w:r>
        <w:t>Amendement</w:t>
      </w:r>
      <w:r>
        <w:tab/>
      </w:r>
      <w:r>
        <w:tab/>
      </w:r>
      <w:r>
        <w:rPr>
          <w:rStyle w:val="HideTWBExt"/>
        </w:rPr>
        <w:t>&lt;NumAm&gt;</w:t>
      </w:r>
      <w:r>
        <w:t>15</w:t>
      </w:r>
      <w:r>
        <w:rPr>
          <w:rStyle w:val="HideTWBExt"/>
        </w:rPr>
        <w:t>&lt;/NumAm&gt;</w:t>
      </w:r>
    </w:p>
    <w:p w14:paraId="573D8E89" w14:textId="77777777" w:rsidR="006B6379" w:rsidRPr="00E96208" w:rsidRDefault="006B6379" w:rsidP="006B6379">
      <w:pPr>
        <w:pStyle w:val="NormalBold"/>
      </w:pPr>
      <w:r>
        <w:rPr>
          <w:rStyle w:val="HideTWBExt"/>
          <w:b w:val="0"/>
        </w:rPr>
        <w:t>&lt;RepeatBlock-By&gt;&lt;Members&gt;</w:t>
      </w:r>
      <w:r>
        <w:t>Gilles Boyer, Olivier Chastel, Vlad Vasile-Voiculescu, Michal Wiezik</w:t>
      </w:r>
      <w:r>
        <w:rPr>
          <w:rStyle w:val="HideTWBExt"/>
          <w:b w:val="0"/>
        </w:rPr>
        <w:t>&lt;/Members&gt;</w:t>
      </w:r>
    </w:p>
    <w:p w14:paraId="6F91EF70" w14:textId="77777777" w:rsidR="006B6379" w:rsidRPr="00E96208" w:rsidRDefault="006B6379" w:rsidP="006B6379">
      <w:pPr>
        <w:pStyle w:val="NormalBold"/>
      </w:pPr>
      <w:r>
        <w:rPr>
          <w:rStyle w:val="HideTWBExt"/>
          <w:b w:val="0"/>
        </w:rPr>
        <w:t>&lt;/RepeatBlock-By&gt;</w:t>
      </w:r>
    </w:p>
    <w:p w14:paraId="4C9B9B71" w14:textId="77777777" w:rsidR="006B6379" w:rsidRPr="00E96208" w:rsidRDefault="006B6379" w:rsidP="006B6379">
      <w:pPr>
        <w:pStyle w:val="NormalBold"/>
      </w:pPr>
      <w:r>
        <w:rPr>
          <w:rStyle w:val="HideTWBExt"/>
        </w:rPr>
        <w:t>&lt;DocAmend&gt;</w:t>
      </w:r>
      <w:r>
        <w:t>Ontwerpresolutie</w:t>
      </w:r>
      <w:r>
        <w:rPr>
          <w:rStyle w:val="HideTWBExt"/>
        </w:rPr>
        <w:t>&lt;/DocAmend&gt;</w:t>
      </w:r>
    </w:p>
    <w:p w14:paraId="08A70C5B" w14:textId="77777777" w:rsidR="006B6379" w:rsidRPr="00E96208" w:rsidRDefault="006B6379" w:rsidP="006B6379">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6E69EFBA" w14:textId="77777777" w:rsidTr="00B30934">
        <w:trPr>
          <w:trHeight w:val="240"/>
          <w:jc w:val="center"/>
        </w:trPr>
        <w:tc>
          <w:tcPr>
            <w:tcW w:w="9752" w:type="dxa"/>
            <w:gridSpan w:val="2"/>
            <w:tcBorders>
              <w:top w:val="nil"/>
              <w:left w:val="nil"/>
              <w:bottom w:val="nil"/>
              <w:right w:val="nil"/>
            </w:tcBorders>
          </w:tcPr>
          <w:p w14:paraId="0B91AB6B" w14:textId="77777777" w:rsidR="006B6379" w:rsidRPr="00E96208" w:rsidRDefault="006B6379" w:rsidP="00B30934"/>
        </w:tc>
      </w:tr>
      <w:tr w:rsidR="006B6379" w14:paraId="2912034F" w14:textId="77777777" w:rsidTr="00B30934">
        <w:trPr>
          <w:trHeight w:val="240"/>
          <w:jc w:val="center"/>
        </w:trPr>
        <w:tc>
          <w:tcPr>
            <w:tcW w:w="4876" w:type="dxa"/>
            <w:tcBorders>
              <w:top w:val="nil"/>
              <w:left w:val="nil"/>
              <w:bottom w:val="nil"/>
              <w:right w:val="nil"/>
            </w:tcBorders>
            <w:hideMark/>
          </w:tcPr>
          <w:p w14:paraId="711E93D3"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3D19FD2A" w14:textId="77777777" w:rsidR="006B6379" w:rsidRPr="00E96208" w:rsidRDefault="006B6379" w:rsidP="00B30934">
            <w:pPr>
              <w:pStyle w:val="AmColumnHeading"/>
            </w:pPr>
            <w:r>
              <w:t>Amendement</w:t>
            </w:r>
          </w:p>
        </w:tc>
      </w:tr>
      <w:tr w:rsidR="006B6379" w14:paraId="2E38ECE4" w14:textId="77777777" w:rsidTr="00B30934">
        <w:trPr>
          <w:jc w:val="center"/>
        </w:trPr>
        <w:tc>
          <w:tcPr>
            <w:tcW w:w="4876" w:type="dxa"/>
            <w:tcBorders>
              <w:top w:val="nil"/>
              <w:left w:val="nil"/>
              <w:bottom w:val="nil"/>
              <w:right w:val="nil"/>
            </w:tcBorders>
            <w:hideMark/>
          </w:tcPr>
          <w:p w14:paraId="3315B961" w14:textId="77777777" w:rsidR="006B6379" w:rsidRPr="00E96208" w:rsidRDefault="006B6379" w:rsidP="00B30934">
            <w:pPr>
              <w:pStyle w:val="Normal6a"/>
            </w:pPr>
            <w:r>
              <w:t>7.</w:t>
            </w:r>
            <w:r>
              <w:tab/>
              <w:t>erkent dat de begrotingsbehoeften in verband met de activiteiten van het EOM nog altijd zeer moeilijk zijn in te schatten vanwege het bijzondere karakter van de activiteiten van het EOM, dat verband houdt met het onvoorspelbare niveau van de opsporing van fraude en de grote verscheidenheid van zijn zaken; is zich ervan bewust dat het EOM geen discretionaire bevoegdheid heeft met betrekking tot vervolgingen en dat het tegelijkertijd geen invloed heeft op de middelen en procedurele beperkingen van de nationale stelsels waarvan het afhankelijk is voor zijn onderzoeksactiviteiten; merkt op dat het ontbreken van een vast verband tussen het aantal onderzoeken en de kosten daarvan ook een prognose van de uitgaven bemoeilijkt, maar herinnert eraan dat de te beschermen middelen van de Unie toenemen en dat de complexiteit van het regelgevingskader voor de inzet ervan de onderzoeken bemoeilijkt, niet alleen wat betreft de herstel- en veerkrachtfaciliteit en de ongekende wijze waarop deze wordt uitgevoerd, maar ook wat betreft de grote hoeveelheid toegewezen middelen; is van mening dat deze context wijst op de noodzaak van extra middelen voor de financiering van de activiteiten van het EOM en herhaalt dat het EOM over voldoende middelen moet beschikken om zijn mandaat naar behoren te kunnen vervullen;</w:t>
            </w:r>
          </w:p>
        </w:tc>
        <w:tc>
          <w:tcPr>
            <w:tcW w:w="4876" w:type="dxa"/>
            <w:tcBorders>
              <w:top w:val="nil"/>
              <w:left w:val="nil"/>
              <w:bottom w:val="nil"/>
              <w:right w:val="nil"/>
            </w:tcBorders>
            <w:hideMark/>
          </w:tcPr>
          <w:p w14:paraId="6375833F" w14:textId="77777777" w:rsidR="006B6379" w:rsidRPr="00E96208" w:rsidRDefault="006B6379" w:rsidP="00B30934">
            <w:pPr>
              <w:pStyle w:val="Normal6a"/>
            </w:pPr>
            <w:r>
              <w:t>7.</w:t>
            </w:r>
            <w:r>
              <w:tab/>
              <w:t xml:space="preserve">erkent dat de begrotingsbehoeften in verband met de activiteiten van het EOM nog altijd zeer moeilijk zijn in te schatten vanwege het bijzondere karakter van de activiteiten van het EOM, dat verband houdt met het onvoorspelbare niveau van de opsporing van fraude en de grote verscheidenheid van zijn zaken; is zich ervan bewust dat het EOM geen discretionaire bevoegdheid heeft met betrekking tot vervolgingen en dat het tegelijkertijd geen invloed heeft op de middelen en procedurele beperkingen van de nationale stelsels waarvan het afhankelijk is voor zijn onderzoeksactiviteiten; merkt op dat het ontbreken van een vast verband tussen het aantal onderzoeken en de kosten daarvan ook een prognose van de uitgaven bemoeilijkt, maar herinnert eraan dat de te beschermen middelen van de Unie toenemen en dat de complexiteit van het regelgevingskader voor de inzet ervan de onderzoeken bemoeilijkt, niet alleen wat betreft de herstel- en veerkrachtfaciliteit en de ongekende wijze waarop deze wordt uitgevoerd, maar ook wat betreft de grote hoeveelheid toegewezen middelen; is van mening dat deze context wijst op de noodzaak van extra middelen voor de financiering van de activiteiten van het EOM en herhaalt dat het EOM over voldoende middelen moet beschikken om zijn mandaat naar behoren te kunnen vervullen; </w:t>
            </w:r>
            <w:r>
              <w:rPr>
                <w:b/>
                <w:i/>
              </w:rPr>
              <w:t>meent dat een dergelijke onvoorspelbaarheid een grond kan vormen voor de instelling van een specifiek mechanisme voor noodmaatregelen op begrotingsvlak teneinde het EOM in staat te stellen doeltreffend te reageren op plotse stijgingen van de werklast;</w:t>
            </w:r>
          </w:p>
        </w:tc>
      </w:tr>
    </w:tbl>
    <w:p w14:paraId="58E4BAF9"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59E5BB9F" w14:textId="77777777" w:rsidR="006B6379" w:rsidRPr="00E96208" w:rsidRDefault="006B6379" w:rsidP="006B6379">
      <w:r>
        <w:rPr>
          <w:rStyle w:val="HideTWBExt"/>
        </w:rPr>
        <w:t>&lt;/Amend&gt;</w:t>
      </w:r>
    </w:p>
    <w:p w14:paraId="2B5567C5" w14:textId="77777777" w:rsidR="006B6379" w:rsidRPr="00E96208" w:rsidRDefault="006B6379" w:rsidP="006B6379">
      <w:pPr>
        <w:pStyle w:val="AmNumberTabs"/>
      </w:pPr>
      <w:r>
        <w:rPr>
          <w:rStyle w:val="HideTWBExt"/>
        </w:rPr>
        <w:t>&lt;Amend&gt;</w:t>
      </w:r>
      <w:r>
        <w:t>Amendement</w:t>
      </w:r>
      <w:r>
        <w:tab/>
      </w:r>
      <w:r>
        <w:tab/>
      </w:r>
      <w:r>
        <w:rPr>
          <w:rStyle w:val="HideTWBExt"/>
        </w:rPr>
        <w:t>&lt;NumAm&gt;</w:t>
      </w:r>
      <w:r>
        <w:t>16</w:t>
      </w:r>
      <w:r>
        <w:rPr>
          <w:rStyle w:val="HideTWBExt"/>
        </w:rPr>
        <w:t>&lt;/NumAm&gt;</w:t>
      </w:r>
    </w:p>
    <w:p w14:paraId="067AA9D1" w14:textId="77777777" w:rsidR="006B6379" w:rsidRPr="00E96208" w:rsidRDefault="006B6379" w:rsidP="006B6379">
      <w:pPr>
        <w:pStyle w:val="NormalBold"/>
      </w:pPr>
      <w:r>
        <w:rPr>
          <w:rStyle w:val="HideTWBExt"/>
          <w:b w:val="0"/>
        </w:rPr>
        <w:t>&lt;RepeatBlock-By&gt;&lt;Members&gt;</w:t>
      </w:r>
      <w:r>
        <w:t>Gilles Boyer, Olivier Chastel, Vlad Vasile-Voiculescu, Michal Wiezik</w:t>
      </w:r>
      <w:r>
        <w:rPr>
          <w:rStyle w:val="HideTWBExt"/>
          <w:b w:val="0"/>
        </w:rPr>
        <w:t>&lt;/Members&gt;</w:t>
      </w:r>
    </w:p>
    <w:p w14:paraId="2AD161B6" w14:textId="77777777" w:rsidR="006B6379" w:rsidRPr="00E96208" w:rsidRDefault="006B6379" w:rsidP="006B6379">
      <w:pPr>
        <w:pStyle w:val="NormalBold"/>
      </w:pPr>
      <w:r>
        <w:rPr>
          <w:rStyle w:val="HideTWBExt"/>
          <w:b w:val="0"/>
        </w:rPr>
        <w:t>&lt;/RepeatBlock-By&gt;</w:t>
      </w:r>
    </w:p>
    <w:p w14:paraId="3D9E5218" w14:textId="77777777" w:rsidR="006B6379" w:rsidRPr="00E96208" w:rsidRDefault="006B6379" w:rsidP="006B6379">
      <w:pPr>
        <w:pStyle w:val="NormalBold"/>
      </w:pPr>
      <w:r>
        <w:rPr>
          <w:rStyle w:val="HideTWBExt"/>
        </w:rPr>
        <w:t>&lt;DocAmend&gt;</w:t>
      </w:r>
      <w:r>
        <w:t>Ontwerpresolutie</w:t>
      </w:r>
      <w:r>
        <w:rPr>
          <w:rStyle w:val="HideTWBExt"/>
        </w:rPr>
        <w:t>&lt;/DocAmend&gt;</w:t>
      </w:r>
    </w:p>
    <w:p w14:paraId="7DC0276D" w14:textId="77777777" w:rsidR="006B6379" w:rsidRPr="00E96208" w:rsidRDefault="006B6379" w:rsidP="006B6379">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7E9A06FB" w14:textId="77777777" w:rsidTr="00B30934">
        <w:trPr>
          <w:trHeight w:val="240"/>
          <w:jc w:val="center"/>
        </w:trPr>
        <w:tc>
          <w:tcPr>
            <w:tcW w:w="9752" w:type="dxa"/>
            <w:gridSpan w:val="2"/>
            <w:tcBorders>
              <w:top w:val="nil"/>
              <w:left w:val="nil"/>
              <w:bottom w:val="nil"/>
              <w:right w:val="nil"/>
            </w:tcBorders>
          </w:tcPr>
          <w:p w14:paraId="4FB57017" w14:textId="77777777" w:rsidR="006B6379" w:rsidRPr="00E96208" w:rsidRDefault="006B6379" w:rsidP="00B30934"/>
        </w:tc>
      </w:tr>
      <w:tr w:rsidR="006B6379" w14:paraId="2C5F1598" w14:textId="77777777" w:rsidTr="00B30934">
        <w:trPr>
          <w:trHeight w:val="240"/>
          <w:jc w:val="center"/>
        </w:trPr>
        <w:tc>
          <w:tcPr>
            <w:tcW w:w="4876" w:type="dxa"/>
            <w:tcBorders>
              <w:top w:val="nil"/>
              <w:left w:val="nil"/>
              <w:bottom w:val="nil"/>
              <w:right w:val="nil"/>
            </w:tcBorders>
            <w:hideMark/>
          </w:tcPr>
          <w:p w14:paraId="760AC936"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16D60A8A" w14:textId="77777777" w:rsidR="006B6379" w:rsidRPr="00E96208" w:rsidRDefault="006B6379" w:rsidP="00B30934">
            <w:pPr>
              <w:pStyle w:val="AmColumnHeading"/>
            </w:pPr>
            <w:r>
              <w:t>Amendement</w:t>
            </w:r>
          </w:p>
        </w:tc>
      </w:tr>
      <w:tr w:rsidR="006B6379" w14:paraId="4FF95E4F" w14:textId="77777777" w:rsidTr="00B30934">
        <w:trPr>
          <w:jc w:val="center"/>
        </w:trPr>
        <w:tc>
          <w:tcPr>
            <w:tcW w:w="4876" w:type="dxa"/>
            <w:tcBorders>
              <w:top w:val="nil"/>
              <w:left w:val="nil"/>
              <w:bottom w:val="nil"/>
              <w:right w:val="nil"/>
            </w:tcBorders>
            <w:hideMark/>
          </w:tcPr>
          <w:p w14:paraId="56CC2A4E" w14:textId="77777777" w:rsidR="006B6379" w:rsidRPr="00E96208" w:rsidRDefault="006B6379" w:rsidP="00B30934">
            <w:pPr>
              <w:pStyle w:val="Normal6a"/>
            </w:pPr>
            <w:r>
              <w:t>7.</w:t>
            </w:r>
            <w:r>
              <w:tab/>
              <w:t>erkent dat de begrotingsbehoeften in verband met de activiteiten van het EOM nog altijd zeer moeilijk zijn in te schatten vanwege het bijzondere karakter van de activiteiten van het EOM, dat verband houdt met het onvoorspelbare niveau van de opsporing van fraude en de grote verscheidenheid van zijn zaken; is zich ervan bewust dat het EOM geen discretionaire bevoegdheid heeft met betrekking tot vervolgingen en dat het tegelijkertijd geen invloed heeft op de middelen en procedurele beperkingen van de nationale stelsels waarvan het afhankelijk is voor zijn onderzoeksactiviteiten; merkt op dat het ontbreken van een vast verband tussen het aantal onderzoeken en de kosten daarvan ook een prognose van de uitgaven bemoeilijkt, maar herinnert eraan dat de te beschermen middelen van de Unie toenemen en dat de complexiteit van het regelgevingskader voor de inzet ervan de onderzoeken bemoeilijkt, niet alleen wat betreft de herstel- en veerkrachtfaciliteit en de ongekende wijze waarop deze wordt uitgevoerd, maar ook wat betreft de grote hoeveelheid toegewezen middelen; is van mening dat deze context wijst op de noodzaak van extra middelen voor de financiering van de activiteiten van het EOM en herhaalt dat het EOM over voldoende middelen moet beschikken om zijn mandaat naar behoren te kunnen vervullen;</w:t>
            </w:r>
          </w:p>
        </w:tc>
        <w:tc>
          <w:tcPr>
            <w:tcW w:w="4876" w:type="dxa"/>
            <w:tcBorders>
              <w:top w:val="nil"/>
              <w:left w:val="nil"/>
              <w:bottom w:val="nil"/>
              <w:right w:val="nil"/>
            </w:tcBorders>
            <w:hideMark/>
          </w:tcPr>
          <w:p w14:paraId="717FD41D" w14:textId="77777777" w:rsidR="006B6379" w:rsidRPr="00E96208" w:rsidRDefault="006B6379" w:rsidP="00B30934">
            <w:pPr>
              <w:pStyle w:val="Normal6a"/>
            </w:pPr>
            <w:r>
              <w:t>7.</w:t>
            </w:r>
            <w:r>
              <w:tab/>
              <w:t xml:space="preserve">erkent dat de begrotingsbehoeften in verband met de activiteiten van het EOM nog altijd zeer moeilijk zijn in te schatten vanwege het bijzondere karakter van de activiteiten van het EOM, dat verband houdt met het onvoorspelbare niveau van de opsporing van fraude en de grote verscheidenheid van zijn zaken; is zich ervan bewust dat het EOM geen discretionaire bevoegdheid heeft met betrekking tot vervolgingen en dat het tegelijkertijd geen invloed heeft op de middelen en procedurele beperkingen van de nationale stelsels waarvan het afhankelijk is voor zijn onderzoeksactiviteiten; merkt op dat het ontbreken van een vast verband tussen het aantal onderzoeken en de kosten daarvan ook een prognose van de uitgaven bemoeilijkt, maar herinnert eraan dat de te beschermen middelen van de Unie toenemen en dat de complexiteit van het regelgevingskader voor de inzet ervan de onderzoeken bemoeilijkt, niet alleen wat betreft de herstel- en veerkrachtfaciliteit en de ongekende wijze waarop deze wordt uitgevoerd, maar ook wat betreft de grote hoeveelheid toegewezen middelen; is van mening dat deze context wijst op de noodzaak van extra middelen voor de financiering van de activiteiten van het EOM en herhaalt dat het EOM over voldoende middelen moet beschikken om zijn mandaat naar behoren te kunnen vervullen; </w:t>
            </w:r>
            <w:r>
              <w:rPr>
                <w:b/>
                <w:i/>
              </w:rPr>
              <w:t>verzoekt de Commissie een gedetailleerde en geactualiseerde beoordeling van de personeelssituatie bij het EOM voor te leggen, vergezeld van een motivering voor elke afwijking van de verzoeken van het EOM;</w:t>
            </w:r>
          </w:p>
        </w:tc>
      </w:tr>
    </w:tbl>
    <w:p w14:paraId="2CA3ED9E"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27DF95F9" w14:textId="77777777" w:rsidR="006B6379" w:rsidRPr="00E96208" w:rsidRDefault="006B6379" w:rsidP="006B6379">
      <w:r>
        <w:rPr>
          <w:rStyle w:val="HideTWBExt"/>
        </w:rPr>
        <w:t>&lt;/Amend&gt;</w:t>
      </w:r>
    </w:p>
    <w:p w14:paraId="1B4F60B9" w14:textId="77777777" w:rsidR="006B6379" w:rsidRPr="00E96208" w:rsidRDefault="006B6379" w:rsidP="006B6379">
      <w:pPr>
        <w:pStyle w:val="AmNumberTabs"/>
      </w:pPr>
      <w:r>
        <w:rPr>
          <w:rStyle w:val="HideTWBExt"/>
        </w:rPr>
        <w:t>&lt;Amend&gt;</w:t>
      </w:r>
      <w:r>
        <w:t>Amendement</w:t>
      </w:r>
      <w:r>
        <w:tab/>
      </w:r>
      <w:r>
        <w:tab/>
      </w:r>
      <w:r>
        <w:rPr>
          <w:rStyle w:val="HideTWBExt"/>
        </w:rPr>
        <w:t>&lt;NumAm&gt;</w:t>
      </w:r>
      <w:r>
        <w:t>17</w:t>
      </w:r>
      <w:r>
        <w:rPr>
          <w:rStyle w:val="HideTWBExt"/>
        </w:rPr>
        <w:t>&lt;/NumAm&gt;</w:t>
      </w:r>
    </w:p>
    <w:p w14:paraId="4F3E5B38"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263E4E29" w14:textId="77777777" w:rsidR="006B6379" w:rsidRPr="00E96208" w:rsidRDefault="006B6379" w:rsidP="006B6379">
      <w:pPr>
        <w:pStyle w:val="NormalBold"/>
      </w:pPr>
      <w:r>
        <w:rPr>
          <w:rStyle w:val="HideTWBExt"/>
          <w:b w:val="0"/>
        </w:rPr>
        <w:t>&lt;/RepeatBlock-By&gt;</w:t>
      </w:r>
    </w:p>
    <w:p w14:paraId="3F493411" w14:textId="77777777" w:rsidR="006B6379" w:rsidRPr="00E96208" w:rsidRDefault="006B6379" w:rsidP="006B6379">
      <w:pPr>
        <w:pStyle w:val="NormalBold"/>
      </w:pPr>
      <w:r>
        <w:rPr>
          <w:rStyle w:val="HideTWBExt"/>
        </w:rPr>
        <w:t>&lt;DocAmend&gt;</w:t>
      </w:r>
      <w:r>
        <w:t>Ontwerpresolutie</w:t>
      </w:r>
      <w:r>
        <w:rPr>
          <w:rStyle w:val="HideTWBExt"/>
        </w:rPr>
        <w:t>&lt;/DocAmend&gt;</w:t>
      </w:r>
    </w:p>
    <w:p w14:paraId="765F3A5A" w14:textId="77777777" w:rsidR="006B6379" w:rsidRPr="00E96208" w:rsidRDefault="006B6379" w:rsidP="006B6379">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65CA2AF0" w14:textId="77777777" w:rsidTr="00B30934">
        <w:trPr>
          <w:trHeight w:val="240"/>
          <w:jc w:val="center"/>
        </w:trPr>
        <w:tc>
          <w:tcPr>
            <w:tcW w:w="9752" w:type="dxa"/>
            <w:gridSpan w:val="2"/>
            <w:tcBorders>
              <w:top w:val="nil"/>
              <w:left w:val="nil"/>
              <w:bottom w:val="nil"/>
              <w:right w:val="nil"/>
            </w:tcBorders>
          </w:tcPr>
          <w:p w14:paraId="3E4E8828" w14:textId="77777777" w:rsidR="006B6379" w:rsidRPr="00E96208" w:rsidRDefault="006B6379" w:rsidP="00B30934"/>
        </w:tc>
      </w:tr>
      <w:tr w:rsidR="006B6379" w14:paraId="28761B77" w14:textId="77777777" w:rsidTr="00B30934">
        <w:trPr>
          <w:trHeight w:val="240"/>
          <w:jc w:val="center"/>
        </w:trPr>
        <w:tc>
          <w:tcPr>
            <w:tcW w:w="4876" w:type="dxa"/>
            <w:tcBorders>
              <w:top w:val="nil"/>
              <w:left w:val="nil"/>
              <w:bottom w:val="nil"/>
              <w:right w:val="nil"/>
            </w:tcBorders>
            <w:hideMark/>
          </w:tcPr>
          <w:p w14:paraId="17DE332C"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425DEDBC" w14:textId="77777777" w:rsidR="006B6379" w:rsidRPr="00E96208" w:rsidRDefault="006B6379" w:rsidP="00B30934">
            <w:pPr>
              <w:pStyle w:val="AmColumnHeading"/>
            </w:pPr>
            <w:r>
              <w:t>Amendement</w:t>
            </w:r>
          </w:p>
        </w:tc>
      </w:tr>
      <w:tr w:rsidR="006B6379" w14:paraId="150CD55A" w14:textId="77777777" w:rsidTr="00B30934">
        <w:trPr>
          <w:jc w:val="center"/>
        </w:trPr>
        <w:tc>
          <w:tcPr>
            <w:tcW w:w="4876" w:type="dxa"/>
            <w:tcBorders>
              <w:top w:val="nil"/>
              <w:left w:val="nil"/>
              <w:bottom w:val="nil"/>
              <w:right w:val="nil"/>
            </w:tcBorders>
            <w:hideMark/>
          </w:tcPr>
          <w:p w14:paraId="560879B9" w14:textId="77777777" w:rsidR="006B6379" w:rsidRPr="00E96208" w:rsidRDefault="006B6379" w:rsidP="00B30934">
            <w:pPr>
              <w:pStyle w:val="Normal6a"/>
            </w:pPr>
            <w:r>
              <w:t>7.</w:t>
            </w:r>
            <w:r>
              <w:tab/>
              <w:t xml:space="preserve">erkent dat de begrotingsbehoeften in verband met de activiteiten van het EOM nog altijd zeer moeilijk zijn in te schatten vanwege het bijzondere karakter van de activiteiten van het EOM, dat verband houdt met het onvoorspelbare niveau van de opsporing van fraude en de grote verscheidenheid van zijn zaken; is zich ervan bewust dat het EOM geen discretionaire bevoegdheid heeft met betrekking tot vervolgingen en dat het tegelijkertijd geen invloed heeft op de middelen en procedurele beperkingen van de nationale stelsels waarvan het afhankelijk is voor zijn onderzoeksactiviteiten; merkt op dat het ontbreken van een vast verband tussen het aantal onderzoeken en de kosten daarvan ook een prognose van de uitgaven bemoeilijkt, maar herinnert eraan dat de te beschermen middelen van de Unie toenemen en dat de complexiteit van het regelgevingskader voor de inzet ervan de onderzoeken bemoeilijkt, niet alleen wat betreft de herstel- en veerkrachtfaciliteit en de ongekende wijze waarop deze wordt uitgevoerd, maar ook wat betreft de grote hoeveelheid </w:t>
            </w:r>
            <w:r>
              <w:rPr>
                <w:b/>
                <w:i/>
              </w:rPr>
              <w:t>toegewezen middelen</w:t>
            </w:r>
            <w:r>
              <w:t>; is van mening dat deze context wijst op de noodzaak van extra middelen voor de financiering van de activiteiten van het EOM en herhaalt dat het EOM over voldoende middelen moet beschikken om zijn mandaat naar behoren te kunnen vervullen;</w:t>
            </w:r>
          </w:p>
        </w:tc>
        <w:tc>
          <w:tcPr>
            <w:tcW w:w="4876" w:type="dxa"/>
            <w:tcBorders>
              <w:top w:val="nil"/>
              <w:left w:val="nil"/>
              <w:bottom w:val="nil"/>
              <w:right w:val="nil"/>
            </w:tcBorders>
            <w:hideMark/>
          </w:tcPr>
          <w:p w14:paraId="1E3291B7" w14:textId="77777777" w:rsidR="006B6379" w:rsidRPr="00E96208" w:rsidRDefault="006B6379" w:rsidP="00B30934">
            <w:pPr>
              <w:pStyle w:val="Normal6a"/>
            </w:pPr>
            <w:r>
              <w:t>7.</w:t>
            </w:r>
            <w:r>
              <w:tab/>
              <w:t xml:space="preserve">erkent dat de begrotingsbehoeften in verband met de activiteiten van het EOM nog altijd zeer moeilijk zijn in te schatten vanwege het bijzondere karakter van de activiteiten van het EOM, dat verband houdt met het onvoorspelbare niveau van de opsporing van fraude en de grote verscheidenheid van zijn zaken; is zich ervan bewust dat het EOM geen discretionaire bevoegdheid heeft met betrekking tot vervolgingen en dat het tegelijkertijd geen invloed heeft op de middelen en procedurele beperkingen van de nationale stelsels waarvan het afhankelijk is voor zijn onderzoeksactiviteiten; merkt op dat het ontbreken van een vast verband tussen het aantal onderzoeken en de kosten daarvan ook een prognose van de uitgaven bemoeilijkt, maar herinnert eraan dat de te beschermen middelen van de Unie toenemen en dat de complexiteit van het regelgevingskader voor de inzet ervan de onderzoeken bemoeilijkt, niet alleen wat betreft de herstel- en veerkrachtfaciliteit en de ongekende wijze waarop deze wordt uitgevoerd, maar ook wat betreft de grote hoeveelheid </w:t>
            </w:r>
            <w:r>
              <w:rPr>
                <w:b/>
                <w:i/>
              </w:rPr>
              <w:t>uitgaven</w:t>
            </w:r>
            <w:r>
              <w:t>; is van mening dat deze context wijst op de noodzaak van extra middelen voor de financiering van de activiteiten van het EOM en herhaalt dat het EOM over voldoende middelen moet beschikken om zijn mandaat naar behoren te kunnen vervullen;</w:t>
            </w:r>
          </w:p>
        </w:tc>
      </w:tr>
    </w:tbl>
    <w:p w14:paraId="28619631"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42CBADFE" w14:textId="77777777" w:rsidR="006B6379" w:rsidRPr="00E96208" w:rsidRDefault="006B6379" w:rsidP="006B6379">
      <w:r>
        <w:rPr>
          <w:rStyle w:val="HideTWBExt"/>
        </w:rPr>
        <w:t>&lt;/Amend&gt;</w:t>
      </w:r>
    </w:p>
    <w:p w14:paraId="5D102996" w14:textId="77777777" w:rsidR="006B6379" w:rsidRPr="00E96208" w:rsidRDefault="006B6379" w:rsidP="006B6379">
      <w:pPr>
        <w:pStyle w:val="AmNumberTabs"/>
      </w:pPr>
      <w:r>
        <w:rPr>
          <w:rStyle w:val="HideTWBExt"/>
        </w:rPr>
        <w:t>&lt;Amend&gt;</w:t>
      </w:r>
      <w:r>
        <w:t>Amendement</w:t>
      </w:r>
      <w:r>
        <w:tab/>
      </w:r>
      <w:r>
        <w:tab/>
      </w:r>
      <w:r>
        <w:rPr>
          <w:rStyle w:val="HideTWBExt"/>
        </w:rPr>
        <w:t>&lt;NumAm&gt;</w:t>
      </w:r>
      <w:r>
        <w:t>18</w:t>
      </w:r>
      <w:r>
        <w:rPr>
          <w:rStyle w:val="HideTWBExt"/>
        </w:rPr>
        <w:t>&lt;/NumAm&gt;</w:t>
      </w:r>
    </w:p>
    <w:p w14:paraId="501841DF" w14:textId="77777777" w:rsidR="006B6379" w:rsidRPr="00E96208" w:rsidRDefault="006B6379" w:rsidP="006B6379">
      <w:pPr>
        <w:pStyle w:val="NormalBold"/>
      </w:pPr>
      <w:r>
        <w:rPr>
          <w:rStyle w:val="HideTWBExt"/>
          <w:b w:val="0"/>
        </w:rPr>
        <w:t>&lt;RepeatBlock-By&gt;&lt;Members&gt;</w:t>
      </w:r>
      <w:r>
        <w:t>Damian Boeselager</w:t>
      </w:r>
      <w:r>
        <w:rPr>
          <w:rStyle w:val="HideTWBExt"/>
          <w:b w:val="0"/>
        </w:rPr>
        <w:t>&lt;/Members&gt;</w:t>
      </w:r>
    </w:p>
    <w:p w14:paraId="4DA3F4CF" w14:textId="77777777" w:rsidR="006B6379" w:rsidRPr="00E96208" w:rsidRDefault="006B6379" w:rsidP="006B6379">
      <w:r>
        <w:rPr>
          <w:rStyle w:val="HideTWBExt"/>
        </w:rPr>
        <w:t>&lt;AuNomDe&gt;</w:t>
      </w:r>
      <w:r>
        <w:rPr>
          <w:rStyle w:val="HideTWBInt"/>
          <w:color w:val="auto"/>
        </w:rPr>
        <w:t>{Verts/ALE}</w:t>
      </w:r>
      <w:r>
        <w:t>namens de Verts/ALE‐Fractie</w:t>
      </w:r>
      <w:r>
        <w:rPr>
          <w:rStyle w:val="HideTWBExt"/>
        </w:rPr>
        <w:t>&lt;/AuNomDe&gt;</w:t>
      </w:r>
    </w:p>
    <w:p w14:paraId="25F37926" w14:textId="77777777" w:rsidR="006B6379" w:rsidRPr="00E96208" w:rsidRDefault="006B6379" w:rsidP="006B6379">
      <w:pPr>
        <w:pStyle w:val="NormalBold"/>
      </w:pPr>
      <w:r>
        <w:rPr>
          <w:rStyle w:val="HideTWBExt"/>
          <w:b w:val="0"/>
        </w:rPr>
        <w:t>&lt;/RepeatBlock-By&gt;</w:t>
      </w:r>
    </w:p>
    <w:p w14:paraId="087B7961" w14:textId="77777777" w:rsidR="006B6379" w:rsidRPr="00E96208" w:rsidRDefault="006B6379" w:rsidP="006B6379">
      <w:pPr>
        <w:pStyle w:val="NormalBold"/>
      </w:pPr>
      <w:r>
        <w:rPr>
          <w:rStyle w:val="HideTWBExt"/>
        </w:rPr>
        <w:t>&lt;DocAmend&gt;</w:t>
      </w:r>
      <w:r>
        <w:t>Ontwerpresolutie</w:t>
      </w:r>
      <w:r>
        <w:rPr>
          <w:rStyle w:val="HideTWBExt"/>
        </w:rPr>
        <w:t>&lt;/DocAmend&gt;</w:t>
      </w:r>
    </w:p>
    <w:p w14:paraId="03EC3829" w14:textId="77777777" w:rsidR="006B6379" w:rsidRPr="00E96208" w:rsidRDefault="006B6379" w:rsidP="006B6379">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012C4329" w14:textId="77777777" w:rsidTr="00B30934">
        <w:trPr>
          <w:trHeight w:val="240"/>
          <w:jc w:val="center"/>
        </w:trPr>
        <w:tc>
          <w:tcPr>
            <w:tcW w:w="9752" w:type="dxa"/>
            <w:gridSpan w:val="2"/>
            <w:tcBorders>
              <w:top w:val="nil"/>
              <w:left w:val="nil"/>
              <w:bottom w:val="nil"/>
              <w:right w:val="nil"/>
            </w:tcBorders>
          </w:tcPr>
          <w:p w14:paraId="18334008" w14:textId="77777777" w:rsidR="006B6379" w:rsidRPr="00E96208" w:rsidRDefault="006B6379" w:rsidP="00B30934"/>
        </w:tc>
      </w:tr>
      <w:tr w:rsidR="006B6379" w14:paraId="0744E4E2" w14:textId="77777777" w:rsidTr="00B30934">
        <w:trPr>
          <w:trHeight w:val="240"/>
          <w:jc w:val="center"/>
        </w:trPr>
        <w:tc>
          <w:tcPr>
            <w:tcW w:w="4876" w:type="dxa"/>
            <w:tcBorders>
              <w:top w:val="nil"/>
              <w:left w:val="nil"/>
              <w:bottom w:val="nil"/>
              <w:right w:val="nil"/>
            </w:tcBorders>
            <w:hideMark/>
          </w:tcPr>
          <w:p w14:paraId="1A191D9D"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5091DFD6" w14:textId="77777777" w:rsidR="006B6379" w:rsidRPr="00E96208" w:rsidRDefault="006B6379" w:rsidP="00B30934">
            <w:pPr>
              <w:pStyle w:val="AmColumnHeading"/>
            </w:pPr>
            <w:r>
              <w:t>Amendement</w:t>
            </w:r>
          </w:p>
        </w:tc>
      </w:tr>
      <w:tr w:rsidR="006B6379" w14:paraId="537B8561" w14:textId="77777777" w:rsidTr="00B30934">
        <w:trPr>
          <w:jc w:val="center"/>
        </w:trPr>
        <w:tc>
          <w:tcPr>
            <w:tcW w:w="4876" w:type="dxa"/>
            <w:tcBorders>
              <w:top w:val="nil"/>
              <w:left w:val="nil"/>
              <w:bottom w:val="nil"/>
              <w:right w:val="nil"/>
            </w:tcBorders>
            <w:hideMark/>
          </w:tcPr>
          <w:p w14:paraId="790D5C82" w14:textId="77777777" w:rsidR="006B6379" w:rsidRPr="00E96208" w:rsidRDefault="006B6379" w:rsidP="00B30934">
            <w:pPr>
              <w:pStyle w:val="Normal6a"/>
            </w:pPr>
            <w:r>
              <w:t>8.</w:t>
            </w:r>
            <w:r>
              <w:tab/>
              <w:t>begrijpt dat 2024 een moeilijk jaar was voor het EOM, omdat het te maken kreeg met een toename van zijn werkdruk in de 22 deelnemende lidstaten, de uitbreiding naar Polen en Zweden moest beheren en tegelijkertijd IT-autonomie van de Commissie moest verwerven; merkt op dat het EOM in 2024 45 posten in de personeelsformatie heeft aangevraagd voor IT-autonomie, en later 37 posten in een gewijzigde begroting, maar dat beide verzoeken zijn afgewezen; merkt op dat met name het gebrek aan extra middelen voor het bereiken van IT-autonomie ertoe heeft geleid dat personeel dat oorspronkelijk bedoeld was om de activiteiten te ondersteunen, moest worden ingezet voor de IT-sector en dat een beroep moest worden gedaan op interne contractanten;</w:t>
            </w:r>
          </w:p>
        </w:tc>
        <w:tc>
          <w:tcPr>
            <w:tcW w:w="4876" w:type="dxa"/>
            <w:tcBorders>
              <w:top w:val="nil"/>
              <w:left w:val="nil"/>
              <w:bottom w:val="nil"/>
              <w:right w:val="nil"/>
            </w:tcBorders>
            <w:hideMark/>
          </w:tcPr>
          <w:p w14:paraId="10A2E017" w14:textId="77777777" w:rsidR="006B6379" w:rsidRPr="00E96208" w:rsidRDefault="006B6379" w:rsidP="00B30934">
            <w:pPr>
              <w:pStyle w:val="Normal6a"/>
            </w:pPr>
            <w:r>
              <w:t>8.</w:t>
            </w:r>
            <w:r>
              <w:tab/>
              <w:t xml:space="preserve">begrijpt dat 2024 een moeilijk jaar was voor het EOM, omdat het te maken kreeg met een toename van zijn werkdruk in de 22 deelnemende lidstaten, de uitbreiding naar Polen en Zweden moest beheren en tegelijkertijd IT-autonomie van de Commissie moest verwerven; merkt op dat het EOM in 2024 45 posten in de personeelsformatie heeft aangevraagd voor IT-autonomie, en later 37 posten in een gewijzigde begroting, maar dat beide verzoeken zijn afgewezen; merkt op dat met name het gebrek aan extra middelen voor het bereiken van IT-autonomie ertoe heeft geleid dat personeel dat oorspronkelijk bedoeld was om de activiteiten te ondersteunen, moest worden ingezet voor de IT-sector en dat een beroep moest worden gedaan op interne contractanten; </w:t>
            </w:r>
            <w:r>
              <w:rPr>
                <w:b/>
                <w:i/>
              </w:rPr>
              <w:t>benadrukt dat de aanhoudende afhankelijkheid van externe contractanten en de overheveling van operationeel personeel naar IT-taken, als gevolg van het gebrek aan posten in de personeelsformatie voor IT-autonomie, de onderzoekscapaciteit van het EOM en de institutionele veerkracht op lange termijn dreigen te ondermijnen; verzoekt de begrotingsautoriteit te zorgen voor gespecialiseerd, vast aangesteld personeel ten behoeve van de digitale autonomie van het EOM om zo de doeltreffendheid van het onderzoek en de cyberveiligheid te vrijwaren;</w:t>
            </w:r>
          </w:p>
        </w:tc>
      </w:tr>
    </w:tbl>
    <w:p w14:paraId="44B8CED4"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00E366C6" w14:textId="77777777" w:rsidR="006B6379" w:rsidRPr="00E96208" w:rsidRDefault="006B6379" w:rsidP="006B6379">
      <w:r>
        <w:rPr>
          <w:rStyle w:val="HideTWBExt"/>
        </w:rPr>
        <w:t>&lt;/Amend&gt;</w:t>
      </w:r>
    </w:p>
    <w:p w14:paraId="0E47457D" w14:textId="77777777" w:rsidR="006B6379" w:rsidRPr="00E96208" w:rsidRDefault="006B6379" w:rsidP="006B6379">
      <w:pPr>
        <w:pStyle w:val="AmNumberTabs"/>
      </w:pPr>
      <w:r>
        <w:rPr>
          <w:rStyle w:val="HideTWBExt"/>
        </w:rPr>
        <w:t>&lt;Amend&gt;</w:t>
      </w:r>
      <w:r>
        <w:t>Amendement</w:t>
      </w:r>
      <w:r>
        <w:tab/>
      </w:r>
      <w:r>
        <w:tab/>
      </w:r>
      <w:r>
        <w:rPr>
          <w:rStyle w:val="HideTWBExt"/>
        </w:rPr>
        <w:t>&lt;NumAm&gt;</w:t>
      </w:r>
      <w:r>
        <w:t>19</w:t>
      </w:r>
      <w:r>
        <w:rPr>
          <w:rStyle w:val="HideTWBExt"/>
        </w:rPr>
        <w:t>&lt;/NumAm&gt;</w:t>
      </w:r>
    </w:p>
    <w:p w14:paraId="5F4197DD" w14:textId="77777777" w:rsidR="006B6379" w:rsidRPr="00E96208" w:rsidRDefault="006B6379" w:rsidP="006B6379">
      <w:pPr>
        <w:pStyle w:val="NormalBold"/>
      </w:pPr>
      <w:r>
        <w:rPr>
          <w:rStyle w:val="HideTWBExt"/>
          <w:b w:val="0"/>
        </w:rPr>
        <w:t>&lt;RepeatBlock-By&gt;&lt;Members&gt;</w:t>
      </w:r>
      <w:r>
        <w:t>Gilles Boyer, Olivier Chastel, Vlad Vasile-Voiculescu, Michal Wiezik</w:t>
      </w:r>
      <w:r>
        <w:rPr>
          <w:rStyle w:val="HideTWBExt"/>
          <w:b w:val="0"/>
        </w:rPr>
        <w:t>&lt;/Members&gt;</w:t>
      </w:r>
    </w:p>
    <w:p w14:paraId="726BCFC0" w14:textId="77777777" w:rsidR="006B6379" w:rsidRPr="00E96208" w:rsidRDefault="006B6379" w:rsidP="006B6379">
      <w:pPr>
        <w:pStyle w:val="NormalBold"/>
      </w:pPr>
      <w:r>
        <w:rPr>
          <w:rStyle w:val="HideTWBExt"/>
          <w:b w:val="0"/>
        </w:rPr>
        <w:t>&lt;/RepeatBlock-By&gt;</w:t>
      </w:r>
    </w:p>
    <w:p w14:paraId="2D0DEA1E" w14:textId="77777777" w:rsidR="006B6379" w:rsidRPr="00E96208" w:rsidRDefault="006B6379" w:rsidP="006B6379">
      <w:pPr>
        <w:pStyle w:val="NormalBold"/>
      </w:pPr>
      <w:r>
        <w:rPr>
          <w:rStyle w:val="HideTWBExt"/>
        </w:rPr>
        <w:t>&lt;DocAmend&gt;</w:t>
      </w:r>
      <w:r>
        <w:t>Ontwerpresolutie</w:t>
      </w:r>
      <w:r>
        <w:rPr>
          <w:rStyle w:val="HideTWBExt"/>
        </w:rPr>
        <w:t>&lt;/DocAmend&gt;</w:t>
      </w:r>
    </w:p>
    <w:p w14:paraId="09DB53FF" w14:textId="77777777" w:rsidR="006B6379" w:rsidRPr="00E96208" w:rsidRDefault="006B6379" w:rsidP="006B6379">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244E1A1C" w14:textId="77777777" w:rsidTr="00B30934">
        <w:trPr>
          <w:trHeight w:val="240"/>
          <w:jc w:val="center"/>
        </w:trPr>
        <w:tc>
          <w:tcPr>
            <w:tcW w:w="9752" w:type="dxa"/>
            <w:gridSpan w:val="2"/>
            <w:tcBorders>
              <w:top w:val="nil"/>
              <w:left w:val="nil"/>
              <w:bottom w:val="nil"/>
              <w:right w:val="nil"/>
            </w:tcBorders>
          </w:tcPr>
          <w:p w14:paraId="3E3221F9" w14:textId="77777777" w:rsidR="006B6379" w:rsidRPr="00E96208" w:rsidRDefault="006B6379" w:rsidP="00B30934"/>
        </w:tc>
      </w:tr>
      <w:tr w:rsidR="006B6379" w14:paraId="49943C66" w14:textId="77777777" w:rsidTr="00B30934">
        <w:trPr>
          <w:trHeight w:val="240"/>
          <w:jc w:val="center"/>
        </w:trPr>
        <w:tc>
          <w:tcPr>
            <w:tcW w:w="4876" w:type="dxa"/>
            <w:tcBorders>
              <w:top w:val="nil"/>
              <w:left w:val="nil"/>
              <w:bottom w:val="nil"/>
              <w:right w:val="nil"/>
            </w:tcBorders>
            <w:hideMark/>
          </w:tcPr>
          <w:p w14:paraId="634C770A"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077FB6CB" w14:textId="77777777" w:rsidR="006B6379" w:rsidRPr="00E96208" w:rsidRDefault="006B6379" w:rsidP="00B30934">
            <w:pPr>
              <w:pStyle w:val="AmColumnHeading"/>
            </w:pPr>
            <w:r>
              <w:t>Amendement</w:t>
            </w:r>
          </w:p>
        </w:tc>
      </w:tr>
      <w:tr w:rsidR="006B6379" w14:paraId="139A837C" w14:textId="77777777" w:rsidTr="00B30934">
        <w:trPr>
          <w:jc w:val="center"/>
        </w:trPr>
        <w:tc>
          <w:tcPr>
            <w:tcW w:w="4876" w:type="dxa"/>
            <w:tcBorders>
              <w:top w:val="nil"/>
              <w:left w:val="nil"/>
              <w:bottom w:val="nil"/>
              <w:right w:val="nil"/>
            </w:tcBorders>
            <w:hideMark/>
          </w:tcPr>
          <w:p w14:paraId="56DDE6CD" w14:textId="77777777" w:rsidR="006B6379" w:rsidRPr="00E96208" w:rsidRDefault="006B6379" w:rsidP="00B30934">
            <w:pPr>
              <w:pStyle w:val="Normal6a"/>
            </w:pPr>
            <w:r>
              <w:t>8.</w:t>
            </w:r>
            <w:r>
              <w:tab/>
              <w:t xml:space="preserve">begrijpt dat 2024 een moeilijk jaar was voor het EOM, omdat het te maken kreeg met een toename van zijn werkdruk in de 22 deelnemende lidstaten, de uitbreiding naar Polen en Zweden moest beheren en tegelijkertijd IT-autonomie van de Commissie moest </w:t>
            </w:r>
            <w:r>
              <w:rPr>
                <w:b/>
                <w:i/>
              </w:rPr>
              <w:t>verwerven</w:t>
            </w:r>
            <w:r>
              <w:t>; merkt op dat het EOM in 2024 45 posten in de personeelsformatie heeft aangevraagd voor IT-autonomie, en later 37 posten in een gewijzigde begroting, maar dat beide verzoeken zijn afgewezen; merkt op dat met name het gebrek aan extra middelen voor het bereiken van IT-autonomie ertoe heeft geleid dat personeel dat oorspronkelijk bedoeld was om de activiteiten te ondersteunen, moest worden ingezet voor de IT-sector en dat een beroep moest worden gedaan op interne contractanten;</w:t>
            </w:r>
          </w:p>
        </w:tc>
        <w:tc>
          <w:tcPr>
            <w:tcW w:w="4876" w:type="dxa"/>
            <w:tcBorders>
              <w:top w:val="nil"/>
              <w:left w:val="nil"/>
              <w:bottom w:val="nil"/>
              <w:right w:val="nil"/>
            </w:tcBorders>
            <w:hideMark/>
          </w:tcPr>
          <w:p w14:paraId="19EC26D5" w14:textId="77777777" w:rsidR="006B6379" w:rsidRPr="00E96208" w:rsidRDefault="006B6379" w:rsidP="00B30934">
            <w:pPr>
              <w:pStyle w:val="Normal6a"/>
            </w:pPr>
            <w:r>
              <w:t>8.</w:t>
            </w:r>
            <w:r>
              <w:tab/>
              <w:t xml:space="preserve">begrijpt dat 2024 een moeilijk jaar was voor het EOM, omdat het te maken kreeg met een toename van zijn werkdruk in de 22 deelnemende lidstaten, de uitbreiding naar Polen en Zweden moest beheren en tegelijkertijd IT-autonomie van de Commissie moest </w:t>
            </w:r>
            <w:r>
              <w:rPr>
                <w:b/>
                <w:i/>
              </w:rPr>
              <w:t>voorbereiden</w:t>
            </w:r>
            <w:r>
              <w:t xml:space="preserve">; merkt op dat het EOM in 2024 45 posten in de personeelsformatie heeft aangevraagd voor IT-autonomie, en later 37 posten in een gewijzigde begroting, maar dat beide verzoeken zijn afgewezen; merkt op dat met name het gebrek aan extra middelen voor het bereiken van IT-autonomie ertoe heeft geleid dat personeel dat oorspronkelijk bedoeld was om de activiteiten te ondersteunen, moest worden ingezet voor de IT-sector en dat een beroep moest worden gedaan op interne contractanten; </w:t>
            </w:r>
            <w:r>
              <w:rPr>
                <w:b/>
                <w:i/>
              </w:rPr>
              <w:t>is van mening dat het van essentieel belang blijft financiering toe te kennen om ervoor te zorgen dat het EOM op IT-vlak volledig autonoom is en om operationele verstoringen te voorkomen door middel van krachtige cyberbeveiliging;</w:t>
            </w:r>
          </w:p>
        </w:tc>
      </w:tr>
    </w:tbl>
    <w:p w14:paraId="29B2F82D"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51E79ECD" w14:textId="77777777" w:rsidR="006B6379" w:rsidRPr="00E96208" w:rsidRDefault="006B6379" w:rsidP="006B6379">
      <w:r>
        <w:rPr>
          <w:rStyle w:val="HideTWBExt"/>
        </w:rPr>
        <w:t>&lt;/Amend&gt;</w:t>
      </w:r>
    </w:p>
    <w:p w14:paraId="15C11723" w14:textId="77777777" w:rsidR="006B6379" w:rsidRPr="00E96208" w:rsidRDefault="006B6379" w:rsidP="006B6379">
      <w:pPr>
        <w:pStyle w:val="AmNumberTabs"/>
      </w:pPr>
      <w:r>
        <w:rPr>
          <w:rStyle w:val="HideTWBExt"/>
        </w:rPr>
        <w:t>&lt;Amend&gt;</w:t>
      </w:r>
      <w:r>
        <w:t>Amendement</w:t>
      </w:r>
      <w:r>
        <w:tab/>
      </w:r>
      <w:r>
        <w:tab/>
      </w:r>
      <w:r>
        <w:rPr>
          <w:rStyle w:val="HideTWBExt"/>
        </w:rPr>
        <w:t>&lt;NumAm&gt;</w:t>
      </w:r>
      <w:r>
        <w:t>20</w:t>
      </w:r>
      <w:r>
        <w:rPr>
          <w:rStyle w:val="HideTWBExt"/>
        </w:rPr>
        <w:t>&lt;/NumAm&gt;</w:t>
      </w:r>
    </w:p>
    <w:p w14:paraId="2BA1652B" w14:textId="77777777" w:rsidR="006B6379" w:rsidRPr="00E96208" w:rsidRDefault="006B6379" w:rsidP="006B6379">
      <w:pPr>
        <w:pStyle w:val="NormalBold"/>
      </w:pPr>
      <w:r>
        <w:rPr>
          <w:rStyle w:val="HideTWBExt"/>
          <w:b w:val="0"/>
        </w:rPr>
        <w:t>&lt;RepeatBlock-By&gt;&lt;Members&gt;</w:t>
      </w:r>
      <w:r>
        <w:t>Gilles Boyer, Olivier Chastel, Vlad Vasile-Voiculescu, Michal Wiezik</w:t>
      </w:r>
      <w:r>
        <w:rPr>
          <w:rStyle w:val="HideTWBExt"/>
          <w:b w:val="0"/>
        </w:rPr>
        <w:t>&lt;/Members&gt;</w:t>
      </w:r>
    </w:p>
    <w:p w14:paraId="69B2F916" w14:textId="77777777" w:rsidR="006B6379" w:rsidRPr="00E96208" w:rsidRDefault="006B6379" w:rsidP="006B6379">
      <w:pPr>
        <w:pStyle w:val="NormalBold"/>
      </w:pPr>
      <w:r>
        <w:rPr>
          <w:rStyle w:val="HideTWBExt"/>
          <w:b w:val="0"/>
        </w:rPr>
        <w:t>&lt;/RepeatBlock-By&gt;</w:t>
      </w:r>
    </w:p>
    <w:p w14:paraId="120AB25D" w14:textId="77777777" w:rsidR="006B6379" w:rsidRPr="00E96208" w:rsidRDefault="006B6379" w:rsidP="006B6379">
      <w:pPr>
        <w:pStyle w:val="NormalBold"/>
      </w:pPr>
      <w:r>
        <w:rPr>
          <w:rStyle w:val="HideTWBExt"/>
        </w:rPr>
        <w:t>&lt;DocAmend&gt;</w:t>
      </w:r>
      <w:r>
        <w:t>Ontwerpresolutie</w:t>
      </w:r>
      <w:r>
        <w:rPr>
          <w:rStyle w:val="HideTWBExt"/>
        </w:rPr>
        <w:t>&lt;/DocAmend&gt;</w:t>
      </w:r>
    </w:p>
    <w:p w14:paraId="3F694671" w14:textId="77777777" w:rsidR="006B6379" w:rsidRPr="00E96208" w:rsidRDefault="006B6379" w:rsidP="006B6379">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1E82096E" w14:textId="77777777" w:rsidTr="00B30934">
        <w:trPr>
          <w:trHeight w:val="240"/>
          <w:jc w:val="center"/>
        </w:trPr>
        <w:tc>
          <w:tcPr>
            <w:tcW w:w="9752" w:type="dxa"/>
            <w:gridSpan w:val="2"/>
            <w:tcBorders>
              <w:top w:val="nil"/>
              <w:left w:val="nil"/>
              <w:bottom w:val="nil"/>
              <w:right w:val="nil"/>
            </w:tcBorders>
          </w:tcPr>
          <w:p w14:paraId="44C040C8" w14:textId="77777777" w:rsidR="006B6379" w:rsidRPr="00E96208" w:rsidRDefault="006B6379" w:rsidP="00B30934"/>
        </w:tc>
      </w:tr>
      <w:tr w:rsidR="006B6379" w14:paraId="30C5E78C" w14:textId="77777777" w:rsidTr="00B30934">
        <w:trPr>
          <w:trHeight w:val="240"/>
          <w:jc w:val="center"/>
        </w:trPr>
        <w:tc>
          <w:tcPr>
            <w:tcW w:w="4876" w:type="dxa"/>
            <w:tcBorders>
              <w:top w:val="nil"/>
              <w:left w:val="nil"/>
              <w:bottom w:val="nil"/>
              <w:right w:val="nil"/>
            </w:tcBorders>
            <w:hideMark/>
          </w:tcPr>
          <w:p w14:paraId="7DB09374"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7A15C8D1" w14:textId="77777777" w:rsidR="006B6379" w:rsidRPr="00E96208" w:rsidRDefault="006B6379" w:rsidP="00B30934">
            <w:pPr>
              <w:pStyle w:val="AmColumnHeading"/>
            </w:pPr>
            <w:r>
              <w:t>Amendement</w:t>
            </w:r>
          </w:p>
        </w:tc>
      </w:tr>
      <w:tr w:rsidR="006B6379" w14:paraId="67009DD9" w14:textId="77777777" w:rsidTr="00B30934">
        <w:trPr>
          <w:jc w:val="center"/>
        </w:trPr>
        <w:tc>
          <w:tcPr>
            <w:tcW w:w="4876" w:type="dxa"/>
            <w:tcBorders>
              <w:top w:val="nil"/>
              <w:left w:val="nil"/>
              <w:bottom w:val="nil"/>
              <w:right w:val="nil"/>
            </w:tcBorders>
            <w:hideMark/>
          </w:tcPr>
          <w:p w14:paraId="3350B5CF" w14:textId="77777777" w:rsidR="006B6379" w:rsidRPr="00E96208" w:rsidRDefault="006B6379" w:rsidP="00B30934">
            <w:pPr>
              <w:pStyle w:val="Normal6a"/>
            </w:pPr>
            <w:r>
              <w:t>12.</w:t>
            </w:r>
            <w:r>
              <w:tab/>
              <w:t xml:space="preserve">merkt op dat de kosten voor operationele dienstreizen in 2024 nog licht verder zijn gestegen tot 1 292 000 EUR (ten opzichte van 1 175 000 EUR in 2023 en 980 000 EUR in 2022) en ongeveer 3,7 % uitmaken van de totale beleidskredieten (34,1 miljoen EUR), maar over het algemeen aansluiten bij de toenemende intensiteit van de onderzoeken en qua waarde stabiel zijn; begrijpt dat de totale reiskosten zijn gedaald, dat het EOM het gebruik van videoconferenties als een kosteneffectief en veilig alternatief voor dienstreizen van personeel bevordert en dat deelname aan onlinevergaderingen de standaardpraktijk is voor interne coördinatie en uitwisselingen met de autoriteiten van de lidstaten en de partners van de Unie, maar dat dienstreizen in operationele context een </w:t>
            </w:r>
            <w:r>
              <w:rPr>
                <w:b/>
                <w:i/>
              </w:rPr>
              <w:t>relevante</w:t>
            </w:r>
            <w:r>
              <w:t xml:space="preserve"> praktijk blijven;</w:t>
            </w:r>
          </w:p>
        </w:tc>
        <w:tc>
          <w:tcPr>
            <w:tcW w:w="4876" w:type="dxa"/>
            <w:tcBorders>
              <w:top w:val="nil"/>
              <w:left w:val="nil"/>
              <w:bottom w:val="nil"/>
              <w:right w:val="nil"/>
            </w:tcBorders>
            <w:hideMark/>
          </w:tcPr>
          <w:p w14:paraId="3A5B98C5" w14:textId="77777777" w:rsidR="006B6379" w:rsidRPr="00E96208" w:rsidRDefault="006B6379" w:rsidP="00B30934">
            <w:pPr>
              <w:pStyle w:val="Normal6a"/>
            </w:pPr>
            <w:r>
              <w:t>12.</w:t>
            </w:r>
            <w:r>
              <w:tab/>
              <w:t xml:space="preserve">merkt op dat de kosten voor operationele dienstreizen in 2024 nog licht verder zijn gestegen tot 1 292 000 EUR (ten opzichte van 1 175 000 EUR in 2023 en 980 000 EUR in 2022) en ongeveer 3,7 % uitmaken van de totale beleidskredieten (34,1 miljoen EUR), maar over het algemeen aansluiten bij de toenemende intensiteit van de onderzoeken en qua waarde stabiel zijn; begrijpt dat de totale reiskosten zijn gedaald, dat het EOM het gebruik van videoconferenties als een kosteneffectief en veilig alternatief voor dienstreizen van personeel bevordert en dat deelname aan onlinevergaderingen de standaardpraktijk is voor interne coördinatie en uitwisselingen met de autoriteiten van de lidstaten en de partners van de Unie, maar dat dienstreizen in operationele </w:t>
            </w:r>
            <w:r>
              <w:rPr>
                <w:b/>
                <w:i/>
              </w:rPr>
              <w:t xml:space="preserve">en justitiële </w:t>
            </w:r>
            <w:r>
              <w:t xml:space="preserve">context een </w:t>
            </w:r>
            <w:r>
              <w:rPr>
                <w:b/>
                <w:i/>
              </w:rPr>
              <w:t>noodzakelijke</w:t>
            </w:r>
            <w:r>
              <w:t xml:space="preserve"> praktijk blijven</w:t>
            </w:r>
            <w:r>
              <w:rPr>
                <w:b/>
                <w:i/>
              </w:rPr>
              <w:t xml:space="preserve"> om toe te zien op een eenvormige aanpak binnen het EOM, ten behoeve van training of de bewustmaking van belanghebbenden</w:t>
            </w:r>
            <w:r>
              <w:t>;</w:t>
            </w:r>
          </w:p>
        </w:tc>
      </w:tr>
    </w:tbl>
    <w:p w14:paraId="1DB47755"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2F52C821" w14:textId="77777777" w:rsidR="006B6379" w:rsidRPr="00E96208" w:rsidRDefault="006B6379" w:rsidP="006B6379">
      <w:r>
        <w:rPr>
          <w:rStyle w:val="HideTWBExt"/>
        </w:rPr>
        <w:t>&lt;/Amend&gt;</w:t>
      </w:r>
    </w:p>
    <w:p w14:paraId="7EB06E7D" w14:textId="77777777" w:rsidR="006B6379" w:rsidRPr="00E96208" w:rsidRDefault="006B6379" w:rsidP="006B6379">
      <w:pPr>
        <w:pStyle w:val="AmNumberTabs"/>
      </w:pPr>
      <w:r>
        <w:rPr>
          <w:rStyle w:val="HideTWBExt"/>
        </w:rPr>
        <w:t>&lt;Amend&gt;</w:t>
      </w:r>
      <w:r>
        <w:t>Amendement</w:t>
      </w:r>
      <w:r>
        <w:tab/>
      </w:r>
      <w:r>
        <w:tab/>
      </w:r>
      <w:r>
        <w:rPr>
          <w:rStyle w:val="HideTWBExt"/>
        </w:rPr>
        <w:t>&lt;NumAm&gt;</w:t>
      </w:r>
      <w:r>
        <w:t>21</w:t>
      </w:r>
      <w:r>
        <w:rPr>
          <w:rStyle w:val="HideTWBExt"/>
        </w:rPr>
        <w:t>&lt;/NumAm&gt;</w:t>
      </w:r>
    </w:p>
    <w:p w14:paraId="518BA0FA" w14:textId="77777777" w:rsidR="006B6379" w:rsidRPr="00E96208" w:rsidRDefault="006B6379" w:rsidP="006B6379">
      <w:pPr>
        <w:pStyle w:val="NormalBold"/>
      </w:pPr>
      <w:r>
        <w:rPr>
          <w:rStyle w:val="HideTWBExt"/>
          <w:b w:val="0"/>
        </w:rPr>
        <w:t>&lt;RepeatBlock-By&gt;&lt;Members&gt;</w:t>
      </w:r>
      <w:r>
        <w:t>Csaba Molnár</w:t>
      </w:r>
      <w:r>
        <w:rPr>
          <w:rStyle w:val="HideTWBExt"/>
          <w:b w:val="0"/>
        </w:rPr>
        <w:t>&lt;/Members&gt;</w:t>
      </w:r>
    </w:p>
    <w:p w14:paraId="74AB827D" w14:textId="77777777" w:rsidR="006B6379" w:rsidRPr="00E96208" w:rsidRDefault="006B6379" w:rsidP="006B6379">
      <w:pPr>
        <w:pStyle w:val="NormalBold"/>
      </w:pPr>
      <w:r>
        <w:rPr>
          <w:rStyle w:val="HideTWBExt"/>
          <w:b w:val="0"/>
        </w:rPr>
        <w:t>&lt;/RepeatBlock-By&gt;</w:t>
      </w:r>
    </w:p>
    <w:p w14:paraId="72B9F649" w14:textId="77777777" w:rsidR="006B6379" w:rsidRPr="00E96208" w:rsidRDefault="006B6379" w:rsidP="006B6379">
      <w:pPr>
        <w:pStyle w:val="NormalBold"/>
      </w:pPr>
      <w:r>
        <w:rPr>
          <w:rStyle w:val="HideTWBExt"/>
        </w:rPr>
        <w:t>&lt;DocAmend&gt;</w:t>
      </w:r>
      <w:r>
        <w:t>Ontwerpresolutie</w:t>
      </w:r>
      <w:r>
        <w:rPr>
          <w:rStyle w:val="HideTWBExt"/>
        </w:rPr>
        <w:t>&lt;/DocAmend&gt;</w:t>
      </w:r>
    </w:p>
    <w:p w14:paraId="632A388B" w14:textId="77777777" w:rsidR="006B6379" w:rsidRPr="00E96208" w:rsidRDefault="006B6379" w:rsidP="006B6379">
      <w:pPr>
        <w:pStyle w:val="NormalBold"/>
      </w:pPr>
      <w:r>
        <w:rPr>
          <w:rStyle w:val="HideTWBExt"/>
        </w:rPr>
        <w:t>&lt;Article&gt;</w:t>
      </w:r>
      <w:r>
        <w:t>Paragraaf 14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45CA615D" w14:textId="77777777" w:rsidTr="00B30934">
        <w:trPr>
          <w:trHeight w:val="240"/>
          <w:jc w:val="center"/>
        </w:trPr>
        <w:tc>
          <w:tcPr>
            <w:tcW w:w="9752" w:type="dxa"/>
            <w:gridSpan w:val="2"/>
            <w:tcBorders>
              <w:top w:val="nil"/>
              <w:left w:val="nil"/>
              <w:bottom w:val="nil"/>
              <w:right w:val="nil"/>
            </w:tcBorders>
          </w:tcPr>
          <w:p w14:paraId="65C8073B" w14:textId="77777777" w:rsidR="006B6379" w:rsidRPr="00E96208" w:rsidRDefault="006B6379" w:rsidP="00B30934"/>
        </w:tc>
      </w:tr>
      <w:tr w:rsidR="006B6379" w14:paraId="08782D58" w14:textId="77777777" w:rsidTr="00B30934">
        <w:trPr>
          <w:trHeight w:val="240"/>
          <w:jc w:val="center"/>
        </w:trPr>
        <w:tc>
          <w:tcPr>
            <w:tcW w:w="4876" w:type="dxa"/>
            <w:tcBorders>
              <w:top w:val="nil"/>
              <w:left w:val="nil"/>
              <w:bottom w:val="nil"/>
              <w:right w:val="nil"/>
            </w:tcBorders>
            <w:hideMark/>
          </w:tcPr>
          <w:p w14:paraId="0005FB17"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007E4DB8" w14:textId="77777777" w:rsidR="006B6379" w:rsidRPr="00E96208" w:rsidRDefault="006B6379" w:rsidP="00B30934">
            <w:pPr>
              <w:pStyle w:val="AmColumnHeading"/>
            </w:pPr>
            <w:r>
              <w:t>Amendement</w:t>
            </w:r>
          </w:p>
        </w:tc>
      </w:tr>
      <w:tr w:rsidR="006B6379" w14:paraId="63CD9C09" w14:textId="77777777" w:rsidTr="00B30934">
        <w:trPr>
          <w:jc w:val="center"/>
        </w:trPr>
        <w:tc>
          <w:tcPr>
            <w:tcW w:w="4876" w:type="dxa"/>
            <w:tcBorders>
              <w:top w:val="nil"/>
              <w:left w:val="nil"/>
              <w:bottom w:val="nil"/>
              <w:right w:val="nil"/>
            </w:tcBorders>
          </w:tcPr>
          <w:p w14:paraId="05702B28" w14:textId="77777777" w:rsidR="006B6379" w:rsidRPr="00E96208" w:rsidRDefault="006B6379" w:rsidP="00B30934">
            <w:pPr>
              <w:pStyle w:val="Normal6a"/>
            </w:pPr>
          </w:p>
        </w:tc>
        <w:tc>
          <w:tcPr>
            <w:tcW w:w="4876" w:type="dxa"/>
            <w:tcBorders>
              <w:top w:val="nil"/>
              <w:left w:val="nil"/>
              <w:bottom w:val="nil"/>
              <w:right w:val="nil"/>
            </w:tcBorders>
            <w:hideMark/>
          </w:tcPr>
          <w:p w14:paraId="3B34632D" w14:textId="77777777" w:rsidR="006B6379" w:rsidRPr="00E96208" w:rsidRDefault="006B6379" w:rsidP="00B30934">
            <w:pPr>
              <w:pStyle w:val="Normal6a"/>
            </w:pPr>
            <w:r>
              <w:rPr>
                <w:b/>
                <w:i/>
              </w:rPr>
              <w:t>14 bis.</w:t>
            </w:r>
            <w:r>
              <w:tab/>
            </w:r>
            <w:r>
              <w:rPr>
                <w:b/>
                <w:i/>
              </w:rPr>
              <w:t>benadrukt het belang van aanbestedingen als een instrument ter bevordering van beleidsdoelstellingen, met inbegrip van sociale en milieudoelstellingen; verzoekt het EOM in zijn aanbestedingsprocedures meer strategische criteria inzake sociale verantwoordelijkheid en milieuduurzaamheid op te nemen;</w:t>
            </w:r>
          </w:p>
        </w:tc>
      </w:tr>
    </w:tbl>
    <w:p w14:paraId="61E7EFF7"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19EDC9BF" w14:textId="77777777" w:rsidR="006B6379" w:rsidRPr="00E96208" w:rsidRDefault="006B6379" w:rsidP="006B6379">
      <w:r>
        <w:rPr>
          <w:rStyle w:val="HideTWBExt"/>
        </w:rPr>
        <w:t>&lt;/Amend&gt;</w:t>
      </w:r>
    </w:p>
    <w:p w14:paraId="6BAAA28E" w14:textId="77777777" w:rsidR="006B6379" w:rsidRPr="00E96208" w:rsidRDefault="006B6379" w:rsidP="006B6379">
      <w:pPr>
        <w:pStyle w:val="AmNumberTabs"/>
      </w:pPr>
      <w:r>
        <w:rPr>
          <w:rStyle w:val="HideTWBExt"/>
        </w:rPr>
        <w:t>&lt;Amend&gt;</w:t>
      </w:r>
      <w:r>
        <w:t>Amendement</w:t>
      </w:r>
      <w:r>
        <w:tab/>
      </w:r>
      <w:r>
        <w:tab/>
      </w:r>
      <w:r>
        <w:rPr>
          <w:rStyle w:val="HideTWBExt"/>
        </w:rPr>
        <w:t>&lt;NumAm&gt;</w:t>
      </w:r>
      <w:r>
        <w:t>22</w:t>
      </w:r>
      <w:r>
        <w:rPr>
          <w:rStyle w:val="HideTWBExt"/>
        </w:rPr>
        <w:t>&lt;/NumAm&gt;</w:t>
      </w:r>
    </w:p>
    <w:p w14:paraId="0C2B14E7" w14:textId="77777777" w:rsidR="006B6379" w:rsidRPr="00E96208" w:rsidRDefault="006B6379" w:rsidP="006B6379">
      <w:pPr>
        <w:pStyle w:val="NormalBold"/>
      </w:pPr>
      <w:r>
        <w:rPr>
          <w:rStyle w:val="HideTWBExt"/>
          <w:b w:val="0"/>
        </w:rPr>
        <w:t>&lt;RepeatBlock-By&gt;&lt;Members&gt;</w:t>
      </w:r>
      <w:r>
        <w:t>Damian Boeselager</w:t>
      </w:r>
      <w:r>
        <w:rPr>
          <w:rStyle w:val="HideTWBExt"/>
          <w:b w:val="0"/>
        </w:rPr>
        <w:t>&lt;/Members&gt;</w:t>
      </w:r>
    </w:p>
    <w:p w14:paraId="6BCDAA5F" w14:textId="77777777" w:rsidR="006B6379" w:rsidRPr="00E96208" w:rsidRDefault="006B6379" w:rsidP="006B6379">
      <w:r>
        <w:rPr>
          <w:rStyle w:val="HideTWBExt"/>
        </w:rPr>
        <w:t>&lt;AuNomDe&gt;</w:t>
      </w:r>
      <w:r>
        <w:rPr>
          <w:rStyle w:val="HideTWBInt"/>
          <w:color w:val="auto"/>
        </w:rPr>
        <w:t>{Verts/ALE}</w:t>
      </w:r>
      <w:r>
        <w:t>namens de Verts/ALE‐Fractie</w:t>
      </w:r>
      <w:r>
        <w:rPr>
          <w:rStyle w:val="HideTWBExt"/>
        </w:rPr>
        <w:t>&lt;/AuNomDe&gt;</w:t>
      </w:r>
    </w:p>
    <w:p w14:paraId="4C0DF127" w14:textId="77777777" w:rsidR="006B6379" w:rsidRPr="00E96208" w:rsidRDefault="006B6379" w:rsidP="006B6379">
      <w:pPr>
        <w:pStyle w:val="NormalBold"/>
      </w:pPr>
      <w:r>
        <w:rPr>
          <w:rStyle w:val="HideTWBExt"/>
          <w:b w:val="0"/>
        </w:rPr>
        <w:t>&lt;/RepeatBlock-By&gt;</w:t>
      </w:r>
    </w:p>
    <w:p w14:paraId="4DE93BB6" w14:textId="77777777" w:rsidR="006B6379" w:rsidRPr="00E96208" w:rsidRDefault="006B6379" w:rsidP="006B6379">
      <w:pPr>
        <w:pStyle w:val="NormalBold"/>
      </w:pPr>
      <w:r>
        <w:rPr>
          <w:rStyle w:val="HideTWBExt"/>
        </w:rPr>
        <w:t>&lt;DocAmend&gt;</w:t>
      </w:r>
      <w:r>
        <w:t>Ontwerpresolutie</w:t>
      </w:r>
      <w:r>
        <w:rPr>
          <w:rStyle w:val="HideTWBExt"/>
        </w:rPr>
        <w:t>&lt;/DocAmend&gt;</w:t>
      </w:r>
    </w:p>
    <w:p w14:paraId="07A48718" w14:textId="77777777" w:rsidR="006B6379" w:rsidRPr="00E96208" w:rsidRDefault="006B6379" w:rsidP="006B6379">
      <w:pPr>
        <w:pStyle w:val="NormalBold"/>
      </w:pPr>
      <w:r>
        <w:rPr>
          <w:rStyle w:val="HideTWBExt"/>
        </w:rPr>
        <w:t>&lt;Article&gt;</w:t>
      </w:r>
      <w:r>
        <w:t>Paragraaf 17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0A7D3DB9" w14:textId="77777777" w:rsidTr="00B30934">
        <w:trPr>
          <w:trHeight w:val="240"/>
          <w:jc w:val="center"/>
        </w:trPr>
        <w:tc>
          <w:tcPr>
            <w:tcW w:w="9752" w:type="dxa"/>
            <w:gridSpan w:val="2"/>
            <w:tcBorders>
              <w:top w:val="nil"/>
              <w:left w:val="nil"/>
              <w:bottom w:val="nil"/>
              <w:right w:val="nil"/>
            </w:tcBorders>
          </w:tcPr>
          <w:p w14:paraId="4DDF4C41" w14:textId="77777777" w:rsidR="006B6379" w:rsidRPr="00E96208" w:rsidRDefault="006B6379" w:rsidP="00B30934"/>
        </w:tc>
      </w:tr>
      <w:tr w:rsidR="006B6379" w14:paraId="7744C8A5" w14:textId="77777777" w:rsidTr="00B30934">
        <w:trPr>
          <w:trHeight w:val="240"/>
          <w:jc w:val="center"/>
        </w:trPr>
        <w:tc>
          <w:tcPr>
            <w:tcW w:w="4876" w:type="dxa"/>
            <w:tcBorders>
              <w:top w:val="nil"/>
              <w:left w:val="nil"/>
              <w:bottom w:val="nil"/>
              <w:right w:val="nil"/>
            </w:tcBorders>
            <w:hideMark/>
          </w:tcPr>
          <w:p w14:paraId="01B58919"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2C5941F9" w14:textId="77777777" w:rsidR="006B6379" w:rsidRPr="00E96208" w:rsidRDefault="006B6379" w:rsidP="00B30934">
            <w:pPr>
              <w:pStyle w:val="AmColumnHeading"/>
            </w:pPr>
            <w:r>
              <w:t>Amendement</w:t>
            </w:r>
          </w:p>
        </w:tc>
      </w:tr>
      <w:tr w:rsidR="006B6379" w14:paraId="33AE000A" w14:textId="77777777" w:rsidTr="00B30934">
        <w:trPr>
          <w:jc w:val="center"/>
        </w:trPr>
        <w:tc>
          <w:tcPr>
            <w:tcW w:w="4876" w:type="dxa"/>
            <w:tcBorders>
              <w:top w:val="nil"/>
              <w:left w:val="nil"/>
              <w:bottom w:val="nil"/>
              <w:right w:val="nil"/>
            </w:tcBorders>
          </w:tcPr>
          <w:p w14:paraId="24D254F5" w14:textId="77777777" w:rsidR="006B6379" w:rsidRPr="00E96208" w:rsidRDefault="006B6379" w:rsidP="00B30934">
            <w:pPr>
              <w:pStyle w:val="Normal6a"/>
            </w:pPr>
          </w:p>
        </w:tc>
        <w:tc>
          <w:tcPr>
            <w:tcW w:w="4876" w:type="dxa"/>
            <w:tcBorders>
              <w:top w:val="nil"/>
              <w:left w:val="nil"/>
              <w:bottom w:val="nil"/>
              <w:right w:val="nil"/>
            </w:tcBorders>
            <w:hideMark/>
          </w:tcPr>
          <w:p w14:paraId="34120DF3" w14:textId="77777777" w:rsidR="006B6379" w:rsidRPr="00E96208" w:rsidRDefault="006B6379" w:rsidP="00B30934">
            <w:pPr>
              <w:pStyle w:val="Normal6a"/>
            </w:pPr>
            <w:r>
              <w:rPr>
                <w:b/>
                <w:i/>
              </w:rPr>
              <w:t>17 bis.</w:t>
            </w:r>
            <w:r>
              <w:tab/>
            </w:r>
            <w:r>
              <w:rPr>
                <w:b/>
                <w:i/>
              </w:rPr>
              <w:t>herhaalt dat de aan het EOM toegewezen budgettaire en personele middelen structureel ontoereikend blijven gezien de snel toenemende werklast van het EOM, met name wat betreft grensoverschrijdende btw-fraude en zaken in verband met de herstel- en veerkrachtfaciliteit; betreurt dat de Commissie de in nota van wijzigingen 1/2022 aangekondigde beoordeling van de personeelssituatie niet heeft uitgevoerd en evenmin een zinvolle dialoog met het EOM is aangegaan over de werkelijke behoeften aan middelen; verzoekt de Commissie deze situatie dringend te verhelpen en ervoor te zorgen dat toekomstige begrotingsvoorstellen gebaseerd zijn op geactualiseerde werklastindicatoren in plaats van op achterhaalde veronderstellingen;</w:t>
            </w:r>
          </w:p>
        </w:tc>
      </w:tr>
    </w:tbl>
    <w:p w14:paraId="35445487"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196B912B" w14:textId="77777777" w:rsidR="006B6379" w:rsidRPr="00E96208" w:rsidRDefault="006B6379" w:rsidP="006B6379">
      <w:r>
        <w:rPr>
          <w:rStyle w:val="HideTWBExt"/>
        </w:rPr>
        <w:t>&lt;/Amend&gt;</w:t>
      </w:r>
    </w:p>
    <w:p w14:paraId="4FE064A5" w14:textId="77777777" w:rsidR="006B6379" w:rsidRPr="00E96208" w:rsidRDefault="006B6379" w:rsidP="006B6379">
      <w:pPr>
        <w:pStyle w:val="AmNumberTabs"/>
      </w:pPr>
      <w:r>
        <w:rPr>
          <w:rStyle w:val="HideTWBExt"/>
        </w:rPr>
        <w:t>&lt;Amend&gt;</w:t>
      </w:r>
      <w:r>
        <w:t>Amendement</w:t>
      </w:r>
      <w:r>
        <w:tab/>
      </w:r>
      <w:r>
        <w:tab/>
      </w:r>
      <w:r>
        <w:rPr>
          <w:rStyle w:val="HideTWBExt"/>
        </w:rPr>
        <w:t>&lt;NumAm&gt;</w:t>
      </w:r>
      <w:r>
        <w:t>23</w:t>
      </w:r>
      <w:r>
        <w:rPr>
          <w:rStyle w:val="HideTWBExt"/>
        </w:rPr>
        <w:t>&lt;/NumAm&gt;</w:t>
      </w:r>
    </w:p>
    <w:p w14:paraId="6E81ED19" w14:textId="77777777" w:rsidR="006B6379" w:rsidRPr="00E96208" w:rsidRDefault="006B6379" w:rsidP="006B6379">
      <w:pPr>
        <w:pStyle w:val="NormalBold"/>
      </w:pPr>
      <w:r>
        <w:rPr>
          <w:rStyle w:val="HideTWBExt"/>
          <w:b w:val="0"/>
        </w:rPr>
        <w:t>&lt;RepeatBlock-By&gt;&lt;Members&gt;</w:t>
      </w:r>
      <w:r>
        <w:t>Damian Boeselager</w:t>
      </w:r>
      <w:r>
        <w:rPr>
          <w:rStyle w:val="HideTWBExt"/>
          <w:b w:val="0"/>
        </w:rPr>
        <w:t>&lt;/Members&gt;</w:t>
      </w:r>
    </w:p>
    <w:p w14:paraId="0971CC26" w14:textId="77777777" w:rsidR="006B6379" w:rsidRPr="00E96208" w:rsidRDefault="006B6379" w:rsidP="006B6379">
      <w:r>
        <w:rPr>
          <w:rStyle w:val="HideTWBExt"/>
        </w:rPr>
        <w:t>&lt;AuNomDe&gt;</w:t>
      </w:r>
      <w:r>
        <w:rPr>
          <w:rStyle w:val="HideTWBInt"/>
          <w:color w:val="auto"/>
        </w:rPr>
        <w:t>{Verts/ALE}</w:t>
      </w:r>
      <w:r>
        <w:t>namens de Verts/ALE‐Fractie</w:t>
      </w:r>
      <w:r>
        <w:rPr>
          <w:rStyle w:val="HideTWBExt"/>
        </w:rPr>
        <w:t>&lt;/AuNomDe&gt;</w:t>
      </w:r>
    </w:p>
    <w:p w14:paraId="6DB18F37" w14:textId="77777777" w:rsidR="006B6379" w:rsidRPr="00E96208" w:rsidRDefault="006B6379" w:rsidP="006B6379">
      <w:pPr>
        <w:pStyle w:val="NormalBold"/>
      </w:pPr>
      <w:r>
        <w:rPr>
          <w:rStyle w:val="HideTWBExt"/>
          <w:b w:val="0"/>
        </w:rPr>
        <w:t>&lt;/RepeatBlock-By&gt;</w:t>
      </w:r>
    </w:p>
    <w:p w14:paraId="4FD020C6" w14:textId="77777777" w:rsidR="006B6379" w:rsidRPr="00E96208" w:rsidRDefault="006B6379" w:rsidP="006B6379">
      <w:pPr>
        <w:pStyle w:val="NormalBold"/>
      </w:pPr>
      <w:r>
        <w:rPr>
          <w:rStyle w:val="HideTWBExt"/>
        </w:rPr>
        <w:t>&lt;DocAmend&gt;</w:t>
      </w:r>
      <w:r>
        <w:t>Ontwerpresolutie</w:t>
      </w:r>
      <w:r>
        <w:rPr>
          <w:rStyle w:val="HideTWBExt"/>
        </w:rPr>
        <w:t>&lt;/DocAmend&gt;</w:t>
      </w:r>
    </w:p>
    <w:p w14:paraId="7E862611" w14:textId="77777777" w:rsidR="006B6379" w:rsidRPr="00E96208" w:rsidRDefault="006B6379" w:rsidP="006B6379">
      <w:pPr>
        <w:pStyle w:val="NormalBold"/>
      </w:pPr>
      <w:r>
        <w:rPr>
          <w:rStyle w:val="HideTWBExt"/>
        </w:rPr>
        <w:t>&lt;Article&gt;</w:t>
      </w:r>
      <w:r>
        <w:t>Paragraaf 17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771F4D42" w14:textId="77777777" w:rsidTr="00B30934">
        <w:trPr>
          <w:trHeight w:val="240"/>
          <w:jc w:val="center"/>
        </w:trPr>
        <w:tc>
          <w:tcPr>
            <w:tcW w:w="9752" w:type="dxa"/>
            <w:gridSpan w:val="2"/>
            <w:tcBorders>
              <w:top w:val="nil"/>
              <w:left w:val="nil"/>
              <w:bottom w:val="nil"/>
              <w:right w:val="nil"/>
            </w:tcBorders>
          </w:tcPr>
          <w:p w14:paraId="7B6F47B8" w14:textId="77777777" w:rsidR="006B6379" w:rsidRPr="00E96208" w:rsidRDefault="006B6379" w:rsidP="00B30934"/>
        </w:tc>
      </w:tr>
      <w:tr w:rsidR="006B6379" w14:paraId="4AAA8E2D" w14:textId="77777777" w:rsidTr="00B30934">
        <w:trPr>
          <w:trHeight w:val="240"/>
          <w:jc w:val="center"/>
        </w:trPr>
        <w:tc>
          <w:tcPr>
            <w:tcW w:w="4876" w:type="dxa"/>
            <w:tcBorders>
              <w:top w:val="nil"/>
              <w:left w:val="nil"/>
              <w:bottom w:val="nil"/>
              <w:right w:val="nil"/>
            </w:tcBorders>
            <w:hideMark/>
          </w:tcPr>
          <w:p w14:paraId="06E3E114"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6F3E78BB" w14:textId="77777777" w:rsidR="006B6379" w:rsidRPr="00E96208" w:rsidRDefault="006B6379" w:rsidP="00B30934">
            <w:pPr>
              <w:pStyle w:val="AmColumnHeading"/>
            </w:pPr>
            <w:r>
              <w:t>Amendement</w:t>
            </w:r>
          </w:p>
        </w:tc>
      </w:tr>
      <w:tr w:rsidR="006B6379" w14:paraId="2FF4C2E1" w14:textId="77777777" w:rsidTr="00B30934">
        <w:trPr>
          <w:jc w:val="center"/>
        </w:trPr>
        <w:tc>
          <w:tcPr>
            <w:tcW w:w="4876" w:type="dxa"/>
            <w:tcBorders>
              <w:top w:val="nil"/>
              <w:left w:val="nil"/>
              <w:bottom w:val="nil"/>
              <w:right w:val="nil"/>
            </w:tcBorders>
          </w:tcPr>
          <w:p w14:paraId="0C1D3216" w14:textId="77777777" w:rsidR="006B6379" w:rsidRPr="00E96208" w:rsidRDefault="006B6379" w:rsidP="00B30934">
            <w:pPr>
              <w:pStyle w:val="Normal6a"/>
            </w:pPr>
          </w:p>
        </w:tc>
        <w:tc>
          <w:tcPr>
            <w:tcW w:w="4876" w:type="dxa"/>
            <w:tcBorders>
              <w:top w:val="nil"/>
              <w:left w:val="nil"/>
              <w:bottom w:val="nil"/>
              <w:right w:val="nil"/>
            </w:tcBorders>
            <w:hideMark/>
          </w:tcPr>
          <w:p w14:paraId="57173262" w14:textId="77777777" w:rsidR="006B6379" w:rsidRPr="00E96208" w:rsidRDefault="006B6379" w:rsidP="00B30934">
            <w:pPr>
              <w:pStyle w:val="Normal6a"/>
            </w:pPr>
            <w:r>
              <w:rPr>
                <w:b/>
                <w:i/>
              </w:rPr>
              <w:t>17 ter.</w:t>
            </w:r>
            <w:r>
              <w:tab/>
            </w:r>
            <w:r>
              <w:rPr>
                <w:b/>
                <w:i/>
              </w:rPr>
              <w:t>betreurt dat de Commissie de in nota van wijzigingen 1/2022 aangekondigde beoordeling van de personeelssituatie niet heeft uitgevoerd en geen zinvolle dialoog met het EOM is aangegaan over geactualiseerde behoeften; benadrukt dat een herziening van het verouderde financieel memorandum van 2017 noodzakelijk is om reële werklastindicatoren weer te geven en dat deze herziening niet afhankelijk kan worden gesteld van een wijziging van het mandaat, gezien de uitbreiding van de financiële belangen van de Unie die op het spel staan; verzoekt de Commissie onverwijld een geactualiseerde personeels- en financieringsbeoordeling te presenteren, die in nauw overleg met het EOM is opgesteld en gebaseerd is op meetbare werklastindicatoren en de complexiteit van zaken;</w:t>
            </w:r>
          </w:p>
        </w:tc>
      </w:tr>
    </w:tbl>
    <w:p w14:paraId="5BE4ED15"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78681312" w14:textId="77777777" w:rsidR="006B6379" w:rsidRPr="00E96208" w:rsidRDefault="006B6379" w:rsidP="006B6379">
      <w:r>
        <w:rPr>
          <w:rStyle w:val="HideTWBExt"/>
        </w:rPr>
        <w:t>&lt;/Amend&gt;</w:t>
      </w:r>
    </w:p>
    <w:p w14:paraId="3B4E45B7" w14:textId="77777777" w:rsidR="006B6379" w:rsidRPr="00E96208" w:rsidRDefault="006B6379" w:rsidP="006B6379">
      <w:pPr>
        <w:pStyle w:val="AmNumberTabs"/>
      </w:pPr>
      <w:r>
        <w:rPr>
          <w:rStyle w:val="HideTWBExt"/>
        </w:rPr>
        <w:t>&lt;Amend&gt;</w:t>
      </w:r>
      <w:r>
        <w:t>Amendement</w:t>
      </w:r>
      <w:r>
        <w:tab/>
      </w:r>
      <w:r>
        <w:tab/>
      </w:r>
      <w:r>
        <w:rPr>
          <w:rStyle w:val="HideTWBExt"/>
        </w:rPr>
        <w:t>&lt;NumAm&gt;</w:t>
      </w:r>
      <w:r>
        <w:t>24</w:t>
      </w:r>
      <w:r>
        <w:rPr>
          <w:rStyle w:val="HideTWBExt"/>
        </w:rPr>
        <w:t>&lt;/NumAm&gt;</w:t>
      </w:r>
    </w:p>
    <w:p w14:paraId="44D5578B" w14:textId="77777777" w:rsidR="006B6379" w:rsidRPr="00E96208" w:rsidRDefault="006B6379" w:rsidP="006B6379">
      <w:pPr>
        <w:pStyle w:val="NormalBold"/>
      </w:pPr>
      <w:r>
        <w:rPr>
          <w:rStyle w:val="HideTWBExt"/>
          <w:b w:val="0"/>
        </w:rPr>
        <w:t>&lt;RepeatBlock-By&gt;&lt;Members&gt;</w:t>
      </w:r>
      <w:r>
        <w:t>Gilles Boyer, Olivier Chastel, Vlad Vasile-Voiculescu, Michal Wiezik</w:t>
      </w:r>
      <w:r>
        <w:rPr>
          <w:rStyle w:val="HideTWBExt"/>
          <w:b w:val="0"/>
        </w:rPr>
        <w:t>&lt;/Members&gt;</w:t>
      </w:r>
    </w:p>
    <w:p w14:paraId="478C5613" w14:textId="77777777" w:rsidR="006B6379" w:rsidRPr="00E96208" w:rsidRDefault="006B6379" w:rsidP="006B6379">
      <w:pPr>
        <w:pStyle w:val="NormalBold"/>
      </w:pPr>
      <w:r>
        <w:rPr>
          <w:rStyle w:val="HideTWBExt"/>
          <w:b w:val="0"/>
        </w:rPr>
        <w:t>&lt;/RepeatBlock-By&gt;</w:t>
      </w:r>
    </w:p>
    <w:p w14:paraId="6DCEE3ED" w14:textId="77777777" w:rsidR="006B6379" w:rsidRPr="00E96208" w:rsidRDefault="006B6379" w:rsidP="006B6379">
      <w:pPr>
        <w:pStyle w:val="NormalBold"/>
      </w:pPr>
      <w:r>
        <w:rPr>
          <w:rStyle w:val="HideTWBExt"/>
        </w:rPr>
        <w:t>&lt;DocAmend&gt;</w:t>
      </w:r>
      <w:r>
        <w:t>Ontwerpresolutie</w:t>
      </w:r>
      <w:r>
        <w:rPr>
          <w:rStyle w:val="HideTWBExt"/>
        </w:rPr>
        <w:t>&lt;/DocAmend&gt;</w:t>
      </w:r>
    </w:p>
    <w:p w14:paraId="350AF0D0" w14:textId="77777777" w:rsidR="006B6379" w:rsidRPr="00E96208" w:rsidRDefault="006B6379" w:rsidP="006B6379">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47EFAC82" w14:textId="77777777" w:rsidTr="00B30934">
        <w:trPr>
          <w:trHeight w:val="240"/>
          <w:jc w:val="center"/>
        </w:trPr>
        <w:tc>
          <w:tcPr>
            <w:tcW w:w="9752" w:type="dxa"/>
            <w:gridSpan w:val="2"/>
            <w:tcBorders>
              <w:top w:val="nil"/>
              <w:left w:val="nil"/>
              <w:bottom w:val="nil"/>
              <w:right w:val="nil"/>
            </w:tcBorders>
          </w:tcPr>
          <w:p w14:paraId="7FC51CD2" w14:textId="77777777" w:rsidR="006B6379" w:rsidRPr="00E96208" w:rsidRDefault="006B6379" w:rsidP="00B30934"/>
        </w:tc>
      </w:tr>
      <w:tr w:rsidR="006B6379" w14:paraId="2FAA3B8A" w14:textId="77777777" w:rsidTr="00B30934">
        <w:trPr>
          <w:trHeight w:val="240"/>
          <w:jc w:val="center"/>
        </w:trPr>
        <w:tc>
          <w:tcPr>
            <w:tcW w:w="4876" w:type="dxa"/>
            <w:tcBorders>
              <w:top w:val="nil"/>
              <w:left w:val="nil"/>
              <w:bottom w:val="nil"/>
              <w:right w:val="nil"/>
            </w:tcBorders>
            <w:hideMark/>
          </w:tcPr>
          <w:p w14:paraId="50B9D9C2"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04E3BBDA" w14:textId="77777777" w:rsidR="006B6379" w:rsidRPr="00E96208" w:rsidRDefault="006B6379" w:rsidP="00B30934">
            <w:pPr>
              <w:pStyle w:val="AmColumnHeading"/>
            </w:pPr>
            <w:r>
              <w:t>Amendement</w:t>
            </w:r>
          </w:p>
        </w:tc>
      </w:tr>
      <w:tr w:rsidR="006B6379" w14:paraId="47CF4EE4" w14:textId="77777777" w:rsidTr="00B30934">
        <w:trPr>
          <w:jc w:val="center"/>
        </w:trPr>
        <w:tc>
          <w:tcPr>
            <w:tcW w:w="4876" w:type="dxa"/>
            <w:tcBorders>
              <w:top w:val="nil"/>
              <w:left w:val="nil"/>
              <w:bottom w:val="nil"/>
              <w:right w:val="nil"/>
            </w:tcBorders>
            <w:hideMark/>
          </w:tcPr>
          <w:p w14:paraId="30BAF074" w14:textId="77777777" w:rsidR="006B6379" w:rsidRPr="00E96208" w:rsidRDefault="006B6379" w:rsidP="00B30934">
            <w:pPr>
              <w:pStyle w:val="Normal6a"/>
            </w:pPr>
            <w:r>
              <w:t>18.</w:t>
            </w:r>
            <w:r>
              <w:tab/>
              <w:t xml:space="preserve">wijst erop dat de modus operandi van criminele organisaties steeds meer transnationaal is, gebaseerd op het herhaaldelijk gebruik van complexe bedrijfsstructuren die als dekmantel dienen en ondoorzichtige juridische constructies die worden ingezet in meerdere rechtsgebieden waar het Unierecht in verschillende mate wordt gehandhaafd; benadrukt dat de strategie van de georganiseerde misdaad erop gericht is om op frauduleuze wijze middelen van de Unie te verduisteren en de opbrengsten van misdrijven te verbergen door middel van witwasoperaties die de legale economie schaden en zich ook manifesteren als grootschalige grensoverschrijdende btw-fraude; wijst erop dat deze criminele praktijken systematisch misbruik maken van de versnippering van de regelgeving en de procedurele </w:t>
            </w:r>
            <w:proofErr w:type="spellStart"/>
            <w:r>
              <w:t>asymmetrieën</w:t>
            </w:r>
            <w:proofErr w:type="spellEnd"/>
            <w:r>
              <w:t xml:space="preserve"> tussen de lidstaten, alsook van de beperkingen die inherent zijn aan de nationale focus van de rechtshandhaving en de gerechtelijke autoriteiten; benadrukt in dit specifieke verband de meerwaarde van de acties van het EOM, die het mogelijk maken de leemte op te vullen die ontstaat door niet-gecoördineerde nationale initiatieven en die het meest doeltreffende instrument vormen om transnationale criminele activiteiten te verstoren en op te treden om de financiële belangen van de Unie en de interne markt te beschermen;</w:t>
            </w:r>
          </w:p>
        </w:tc>
        <w:tc>
          <w:tcPr>
            <w:tcW w:w="4876" w:type="dxa"/>
            <w:tcBorders>
              <w:top w:val="nil"/>
              <w:left w:val="nil"/>
              <w:bottom w:val="nil"/>
              <w:right w:val="nil"/>
            </w:tcBorders>
            <w:hideMark/>
          </w:tcPr>
          <w:p w14:paraId="0EA76B62" w14:textId="77777777" w:rsidR="006B6379" w:rsidRPr="00E96208" w:rsidRDefault="006B6379" w:rsidP="00B30934">
            <w:pPr>
              <w:pStyle w:val="Normal6a"/>
            </w:pPr>
            <w:r>
              <w:t>18.</w:t>
            </w:r>
            <w:r>
              <w:tab/>
              <w:t xml:space="preserve">wijst erop dat de modus operandi van criminele organisaties steeds meer transnationaal is, gebaseerd op het herhaaldelijk gebruik van complexe bedrijfsstructuren die als dekmantel dienen en ondoorzichtige juridische constructies die worden ingezet in meerdere rechtsgebieden waar het Unierecht in verschillende mate wordt gehandhaafd; benadrukt dat de strategie van de georganiseerde misdaad erop gericht is om op frauduleuze wijze middelen van de Unie te verduisteren en de opbrengsten van misdrijven te verbergen door middel van witwasoperaties die de legale economie schaden en zich ook manifesteren als grootschalige grensoverschrijdende btw-fraude; wijst erop dat deze criminele praktijken systematisch misbruik maken van de versnippering van de regelgeving en de procedurele </w:t>
            </w:r>
            <w:proofErr w:type="spellStart"/>
            <w:r>
              <w:t>asymmetrieën</w:t>
            </w:r>
            <w:proofErr w:type="spellEnd"/>
            <w:r>
              <w:t xml:space="preserve"> tussen de lidstaten, alsook van de beperkingen die inherent zijn aan de nationale focus van de rechtshandhaving en de gerechtelijke autoriteiten; benadrukt in dit specifieke verband de meerwaarde van de acties van het EOM, die het mogelijk maken de leemte op te vullen die ontstaat door niet-gecoördineerde nationale initiatieven en die het meest doeltreffende instrument vormen om transnationale criminele activiteiten te verstoren en op te treden om de financiële belangen van de Unie en de interne markt te beschermen; </w:t>
            </w:r>
            <w:r>
              <w:rPr>
                <w:b/>
                <w:i/>
              </w:rPr>
              <w:t>dringt aan op concrete maatregelen om de operationele doeltreffendheid van EOM-onderzoeken te versterken, met name door het aanpakken van structurele obstakels die grensoverschrijdende onderzoeken blijven belemmeren; benadrukt dat er nood is aan een minimumniveau van procedurele harmonisatie tussen de deelnemende lidstaten op gebieden die rechtstreeks van invloed zijn op de werkzaamheden van de gedelegeerde Europese aanklagers, waaronder toegang tot bewijsmateriaal, termijnen voor rechterlijke toestemming en regels voor onderzoeksmaatregelen; dringt er bij de lidstaten op aan het EOM rechtstreekse en beveiligde toegang te verlenen tot belangrijke nationale databanken zoals douanesystemen, belastingregisters en registers van uiteindelijk begunstigden, en erover te waken dat de vereisten inzake gegevensbescherming volledig worden nageleefd;</w:t>
            </w:r>
          </w:p>
        </w:tc>
      </w:tr>
    </w:tbl>
    <w:p w14:paraId="771254D2"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154CEDE2" w14:textId="77777777" w:rsidR="006B6379" w:rsidRPr="00E96208" w:rsidRDefault="006B6379" w:rsidP="006B6379">
      <w:r>
        <w:rPr>
          <w:rStyle w:val="HideTWBExt"/>
        </w:rPr>
        <w:t>&lt;/Amend&gt;</w:t>
      </w:r>
    </w:p>
    <w:p w14:paraId="78389809" w14:textId="77777777" w:rsidR="006B6379" w:rsidRPr="00E96208" w:rsidRDefault="006B6379" w:rsidP="006B6379">
      <w:pPr>
        <w:pStyle w:val="AmNumberTabs"/>
      </w:pPr>
      <w:r>
        <w:rPr>
          <w:rStyle w:val="HideTWBExt"/>
        </w:rPr>
        <w:t>&lt;Amend&gt;</w:t>
      </w:r>
      <w:r>
        <w:t>Amendement</w:t>
      </w:r>
      <w:r>
        <w:tab/>
      </w:r>
      <w:r>
        <w:tab/>
      </w:r>
      <w:r>
        <w:rPr>
          <w:rStyle w:val="HideTWBExt"/>
        </w:rPr>
        <w:t>&lt;NumAm&gt;</w:t>
      </w:r>
      <w:r>
        <w:t>25</w:t>
      </w:r>
      <w:r>
        <w:rPr>
          <w:rStyle w:val="HideTWBExt"/>
        </w:rPr>
        <w:t>&lt;/NumAm&gt;</w:t>
      </w:r>
    </w:p>
    <w:p w14:paraId="2E2D784C" w14:textId="77777777" w:rsidR="006B6379" w:rsidRPr="00E96208" w:rsidRDefault="006B6379" w:rsidP="006B6379">
      <w:pPr>
        <w:pStyle w:val="NormalBold"/>
      </w:pPr>
      <w:r>
        <w:rPr>
          <w:rStyle w:val="HideTWBExt"/>
          <w:b w:val="0"/>
        </w:rPr>
        <w:t>&lt;RepeatBlock-By&gt;&lt;Members&gt;</w:t>
      </w:r>
      <w:r>
        <w:t>Csaba Molnár</w:t>
      </w:r>
      <w:r>
        <w:rPr>
          <w:rStyle w:val="HideTWBExt"/>
          <w:b w:val="0"/>
        </w:rPr>
        <w:t>&lt;/Members&gt;</w:t>
      </w:r>
    </w:p>
    <w:p w14:paraId="216CCC29" w14:textId="77777777" w:rsidR="006B6379" w:rsidRPr="00E96208" w:rsidRDefault="006B6379" w:rsidP="006B6379">
      <w:pPr>
        <w:pStyle w:val="NormalBold"/>
      </w:pPr>
      <w:r>
        <w:rPr>
          <w:rStyle w:val="HideTWBExt"/>
          <w:b w:val="0"/>
        </w:rPr>
        <w:t>&lt;/RepeatBlock-By&gt;</w:t>
      </w:r>
    </w:p>
    <w:p w14:paraId="65E0FE7C" w14:textId="77777777" w:rsidR="006B6379" w:rsidRPr="00E96208" w:rsidRDefault="006B6379" w:rsidP="006B6379">
      <w:pPr>
        <w:pStyle w:val="NormalBold"/>
      </w:pPr>
      <w:r>
        <w:rPr>
          <w:rStyle w:val="HideTWBExt"/>
        </w:rPr>
        <w:t>&lt;DocAmend&gt;</w:t>
      </w:r>
      <w:r>
        <w:t>Ontwerpresolutie</w:t>
      </w:r>
      <w:r>
        <w:rPr>
          <w:rStyle w:val="HideTWBExt"/>
        </w:rPr>
        <w:t>&lt;/DocAmend&gt;</w:t>
      </w:r>
    </w:p>
    <w:p w14:paraId="038FC0BB" w14:textId="77777777" w:rsidR="006B6379" w:rsidRPr="00E96208" w:rsidRDefault="006B6379" w:rsidP="006B6379">
      <w:pPr>
        <w:pStyle w:val="NormalBold"/>
      </w:pPr>
      <w:r>
        <w:rPr>
          <w:rStyle w:val="HideTWBExt"/>
        </w:rPr>
        <w:t>&lt;Article&gt;</w:t>
      </w:r>
      <w:r>
        <w:t>Paragraaf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2E0784D5" w14:textId="77777777" w:rsidTr="00B30934">
        <w:trPr>
          <w:trHeight w:val="240"/>
          <w:jc w:val="center"/>
        </w:trPr>
        <w:tc>
          <w:tcPr>
            <w:tcW w:w="9752" w:type="dxa"/>
            <w:gridSpan w:val="2"/>
            <w:tcBorders>
              <w:top w:val="nil"/>
              <w:left w:val="nil"/>
              <w:bottom w:val="nil"/>
              <w:right w:val="nil"/>
            </w:tcBorders>
          </w:tcPr>
          <w:p w14:paraId="3CE165B4" w14:textId="77777777" w:rsidR="006B6379" w:rsidRPr="00E96208" w:rsidRDefault="006B6379" w:rsidP="00B30934"/>
        </w:tc>
      </w:tr>
      <w:tr w:rsidR="006B6379" w14:paraId="76A46A72" w14:textId="77777777" w:rsidTr="00B30934">
        <w:trPr>
          <w:trHeight w:val="240"/>
          <w:jc w:val="center"/>
        </w:trPr>
        <w:tc>
          <w:tcPr>
            <w:tcW w:w="4876" w:type="dxa"/>
            <w:tcBorders>
              <w:top w:val="nil"/>
              <w:left w:val="nil"/>
              <w:bottom w:val="nil"/>
              <w:right w:val="nil"/>
            </w:tcBorders>
            <w:hideMark/>
          </w:tcPr>
          <w:p w14:paraId="717F9C11"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47933D53" w14:textId="77777777" w:rsidR="006B6379" w:rsidRPr="00E96208" w:rsidRDefault="006B6379" w:rsidP="00B30934">
            <w:pPr>
              <w:pStyle w:val="AmColumnHeading"/>
            </w:pPr>
            <w:r>
              <w:t>Amendement</w:t>
            </w:r>
          </w:p>
        </w:tc>
      </w:tr>
      <w:tr w:rsidR="006B6379" w14:paraId="58983372" w14:textId="77777777" w:rsidTr="00B30934">
        <w:trPr>
          <w:jc w:val="center"/>
        </w:trPr>
        <w:tc>
          <w:tcPr>
            <w:tcW w:w="4876" w:type="dxa"/>
            <w:tcBorders>
              <w:top w:val="nil"/>
              <w:left w:val="nil"/>
              <w:bottom w:val="nil"/>
              <w:right w:val="nil"/>
            </w:tcBorders>
            <w:hideMark/>
          </w:tcPr>
          <w:p w14:paraId="1C949AB1" w14:textId="77777777" w:rsidR="006B6379" w:rsidRPr="00E96208" w:rsidRDefault="006B6379" w:rsidP="00B30934">
            <w:pPr>
              <w:pStyle w:val="Normal6a"/>
            </w:pPr>
            <w:r>
              <w:t>19.</w:t>
            </w:r>
            <w:r>
              <w:tab/>
              <w:t>neemt kennis van de conclusies en aanbevelingen van de Rekenkamer in haar Analyse 02/2025 “Prestatiegerichtheid, verantwoordingsplicht en transparantie – lessen die te trekken zijn uit de tekortkomingen van de RRF”</w:t>
            </w:r>
            <w:r>
              <w:rPr>
                <w:vertAlign w:val="superscript"/>
              </w:rPr>
              <w:t>3</w:t>
            </w:r>
            <w:r>
              <w:t>; dringt aan op een specifieke verhoging van de financiering in het kader van het volgende MFK om ervoor te zorgen dat het EOM zijn doelstellingen en verplichtingen kan blijven nakomen ondanks de toegenomen complexiteit van de financieringsinstrumenten;</w:t>
            </w:r>
          </w:p>
        </w:tc>
        <w:tc>
          <w:tcPr>
            <w:tcW w:w="4876" w:type="dxa"/>
            <w:tcBorders>
              <w:top w:val="nil"/>
              <w:left w:val="nil"/>
              <w:bottom w:val="nil"/>
              <w:right w:val="nil"/>
            </w:tcBorders>
            <w:hideMark/>
          </w:tcPr>
          <w:p w14:paraId="0BFF34C5" w14:textId="77777777" w:rsidR="006B6379" w:rsidRPr="00E96208" w:rsidRDefault="006B6379" w:rsidP="00B30934">
            <w:pPr>
              <w:pStyle w:val="Normal6a"/>
            </w:pPr>
            <w:r>
              <w:t>19.</w:t>
            </w:r>
            <w:r>
              <w:tab/>
              <w:t>neemt kennis van de conclusies en aanbevelingen van de Rekenkamer in haar Analyse 02/2025 “Prestatiegerichtheid, verantwoordingsplicht en transparantie – lessen die te trekken zijn uit de tekortkomingen van de RRF”</w:t>
            </w:r>
            <w:r>
              <w:rPr>
                <w:vertAlign w:val="superscript"/>
              </w:rPr>
              <w:t>3</w:t>
            </w:r>
            <w:r>
              <w:t>; dringt aan op een specifieke verhoging van de financiering in het kader van het volgende MFK om ervoor te zorgen dat het EOM zijn doelstellingen en verplichtingen kan blijven nakomen ondanks de toegenomen complexiteit van de financieringsinstrumenten</w:t>
            </w:r>
            <w:r>
              <w:rPr>
                <w:b/>
                <w:i/>
              </w:rPr>
              <w:t>, wat de middelen van de Unie aan een groter risico op fraude en wanbeheer kan blootstellen</w:t>
            </w:r>
            <w:r>
              <w:t>;</w:t>
            </w:r>
          </w:p>
        </w:tc>
      </w:tr>
      <w:tr w:rsidR="006B6379" w14:paraId="36091171" w14:textId="77777777" w:rsidTr="00B30934">
        <w:trPr>
          <w:jc w:val="center"/>
        </w:trPr>
        <w:tc>
          <w:tcPr>
            <w:tcW w:w="4876" w:type="dxa"/>
            <w:tcBorders>
              <w:top w:val="nil"/>
              <w:left w:val="nil"/>
              <w:bottom w:val="nil"/>
              <w:right w:val="nil"/>
            </w:tcBorders>
            <w:hideMark/>
          </w:tcPr>
          <w:p w14:paraId="61FA79FF" w14:textId="77777777" w:rsidR="006B6379" w:rsidRPr="00E96208" w:rsidRDefault="006B6379" w:rsidP="00B30934">
            <w:pPr>
              <w:pStyle w:val="Normal6a"/>
            </w:pPr>
            <w:r>
              <w:rPr>
                <w:b/>
                <w:i/>
              </w:rPr>
              <w:t>_________________</w:t>
            </w:r>
          </w:p>
        </w:tc>
        <w:tc>
          <w:tcPr>
            <w:tcW w:w="4876" w:type="dxa"/>
            <w:tcBorders>
              <w:top w:val="nil"/>
              <w:left w:val="nil"/>
              <w:bottom w:val="nil"/>
              <w:right w:val="nil"/>
            </w:tcBorders>
            <w:hideMark/>
          </w:tcPr>
          <w:p w14:paraId="612726D1" w14:textId="77777777" w:rsidR="006B6379" w:rsidRPr="00E96208" w:rsidRDefault="006B6379" w:rsidP="00B30934">
            <w:pPr>
              <w:pStyle w:val="Normal6a"/>
            </w:pPr>
            <w:r>
              <w:rPr>
                <w:b/>
                <w:i/>
              </w:rPr>
              <w:t>_________________</w:t>
            </w:r>
          </w:p>
        </w:tc>
      </w:tr>
      <w:tr w:rsidR="006B6379" w14:paraId="063A3C82" w14:textId="77777777" w:rsidTr="00B30934">
        <w:trPr>
          <w:jc w:val="center"/>
        </w:trPr>
        <w:tc>
          <w:tcPr>
            <w:tcW w:w="4876" w:type="dxa"/>
            <w:tcBorders>
              <w:top w:val="nil"/>
              <w:left w:val="nil"/>
              <w:bottom w:val="nil"/>
              <w:right w:val="nil"/>
            </w:tcBorders>
            <w:hideMark/>
          </w:tcPr>
          <w:p w14:paraId="14EEFD03" w14:textId="77777777" w:rsidR="006B6379" w:rsidRPr="00E96208" w:rsidRDefault="006B6379" w:rsidP="00B30934">
            <w:pPr>
              <w:pStyle w:val="Normal6a"/>
            </w:pPr>
            <w:r>
              <w:rPr>
                <w:vertAlign w:val="superscript"/>
              </w:rPr>
              <w:t>3</w:t>
            </w:r>
            <w:r>
              <w:t xml:space="preserve"> https://www.eca.europa.eu/ECAPublications/RV-2025-02/RV-2025-02_NL.pdf.</w:t>
            </w:r>
          </w:p>
        </w:tc>
        <w:tc>
          <w:tcPr>
            <w:tcW w:w="4876" w:type="dxa"/>
            <w:tcBorders>
              <w:top w:val="nil"/>
              <w:left w:val="nil"/>
              <w:bottom w:val="nil"/>
              <w:right w:val="nil"/>
            </w:tcBorders>
            <w:hideMark/>
          </w:tcPr>
          <w:p w14:paraId="2F6D1137" w14:textId="77777777" w:rsidR="006B6379" w:rsidRPr="00E96208" w:rsidRDefault="006B6379" w:rsidP="00B30934">
            <w:pPr>
              <w:pStyle w:val="Normal6a"/>
            </w:pPr>
            <w:r>
              <w:rPr>
                <w:vertAlign w:val="superscript"/>
              </w:rPr>
              <w:t>3</w:t>
            </w:r>
            <w:r>
              <w:t xml:space="preserve"> https://www.eca.europa.eu/ECAPublications/RV-2025-02/RV-2025-02_NL.pdf.</w:t>
            </w:r>
          </w:p>
        </w:tc>
      </w:tr>
    </w:tbl>
    <w:p w14:paraId="032FEC52"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6089B5E4" w14:textId="77777777" w:rsidR="006B6379" w:rsidRPr="00E96208" w:rsidRDefault="006B6379" w:rsidP="006B6379">
      <w:r>
        <w:rPr>
          <w:rStyle w:val="HideTWBExt"/>
        </w:rPr>
        <w:t>&lt;/Amend&gt;</w:t>
      </w:r>
    </w:p>
    <w:p w14:paraId="7578C9E7" w14:textId="77777777" w:rsidR="006B6379" w:rsidRPr="00E96208" w:rsidRDefault="006B6379" w:rsidP="006B6379">
      <w:pPr>
        <w:pStyle w:val="AmNumberTabs"/>
      </w:pPr>
      <w:r>
        <w:rPr>
          <w:rStyle w:val="HideTWBExt"/>
        </w:rPr>
        <w:t>&lt;Amend&gt;</w:t>
      </w:r>
      <w:r>
        <w:t>Amendement</w:t>
      </w:r>
      <w:r>
        <w:tab/>
      </w:r>
      <w:r>
        <w:tab/>
      </w:r>
      <w:r>
        <w:rPr>
          <w:rStyle w:val="HideTWBExt"/>
        </w:rPr>
        <w:t>&lt;NumAm&gt;</w:t>
      </w:r>
      <w:r>
        <w:t>26</w:t>
      </w:r>
      <w:r>
        <w:rPr>
          <w:rStyle w:val="HideTWBExt"/>
        </w:rPr>
        <w:t>&lt;/NumAm&gt;</w:t>
      </w:r>
    </w:p>
    <w:p w14:paraId="35E69A21"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6AB3BD86" w14:textId="77777777" w:rsidR="006B6379" w:rsidRPr="00E96208" w:rsidRDefault="006B6379" w:rsidP="006B6379">
      <w:pPr>
        <w:pStyle w:val="NormalBold"/>
      </w:pPr>
      <w:r>
        <w:rPr>
          <w:rStyle w:val="HideTWBExt"/>
          <w:b w:val="0"/>
        </w:rPr>
        <w:t>&lt;/RepeatBlock-By&gt;</w:t>
      </w:r>
    </w:p>
    <w:p w14:paraId="0C7AC035" w14:textId="77777777" w:rsidR="006B6379" w:rsidRPr="00E96208" w:rsidRDefault="006B6379" w:rsidP="006B6379">
      <w:pPr>
        <w:pStyle w:val="NormalBold"/>
      </w:pPr>
      <w:r>
        <w:rPr>
          <w:rStyle w:val="HideTWBExt"/>
        </w:rPr>
        <w:t>&lt;DocAmend&gt;</w:t>
      </w:r>
      <w:r>
        <w:t>Ontwerpresolutie</w:t>
      </w:r>
      <w:r>
        <w:rPr>
          <w:rStyle w:val="HideTWBExt"/>
        </w:rPr>
        <w:t>&lt;/DocAmend&gt;</w:t>
      </w:r>
    </w:p>
    <w:p w14:paraId="5C2C74C3" w14:textId="77777777" w:rsidR="006B6379" w:rsidRPr="00E96208" w:rsidRDefault="006B6379" w:rsidP="006B6379">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786F374C" w14:textId="77777777" w:rsidTr="00B30934">
        <w:trPr>
          <w:trHeight w:val="240"/>
          <w:jc w:val="center"/>
        </w:trPr>
        <w:tc>
          <w:tcPr>
            <w:tcW w:w="9752" w:type="dxa"/>
            <w:gridSpan w:val="2"/>
            <w:tcBorders>
              <w:top w:val="nil"/>
              <w:left w:val="nil"/>
              <w:bottom w:val="nil"/>
              <w:right w:val="nil"/>
            </w:tcBorders>
          </w:tcPr>
          <w:p w14:paraId="30884FEE" w14:textId="77777777" w:rsidR="006B6379" w:rsidRPr="00E96208" w:rsidRDefault="006B6379" w:rsidP="00B30934"/>
        </w:tc>
      </w:tr>
      <w:tr w:rsidR="006B6379" w14:paraId="440A37D8" w14:textId="77777777" w:rsidTr="00B30934">
        <w:trPr>
          <w:trHeight w:val="240"/>
          <w:jc w:val="center"/>
        </w:trPr>
        <w:tc>
          <w:tcPr>
            <w:tcW w:w="4876" w:type="dxa"/>
            <w:tcBorders>
              <w:top w:val="nil"/>
              <w:left w:val="nil"/>
              <w:bottom w:val="nil"/>
              <w:right w:val="nil"/>
            </w:tcBorders>
            <w:hideMark/>
          </w:tcPr>
          <w:p w14:paraId="5DA956A5"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446DD17B" w14:textId="77777777" w:rsidR="006B6379" w:rsidRPr="00E96208" w:rsidRDefault="006B6379" w:rsidP="00B30934">
            <w:pPr>
              <w:pStyle w:val="AmColumnHeading"/>
            </w:pPr>
            <w:r>
              <w:t>Amendement</w:t>
            </w:r>
          </w:p>
        </w:tc>
      </w:tr>
      <w:tr w:rsidR="006B6379" w14:paraId="6FE0AD80" w14:textId="77777777" w:rsidTr="00B30934">
        <w:trPr>
          <w:jc w:val="center"/>
        </w:trPr>
        <w:tc>
          <w:tcPr>
            <w:tcW w:w="4876" w:type="dxa"/>
            <w:tcBorders>
              <w:top w:val="nil"/>
              <w:left w:val="nil"/>
              <w:bottom w:val="nil"/>
              <w:right w:val="nil"/>
            </w:tcBorders>
            <w:hideMark/>
          </w:tcPr>
          <w:p w14:paraId="570D4357" w14:textId="77777777" w:rsidR="006B6379" w:rsidRPr="00E96208" w:rsidRDefault="006B6379" w:rsidP="00B30934">
            <w:pPr>
              <w:pStyle w:val="Normal6a"/>
            </w:pPr>
            <w:r>
              <w:t>20.</w:t>
            </w:r>
            <w:r>
              <w:tab/>
              <w:t xml:space="preserve">merkt op dat de kosten in verband met de bepalingen van artikel 91, lid 6, van Verordening (EU) 2017/1939 (uitzonderlijk dure maatregelen die door de nationale autoriteiten worden uitgevoerd en door het EOM worden gedekt) in 2024 marginaal bleven (0,1 % van de operationele begroting, ten opzichte van 0,4 % in 2023); begrijpt dat in 2023 een eerste financieringsovereenkomst is ondertekend in het kader van een proefproject voor de terugbetaling van verzoeken uit hoofde van artikel 91, lid 6, van Verordening (EU) 2017/1939, ter dekking van de maatregelen die namens het EOM op nationaal niveau worden uitgevoerd, en dat de Rekenkamer deze post in 2023 heeft gecontroleerd en deze wettig en regelmatig heeft bevonden; is van mening dat deze bepaling het EOM de mogelijkheid biedt om doeltreffend op te treden in transnationale </w:t>
            </w:r>
            <w:proofErr w:type="spellStart"/>
            <w:r>
              <w:t>onderzoeksscenario’s</w:t>
            </w:r>
            <w:proofErr w:type="spellEnd"/>
            <w:r>
              <w:t xml:space="preserve"> waarin een lidstaat zou kunnen aarzelen om zijn middelen in te zetten, doordat het resultaat van de kosten-batenanalyse onevenwichtig is; verzoekt de Commissie te onderzoeken hoe het gebruik van deze optie door de lidstaten en het EOM strategisch effectiever kan worden gemaakt;</w:t>
            </w:r>
          </w:p>
        </w:tc>
        <w:tc>
          <w:tcPr>
            <w:tcW w:w="4876" w:type="dxa"/>
            <w:tcBorders>
              <w:top w:val="nil"/>
              <w:left w:val="nil"/>
              <w:bottom w:val="nil"/>
              <w:right w:val="nil"/>
            </w:tcBorders>
            <w:hideMark/>
          </w:tcPr>
          <w:p w14:paraId="32DD53B2" w14:textId="77777777" w:rsidR="006B6379" w:rsidRPr="00E96208" w:rsidRDefault="006B6379" w:rsidP="00B30934">
            <w:pPr>
              <w:pStyle w:val="Normal6a"/>
            </w:pPr>
            <w:r>
              <w:t>20.</w:t>
            </w:r>
            <w:r>
              <w:tab/>
              <w:t xml:space="preserve">merkt op dat de kosten in verband met de bepalingen van artikel 91, lid 6, van Verordening (EU) 2017/1939 (uitzonderlijk dure maatregelen die door de nationale autoriteiten worden uitgevoerd en door het EOM worden gedekt) in 2024 marginaal bleven (0,1 % van de operationele begroting, ten opzichte van 0,4 % in 2023); begrijpt dat in 2023 een eerste financieringsovereenkomst is ondertekend in het kader van een proefproject voor de terugbetaling van verzoeken uit hoofde van artikel 91, lid 6, van Verordening (EU) 2017/1939, ter dekking van de maatregelen die namens het EOM op nationaal niveau worden uitgevoerd, en dat de Rekenkamer deze post in 2023 heeft gecontroleerd en deze wettig en regelmatig heeft bevonden; is van mening dat deze bepaling het EOM de mogelijkheid biedt om doeltreffend op te treden in transnationale </w:t>
            </w:r>
            <w:proofErr w:type="spellStart"/>
            <w:r>
              <w:t>onderzoeksscenario’s</w:t>
            </w:r>
            <w:proofErr w:type="spellEnd"/>
            <w:r>
              <w:t xml:space="preserve"> waarin een lidstaat zou kunnen aarzelen om zijn middelen in te zetten, doordat het resultaat van de kosten-batenanalyse onevenwichtig is; verzoekt de Commissie te onderzoeken hoe het gebruik van deze optie door de lidstaten en het EOM strategisch effectiever kan worden gemaakt</w:t>
            </w:r>
            <w:r>
              <w:rPr>
                <w:b/>
                <w:i/>
              </w:rPr>
              <w:t>, en het EOM de nodige middelen hiertoe te verschaffen</w:t>
            </w:r>
            <w:r>
              <w:t>;</w:t>
            </w:r>
          </w:p>
        </w:tc>
      </w:tr>
    </w:tbl>
    <w:p w14:paraId="196CFF8A"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05940450" w14:textId="77777777" w:rsidR="006B6379" w:rsidRPr="00E96208" w:rsidRDefault="006B6379" w:rsidP="006B6379">
      <w:r>
        <w:rPr>
          <w:rStyle w:val="HideTWBExt"/>
        </w:rPr>
        <w:t>&lt;/Amend&gt;</w:t>
      </w:r>
    </w:p>
    <w:p w14:paraId="75C8F26C" w14:textId="77777777" w:rsidR="006B6379" w:rsidRPr="00E96208" w:rsidRDefault="006B6379" w:rsidP="006B6379">
      <w:pPr>
        <w:pStyle w:val="AmNumberTabs"/>
      </w:pPr>
      <w:r>
        <w:rPr>
          <w:rStyle w:val="HideTWBExt"/>
        </w:rPr>
        <w:t>&lt;Amend&gt;</w:t>
      </w:r>
      <w:r>
        <w:t>Amendement</w:t>
      </w:r>
      <w:r>
        <w:tab/>
      </w:r>
      <w:r>
        <w:tab/>
      </w:r>
      <w:r>
        <w:rPr>
          <w:rStyle w:val="HideTWBExt"/>
        </w:rPr>
        <w:t>&lt;NumAm&gt;</w:t>
      </w:r>
      <w:r>
        <w:t>27</w:t>
      </w:r>
      <w:r>
        <w:rPr>
          <w:rStyle w:val="HideTWBExt"/>
        </w:rPr>
        <w:t>&lt;/NumAm&gt;</w:t>
      </w:r>
    </w:p>
    <w:p w14:paraId="3908FF23" w14:textId="77777777" w:rsidR="006B6379" w:rsidRPr="00E96208" w:rsidRDefault="006B6379" w:rsidP="006B6379">
      <w:pPr>
        <w:pStyle w:val="NormalBold"/>
      </w:pPr>
      <w:r>
        <w:rPr>
          <w:rStyle w:val="HideTWBExt"/>
          <w:b w:val="0"/>
        </w:rPr>
        <w:t>&lt;RepeatBlock-By&gt;&lt;Members&gt;</w:t>
      </w:r>
      <w:r>
        <w:t>Ondřej Knotek, Virginie Joron, Julien Sanchez</w:t>
      </w:r>
      <w:r>
        <w:rPr>
          <w:rStyle w:val="HideTWBExt"/>
          <w:b w:val="0"/>
        </w:rPr>
        <w:t>&lt;/Members&gt;</w:t>
      </w:r>
    </w:p>
    <w:p w14:paraId="2930BCC1" w14:textId="77777777" w:rsidR="006B6379" w:rsidRPr="00E96208" w:rsidRDefault="006B6379" w:rsidP="006B6379">
      <w:pPr>
        <w:pStyle w:val="NormalBold"/>
      </w:pPr>
      <w:r>
        <w:rPr>
          <w:rStyle w:val="HideTWBExt"/>
          <w:b w:val="0"/>
        </w:rPr>
        <w:t>&lt;/RepeatBlock-By&gt;</w:t>
      </w:r>
    </w:p>
    <w:p w14:paraId="4DC60630" w14:textId="77777777" w:rsidR="006B6379" w:rsidRPr="00E96208" w:rsidRDefault="006B6379" w:rsidP="006B6379">
      <w:pPr>
        <w:pStyle w:val="NormalBold"/>
      </w:pPr>
      <w:r>
        <w:rPr>
          <w:rStyle w:val="HideTWBExt"/>
        </w:rPr>
        <w:t>&lt;DocAmend&gt;</w:t>
      </w:r>
      <w:r>
        <w:t>Ontwerpresolutie</w:t>
      </w:r>
      <w:r>
        <w:rPr>
          <w:rStyle w:val="HideTWBExt"/>
        </w:rPr>
        <w:t>&lt;/DocAmend&gt;</w:t>
      </w:r>
    </w:p>
    <w:p w14:paraId="40E8439E" w14:textId="77777777" w:rsidR="006B6379" w:rsidRPr="00E96208" w:rsidRDefault="006B6379" w:rsidP="006B6379">
      <w:pPr>
        <w:pStyle w:val="NormalBold"/>
      </w:pPr>
      <w:r>
        <w:rPr>
          <w:rStyle w:val="HideTWBExt"/>
        </w:rPr>
        <w:t>&lt;Article&gt;</w:t>
      </w:r>
      <w:r>
        <w:t>Paragraaf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4F610588" w14:textId="77777777" w:rsidTr="00B30934">
        <w:trPr>
          <w:trHeight w:val="240"/>
          <w:jc w:val="center"/>
        </w:trPr>
        <w:tc>
          <w:tcPr>
            <w:tcW w:w="9752" w:type="dxa"/>
            <w:gridSpan w:val="2"/>
            <w:tcBorders>
              <w:top w:val="nil"/>
              <w:left w:val="nil"/>
              <w:bottom w:val="nil"/>
              <w:right w:val="nil"/>
            </w:tcBorders>
          </w:tcPr>
          <w:p w14:paraId="2976D89F" w14:textId="77777777" w:rsidR="006B6379" w:rsidRPr="00E96208" w:rsidRDefault="006B6379" w:rsidP="00B30934"/>
        </w:tc>
      </w:tr>
      <w:tr w:rsidR="006B6379" w14:paraId="7ACB30D2" w14:textId="77777777" w:rsidTr="00B30934">
        <w:trPr>
          <w:trHeight w:val="240"/>
          <w:jc w:val="center"/>
        </w:trPr>
        <w:tc>
          <w:tcPr>
            <w:tcW w:w="4876" w:type="dxa"/>
            <w:tcBorders>
              <w:top w:val="nil"/>
              <w:left w:val="nil"/>
              <w:bottom w:val="nil"/>
              <w:right w:val="nil"/>
            </w:tcBorders>
            <w:hideMark/>
          </w:tcPr>
          <w:p w14:paraId="581E0DF8"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140ABB96" w14:textId="77777777" w:rsidR="006B6379" w:rsidRPr="00E96208" w:rsidRDefault="006B6379" w:rsidP="00B30934">
            <w:pPr>
              <w:pStyle w:val="AmColumnHeading"/>
            </w:pPr>
            <w:r>
              <w:t>Amendement</w:t>
            </w:r>
          </w:p>
        </w:tc>
      </w:tr>
      <w:tr w:rsidR="006B6379" w14:paraId="5530720C" w14:textId="77777777" w:rsidTr="00B30934">
        <w:trPr>
          <w:jc w:val="center"/>
        </w:trPr>
        <w:tc>
          <w:tcPr>
            <w:tcW w:w="4876" w:type="dxa"/>
            <w:tcBorders>
              <w:top w:val="nil"/>
              <w:left w:val="nil"/>
              <w:bottom w:val="nil"/>
              <w:right w:val="nil"/>
            </w:tcBorders>
          </w:tcPr>
          <w:p w14:paraId="601CE57E" w14:textId="77777777" w:rsidR="006B6379" w:rsidRPr="00E96208" w:rsidRDefault="006B6379" w:rsidP="00B30934">
            <w:pPr>
              <w:pStyle w:val="Normal6a"/>
            </w:pPr>
          </w:p>
        </w:tc>
        <w:tc>
          <w:tcPr>
            <w:tcW w:w="4876" w:type="dxa"/>
            <w:tcBorders>
              <w:top w:val="nil"/>
              <w:left w:val="nil"/>
              <w:bottom w:val="nil"/>
              <w:right w:val="nil"/>
            </w:tcBorders>
            <w:hideMark/>
          </w:tcPr>
          <w:p w14:paraId="4F9D00B1" w14:textId="77777777" w:rsidR="006B6379" w:rsidRPr="00E96208" w:rsidRDefault="006B6379" w:rsidP="00B30934">
            <w:pPr>
              <w:pStyle w:val="Normal6a"/>
            </w:pPr>
            <w:r>
              <w:rPr>
                <w:b/>
                <w:i/>
              </w:rPr>
              <w:t>21 bis.</w:t>
            </w:r>
            <w:r>
              <w:tab/>
            </w:r>
            <w:r>
              <w:rPr>
                <w:b/>
                <w:i/>
              </w:rPr>
              <w:t xml:space="preserve">benadrukt dat de doeltreffendheid en legitimiteit van het EOM afhankelijk zijn van de strikte eerbiediging van het opportuniteitsbeginsel en van het geheim van het strafrechtelijk onderzoek; beklemtoont dat de onafhankelijkheid van het EOM niet alleen formeel, maar ook in de praktijk moet worden beschermd, onder meer door het inbouwen van waarborgen ter voorkoming van politieke druk, reputatieschade of </w:t>
            </w:r>
            <w:proofErr w:type="spellStart"/>
            <w:r>
              <w:rPr>
                <w:b/>
                <w:i/>
              </w:rPr>
              <w:t>instrumentalisering</w:t>
            </w:r>
            <w:proofErr w:type="spellEnd"/>
            <w:r>
              <w:rPr>
                <w:b/>
                <w:i/>
              </w:rPr>
              <w:t xml:space="preserve"> van lopende onderzoeken;</w:t>
            </w:r>
          </w:p>
        </w:tc>
      </w:tr>
    </w:tbl>
    <w:p w14:paraId="3E9417D7"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52637902" w14:textId="77777777" w:rsidR="006B6379" w:rsidRPr="00E96208" w:rsidRDefault="006B6379" w:rsidP="006B6379">
      <w:r>
        <w:rPr>
          <w:rStyle w:val="HideTWBExt"/>
        </w:rPr>
        <w:t>&lt;/Amend&gt;</w:t>
      </w:r>
    </w:p>
    <w:p w14:paraId="7EC51C52" w14:textId="77777777" w:rsidR="006B6379" w:rsidRPr="00E96208" w:rsidRDefault="006B6379" w:rsidP="006B6379">
      <w:pPr>
        <w:pStyle w:val="AmNumberTabs"/>
      </w:pPr>
      <w:r>
        <w:rPr>
          <w:rStyle w:val="HideTWBExt"/>
        </w:rPr>
        <w:t>&lt;Amend&gt;</w:t>
      </w:r>
      <w:r>
        <w:t>Amendement</w:t>
      </w:r>
      <w:r>
        <w:tab/>
      </w:r>
      <w:r>
        <w:tab/>
      </w:r>
      <w:r>
        <w:rPr>
          <w:rStyle w:val="HideTWBExt"/>
        </w:rPr>
        <w:t>&lt;NumAm&gt;</w:t>
      </w:r>
      <w:r>
        <w:t>28</w:t>
      </w:r>
      <w:r>
        <w:rPr>
          <w:rStyle w:val="HideTWBExt"/>
        </w:rPr>
        <w:t>&lt;/NumAm&gt;</w:t>
      </w:r>
    </w:p>
    <w:p w14:paraId="6ADC72C4"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262BC882" w14:textId="77777777" w:rsidR="006B6379" w:rsidRPr="00E96208" w:rsidRDefault="006B6379" w:rsidP="006B6379">
      <w:pPr>
        <w:pStyle w:val="NormalBold"/>
      </w:pPr>
      <w:r>
        <w:rPr>
          <w:rStyle w:val="HideTWBExt"/>
          <w:b w:val="0"/>
        </w:rPr>
        <w:t>&lt;/RepeatBlock-By&gt;</w:t>
      </w:r>
    </w:p>
    <w:p w14:paraId="78B7EE14" w14:textId="77777777" w:rsidR="006B6379" w:rsidRPr="00E96208" w:rsidRDefault="006B6379" w:rsidP="006B6379">
      <w:pPr>
        <w:pStyle w:val="NormalBold"/>
      </w:pPr>
      <w:r>
        <w:rPr>
          <w:rStyle w:val="HideTWBExt"/>
        </w:rPr>
        <w:t>&lt;DocAmend&gt;</w:t>
      </w:r>
      <w:r>
        <w:t>Ontwerpresolutie</w:t>
      </w:r>
      <w:r>
        <w:rPr>
          <w:rStyle w:val="HideTWBExt"/>
        </w:rPr>
        <w:t>&lt;/DocAmend&gt;</w:t>
      </w:r>
    </w:p>
    <w:p w14:paraId="433560B7" w14:textId="77777777" w:rsidR="006B6379" w:rsidRPr="00E96208" w:rsidRDefault="006B6379" w:rsidP="006B6379">
      <w:pPr>
        <w:pStyle w:val="NormalBold"/>
      </w:pPr>
      <w:r>
        <w:rPr>
          <w:rStyle w:val="HideTWBExt"/>
        </w:rPr>
        <w:t>&lt;Article&gt;</w:t>
      </w:r>
      <w:r>
        <w:t>Paragraaf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3CE48C1F" w14:textId="77777777" w:rsidTr="00B30934">
        <w:trPr>
          <w:trHeight w:val="240"/>
          <w:jc w:val="center"/>
        </w:trPr>
        <w:tc>
          <w:tcPr>
            <w:tcW w:w="9752" w:type="dxa"/>
            <w:gridSpan w:val="2"/>
            <w:tcBorders>
              <w:top w:val="nil"/>
              <w:left w:val="nil"/>
              <w:bottom w:val="nil"/>
              <w:right w:val="nil"/>
            </w:tcBorders>
          </w:tcPr>
          <w:p w14:paraId="71CC123C" w14:textId="77777777" w:rsidR="006B6379" w:rsidRPr="00E96208" w:rsidRDefault="006B6379" w:rsidP="00B30934"/>
        </w:tc>
      </w:tr>
      <w:tr w:rsidR="006B6379" w14:paraId="3AD5F289" w14:textId="77777777" w:rsidTr="00B30934">
        <w:trPr>
          <w:trHeight w:val="240"/>
          <w:jc w:val="center"/>
        </w:trPr>
        <w:tc>
          <w:tcPr>
            <w:tcW w:w="4876" w:type="dxa"/>
            <w:tcBorders>
              <w:top w:val="nil"/>
              <w:left w:val="nil"/>
              <w:bottom w:val="nil"/>
              <w:right w:val="nil"/>
            </w:tcBorders>
            <w:hideMark/>
          </w:tcPr>
          <w:p w14:paraId="26E052B6"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06D1D49B" w14:textId="77777777" w:rsidR="006B6379" w:rsidRPr="00E96208" w:rsidRDefault="006B6379" w:rsidP="00B30934">
            <w:pPr>
              <w:pStyle w:val="AmColumnHeading"/>
            </w:pPr>
            <w:r>
              <w:t>Amendement</w:t>
            </w:r>
          </w:p>
        </w:tc>
      </w:tr>
      <w:tr w:rsidR="006B6379" w14:paraId="76E61E8D" w14:textId="77777777" w:rsidTr="00B30934">
        <w:trPr>
          <w:jc w:val="center"/>
        </w:trPr>
        <w:tc>
          <w:tcPr>
            <w:tcW w:w="4876" w:type="dxa"/>
            <w:tcBorders>
              <w:top w:val="nil"/>
              <w:left w:val="nil"/>
              <w:bottom w:val="nil"/>
              <w:right w:val="nil"/>
            </w:tcBorders>
            <w:hideMark/>
          </w:tcPr>
          <w:p w14:paraId="3CC63C66" w14:textId="77777777" w:rsidR="006B6379" w:rsidRPr="00E96208" w:rsidRDefault="006B6379" w:rsidP="00B30934">
            <w:pPr>
              <w:pStyle w:val="Normal6a"/>
            </w:pPr>
            <w:r>
              <w:t>26.</w:t>
            </w:r>
            <w:r>
              <w:tab/>
              <w:t xml:space="preserve">merkt op dat het EOM zijn inspanningen heeft voortgezet om een systeem op te zetten ter monitoring van efficiëntiewinsten en kostenbesparingen, en merkt op dat het EOM in 2024 is begonnen met een herziening van de strategische en operationele plannings- en monitoringprocessen (om beter te kunnen bijdragen aan de strategische focus van de activiteiten van het EOM en om een aanhoudend hoog uitvoerings- of absorptiepercentage van de beschikbare middelen te bereiken) en een strategische planning voor het personeelsbeleid op middellange termijn heeft opgesteld, om de personeelsformatie beter te kunnen invullen en tekorten aan personeel aan te pakken door middel van aanwervingen of professionele groei; merkt op dat het EOM in dit verband ook </w:t>
            </w:r>
            <w:r>
              <w:rPr>
                <w:b/>
                <w:i/>
              </w:rPr>
              <w:t>loopbaantrajecten en</w:t>
            </w:r>
            <w:r>
              <w:t xml:space="preserve"> meer specifieke functiebeschrijvingskaders</w:t>
            </w:r>
            <w:r>
              <w:rPr>
                <w:b/>
                <w:i/>
              </w:rPr>
              <w:t xml:space="preserve"> heeft vastgesteld</w:t>
            </w:r>
            <w:r>
              <w:t xml:space="preserve"> om het personeel af te stemmen op de strategie en bij te dragen tot het behoud van een hoge mate van betrokkenheid van het personeel;</w:t>
            </w:r>
          </w:p>
        </w:tc>
        <w:tc>
          <w:tcPr>
            <w:tcW w:w="4876" w:type="dxa"/>
            <w:tcBorders>
              <w:top w:val="nil"/>
              <w:left w:val="nil"/>
              <w:bottom w:val="nil"/>
              <w:right w:val="nil"/>
            </w:tcBorders>
            <w:hideMark/>
          </w:tcPr>
          <w:p w14:paraId="1C07EB99" w14:textId="77777777" w:rsidR="006B6379" w:rsidRPr="00E96208" w:rsidRDefault="006B6379" w:rsidP="00B30934">
            <w:pPr>
              <w:pStyle w:val="Normal6a"/>
            </w:pPr>
            <w:r>
              <w:t>26.</w:t>
            </w:r>
            <w:r>
              <w:tab/>
              <w:t xml:space="preserve">merkt op dat het EOM zijn inspanningen heeft voortgezet om een systeem op te zetten ter monitoring van efficiëntiewinsten en kostenbesparingen, en merkt op dat het EOM in 2024 is begonnen met een herziening van de strategische en operationele plannings- en monitoringprocessen (om beter te kunnen bijdragen aan de strategische focus van de activiteiten van het EOM en om een aanhoudend hoog uitvoerings- of absorptiepercentage van de beschikbare middelen te bereiken) en een strategische planning voor het personeelsbeleid op middellange termijn heeft opgesteld, om de personeelsformatie beter te kunnen invullen en tekorten aan personeel aan te pakken door middel van aanwervingen of professionele groei; merkt op dat het EOM in dit verband ook </w:t>
            </w:r>
            <w:r>
              <w:rPr>
                <w:b/>
                <w:i/>
              </w:rPr>
              <w:t>is gestart met het werken aan</w:t>
            </w:r>
            <w:r>
              <w:t xml:space="preserve"> meer specifieke functiebeschrijvingskaders om het personeel af te stemmen op de strategie en bij te dragen tot het behoud van een hoge mate van betrokkenheid van het personeel;</w:t>
            </w:r>
          </w:p>
        </w:tc>
      </w:tr>
    </w:tbl>
    <w:p w14:paraId="752EFC7C"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2699053A" w14:textId="77777777" w:rsidR="006B6379" w:rsidRPr="00E96208" w:rsidRDefault="006B6379" w:rsidP="006B6379">
      <w:r>
        <w:rPr>
          <w:rStyle w:val="HideTWBExt"/>
        </w:rPr>
        <w:t>&lt;/Amend&gt;</w:t>
      </w:r>
    </w:p>
    <w:p w14:paraId="0FB8DB25" w14:textId="77777777" w:rsidR="006B6379" w:rsidRPr="00E96208" w:rsidRDefault="006B6379" w:rsidP="006B6379">
      <w:pPr>
        <w:pStyle w:val="AmNumberTabs"/>
      </w:pPr>
      <w:r>
        <w:rPr>
          <w:rStyle w:val="HideTWBExt"/>
        </w:rPr>
        <w:t>&lt;Amend&gt;</w:t>
      </w:r>
      <w:r>
        <w:t>Amendement</w:t>
      </w:r>
      <w:r>
        <w:tab/>
      </w:r>
      <w:r>
        <w:tab/>
      </w:r>
      <w:r>
        <w:rPr>
          <w:rStyle w:val="HideTWBExt"/>
        </w:rPr>
        <w:t>&lt;NumAm&gt;</w:t>
      </w:r>
      <w:r>
        <w:t>29</w:t>
      </w:r>
      <w:r>
        <w:rPr>
          <w:rStyle w:val="HideTWBExt"/>
        </w:rPr>
        <w:t>&lt;/NumAm&gt;</w:t>
      </w:r>
    </w:p>
    <w:p w14:paraId="41BBD5B6" w14:textId="77777777" w:rsidR="006B6379" w:rsidRPr="00E96208" w:rsidRDefault="006B6379" w:rsidP="006B6379">
      <w:pPr>
        <w:pStyle w:val="NormalBold"/>
      </w:pPr>
      <w:r>
        <w:rPr>
          <w:rStyle w:val="HideTWBExt"/>
          <w:b w:val="0"/>
        </w:rPr>
        <w:t>&lt;RepeatBlock-By&gt;&lt;Members&gt;</w:t>
      </w:r>
      <w:r>
        <w:t>Gilles Boyer, Olivier Chastel, Vlad Vasile-Voiculescu, Michal Wiezik</w:t>
      </w:r>
      <w:r>
        <w:rPr>
          <w:rStyle w:val="HideTWBExt"/>
          <w:b w:val="0"/>
        </w:rPr>
        <w:t>&lt;/Members&gt;</w:t>
      </w:r>
    </w:p>
    <w:p w14:paraId="5E028B98" w14:textId="77777777" w:rsidR="006B6379" w:rsidRPr="00E96208" w:rsidRDefault="006B6379" w:rsidP="006B6379">
      <w:pPr>
        <w:pStyle w:val="NormalBold"/>
      </w:pPr>
      <w:r>
        <w:rPr>
          <w:rStyle w:val="HideTWBExt"/>
          <w:b w:val="0"/>
        </w:rPr>
        <w:t>&lt;/RepeatBlock-By&gt;</w:t>
      </w:r>
    </w:p>
    <w:p w14:paraId="22B23650" w14:textId="77777777" w:rsidR="006B6379" w:rsidRPr="00E96208" w:rsidRDefault="006B6379" w:rsidP="006B6379">
      <w:pPr>
        <w:pStyle w:val="NormalBold"/>
      </w:pPr>
      <w:r>
        <w:rPr>
          <w:rStyle w:val="HideTWBExt"/>
        </w:rPr>
        <w:t>&lt;DocAmend&gt;</w:t>
      </w:r>
      <w:r>
        <w:t>Ontwerpresolutie</w:t>
      </w:r>
      <w:r>
        <w:rPr>
          <w:rStyle w:val="HideTWBExt"/>
        </w:rPr>
        <w:t>&lt;/DocAmend&gt;</w:t>
      </w:r>
    </w:p>
    <w:p w14:paraId="29DA6AB7" w14:textId="77777777" w:rsidR="006B6379" w:rsidRPr="00E96208" w:rsidRDefault="006B6379" w:rsidP="006B6379">
      <w:pPr>
        <w:pStyle w:val="NormalBold"/>
      </w:pPr>
      <w:r>
        <w:rPr>
          <w:rStyle w:val="HideTWBExt"/>
        </w:rPr>
        <w:t>&lt;Article&gt;</w:t>
      </w:r>
      <w:r>
        <w:t>Paragraaf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2099A01E" w14:textId="77777777" w:rsidTr="00B30934">
        <w:trPr>
          <w:trHeight w:val="240"/>
          <w:jc w:val="center"/>
        </w:trPr>
        <w:tc>
          <w:tcPr>
            <w:tcW w:w="9752" w:type="dxa"/>
            <w:gridSpan w:val="2"/>
            <w:tcBorders>
              <w:top w:val="nil"/>
              <w:left w:val="nil"/>
              <w:bottom w:val="nil"/>
              <w:right w:val="nil"/>
            </w:tcBorders>
          </w:tcPr>
          <w:p w14:paraId="3B3CA52E" w14:textId="77777777" w:rsidR="006B6379" w:rsidRPr="00E96208" w:rsidRDefault="006B6379" w:rsidP="00B30934"/>
        </w:tc>
      </w:tr>
      <w:tr w:rsidR="006B6379" w14:paraId="30224796" w14:textId="77777777" w:rsidTr="00B30934">
        <w:trPr>
          <w:trHeight w:val="240"/>
          <w:jc w:val="center"/>
        </w:trPr>
        <w:tc>
          <w:tcPr>
            <w:tcW w:w="4876" w:type="dxa"/>
            <w:tcBorders>
              <w:top w:val="nil"/>
              <w:left w:val="nil"/>
              <w:bottom w:val="nil"/>
              <w:right w:val="nil"/>
            </w:tcBorders>
            <w:hideMark/>
          </w:tcPr>
          <w:p w14:paraId="40A06089"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63A4461A" w14:textId="77777777" w:rsidR="006B6379" w:rsidRPr="00E96208" w:rsidRDefault="006B6379" w:rsidP="00B30934">
            <w:pPr>
              <w:pStyle w:val="AmColumnHeading"/>
            </w:pPr>
            <w:r>
              <w:t>Amendement</w:t>
            </w:r>
          </w:p>
        </w:tc>
      </w:tr>
      <w:tr w:rsidR="006B6379" w14:paraId="3F061D33" w14:textId="77777777" w:rsidTr="00B30934">
        <w:trPr>
          <w:jc w:val="center"/>
        </w:trPr>
        <w:tc>
          <w:tcPr>
            <w:tcW w:w="4876" w:type="dxa"/>
            <w:tcBorders>
              <w:top w:val="nil"/>
              <w:left w:val="nil"/>
              <w:bottom w:val="nil"/>
              <w:right w:val="nil"/>
            </w:tcBorders>
            <w:hideMark/>
          </w:tcPr>
          <w:p w14:paraId="2E210DCD" w14:textId="77777777" w:rsidR="006B6379" w:rsidRPr="00E96208" w:rsidRDefault="006B6379" w:rsidP="00B30934">
            <w:pPr>
              <w:pStyle w:val="Normal6a"/>
            </w:pPr>
            <w:r>
              <w:t>31.</w:t>
            </w:r>
            <w:r>
              <w:tab/>
              <w:t xml:space="preserve">merkt op dat de fraudebestrijdingsstrategie 2023-2025 van het EOM, die in 2023 is geactualiseerd overeenkomstig de vereisten van Verordening (EU) 2017/1939 en de financiële regels van het EOM, gekoppeld is aan een actieplan dat deel uitmaakt van de </w:t>
            </w:r>
            <w:proofErr w:type="spellStart"/>
            <w:r>
              <w:t>internecontroleomgeving</w:t>
            </w:r>
            <w:proofErr w:type="spellEnd"/>
            <w:r>
              <w:t xml:space="preserve"> van het EOM, jaarlijks wordt gemonitord en in 2024 is herzien; merkt op dat de uitvoering in 2024 gericht was op bewustmaking, met 17 opleidingssessies over het ethisch kader, de fraudebestrijdingsstrategie en de code voor correct bestuurlijk gedrag van het EOM, waarbij een brede deelname van het personeel werd gewaarborgd; is ingenomen met de invoering van de klokkenluidersprocedure, die begin 2025 heeft plaatsgevonden; merkt op dat, in afwachting van de goedkeuring van een alomvattend beleid inzake belangenconflicten, de verplichtingen en meldingsprocedures van kracht blijven voor het hoger management en het personeel dat betrokken is bij financiële circuits, aanbestedingen en aanwervingen;</w:t>
            </w:r>
          </w:p>
        </w:tc>
        <w:tc>
          <w:tcPr>
            <w:tcW w:w="4876" w:type="dxa"/>
            <w:tcBorders>
              <w:top w:val="nil"/>
              <w:left w:val="nil"/>
              <w:bottom w:val="nil"/>
              <w:right w:val="nil"/>
            </w:tcBorders>
            <w:hideMark/>
          </w:tcPr>
          <w:p w14:paraId="451B2FD0" w14:textId="77777777" w:rsidR="006B6379" w:rsidRPr="00E96208" w:rsidRDefault="006B6379" w:rsidP="00B30934">
            <w:pPr>
              <w:pStyle w:val="Normal6a"/>
            </w:pPr>
            <w:r>
              <w:t>31.</w:t>
            </w:r>
            <w:r>
              <w:tab/>
              <w:t xml:space="preserve">merkt op dat de fraudebestrijdingsstrategie 2023-2025 van het EOM, die in 2023 is geactualiseerd overeenkomstig de vereisten van Verordening (EU) 2017/1939 en de financiële regels van het EOM, gekoppeld is aan een actieplan dat deel uitmaakt van de </w:t>
            </w:r>
            <w:proofErr w:type="spellStart"/>
            <w:r>
              <w:t>internecontroleomgeving</w:t>
            </w:r>
            <w:proofErr w:type="spellEnd"/>
            <w:r>
              <w:t xml:space="preserve"> van het EOM, jaarlijks wordt gemonitord en in 2024 is herzien; merkt op dat de uitvoering in 2024 gericht was op bewustmaking, met 17 opleidingssessies over het ethisch kader, de fraudebestrijdingsstrategie en de code voor correct bestuurlijk gedrag van het EOM, waarbij een brede deelname van het personeel werd gewaarborgd; is ingenomen met de invoering van de klokkenluidersprocedure, die begin 2025 heeft plaatsgevonden; merkt op dat, in afwachting van de goedkeuring van een alomvattend beleid inzake belangenconflicten, de verplichtingen en meldingsprocedures van kracht blijven voor het hoger management en het personeel dat betrokken is bij financiële circuits, aanbestedingen en aanwervingen; </w:t>
            </w:r>
            <w:r>
              <w:rPr>
                <w:b/>
                <w:i/>
              </w:rPr>
              <w:t>dringt aan op de snelle vaststelling van een alomvattend beleid inzake belangenconflicten om het vertrouwen van het publiek in het integriteitskader van het EOM te waarborgen;</w:t>
            </w:r>
          </w:p>
        </w:tc>
      </w:tr>
    </w:tbl>
    <w:p w14:paraId="689AF0D0"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1B1539C0" w14:textId="77777777" w:rsidR="006B6379" w:rsidRPr="00E96208" w:rsidRDefault="006B6379" w:rsidP="006B6379">
      <w:r>
        <w:rPr>
          <w:rStyle w:val="HideTWBExt"/>
        </w:rPr>
        <w:t>&lt;/Amend&gt;</w:t>
      </w:r>
    </w:p>
    <w:p w14:paraId="75893308" w14:textId="77777777" w:rsidR="006B6379" w:rsidRPr="00E96208" w:rsidRDefault="006B6379" w:rsidP="006B6379">
      <w:pPr>
        <w:pStyle w:val="AmNumberTabs"/>
      </w:pPr>
      <w:r>
        <w:rPr>
          <w:rStyle w:val="HideTWBExt"/>
        </w:rPr>
        <w:t>&lt;Amend&gt;</w:t>
      </w:r>
      <w:r>
        <w:t>Amendement</w:t>
      </w:r>
      <w:r>
        <w:tab/>
      </w:r>
      <w:r>
        <w:tab/>
      </w:r>
      <w:r>
        <w:rPr>
          <w:rStyle w:val="HideTWBExt"/>
        </w:rPr>
        <w:t>&lt;NumAm&gt;</w:t>
      </w:r>
      <w:r>
        <w:t>30</w:t>
      </w:r>
      <w:r>
        <w:rPr>
          <w:rStyle w:val="HideTWBExt"/>
        </w:rPr>
        <w:t>&lt;/NumAm&gt;</w:t>
      </w:r>
    </w:p>
    <w:p w14:paraId="2B77C1C1"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2C50C8BB" w14:textId="77777777" w:rsidR="006B6379" w:rsidRPr="00E96208" w:rsidRDefault="006B6379" w:rsidP="006B6379">
      <w:pPr>
        <w:pStyle w:val="NormalBold"/>
      </w:pPr>
      <w:r>
        <w:rPr>
          <w:rStyle w:val="HideTWBExt"/>
          <w:b w:val="0"/>
        </w:rPr>
        <w:t>&lt;/RepeatBlock-By&gt;</w:t>
      </w:r>
    </w:p>
    <w:p w14:paraId="32316994" w14:textId="77777777" w:rsidR="006B6379" w:rsidRPr="00E96208" w:rsidRDefault="006B6379" w:rsidP="006B6379">
      <w:pPr>
        <w:pStyle w:val="NormalBold"/>
      </w:pPr>
      <w:r>
        <w:rPr>
          <w:rStyle w:val="HideTWBExt"/>
        </w:rPr>
        <w:t>&lt;DocAmend&gt;</w:t>
      </w:r>
      <w:r>
        <w:t>Ontwerpresolutie</w:t>
      </w:r>
      <w:r>
        <w:rPr>
          <w:rStyle w:val="HideTWBExt"/>
        </w:rPr>
        <w:t>&lt;/DocAmend&gt;</w:t>
      </w:r>
    </w:p>
    <w:p w14:paraId="2CAC1CB9" w14:textId="77777777" w:rsidR="006B6379" w:rsidRPr="00E96208" w:rsidRDefault="006B6379" w:rsidP="006B6379">
      <w:pPr>
        <w:pStyle w:val="NormalBold"/>
      </w:pPr>
      <w:r>
        <w:rPr>
          <w:rStyle w:val="HideTWBExt"/>
        </w:rPr>
        <w:t>&lt;Article&gt;</w:t>
      </w:r>
      <w:r>
        <w:t>Paragraaf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024750C2" w14:textId="77777777" w:rsidTr="00B30934">
        <w:trPr>
          <w:trHeight w:val="240"/>
          <w:jc w:val="center"/>
        </w:trPr>
        <w:tc>
          <w:tcPr>
            <w:tcW w:w="9752" w:type="dxa"/>
            <w:gridSpan w:val="2"/>
            <w:tcBorders>
              <w:top w:val="nil"/>
              <w:left w:val="nil"/>
              <w:bottom w:val="nil"/>
              <w:right w:val="nil"/>
            </w:tcBorders>
          </w:tcPr>
          <w:p w14:paraId="61D6A365" w14:textId="77777777" w:rsidR="006B6379" w:rsidRPr="00E96208" w:rsidRDefault="006B6379" w:rsidP="00B30934"/>
        </w:tc>
      </w:tr>
      <w:tr w:rsidR="006B6379" w14:paraId="612DC354" w14:textId="77777777" w:rsidTr="00B30934">
        <w:trPr>
          <w:trHeight w:val="240"/>
          <w:jc w:val="center"/>
        </w:trPr>
        <w:tc>
          <w:tcPr>
            <w:tcW w:w="4876" w:type="dxa"/>
            <w:tcBorders>
              <w:top w:val="nil"/>
              <w:left w:val="nil"/>
              <w:bottom w:val="nil"/>
              <w:right w:val="nil"/>
            </w:tcBorders>
            <w:hideMark/>
          </w:tcPr>
          <w:p w14:paraId="04F1C7A5"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4A84BC04" w14:textId="77777777" w:rsidR="006B6379" w:rsidRPr="00E96208" w:rsidRDefault="006B6379" w:rsidP="00B30934">
            <w:pPr>
              <w:pStyle w:val="AmColumnHeading"/>
            </w:pPr>
            <w:r>
              <w:t>Amendement</w:t>
            </w:r>
          </w:p>
        </w:tc>
      </w:tr>
      <w:tr w:rsidR="006B6379" w14:paraId="60AA8947" w14:textId="77777777" w:rsidTr="00B30934">
        <w:trPr>
          <w:jc w:val="center"/>
        </w:trPr>
        <w:tc>
          <w:tcPr>
            <w:tcW w:w="4876" w:type="dxa"/>
            <w:tcBorders>
              <w:top w:val="nil"/>
              <w:left w:val="nil"/>
              <w:bottom w:val="nil"/>
              <w:right w:val="nil"/>
            </w:tcBorders>
            <w:hideMark/>
          </w:tcPr>
          <w:p w14:paraId="33AB4EEC" w14:textId="77777777" w:rsidR="006B6379" w:rsidRPr="00E96208" w:rsidRDefault="006B6379" w:rsidP="00B30934">
            <w:pPr>
              <w:pStyle w:val="Normal6a"/>
            </w:pPr>
            <w:r>
              <w:t>32.</w:t>
            </w:r>
            <w:r>
              <w:tab/>
              <w:t>merkt op dat het EOM, met betrekking tot zijn onderzoeks- en vervolgingsfuncties, de interne processen ter ondersteuning van zijn onderzoeken heeft herzien, onder meer door instrumenten te ontwikkelen om de efficiëntie van zijn informatieverwerking en connectiviteit met meerdere partners te verbeteren, door speciale software te ontwikkelen, door de kwaliteit van de vertaaldiensten te verbeteren en de behoefte aan menselijke vertalingen en de daarmee gepaard gaande kosten te verminderen, door na te gaan hoe AI kan worden gebruikt om de enorme hoeveelheden informatie die het verwerkt beter te beheren, en door deze zowel vanuit technisch als juridisch/ethisch oogpunt te beoordelen; waardeert in dit verband de inspanningen van het EOM om KPI’s vast te stellen die zijn afgestemd op zijn specifieke bedrijfsmodel; handhaaft zijn opmerking over de noodzaak om verslag uit te brengen over de in beslag genomen, geconfisqueerde en uiteindelijk naar de begroting van de Unie teruggevorderde bedragen, aangezien de bescherming van die begroting de eigenlijke bestaansreden is van de fraudebestrijdingsarchitectuur van de Unie, waarvan het EOM een belangrijk onderdeel is;</w:t>
            </w:r>
          </w:p>
        </w:tc>
        <w:tc>
          <w:tcPr>
            <w:tcW w:w="4876" w:type="dxa"/>
            <w:tcBorders>
              <w:top w:val="nil"/>
              <w:left w:val="nil"/>
              <w:bottom w:val="nil"/>
              <w:right w:val="nil"/>
            </w:tcBorders>
            <w:hideMark/>
          </w:tcPr>
          <w:p w14:paraId="4DFF92AB" w14:textId="77777777" w:rsidR="006B6379" w:rsidRPr="00E96208" w:rsidRDefault="006B6379" w:rsidP="00B30934">
            <w:pPr>
              <w:pStyle w:val="Normal6a"/>
            </w:pPr>
            <w:r>
              <w:t>32.</w:t>
            </w:r>
            <w:r>
              <w:tab/>
              <w:t xml:space="preserve">merkt op dat het EOM, met betrekking tot zijn onderzoeks- en vervolgingsfuncties, de interne processen ter ondersteuning van zijn onderzoeken heeft herzien, onder meer door instrumenten te ontwikkelen om de efficiëntie van zijn informatieverwerking en connectiviteit met meerdere partners te verbeteren, door speciale software te ontwikkelen, door de kwaliteit van de vertaaldiensten te verbeteren en de behoefte aan menselijke vertalingen en de daarmee gepaard gaande kosten te verminderen, door na te gaan hoe AI kan worden gebruikt om de enorme hoeveelheden informatie die het verwerkt beter te beheren, en door deze zowel vanuit technisch als juridisch/ethisch oogpunt te beoordelen; waardeert in dit verband de inspanningen van het EOM om KPI’s vast te stellen die zijn afgestemd op zijn specifieke bedrijfsmodel; </w:t>
            </w:r>
            <w:r>
              <w:rPr>
                <w:b/>
                <w:i/>
              </w:rPr>
              <w:t>is ingenomen met initiatieven om de verslaglegging over resultaten te verbeteren en beklemtoont het belang van tijdige, nauwkeurige en transparante verslaglegging aan het Parlement om de impact van acties van het EOM op de bescherming van de financiële belangen van de Unie aan te tonen;</w:t>
            </w:r>
            <w:r>
              <w:t xml:space="preserve"> handhaaft zijn opmerking over de noodzaak om verslag uit te brengen over de in beslag genomen, geconfisqueerde en uiteindelijk naar de begroting van de Unie teruggevorderde bedragen, aangezien de bescherming van die begroting de eigenlijke bestaansreden is van de fraudebestrijdingsarchitectuur van de Unie, waarvan het EOM een belangrijk onderdeel is;</w:t>
            </w:r>
          </w:p>
        </w:tc>
      </w:tr>
    </w:tbl>
    <w:p w14:paraId="09615CDC"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77342542" w14:textId="77777777" w:rsidR="006B6379" w:rsidRPr="00E96208" w:rsidRDefault="006B6379" w:rsidP="006B6379">
      <w:r>
        <w:rPr>
          <w:rStyle w:val="HideTWBExt"/>
        </w:rPr>
        <w:t>&lt;/Amend&gt;</w:t>
      </w:r>
    </w:p>
    <w:p w14:paraId="314397A2" w14:textId="77777777" w:rsidR="006B6379" w:rsidRPr="00E96208" w:rsidRDefault="006B6379" w:rsidP="006B6379">
      <w:pPr>
        <w:pStyle w:val="AmNumberTabs"/>
      </w:pPr>
      <w:r>
        <w:rPr>
          <w:rStyle w:val="HideTWBExt"/>
        </w:rPr>
        <w:t>&lt;Amend&gt;</w:t>
      </w:r>
      <w:r>
        <w:t>Amendement</w:t>
      </w:r>
      <w:r>
        <w:tab/>
      </w:r>
      <w:r>
        <w:tab/>
      </w:r>
      <w:r>
        <w:rPr>
          <w:rStyle w:val="HideTWBExt"/>
        </w:rPr>
        <w:t>&lt;NumAm&gt;</w:t>
      </w:r>
      <w:r>
        <w:t>31</w:t>
      </w:r>
      <w:r>
        <w:rPr>
          <w:rStyle w:val="HideTWBExt"/>
        </w:rPr>
        <w:t>&lt;/NumAm&gt;</w:t>
      </w:r>
    </w:p>
    <w:p w14:paraId="091CE6CA" w14:textId="77777777" w:rsidR="006B6379" w:rsidRPr="00E96208" w:rsidRDefault="006B6379" w:rsidP="006B6379">
      <w:pPr>
        <w:pStyle w:val="NormalBold"/>
      </w:pPr>
      <w:r>
        <w:rPr>
          <w:rStyle w:val="HideTWBExt"/>
          <w:b w:val="0"/>
        </w:rPr>
        <w:t>&lt;RepeatBlock-By&gt;&lt;Members&gt;</w:t>
      </w:r>
      <w:r>
        <w:t>Gilles Boyer, Olivier Chastel, Vlad Vasile-Voiculescu, Michal Wiezik</w:t>
      </w:r>
      <w:r>
        <w:rPr>
          <w:rStyle w:val="HideTWBExt"/>
          <w:b w:val="0"/>
        </w:rPr>
        <w:t>&lt;/Members&gt;</w:t>
      </w:r>
    </w:p>
    <w:p w14:paraId="34CE8B0E" w14:textId="77777777" w:rsidR="006B6379" w:rsidRPr="00E96208" w:rsidRDefault="006B6379" w:rsidP="006B6379">
      <w:pPr>
        <w:pStyle w:val="NormalBold"/>
      </w:pPr>
      <w:r>
        <w:rPr>
          <w:rStyle w:val="HideTWBExt"/>
          <w:b w:val="0"/>
        </w:rPr>
        <w:t>&lt;/RepeatBlock-By&gt;</w:t>
      </w:r>
    </w:p>
    <w:p w14:paraId="72B97059" w14:textId="77777777" w:rsidR="006B6379" w:rsidRPr="00E96208" w:rsidRDefault="006B6379" w:rsidP="006B6379">
      <w:pPr>
        <w:pStyle w:val="NormalBold"/>
      </w:pPr>
      <w:r>
        <w:rPr>
          <w:rStyle w:val="HideTWBExt"/>
        </w:rPr>
        <w:t>&lt;DocAmend&gt;</w:t>
      </w:r>
      <w:r>
        <w:t>Ontwerpresolutie</w:t>
      </w:r>
      <w:r>
        <w:rPr>
          <w:rStyle w:val="HideTWBExt"/>
        </w:rPr>
        <w:t>&lt;/DocAmend&gt;</w:t>
      </w:r>
    </w:p>
    <w:p w14:paraId="4F18057C" w14:textId="77777777" w:rsidR="006B6379" w:rsidRPr="00E96208" w:rsidRDefault="006B6379" w:rsidP="006B6379">
      <w:pPr>
        <w:pStyle w:val="NormalBold"/>
      </w:pPr>
      <w:r>
        <w:rPr>
          <w:rStyle w:val="HideTWBExt"/>
        </w:rPr>
        <w:t>&lt;Article&gt;</w:t>
      </w:r>
      <w:r>
        <w:t>Paragraaf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31E4E8D8" w14:textId="77777777" w:rsidTr="00B30934">
        <w:trPr>
          <w:trHeight w:val="240"/>
          <w:jc w:val="center"/>
        </w:trPr>
        <w:tc>
          <w:tcPr>
            <w:tcW w:w="9752" w:type="dxa"/>
            <w:gridSpan w:val="2"/>
            <w:tcBorders>
              <w:top w:val="nil"/>
              <w:left w:val="nil"/>
              <w:bottom w:val="nil"/>
              <w:right w:val="nil"/>
            </w:tcBorders>
          </w:tcPr>
          <w:p w14:paraId="67974953" w14:textId="77777777" w:rsidR="006B6379" w:rsidRPr="00E96208" w:rsidRDefault="006B6379" w:rsidP="00B30934"/>
        </w:tc>
      </w:tr>
      <w:tr w:rsidR="006B6379" w14:paraId="068DCC85" w14:textId="77777777" w:rsidTr="00B30934">
        <w:trPr>
          <w:trHeight w:val="240"/>
          <w:jc w:val="center"/>
        </w:trPr>
        <w:tc>
          <w:tcPr>
            <w:tcW w:w="4876" w:type="dxa"/>
            <w:tcBorders>
              <w:top w:val="nil"/>
              <w:left w:val="nil"/>
              <w:bottom w:val="nil"/>
              <w:right w:val="nil"/>
            </w:tcBorders>
            <w:hideMark/>
          </w:tcPr>
          <w:p w14:paraId="35C56B54"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71B34C94" w14:textId="77777777" w:rsidR="006B6379" w:rsidRPr="00E96208" w:rsidRDefault="006B6379" w:rsidP="00B30934">
            <w:pPr>
              <w:pStyle w:val="AmColumnHeading"/>
            </w:pPr>
            <w:r>
              <w:t>Amendement</w:t>
            </w:r>
          </w:p>
        </w:tc>
      </w:tr>
      <w:tr w:rsidR="006B6379" w14:paraId="328CFE3B" w14:textId="77777777" w:rsidTr="00B30934">
        <w:trPr>
          <w:jc w:val="center"/>
        </w:trPr>
        <w:tc>
          <w:tcPr>
            <w:tcW w:w="4876" w:type="dxa"/>
            <w:tcBorders>
              <w:top w:val="nil"/>
              <w:left w:val="nil"/>
              <w:bottom w:val="nil"/>
              <w:right w:val="nil"/>
            </w:tcBorders>
            <w:hideMark/>
          </w:tcPr>
          <w:p w14:paraId="08EBBC72" w14:textId="77777777" w:rsidR="006B6379" w:rsidRPr="00E96208" w:rsidRDefault="006B6379" w:rsidP="00B30934">
            <w:pPr>
              <w:pStyle w:val="Normal6a"/>
            </w:pPr>
            <w:r>
              <w:t>33.</w:t>
            </w:r>
            <w:r>
              <w:tab/>
              <w:t>begrijpt dat monitoring- en follow-upmaatregelen, met inbegrip van verslaglegging over de resultaten van terugvorderingen, niet onder de bevoegdheid van het EOM vallen en middelen en specifieke prerogatieven vereisen</w:t>
            </w:r>
            <w:r>
              <w:rPr>
                <w:b/>
                <w:i/>
              </w:rPr>
              <w:t xml:space="preserve"> die geen deel uitmaken van het mandaat van het EOM</w:t>
            </w:r>
            <w:r>
              <w:t xml:space="preserve">; herhaalt zijn </w:t>
            </w:r>
            <w:r>
              <w:rPr>
                <w:b/>
                <w:i/>
              </w:rPr>
              <w:t>verzoek</w:t>
            </w:r>
            <w:r>
              <w:t xml:space="preserve"> aan de Commissie om</w:t>
            </w:r>
            <w:r>
              <w:rPr>
                <w:b/>
                <w:i/>
              </w:rPr>
              <w:t xml:space="preserve"> het EOM te ondersteunen bij het vaststellen van indicatoren die verband houden met de verwezenlijking van die essentiële taak, en om in</w:t>
            </w:r>
            <w:r>
              <w:t xml:space="preserve"> het kader van de herziening van de fraudebestrijdingsarchitectuur de meest geschikte kenmerken vast te stellen om een continue stroom van gegevens en informatie te waarborgen, zodat een deugdelijke analyse mogelijk is; wijst erop dat een beter monitoringsysteem en meer gegevens van goede gedetailleerdheid, geaggregeerd in clusters per soort wangedrag, per belangensector of per geografisch gebied, noodzakelijk zijn om fraudepatronen in kaart te brengen en de impact van de onderzoeken van het EOM tastbaarder te maken;</w:t>
            </w:r>
          </w:p>
        </w:tc>
        <w:tc>
          <w:tcPr>
            <w:tcW w:w="4876" w:type="dxa"/>
            <w:tcBorders>
              <w:top w:val="nil"/>
              <w:left w:val="nil"/>
              <w:bottom w:val="nil"/>
              <w:right w:val="nil"/>
            </w:tcBorders>
            <w:hideMark/>
          </w:tcPr>
          <w:p w14:paraId="56A928BF" w14:textId="77777777" w:rsidR="006B6379" w:rsidRPr="00E96208" w:rsidRDefault="006B6379" w:rsidP="00B30934">
            <w:pPr>
              <w:pStyle w:val="Normal6a"/>
            </w:pPr>
            <w:r>
              <w:t>33.</w:t>
            </w:r>
            <w:r>
              <w:tab/>
              <w:t xml:space="preserve">begrijpt dat monitoring- en follow-upmaatregelen, met inbegrip van verslaglegging over de resultaten van terugvorderingen, niet onder de bevoegdheid van het EOM vallen en middelen en specifieke prerogatieven vereisen; herhaalt zijn </w:t>
            </w:r>
            <w:r>
              <w:rPr>
                <w:b/>
                <w:i/>
              </w:rPr>
              <w:t>oproep</w:t>
            </w:r>
            <w:r>
              <w:t xml:space="preserve"> aan de Commissie om het kader van de herziening van de fraudebestrijdingsarchitectuur de meest geschikte kenmerken vast te stellen om een continue stroom van gegevens en informatie te waarborgen, zodat een deugdelijke analyse mogelijk is; wijst erop dat een beter monitoringsysteem en meer gegevens van goede gedetailleerdheid, geaggregeerd in clusters per soort wangedrag, per belangensector of per geografisch gebied, noodzakelijk zijn om fraudepatronen in kaart te brengen en de impact van de onderzoeken van het EOM tastbaarder te maken;</w:t>
            </w:r>
          </w:p>
        </w:tc>
      </w:tr>
    </w:tbl>
    <w:p w14:paraId="6601E4EA"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71B7C9C9" w14:textId="77777777" w:rsidR="006B6379" w:rsidRPr="00E96208" w:rsidRDefault="006B6379" w:rsidP="006B6379">
      <w:r>
        <w:rPr>
          <w:rStyle w:val="HideTWBExt"/>
        </w:rPr>
        <w:t>&lt;/Amend&gt;</w:t>
      </w:r>
    </w:p>
    <w:p w14:paraId="17EB2108" w14:textId="77777777" w:rsidR="006B6379" w:rsidRPr="00E96208" w:rsidRDefault="006B6379" w:rsidP="006B6379">
      <w:pPr>
        <w:pStyle w:val="AmNumberTabs"/>
      </w:pPr>
      <w:r>
        <w:rPr>
          <w:rStyle w:val="HideTWBExt"/>
        </w:rPr>
        <w:t>&lt;Amend&gt;</w:t>
      </w:r>
      <w:r>
        <w:t>Amendement</w:t>
      </w:r>
      <w:r>
        <w:tab/>
      </w:r>
      <w:r>
        <w:tab/>
      </w:r>
      <w:r>
        <w:rPr>
          <w:rStyle w:val="HideTWBExt"/>
        </w:rPr>
        <w:t>&lt;NumAm&gt;</w:t>
      </w:r>
      <w:r>
        <w:t>32</w:t>
      </w:r>
      <w:r>
        <w:rPr>
          <w:rStyle w:val="HideTWBExt"/>
        </w:rPr>
        <w:t>&lt;/NumAm&gt;</w:t>
      </w:r>
    </w:p>
    <w:p w14:paraId="325EF644" w14:textId="77777777" w:rsidR="006B6379" w:rsidRPr="00E96208" w:rsidRDefault="006B6379" w:rsidP="006B6379">
      <w:pPr>
        <w:pStyle w:val="NormalBold"/>
      </w:pPr>
      <w:r>
        <w:rPr>
          <w:rStyle w:val="HideTWBExt"/>
          <w:b w:val="0"/>
        </w:rPr>
        <w:t>&lt;RepeatBlock-By&gt;&lt;Members&gt;</w:t>
      </w:r>
      <w:r>
        <w:t>Damian Boeselager</w:t>
      </w:r>
      <w:r>
        <w:rPr>
          <w:rStyle w:val="HideTWBExt"/>
          <w:b w:val="0"/>
        </w:rPr>
        <w:t>&lt;/Members&gt;</w:t>
      </w:r>
    </w:p>
    <w:p w14:paraId="001A57B0" w14:textId="77777777" w:rsidR="006B6379" w:rsidRPr="00E96208" w:rsidRDefault="006B6379" w:rsidP="006B6379">
      <w:r>
        <w:rPr>
          <w:rStyle w:val="HideTWBExt"/>
        </w:rPr>
        <w:t>&lt;AuNomDe&gt;</w:t>
      </w:r>
      <w:r>
        <w:rPr>
          <w:rStyle w:val="HideTWBInt"/>
          <w:color w:val="auto"/>
        </w:rPr>
        <w:t>{Verts/ALE}</w:t>
      </w:r>
      <w:r>
        <w:t>namens de Verts/ALE‐Fractie</w:t>
      </w:r>
      <w:r>
        <w:rPr>
          <w:rStyle w:val="HideTWBExt"/>
        </w:rPr>
        <w:t>&lt;/AuNomDe&gt;</w:t>
      </w:r>
    </w:p>
    <w:p w14:paraId="0DA2AB45" w14:textId="77777777" w:rsidR="006B6379" w:rsidRPr="00E96208" w:rsidRDefault="006B6379" w:rsidP="006B6379">
      <w:pPr>
        <w:pStyle w:val="NormalBold"/>
      </w:pPr>
      <w:r>
        <w:rPr>
          <w:rStyle w:val="HideTWBExt"/>
          <w:b w:val="0"/>
        </w:rPr>
        <w:t>&lt;/RepeatBlock-By&gt;</w:t>
      </w:r>
    </w:p>
    <w:p w14:paraId="34912F9D" w14:textId="77777777" w:rsidR="006B6379" w:rsidRPr="00E96208" w:rsidRDefault="006B6379" w:rsidP="006B6379">
      <w:pPr>
        <w:pStyle w:val="NormalBold"/>
      </w:pPr>
      <w:r>
        <w:rPr>
          <w:rStyle w:val="HideTWBExt"/>
        </w:rPr>
        <w:t>&lt;DocAmend&gt;</w:t>
      </w:r>
      <w:r>
        <w:t>Ontwerpresolutie</w:t>
      </w:r>
      <w:r>
        <w:rPr>
          <w:rStyle w:val="HideTWBExt"/>
        </w:rPr>
        <w:t>&lt;/DocAmend&gt;</w:t>
      </w:r>
    </w:p>
    <w:p w14:paraId="40DC6F0F" w14:textId="77777777" w:rsidR="006B6379" w:rsidRPr="00E96208" w:rsidRDefault="006B6379" w:rsidP="006B6379">
      <w:pPr>
        <w:pStyle w:val="NormalBold"/>
      </w:pPr>
      <w:r>
        <w:rPr>
          <w:rStyle w:val="HideTWBExt"/>
        </w:rPr>
        <w:t>&lt;Article&gt;</w:t>
      </w:r>
      <w:r>
        <w:t>Paragraaf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2B6C8C3E" w14:textId="77777777" w:rsidTr="00B30934">
        <w:trPr>
          <w:trHeight w:val="240"/>
          <w:jc w:val="center"/>
        </w:trPr>
        <w:tc>
          <w:tcPr>
            <w:tcW w:w="9752" w:type="dxa"/>
            <w:gridSpan w:val="2"/>
            <w:tcBorders>
              <w:top w:val="nil"/>
              <w:left w:val="nil"/>
              <w:bottom w:val="nil"/>
              <w:right w:val="nil"/>
            </w:tcBorders>
          </w:tcPr>
          <w:p w14:paraId="639D7A5F" w14:textId="77777777" w:rsidR="006B6379" w:rsidRPr="00E96208" w:rsidRDefault="006B6379" w:rsidP="00B30934"/>
        </w:tc>
      </w:tr>
      <w:tr w:rsidR="006B6379" w14:paraId="46C9A67C" w14:textId="77777777" w:rsidTr="00B30934">
        <w:trPr>
          <w:trHeight w:val="240"/>
          <w:jc w:val="center"/>
        </w:trPr>
        <w:tc>
          <w:tcPr>
            <w:tcW w:w="4876" w:type="dxa"/>
            <w:tcBorders>
              <w:top w:val="nil"/>
              <w:left w:val="nil"/>
              <w:bottom w:val="nil"/>
              <w:right w:val="nil"/>
            </w:tcBorders>
            <w:hideMark/>
          </w:tcPr>
          <w:p w14:paraId="7E4CF86B"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69E30F2A" w14:textId="77777777" w:rsidR="006B6379" w:rsidRPr="00E96208" w:rsidRDefault="006B6379" w:rsidP="00B30934">
            <w:pPr>
              <w:pStyle w:val="AmColumnHeading"/>
            </w:pPr>
            <w:r>
              <w:t>Amendement</w:t>
            </w:r>
          </w:p>
        </w:tc>
      </w:tr>
      <w:tr w:rsidR="006B6379" w14:paraId="38C7E305" w14:textId="77777777" w:rsidTr="00B30934">
        <w:trPr>
          <w:jc w:val="center"/>
        </w:trPr>
        <w:tc>
          <w:tcPr>
            <w:tcW w:w="4876" w:type="dxa"/>
            <w:tcBorders>
              <w:top w:val="nil"/>
              <w:left w:val="nil"/>
              <w:bottom w:val="nil"/>
              <w:right w:val="nil"/>
            </w:tcBorders>
            <w:hideMark/>
          </w:tcPr>
          <w:p w14:paraId="4104AFEC" w14:textId="77777777" w:rsidR="006B6379" w:rsidRPr="00E96208" w:rsidRDefault="006B6379" w:rsidP="00B30934">
            <w:pPr>
              <w:pStyle w:val="Normal6a"/>
            </w:pPr>
            <w:r>
              <w:t>38.</w:t>
            </w:r>
            <w:r>
              <w:tab/>
              <w:t>benadrukt het stijgende prestatieniveau van het EOM, zoals blijkt uit het stijgende aantal tenlasteleggingen (205 in 2024 ten opzichte van 139 in 2023, 87 in 2022 en 5 in 2021) en de verkregen bevriezingsbevelen (2,42 miljard EUR in 2024, tegenover 1,5 miljard EUR in 2023, 359,1 miljoen EUR in 2022 en 147 miljoen EUR in 2021); stelt vast dat in 2024 102 zaken werden afgesloten met een gerechtelijke veroordeling (ten opzichte van 48 zaken in 2023 en 20 zaken in 2022); betreurt dat het ontbreken van een duidelijk regelgevingskader het EOM heeft belet om actuele en betrouwbare gegevens over inbeslagnames voor het jaar 2024 te verstrekken (en herinnert eraan dat in 2023 60 miljoen EUR in beslag werd genomen, ten opzichte van 2 miljoen EUR in 2022);</w:t>
            </w:r>
          </w:p>
        </w:tc>
        <w:tc>
          <w:tcPr>
            <w:tcW w:w="4876" w:type="dxa"/>
            <w:tcBorders>
              <w:top w:val="nil"/>
              <w:left w:val="nil"/>
              <w:bottom w:val="nil"/>
              <w:right w:val="nil"/>
            </w:tcBorders>
            <w:hideMark/>
          </w:tcPr>
          <w:p w14:paraId="6BDDD882" w14:textId="77777777" w:rsidR="006B6379" w:rsidRPr="00E96208" w:rsidRDefault="006B6379" w:rsidP="00B30934">
            <w:pPr>
              <w:pStyle w:val="Normal6a"/>
            </w:pPr>
            <w:r>
              <w:t>38.</w:t>
            </w:r>
            <w:r>
              <w:tab/>
              <w:t>benadrukt het stijgende prestatieniveau van het EOM, zoals blijkt uit het stijgende aantal tenlasteleggingen (205 in 2024 ten opzichte van 139 in 2023, 87 in 2022 en 5 in 2021) en de verkregen bevriezingsbevelen (2,42 miljard EUR in 2024, tegenover 1,5 miljard EUR in 2023, 359,1 miljoen EUR in 2022 en 147 miljoen EUR in 2021);</w:t>
            </w:r>
            <w:r>
              <w:rPr>
                <w:b/>
                <w:i/>
              </w:rPr>
              <w:t xml:space="preserve"> betreurt dat het ontbreken van een duidelijk en afdwingbaar kader voor het toezicht op en de verslaglegging over in beslag genomen en teruggevorderde bedragen een volledige beoordeling van de gevolgen van EOM-onderzoeken voor de begroting in de weg blijft staan; herhaalt zijn oproep voor wetgevings- en begrotingsoplossingen om ervoor te zorgen dat bedragen die naar aanleiding van door het EOM geleide onderzoeken worden teruggevorderd, doeltreffend worden getraceerd, gerapporteerd en teruggestort in de begroting van de Unie;</w:t>
            </w:r>
            <w:r>
              <w:t xml:space="preserve"> stelt vast dat in 2024 102 zaken werden afgesloten met een gerechtelijke veroordeling (ten opzichte van 48 zaken in 2023 en 20 zaken in 2022); betreurt dat het ontbreken van een duidelijk regelgevingskader het EOM heeft belet om actuele en betrouwbare gegevens over inbeslagnames voor het jaar 2024 te verstrekken (en herinnert eraan dat in 2023 60 miljoen EUR in beslag werd genomen, ten opzichte van 2 miljoen EUR in 2022);</w:t>
            </w:r>
          </w:p>
        </w:tc>
      </w:tr>
    </w:tbl>
    <w:p w14:paraId="675D10F4"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78604E2F" w14:textId="77777777" w:rsidR="006B6379" w:rsidRPr="00E96208" w:rsidRDefault="006B6379" w:rsidP="006B6379">
      <w:r>
        <w:rPr>
          <w:rStyle w:val="HideTWBExt"/>
        </w:rPr>
        <w:t>&lt;/Amend&gt;</w:t>
      </w:r>
    </w:p>
    <w:p w14:paraId="0901A6BA" w14:textId="77777777" w:rsidR="006B6379" w:rsidRPr="00E96208" w:rsidRDefault="006B6379" w:rsidP="006B6379">
      <w:pPr>
        <w:pStyle w:val="AmNumberTabs"/>
      </w:pPr>
      <w:r>
        <w:rPr>
          <w:rStyle w:val="HideTWBExt"/>
        </w:rPr>
        <w:t>&lt;Amend&gt;</w:t>
      </w:r>
      <w:r>
        <w:t>Amendement</w:t>
      </w:r>
      <w:r>
        <w:tab/>
      </w:r>
      <w:r>
        <w:tab/>
      </w:r>
      <w:r>
        <w:rPr>
          <w:rStyle w:val="HideTWBExt"/>
        </w:rPr>
        <w:t>&lt;NumAm&gt;</w:t>
      </w:r>
      <w:r>
        <w:t>33</w:t>
      </w:r>
      <w:r>
        <w:rPr>
          <w:rStyle w:val="HideTWBExt"/>
        </w:rPr>
        <w:t>&lt;/NumAm&gt;</w:t>
      </w:r>
    </w:p>
    <w:p w14:paraId="1F65ECF6"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24406678" w14:textId="77777777" w:rsidR="006B6379" w:rsidRPr="00E96208" w:rsidRDefault="006B6379" w:rsidP="006B6379">
      <w:pPr>
        <w:pStyle w:val="NormalBold"/>
      </w:pPr>
      <w:r>
        <w:rPr>
          <w:rStyle w:val="HideTWBExt"/>
          <w:b w:val="0"/>
        </w:rPr>
        <w:t>&lt;/RepeatBlock-By&gt;</w:t>
      </w:r>
    </w:p>
    <w:p w14:paraId="55A7DFE9" w14:textId="77777777" w:rsidR="006B6379" w:rsidRPr="00E96208" w:rsidRDefault="006B6379" w:rsidP="006B6379">
      <w:pPr>
        <w:pStyle w:val="NormalBold"/>
      </w:pPr>
      <w:r>
        <w:rPr>
          <w:rStyle w:val="HideTWBExt"/>
        </w:rPr>
        <w:t>&lt;DocAmend&gt;</w:t>
      </w:r>
      <w:r>
        <w:t>Ontwerpresolutie</w:t>
      </w:r>
      <w:r>
        <w:rPr>
          <w:rStyle w:val="HideTWBExt"/>
        </w:rPr>
        <w:t>&lt;/DocAmend&gt;</w:t>
      </w:r>
    </w:p>
    <w:p w14:paraId="2445D114" w14:textId="77777777" w:rsidR="006B6379" w:rsidRPr="00E96208" w:rsidRDefault="006B6379" w:rsidP="006B6379">
      <w:pPr>
        <w:pStyle w:val="NormalBold"/>
      </w:pPr>
      <w:r>
        <w:rPr>
          <w:rStyle w:val="HideTWBExt"/>
        </w:rPr>
        <w:t>&lt;Article&gt;</w:t>
      </w:r>
      <w:r>
        <w:t>Paragraaf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399DAB3D" w14:textId="77777777" w:rsidTr="00B30934">
        <w:trPr>
          <w:trHeight w:val="240"/>
          <w:jc w:val="center"/>
        </w:trPr>
        <w:tc>
          <w:tcPr>
            <w:tcW w:w="9752" w:type="dxa"/>
            <w:gridSpan w:val="2"/>
            <w:tcBorders>
              <w:top w:val="nil"/>
              <w:left w:val="nil"/>
              <w:bottom w:val="nil"/>
              <w:right w:val="nil"/>
            </w:tcBorders>
          </w:tcPr>
          <w:p w14:paraId="2572A12B" w14:textId="77777777" w:rsidR="006B6379" w:rsidRPr="00E96208" w:rsidRDefault="006B6379" w:rsidP="00B30934"/>
        </w:tc>
      </w:tr>
      <w:tr w:rsidR="006B6379" w14:paraId="75DE26E6" w14:textId="77777777" w:rsidTr="00B30934">
        <w:trPr>
          <w:trHeight w:val="240"/>
          <w:jc w:val="center"/>
        </w:trPr>
        <w:tc>
          <w:tcPr>
            <w:tcW w:w="4876" w:type="dxa"/>
            <w:tcBorders>
              <w:top w:val="nil"/>
              <w:left w:val="nil"/>
              <w:bottom w:val="nil"/>
              <w:right w:val="nil"/>
            </w:tcBorders>
            <w:hideMark/>
          </w:tcPr>
          <w:p w14:paraId="70BF1AF9"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6E7ABE29" w14:textId="77777777" w:rsidR="006B6379" w:rsidRPr="00E96208" w:rsidRDefault="006B6379" w:rsidP="00B30934">
            <w:pPr>
              <w:pStyle w:val="AmColumnHeading"/>
            </w:pPr>
            <w:r>
              <w:t>Amendement</w:t>
            </w:r>
          </w:p>
        </w:tc>
      </w:tr>
      <w:tr w:rsidR="006B6379" w14:paraId="1C62597F" w14:textId="77777777" w:rsidTr="00B30934">
        <w:trPr>
          <w:jc w:val="center"/>
        </w:trPr>
        <w:tc>
          <w:tcPr>
            <w:tcW w:w="4876" w:type="dxa"/>
            <w:tcBorders>
              <w:top w:val="nil"/>
              <w:left w:val="nil"/>
              <w:bottom w:val="nil"/>
              <w:right w:val="nil"/>
            </w:tcBorders>
            <w:hideMark/>
          </w:tcPr>
          <w:p w14:paraId="66873712" w14:textId="77777777" w:rsidR="006B6379" w:rsidRPr="00E96208" w:rsidRDefault="006B6379" w:rsidP="00B30934">
            <w:pPr>
              <w:pStyle w:val="Normal6a"/>
            </w:pPr>
            <w:r>
              <w:t>39.</w:t>
            </w:r>
            <w:r>
              <w:tab/>
              <w:t xml:space="preserve">spreekt zijn bezorgdheid uit over het aantal onderzoeken dat is ingesteld naar de uitvoering van de herstel- en veerkrachtfaciliteit; benadrukt dat het EOM eind 2024 311 lopende zaken in verband met </w:t>
            </w:r>
            <w:proofErr w:type="spellStart"/>
            <w:r>
              <w:t>NextGenerationEU</w:t>
            </w:r>
            <w:proofErr w:type="spellEnd"/>
            <w:r>
              <w:t xml:space="preserve"> behandelde, waarvan er 307 voortvloeiden uit de herstel- en veerkrachtfaciliteit (ten opzichte van 233 eind 2023), hetgeen overeenkomt met ongeveer 17 % van alle lopende onderzoeken naar uitgavenfraude, met een geschatte schade van 2,8 miljard EUR voor de financiële belangen van de Unie (hetgeen overeenkomt met 30 % van de totale geschatte schade voor uitgavenfraude, ten opzichte van 25 % in 2023); merkt op dat uit de onderzoeken van het EOM naar fraude met betrekking tot de herstel- en veerkrachtfaciliteit blijkt dat er aanzienlijke verschillen bestaan tussen de lidstaten, die een weerspiegeling zijn van verschillen in de toewijzing van middelen, de mogelijkheden om misdrijven op te sporen en de uiteenlopende aard van de gepleegde fraude; betreurt het dat de lidstaten niet verplicht zijn om zaken in verband met de herstel- en veerkrachtfaciliteit aan de Commissie te melden via het beheersysteem voor onregelmatigheden (IMS), waardoor de monitoring en gestructureerde analyse van zaken in verband met de herstel- en veerkrachtfaciliteit de facto onmogelijk wordt gemaakt; is bezorgd dat de meldingen van gevallen door instellingen van de Unie, waaronder de Commissie, nog geen 3 % uitmaken, hetgeen nog meer twijfels doet rijzen over het vermogen van de Commissie om toezicht te houden op de herstel- en veerkrachtfaciliteit;</w:t>
            </w:r>
          </w:p>
        </w:tc>
        <w:tc>
          <w:tcPr>
            <w:tcW w:w="4876" w:type="dxa"/>
            <w:tcBorders>
              <w:top w:val="nil"/>
              <w:left w:val="nil"/>
              <w:bottom w:val="nil"/>
              <w:right w:val="nil"/>
            </w:tcBorders>
            <w:hideMark/>
          </w:tcPr>
          <w:p w14:paraId="6C588E92" w14:textId="77777777" w:rsidR="006B6379" w:rsidRPr="00E96208" w:rsidRDefault="006B6379" w:rsidP="00B30934">
            <w:pPr>
              <w:pStyle w:val="Normal6a"/>
            </w:pPr>
            <w:r>
              <w:t>39.</w:t>
            </w:r>
            <w:r>
              <w:tab/>
              <w:t xml:space="preserve">spreekt zijn bezorgdheid uit over het aantal onderzoeken dat is ingesteld naar de uitvoering van de herstel- en veerkrachtfaciliteit; benadrukt dat het EOM eind 2024 311 lopende zaken in verband met </w:t>
            </w:r>
            <w:proofErr w:type="spellStart"/>
            <w:r>
              <w:t>NextGenerationEU</w:t>
            </w:r>
            <w:proofErr w:type="spellEnd"/>
            <w:r>
              <w:t xml:space="preserve"> behandelde, waarvan er 307 voortvloeiden uit de herstel- en veerkrachtfaciliteit (ten opzichte van 233 eind 2023), hetgeen overeenkomt met ongeveer 17 % van alle lopende onderzoeken naar uitgavenfraude, met een geschatte schade van 2,8 miljard EUR voor de financiële belangen van de Unie (hetgeen overeenkomt met 30 % van de totale geschatte schade voor uitgavenfraude, ten opzichte van 25 % in 2023); merkt op dat uit de onderzoeken van het EOM naar fraude met betrekking tot de herstel- en veerkrachtfaciliteit blijkt dat er aanzienlijke verschillen bestaan tussen de lidstaten, die een weerspiegeling zijn van verschillen in de toewijzing van middelen, de mogelijkheden om misdrijven op te sporen en de uiteenlopende aard van de gepleegde fraude; betreurt het dat de lidstaten niet verplicht zijn om zaken in verband met de herstel- en veerkrachtfaciliteit aan de Commissie te melden via het beheersysteem voor onregelmatigheden (IMS), waardoor de monitoring en gestructureerde analyse van zaken in verband met de herstel- en veerkrachtfaciliteit de facto onmogelijk wordt gemaakt; </w:t>
            </w:r>
            <w:r>
              <w:rPr>
                <w:b/>
                <w:i/>
              </w:rPr>
              <w:t>benadrukt het belang van samenwerking tussen de nationale autoriteiten, het EOM en de Commissie om de gestructureerde verslaglegging te verbeteren;</w:t>
            </w:r>
            <w:r>
              <w:t xml:space="preserve"> is bezorgd dat de meldingen van gevallen door instellingen van de Unie, waaronder de Commissie, nog geen 3 % uitmaken, hetgeen nog meer twijfels doet rijzen over het vermogen van de Commissie om toezicht te houden op de herstel- en veerkrachtfaciliteit; </w:t>
            </w:r>
            <w:r>
              <w:rPr>
                <w:b/>
                <w:i/>
              </w:rPr>
              <w:t>verzoekt de Commissie om, in samenwerking met het EOM, de interoperabiliteit van verslagleggingssystemen te verbeteren en de rollen te verduidelijken teneinde te zorgen voor een solide monitoring van onregelmatigheden in verband met de herstel- en veerkrachtfaciliteit;</w:t>
            </w:r>
          </w:p>
        </w:tc>
      </w:tr>
    </w:tbl>
    <w:p w14:paraId="04102AB1"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7B427BB3" w14:textId="77777777" w:rsidR="006B6379" w:rsidRPr="00E96208" w:rsidRDefault="006B6379" w:rsidP="006B6379">
      <w:r>
        <w:rPr>
          <w:rStyle w:val="HideTWBExt"/>
        </w:rPr>
        <w:t>&lt;/Amend&gt;</w:t>
      </w:r>
    </w:p>
    <w:p w14:paraId="6E627F7C" w14:textId="77777777" w:rsidR="006B6379" w:rsidRPr="00E96208" w:rsidRDefault="006B6379" w:rsidP="006B6379">
      <w:pPr>
        <w:pStyle w:val="AmNumberTabs"/>
      </w:pPr>
      <w:r>
        <w:rPr>
          <w:rStyle w:val="HideTWBExt"/>
        </w:rPr>
        <w:t>&lt;Amend&gt;</w:t>
      </w:r>
      <w:r>
        <w:t>Amendement</w:t>
      </w:r>
      <w:r>
        <w:tab/>
      </w:r>
      <w:r>
        <w:tab/>
      </w:r>
      <w:r>
        <w:rPr>
          <w:rStyle w:val="HideTWBExt"/>
        </w:rPr>
        <w:t>&lt;NumAm&gt;</w:t>
      </w:r>
      <w:r>
        <w:t>34</w:t>
      </w:r>
      <w:r>
        <w:rPr>
          <w:rStyle w:val="HideTWBExt"/>
        </w:rPr>
        <w:t>&lt;/NumAm&gt;</w:t>
      </w:r>
    </w:p>
    <w:p w14:paraId="53C1A537" w14:textId="77777777" w:rsidR="006B6379" w:rsidRPr="00E96208" w:rsidRDefault="006B6379" w:rsidP="006B6379">
      <w:pPr>
        <w:pStyle w:val="NormalBold"/>
      </w:pPr>
      <w:r>
        <w:rPr>
          <w:rStyle w:val="HideTWBExt"/>
          <w:b w:val="0"/>
        </w:rPr>
        <w:t>&lt;RepeatBlock-By&gt;&lt;Members&gt;</w:t>
      </w:r>
      <w:r>
        <w:t>Damian Boeselager</w:t>
      </w:r>
      <w:r>
        <w:rPr>
          <w:rStyle w:val="HideTWBExt"/>
          <w:b w:val="0"/>
        </w:rPr>
        <w:t>&lt;/Members&gt;</w:t>
      </w:r>
    </w:p>
    <w:p w14:paraId="46EC21D8" w14:textId="77777777" w:rsidR="006B6379" w:rsidRPr="00E96208" w:rsidRDefault="006B6379" w:rsidP="006B6379">
      <w:r>
        <w:rPr>
          <w:rStyle w:val="HideTWBExt"/>
        </w:rPr>
        <w:t>&lt;AuNomDe&gt;</w:t>
      </w:r>
      <w:r>
        <w:rPr>
          <w:rStyle w:val="HideTWBInt"/>
          <w:color w:val="auto"/>
        </w:rPr>
        <w:t>{Verts/ALE}</w:t>
      </w:r>
      <w:r>
        <w:t>namens de Verts/ALE‐Fractie</w:t>
      </w:r>
      <w:r>
        <w:rPr>
          <w:rStyle w:val="HideTWBExt"/>
        </w:rPr>
        <w:t>&lt;/AuNomDe&gt;</w:t>
      </w:r>
    </w:p>
    <w:p w14:paraId="6BDB46C4" w14:textId="77777777" w:rsidR="006B6379" w:rsidRPr="00E96208" w:rsidRDefault="006B6379" w:rsidP="006B6379">
      <w:pPr>
        <w:pStyle w:val="NormalBold"/>
      </w:pPr>
      <w:r>
        <w:rPr>
          <w:rStyle w:val="HideTWBExt"/>
          <w:b w:val="0"/>
        </w:rPr>
        <w:t>&lt;/RepeatBlock-By&gt;</w:t>
      </w:r>
    </w:p>
    <w:p w14:paraId="5636AB3D" w14:textId="77777777" w:rsidR="006B6379" w:rsidRPr="00E96208" w:rsidRDefault="006B6379" w:rsidP="006B6379">
      <w:pPr>
        <w:pStyle w:val="NormalBold"/>
      </w:pPr>
      <w:r>
        <w:rPr>
          <w:rStyle w:val="HideTWBExt"/>
        </w:rPr>
        <w:t>&lt;DocAmend&gt;</w:t>
      </w:r>
      <w:r>
        <w:t>Ontwerpresolutie</w:t>
      </w:r>
      <w:r>
        <w:rPr>
          <w:rStyle w:val="HideTWBExt"/>
        </w:rPr>
        <w:t>&lt;/DocAmend&gt;</w:t>
      </w:r>
    </w:p>
    <w:p w14:paraId="0A541B81" w14:textId="77777777" w:rsidR="006B6379" w:rsidRPr="00E96208" w:rsidRDefault="006B6379" w:rsidP="006B6379">
      <w:pPr>
        <w:pStyle w:val="NormalBold"/>
      </w:pPr>
      <w:r>
        <w:rPr>
          <w:rStyle w:val="HideTWBExt"/>
        </w:rPr>
        <w:t>&lt;Article&gt;</w:t>
      </w:r>
      <w:r>
        <w:t>Paragraaf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10C80C10" w14:textId="77777777" w:rsidTr="00B30934">
        <w:trPr>
          <w:trHeight w:val="240"/>
          <w:jc w:val="center"/>
        </w:trPr>
        <w:tc>
          <w:tcPr>
            <w:tcW w:w="9752" w:type="dxa"/>
            <w:gridSpan w:val="2"/>
            <w:tcBorders>
              <w:top w:val="nil"/>
              <w:left w:val="nil"/>
              <w:bottom w:val="nil"/>
              <w:right w:val="nil"/>
            </w:tcBorders>
          </w:tcPr>
          <w:p w14:paraId="57AFDD42" w14:textId="77777777" w:rsidR="006B6379" w:rsidRPr="00E96208" w:rsidRDefault="006B6379" w:rsidP="00B30934"/>
        </w:tc>
      </w:tr>
      <w:tr w:rsidR="006B6379" w14:paraId="408993E0" w14:textId="77777777" w:rsidTr="00B30934">
        <w:trPr>
          <w:trHeight w:val="240"/>
          <w:jc w:val="center"/>
        </w:trPr>
        <w:tc>
          <w:tcPr>
            <w:tcW w:w="4876" w:type="dxa"/>
            <w:tcBorders>
              <w:top w:val="nil"/>
              <w:left w:val="nil"/>
              <w:bottom w:val="nil"/>
              <w:right w:val="nil"/>
            </w:tcBorders>
            <w:hideMark/>
          </w:tcPr>
          <w:p w14:paraId="6583888B"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021A2852" w14:textId="77777777" w:rsidR="006B6379" w:rsidRPr="00E96208" w:rsidRDefault="006B6379" w:rsidP="00B30934">
            <w:pPr>
              <w:pStyle w:val="AmColumnHeading"/>
            </w:pPr>
            <w:r>
              <w:t>Amendement</w:t>
            </w:r>
          </w:p>
        </w:tc>
      </w:tr>
      <w:tr w:rsidR="006B6379" w14:paraId="169985D8" w14:textId="77777777" w:rsidTr="00B30934">
        <w:trPr>
          <w:jc w:val="center"/>
        </w:trPr>
        <w:tc>
          <w:tcPr>
            <w:tcW w:w="4876" w:type="dxa"/>
            <w:tcBorders>
              <w:top w:val="nil"/>
              <w:left w:val="nil"/>
              <w:bottom w:val="nil"/>
              <w:right w:val="nil"/>
            </w:tcBorders>
            <w:hideMark/>
          </w:tcPr>
          <w:p w14:paraId="78FADA28" w14:textId="77777777" w:rsidR="006B6379" w:rsidRPr="00E96208" w:rsidRDefault="006B6379" w:rsidP="00B30934">
            <w:pPr>
              <w:pStyle w:val="Normal6a"/>
            </w:pPr>
            <w:r>
              <w:t>39.</w:t>
            </w:r>
            <w:r>
              <w:tab/>
              <w:t xml:space="preserve">spreekt zijn bezorgdheid uit over het aantal onderzoeken dat is ingesteld naar de uitvoering van de herstel- en veerkrachtfaciliteit; benadrukt dat het EOM eind 2024 311 lopende zaken in verband met </w:t>
            </w:r>
            <w:proofErr w:type="spellStart"/>
            <w:r>
              <w:t>NextGenerationEU</w:t>
            </w:r>
            <w:proofErr w:type="spellEnd"/>
            <w:r>
              <w:t xml:space="preserve"> behandelde, waarvan er 307 voortvloeiden uit de herstel- en veerkrachtfaciliteit (ten opzichte van 233 eind 2023), hetgeen overeenkomt met ongeveer 17 % van alle lopende onderzoeken naar uitgavenfraude, met een geschatte schade van 2,8 miljard EUR voor de financiële belangen van de Unie (hetgeen overeenkomt met 30 % van de totale geschatte schade voor uitgavenfraude, ten opzichte van 25 % in 2023); merkt op dat uit de onderzoeken van het EOM naar fraude met betrekking tot de herstel- en veerkrachtfaciliteit blijkt dat er aanzienlijke verschillen bestaan tussen de lidstaten, die een weerspiegeling zijn van verschillen in de toewijzing van middelen, de mogelijkheden om misdrijven op te sporen en de uiteenlopende aard van de gepleegde fraude; betreurt het dat de lidstaten niet verplicht zijn om zaken in verband met de herstel- en veerkrachtfaciliteit aan de Commissie te melden via het beheersysteem voor onregelmatigheden (IMS), waardoor de monitoring en </w:t>
            </w:r>
            <w:r>
              <w:rPr>
                <w:b/>
                <w:i/>
              </w:rPr>
              <w:t>gestructureerde analyse</w:t>
            </w:r>
            <w:r>
              <w:t xml:space="preserve"> van zaken in verband met de herstel- en veerkrachtfaciliteit</w:t>
            </w:r>
            <w:r>
              <w:rPr>
                <w:b/>
                <w:i/>
              </w:rPr>
              <w:t xml:space="preserve"> de facto</w:t>
            </w:r>
            <w:r>
              <w:t xml:space="preserve"> onmogelijk wordt gemaakt; is bezorgd </w:t>
            </w:r>
            <w:r>
              <w:rPr>
                <w:b/>
                <w:i/>
              </w:rPr>
              <w:t>dat</w:t>
            </w:r>
            <w:r>
              <w:t xml:space="preserve"> de meldingen van gevallen door instellingen van de Unie, waaronder de Commissie, </w:t>
            </w:r>
            <w:r>
              <w:rPr>
                <w:b/>
                <w:i/>
              </w:rPr>
              <w:t>nog geen 3 % uitmaken, hetgeen nog meer twijfels doet rijzen over het vermogen van de Commissie</w:t>
            </w:r>
            <w:r>
              <w:t xml:space="preserve"> om </w:t>
            </w:r>
            <w:r>
              <w:rPr>
                <w:b/>
                <w:i/>
              </w:rPr>
              <w:t>toezicht te houden op</w:t>
            </w:r>
            <w:r>
              <w:t xml:space="preserve"> de </w:t>
            </w:r>
            <w:r>
              <w:rPr>
                <w:b/>
                <w:i/>
              </w:rPr>
              <w:t>herstel- en veerkrachtfaciliteit</w:t>
            </w:r>
            <w:r>
              <w:t>;</w:t>
            </w:r>
          </w:p>
        </w:tc>
        <w:tc>
          <w:tcPr>
            <w:tcW w:w="4876" w:type="dxa"/>
            <w:tcBorders>
              <w:top w:val="nil"/>
              <w:left w:val="nil"/>
              <w:bottom w:val="nil"/>
              <w:right w:val="nil"/>
            </w:tcBorders>
            <w:hideMark/>
          </w:tcPr>
          <w:p w14:paraId="4A9022F2" w14:textId="77777777" w:rsidR="006B6379" w:rsidRPr="00E96208" w:rsidRDefault="006B6379" w:rsidP="00B30934">
            <w:pPr>
              <w:pStyle w:val="Normal6a"/>
            </w:pPr>
            <w:r>
              <w:t>39.</w:t>
            </w:r>
            <w:r>
              <w:tab/>
              <w:t xml:space="preserve">spreekt zijn bezorgdheid uit over het aantal onderzoeken dat is ingesteld naar de uitvoering van de herstel- en veerkrachtfaciliteit; benadrukt dat het EOM eind 2024 311 lopende zaken in verband met </w:t>
            </w:r>
            <w:proofErr w:type="spellStart"/>
            <w:r>
              <w:t>NextGenerationEU</w:t>
            </w:r>
            <w:proofErr w:type="spellEnd"/>
            <w:r>
              <w:t xml:space="preserve"> behandelde, waarvan er 307 voortvloeiden uit de herstel- en veerkrachtfaciliteit (ten opzichte van 233 eind 2023), hetgeen overeenkomt met ongeveer 17 % van alle lopende onderzoeken naar uitgavenfraude, met een geschatte schade van 2,8 miljard EUR voor de financiële belangen van de Unie (hetgeen overeenkomt met 30 % van de totale geschatte schade voor uitgavenfraude, ten opzichte van 25 % in 2023); merkt op dat uit de onderzoeken van het EOM naar fraude met betrekking tot de herstel- en veerkrachtfaciliteit blijkt dat er aanzienlijke verschillen bestaan tussen de lidstaten, die een weerspiegeling zijn van verschillen in de toewijzing van middelen, de mogelijkheden om misdrijven op te sporen en de uiteenlopende aard van de gepleegde fraude; betreurt het</w:t>
            </w:r>
            <w:r>
              <w:rPr>
                <w:b/>
                <w:i/>
              </w:rPr>
              <w:t>; is bezorgd erover</w:t>
            </w:r>
            <w:r>
              <w:t xml:space="preserve"> dat de lidstaten niet verplicht zijn om zaken in verband met de herstel- en veerkrachtfaciliteit aan de Commissie te melden via het beheersysteem voor onregelmatigheden (IMS), waardoor de </w:t>
            </w:r>
            <w:r>
              <w:rPr>
                <w:b/>
                <w:i/>
              </w:rPr>
              <w:t xml:space="preserve">gestructureerde </w:t>
            </w:r>
            <w:r>
              <w:t xml:space="preserve">monitoring en </w:t>
            </w:r>
            <w:r>
              <w:rPr>
                <w:b/>
                <w:i/>
              </w:rPr>
              <w:t>risicoanalyse</w:t>
            </w:r>
            <w:r>
              <w:t xml:space="preserve"> van zaken in verband met de herstel- en veerkrachtfaciliteit onmogelijk wordt gemaakt; is bezorgd </w:t>
            </w:r>
            <w:r>
              <w:rPr>
                <w:b/>
                <w:i/>
              </w:rPr>
              <w:t>over</w:t>
            </w:r>
            <w:r>
              <w:t xml:space="preserve"> de meldingen van gevallen door instellingen van de Unie, waaronder de Commissie, </w:t>
            </w:r>
            <w:r>
              <w:rPr>
                <w:b/>
                <w:i/>
              </w:rPr>
              <w:t>en dringt erop aan dat deze tekortkomingen met spoed worden aangepakt</w:t>
            </w:r>
            <w:r>
              <w:t xml:space="preserve"> om </w:t>
            </w:r>
            <w:r>
              <w:rPr>
                <w:b/>
                <w:i/>
              </w:rPr>
              <w:t>de financiële belangen van</w:t>
            </w:r>
            <w:r>
              <w:t xml:space="preserve"> de </w:t>
            </w:r>
            <w:r>
              <w:rPr>
                <w:b/>
                <w:i/>
              </w:rPr>
              <w:t>Unie te beschermen</w:t>
            </w:r>
            <w:r>
              <w:t>;</w:t>
            </w:r>
          </w:p>
        </w:tc>
      </w:tr>
    </w:tbl>
    <w:p w14:paraId="1AB06079"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7B71D3DA" w14:textId="77777777" w:rsidR="006B6379" w:rsidRPr="00E96208" w:rsidRDefault="006B6379" w:rsidP="006B6379">
      <w:r>
        <w:rPr>
          <w:rStyle w:val="HideTWBExt"/>
        </w:rPr>
        <w:t>&lt;/Amend&gt;</w:t>
      </w:r>
    </w:p>
    <w:p w14:paraId="6C66554C" w14:textId="77777777" w:rsidR="006B6379" w:rsidRPr="00E96208" w:rsidRDefault="006B6379" w:rsidP="006B6379">
      <w:pPr>
        <w:pStyle w:val="AmNumberTabs"/>
      </w:pPr>
      <w:r>
        <w:rPr>
          <w:rStyle w:val="HideTWBExt"/>
        </w:rPr>
        <w:t>&lt;Amend&gt;</w:t>
      </w:r>
      <w:r>
        <w:t>Amendement</w:t>
      </w:r>
      <w:r>
        <w:tab/>
      </w:r>
      <w:r>
        <w:tab/>
      </w:r>
      <w:r>
        <w:rPr>
          <w:rStyle w:val="HideTWBExt"/>
        </w:rPr>
        <w:t>&lt;NumAm&gt;</w:t>
      </w:r>
      <w:r>
        <w:t>35</w:t>
      </w:r>
      <w:r>
        <w:rPr>
          <w:rStyle w:val="HideTWBExt"/>
        </w:rPr>
        <w:t>&lt;/NumAm&gt;</w:t>
      </w:r>
    </w:p>
    <w:p w14:paraId="2CE33215" w14:textId="77777777" w:rsidR="006B6379" w:rsidRPr="00E96208" w:rsidRDefault="006B6379" w:rsidP="006B6379">
      <w:pPr>
        <w:pStyle w:val="NormalBold"/>
      </w:pPr>
      <w:r>
        <w:rPr>
          <w:rStyle w:val="HideTWBExt"/>
          <w:b w:val="0"/>
        </w:rPr>
        <w:t>&lt;RepeatBlock-By&gt;&lt;Members&gt;</w:t>
      </w:r>
      <w:r>
        <w:t>Gilles Boyer, Olivier Chastel, Vlad Vasile-Voiculescu, Michal Wiezik</w:t>
      </w:r>
      <w:r>
        <w:rPr>
          <w:rStyle w:val="HideTWBExt"/>
          <w:b w:val="0"/>
        </w:rPr>
        <w:t>&lt;/Members&gt;</w:t>
      </w:r>
    </w:p>
    <w:p w14:paraId="23051D2F" w14:textId="77777777" w:rsidR="006B6379" w:rsidRPr="00E96208" w:rsidRDefault="006B6379" w:rsidP="006B6379">
      <w:pPr>
        <w:pStyle w:val="NormalBold"/>
      </w:pPr>
      <w:r>
        <w:rPr>
          <w:rStyle w:val="HideTWBExt"/>
          <w:b w:val="0"/>
        </w:rPr>
        <w:t>&lt;/RepeatBlock-By&gt;</w:t>
      </w:r>
    </w:p>
    <w:p w14:paraId="163D477A" w14:textId="77777777" w:rsidR="006B6379" w:rsidRPr="00E96208" w:rsidRDefault="006B6379" w:rsidP="006B6379">
      <w:pPr>
        <w:pStyle w:val="NormalBold"/>
      </w:pPr>
      <w:r>
        <w:rPr>
          <w:rStyle w:val="HideTWBExt"/>
        </w:rPr>
        <w:t>&lt;DocAmend&gt;</w:t>
      </w:r>
      <w:r>
        <w:t>Ontwerpresolutie</w:t>
      </w:r>
      <w:r>
        <w:rPr>
          <w:rStyle w:val="HideTWBExt"/>
        </w:rPr>
        <w:t>&lt;/DocAmend&gt;</w:t>
      </w:r>
    </w:p>
    <w:p w14:paraId="47EBDE06" w14:textId="77777777" w:rsidR="006B6379" w:rsidRPr="00E96208" w:rsidRDefault="006B6379" w:rsidP="006B6379">
      <w:pPr>
        <w:pStyle w:val="NormalBold"/>
      </w:pPr>
      <w:r>
        <w:rPr>
          <w:rStyle w:val="HideTWBExt"/>
        </w:rPr>
        <w:t>&lt;Article&gt;</w:t>
      </w:r>
      <w:r>
        <w:t>Paragraaf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37307927" w14:textId="77777777" w:rsidTr="00B30934">
        <w:trPr>
          <w:trHeight w:val="240"/>
          <w:jc w:val="center"/>
        </w:trPr>
        <w:tc>
          <w:tcPr>
            <w:tcW w:w="9752" w:type="dxa"/>
            <w:gridSpan w:val="2"/>
            <w:tcBorders>
              <w:top w:val="nil"/>
              <w:left w:val="nil"/>
              <w:bottom w:val="nil"/>
              <w:right w:val="nil"/>
            </w:tcBorders>
          </w:tcPr>
          <w:p w14:paraId="3EB169B1" w14:textId="77777777" w:rsidR="006B6379" w:rsidRPr="00E96208" w:rsidRDefault="006B6379" w:rsidP="00B30934"/>
        </w:tc>
      </w:tr>
      <w:tr w:rsidR="006B6379" w14:paraId="2F1DD4DD" w14:textId="77777777" w:rsidTr="00B30934">
        <w:trPr>
          <w:trHeight w:val="240"/>
          <w:jc w:val="center"/>
        </w:trPr>
        <w:tc>
          <w:tcPr>
            <w:tcW w:w="4876" w:type="dxa"/>
            <w:tcBorders>
              <w:top w:val="nil"/>
              <w:left w:val="nil"/>
              <w:bottom w:val="nil"/>
              <w:right w:val="nil"/>
            </w:tcBorders>
            <w:hideMark/>
          </w:tcPr>
          <w:p w14:paraId="59A49C71"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1B127BA3" w14:textId="77777777" w:rsidR="006B6379" w:rsidRPr="00E96208" w:rsidRDefault="006B6379" w:rsidP="00B30934">
            <w:pPr>
              <w:pStyle w:val="AmColumnHeading"/>
            </w:pPr>
            <w:r>
              <w:t>Amendement</w:t>
            </w:r>
          </w:p>
        </w:tc>
      </w:tr>
      <w:tr w:rsidR="006B6379" w14:paraId="6A79300C" w14:textId="77777777" w:rsidTr="00B30934">
        <w:trPr>
          <w:jc w:val="center"/>
        </w:trPr>
        <w:tc>
          <w:tcPr>
            <w:tcW w:w="4876" w:type="dxa"/>
            <w:tcBorders>
              <w:top w:val="nil"/>
              <w:left w:val="nil"/>
              <w:bottom w:val="nil"/>
              <w:right w:val="nil"/>
            </w:tcBorders>
            <w:hideMark/>
          </w:tcPr>
          <w:p w14:paraId="267BE20D" w14:textId="77777777" w:rsidR="006B6379" w:rsidRPr="00E96208" w:rsidRDefault="006B6379" w:rsidP="00B30934">
            <w:pPr>
              <w:pStyle w:val="Normal6a"/>
            </w:pPr>
            <w:r>
              <w:t>41.</w:t>
            </w:r>
            <w:r>
              <w:tab/>
              <w:t>merkt op dat ongeveer 6 % van de door het EOM tegen eind 2024 onderzochte strafbare feiten betrekking had op deelname aan een criminele organisatie die zich toelegde op het plegen van strafbare feiten als bedoeld in Richtlijn (EU) 2017/1371 (PIF-gerelateerde misdrijven); herhaalt dat alleen een versterkte samenwerking tussen de verschillende onderdelen van de fraudebestrijdingsarchitectuur dergelijk frauduleus gedrag effectief kan bestrijden en de verwezenlijking van de doelstellingen van de herstel- en veerkrachtfaciliteit en van het beleid van de Unie in het algemeen kan waarborgen; is van mening dat alleen een gezamenlijke, gecoördineerde inzet van gerechtelijke en administratieve maatregelen de financiële belangen van de Unie kan beschermen, en herhaalt zijn verzoek aan de Commissie om het EOM adequate ondersteuning te bieden bij het bevorderen van de vaststelling van corrigerende maatregelen na het onafhankelijke onderzoek van en de onafhankelijke vervolging door het EOM van misdrijven met betrekking tot de herstel- en veerkrachtfaciliteit; dringt er bij de Commissie op aan de begrotingsautoriteit van de Unie op de hoogte te houden van de resultaten van haar optreden;</w:t>
            </w:r>
          </w:p>
        </w:tc>
        <w:tc>
          <w:tcPr>
            <w:tcW w:w="4876" w:type="dxa"/>
            <w:tcBorders>
              <w:top w:val="nil"/>
              <w:left w:val="nil"/>
              <w:bottom w:val="nil"/>
              <w:right w:val="nil"/>
            </w:tcBorders>
            <w:hideMark/>
          </w:tcPr>
          <w:p w14:paraId="799BD64D" w14:textId="77777777" w:rsidR="006B6379" w:rsidRPr="00E96208" w:rsidRDefault="006B6379" w:rsidP="00B30934">
            <w:pPr>
              <w:pStyle w:val="Normal6a"/>
            </w:pPr>
            <w:r>
              <w:t>41.</w:t>
            </w:r>
            <w:r>
              <w:tab/>
              <w:t xml:space="preserve">merkt op dat ongeveer 6 % van de door het EOM tegen eind 2024 onderzochte strafbare feiten betrekking had op deelname aan een criminele organisatie die zich toelegde op het plegen van strafbare feiten als bedoeld in Richtlijn (EU) 2017/1371 (PIF-gerelateerde misdrijven); herhaalt dat alleen een versterkte samenwerking tussen de verschillende onderdelen van de fraudebestrijdingsarchitectuur dergelijk frauduleus gedrag effectief kan bestrijden en de verwezenlijking van de doelstellingen van de herstel- en veerkrachtfaciliteit en van het beleid van de Unie in het algemeen kan waarborgen; is van mening dat alleen een gezamenlijke, gecoördineerde inzet van gerechtelijke en administratieve maatregelen de financiële belangen van de Unie kan beschermen, en herhaalt zijn verzoek aan de Commissie om het EOM adequate ondersteuning te bieden bij het bevorderen van de vaststelling van corrigerende maatregelen na het onafhankelijke onderzoek van en de onafhankelijke vervolging door het EOM van misdrijven met betrekking tot de herstel- en veerkrachtfaciliteit; </w:t>
            </w:r>
            <w:r>
              <w:rPr>
                <w:b/>
                <w:i/>
              </w:rPr>
              <w:t>dringt aan op een versterkt coördinatiekader waarbij het EOM, de Commissie en de lidstaten worden betrokken, met als doel het onderzoek naar en de preventie van fraude in het kader van de herstel- en veerkrachtfaciliteit te versterken, te zorgen voor een systematische follow-up van EOM-onderzoeken en de uitwisseling van relevante informatie te verbeteren;</w:t>
            </w:r>
            <w:r>
              <w:t xml:space="preserve"> </w:t>
            </w:r>
            <w:r>
              <w:rPr>
                <w:b/>
                <w:i/>
              </w:rPr>
              <w:t xml:space="preserve">dringt </w:t>
            </w:r>
            <w:r>
              <w:t>er bij de Commissie op aan de begrotingsautoriteit van de Unie op de hoogte te houden van de resultaten van haar optreden;</w:t>
            </w:r>
          </w:p>
        </w:tc>
      </w:tr>
    </w:tbl>
    <w:p w14:paraId="463521BD"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7F5C2048" w14:textId="77777777" w:rsidR="006B6379" w:rsidRPr="00E96208" w:rsidRDefault="006B6379" w:rsidP="006B6379">
      <w:r>
        <w:rPr>
          <w:rStyle w:val="HideTWBExt"/>
        </w:rPr>
        <w:t>&lt;/Amend&gt;</w:t>
      </w:r>
    </w:p>
    <w:p w14:paraId="4343B17A" w14:textId="77777777" w:rsidR="006B6379" w:rsidRPr="00E96208" w:rsidRDefault="006B6379" w:rsidP="006B6379">
      <w:pPr>
        <w:pStyle w:val="AmNumberTabs"/>
      </w:pPr>
      <w:r>
        <w:rPr>
          <w:rStyle w:val="HideTWBExt"/>
        </w:rPr>
        <w:t>&lt;Amend&gt;</w:t>
      </w:r>
      <w:r>
        <w:t>Amendement</w:t>
      </w:r>
      <w:r>
        <w:tab/>
      </w:r>
      <w:r>
        <w:tab/>
      </w:r>
      <w:r>
        <w:rPr>
          <w:rStyle w:val="HideTWBExt"/>
        </w:rPr>
        <w:t>&lt;NumAm&gt;</w:t>
      </w:r>
      <w:r>
        <w:t>36</w:t>
      </w:r>
      <w:r>
        <w:rPr>
          <w:rStyle w:val="HideTWBExt"/>
        </w:rPr>
        <w:t>&lt;/NumAm&gt;</w:t>
      </w:r>
    </w:p>
    <w:p w14:paraId="16FC5EE7" w14:textId="77777777" w:rsidR="006B6379" w:rsidRPr="00E96208" w:rsidRDefault="006B6379" w:rsidP="006B6379">
      <w:pPr>
        <w:pStyle w:val="NormalBold"/>
      </w:pPr>
      <w:r>
        <w:rPr>
          <w:rStyle w:val="HideTWBExt"/>
          <w:b w:val="0"/>
        </w:rPr>
        <w:t>&lt;RepeatBlock-By&gt;&lt;Members&gt;</w:t>
      </w:r>
      <w:r>
        <w:t>Csaba Molnár</w:t>
      </w:r>
      <w:r>
        <w:rPr>
          <w:rStyle w:val="HideTWBExt"/>
          <w:b w:val="0"/>
        </w:rPr>
        <w:t>&lt;/Members&gt;</w:t>
      </w:r>
    </w:p>
    <w:p w14:paraId="6AD185A1" w14:textId="77777777" w:rsidR="006B6379" w:rsidRPr="00E96208" w:rsidRDefault="006B6379" w:rsidP="006B6379">
      <w:pPr>
        <w:pStyle w:val="NormalBold"/>
      </w:pPr>
      <w:r>
        <w:rPr>
          <w:rStyle w:val="HideTWBExt"/>
          <w:b w:val="0"/>
        </w:rPr>
        <w:t>&lt;/RepeatBlock-By&gt;</w:t>
      </w:r>
    </w:p>
    <w:p w14:paraId="030056CC" w14:textId="77777777" w:rsidR="006B6379" w:rsidRPr="00E96208" w:rsidRDefault="006B6379" w:rsidP="006B6379">
      <w:pPr>
        <w:pStyle w:val="NormalBold"/>
      </w:pPr>
      <w:r>
        <w:rPr>
          <w:rStyle w:val="HideTWBExt"/>
        </w:rPr>
        <w:t>&lt;DocAmend&gt;</w:t>
      </w:r>
      <w:r>
        <w:t>Ontwerpresolutie</w:t>
      </w:r>
      <w:r>
        <w:rPr>
          <w:rStyle w:val="HideTWBExt"/>
        </w:rPr>
        <w:t>&lt;/DocAmend&gt;</w:t>
      </w:r>
    </w:p>
    <w:p w14:paraId="3F0E7367" w14:textId="77777777" w:rsidR="006B6379" w:rsidRPr="00E96208" w:rsidRDefault="006B6379" w:rsidP="006B6379">
      <w:pPr>
        <w:pStyle w:val="NormalBold"/>
      </w:pPr>
      <w:r>
        <w:rPr>
          <w:rStyle w:val="HideTWBExt"/>
        </w:rPr>
        <w:t>&lt;Article&gt;</w:t>
      </w:r>
      <w:r>
        <w:t>Paragraaf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1EE05A45" w14:textId="77777777" w:rsidTr="00B30934">
        <w:trPr>
          <w:trHeight w:val="240"/>
          <w:jc w:val="center"/>
        </w:trPr>
        <w:tc>
          <w:tcPr>
            <w:tcW w:w="9752" w:type="dxa"/>
            <w:gridSpan w:val="2"/>
            <w:tcBorders>
              <w:top w:val="nil"/>
              <w:left w:val="nil"/>
              <w:bottom w:val="nil"/>
              <w:right w:val="nil"/>
            </w:tcBorders>
          </w:tcPr>
          <w:p w14:paraId="286DFF1A" w14:textId="77777777" w:rsidR="006B6379" w:rsidRPr="00E96208" w:rsidRDefault="006B6379" w:rsidP="00B30934"/>
        </w:tc>
      </w:tr>
      <w:tr w:rsidR="006B6379" w14:paraId="4A9DA954" w14:textId="77777777" w:rsidTr="00B30934">
        <w:trPr>
          <w:trHeight w:val="240"/>
          <w:jc w:val="center"/>
        </w:trPr>
        <w:tc>
          <w:tcPr>
            <w:tcW w:w="4876" w:type="dxa"/>
            <w:tcBorders>
              <w:top w:val="nil"/>
              <w:left w:val="nil"/>
              <w:bottom w:val="nil"/>
              <w:right w:val="nil"/>
            </w:tcBorders>
            <w:hideMark/>
          </w:tcPr>
          <w:p w14:paraId="1FF3CA08"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669A5AE3" w14:textId="77777777" w:rsidR="006B6379" w:rsidRPr="00E96208" w:rsidRDefault="006B6379" w:rsidP="00B30934">
            <w:pPr>
              <w:pStyle w:val="AmColumnHeading"/>
            </w:pPr>
            <w:r>
              <w:t>Amendement</w:t>
            </w:r>
          </w:p>
        </w:tc>
      </w:tr>
      <w:tr w:rsidR="006B6379" w14:paraId="49D8A0D9" w14:textId="77777777" w:rsidTr="00B30934">
        <w:trPr>
          <w:jc w:val="center"/>
        </w:trPr>
        <w:tc>
          <w:tcPr>
            <w:tcW w:w="4876" w:type="dxa"/>
            <w:tcBorders>
              <w:top w:val="nil"/>
              <w:left w:val="nil"/>
              <w:bottom w:val="nil"/>
              <w:right w:val="nil"/>
            </w:tcBorders>
            <w:hideMark/>
          </w:tcPr>
          <w:p w14:paraId="1D75E6D1" w14:textId="77777777" w:rsidR="006B6379" w:rsidRPr="00E96208" w:rsidRDefault="006B6379" w:rsidP="00B30934">
            <w:pPr>
              <w:pStyle w:val="Normal6a"/>
            </w:pPr>
            <w:r>
              <w:t>44.</w:t>
            </w:r>
            <w:r>
              <w:tab/>
              <w:t>is zich ervan bewust dat het EOM in zijn personeelsformatie voor eind 2024 om 419 posten had verzocht en dat er uiteindelijk 289 posten zijn toegekend; wijst erop dat er voor 2025 om 513 posten was verzocht en dat er opnieuw slechts 307 zijn toegekend, waardoor de kloof tussen de benodigde middelen en de toegewezen middelen groter is geworden; is het met het EOM eens dat zonder de gevraagde personeelsuitbreiding het vermogen van het EOM om zijn mandaat efficiënt uit te voeren, in overeenstemming met de verwachtingen van de burgers van de Unie, aanzienlijk wordt beperkt, de achterstand in de behandeling van zaken zal blijven toenemen, de rechtspraak in zaken van fraude die de financiële belangen van de Unie schaadt, zal worden vertraagd en de strijd tegen georganiseerde criminele groepen, die geld stelen uit de openbare financiën en de Europese economieën schaden, veel minder efficiënt zal zijn; neemt kennis van de opmerkingen van het EOM over de toenemende tendens dat personeel werktijdkrediet opbouwt als gevolg van de beperkte middelen en de toegenomen individuele werkdruk, hetgeen mogelijk risico’s voor de individuele veerkracht met zich meebrengt en mogelijk tot een hoger personeelsverloop leidt;</w:t>
            </w:r>
          </w:p>
        </w:tc>
        <w:tc>
          <w:tcPr>
            <w:tcW w:w="4876" w:type="dxa"/>
            <w:tcBorders>
              <w:top w:val="nil"/>
              <w:left w:val="nil"/>
              <w:bottom w:val="nil"/>
              <w:right w:val="nil"/>
            </w:tcBorders>
            <w:hideMark/>
          </w:tcPr>
          <w:p w14:paraId="4F249799" w14:textId="77777777" w:rsidR="006B6379" w:rsidRPr="00E96208" w:rsidRDefault="006B6379" w:rsidP="00B30934">
            <w:pPr>
              <w:pStyle w:val="Normal6a"/>
            </w:pPr>
            <w:r>
              <w:t>44.</w:t>
            </w:r>
            <w:r>
              <w:tab/>
              <w:t xml:space="preserve">is zich ervan bewust dat het EOM in zijn personeelsformatie voor eind 2024 om 419 posten had verzocht en dat er uiteindelijk 289 posten zijn toegekend; wijst erop dat er voor 2025 om 513 posten was verzocht en dat er opnieuw slechts 307 zijn toegekend, waardoor de kloof tussen de benodigde middelen en de toegewezen middelen groter is geworden; is het met het EOM eens dat zonder de gevraagde personeelsuitbreiding het vermogen van het EOM om zijn mandaat efficiënt uit te voeren, in overeenstemming met de verwachtingen van de burgers van de Unie, aanzienlijk wordt beperkt, de achterstand in de behandeling van zaken zal blijven toenemen, de rechtspraak in zaken van fraude die de financiële belangen van de Unie schaadt, zal worden vertraagd en de strijd tegen georganiseerde criminele groepen, die geld stelen uit de openbare financiën en de Europese economieën schaden, veel minder efficiënt zal zijn; neemt kennis van de opmerkingen van het EOM over de toenemende tendens dat personeel werktijdkrediet opbouwt als gevolg van de beperkte middelen en de toegenomen individuele werkdruk, hetgeen mogelijk risico’s voor de individuele veerkracht met zich meebrengt en mogelijk tot een hoger personeelsverloop leidt; </w:t>
            </w:r>
            <w:r>
              <w:rPr>
                <w:b/>
                <w:i/>
              </w:rPr>
              <w:t>beklemtoont daarom dat het EOM voldoende personeel en begrotingsmiddelen moet krijgen, in overeenstemming met de aan het EOM toevertrouwde taken;</w:t>
            </w:r>
          </w:p>
        </w:tc>
      </w:tr>
    </w:tbl>
    <w:p w14:paraId="169F7DA0"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7FA31FF7" w14:textId="77777777" w:rsidR="006B6379" w:rsidRPr="00E96208" w:rsidRDefault="006B6379" w:rsidP="006B6379">
      <w:r>
        <w:rPr>
          <w:rStyle w:val="HideTWBExt"/>
        </w:rPr>
        <w:t>&lt;/Amend&gt;</w:t>
      </w:r>
    </w:p>
    <w:p w14:paraId="73CF169D" w14:textId="77777777" w:rsidR="006B6379" w:rsidRPr="00E96208" w:rsidRDefault="006B6379" w:rsidP="006B6379">
      <w:pPr>
        <w:pStyle w:val="AmNumberTabs"/>
      </w:pPr>
      <w:r>
        <w:rPr>
          <w:rStyle w:val="HideTWBExt"/>
        </w:rPr>
        <w:t>&lt;Amend&gt;</w:t>
      </w:r>
      <w:r>
        <w:t>Amendement</w:t>
      </w:r>
      <w:r>
        <w:tab/>
      </w:r>
      <w:r>
        <w:tab/>
      </w:r>
      <w:r>
        <w:rPr>
          <w:rStyle w:val="HideTWBExt"/>
        </w:rPr>
        <w:t>&lt;NumAm&gt;</w:t>
      </w:r>
      <w:r>
        <w:t>37</w:t>
      </w:r>
      <w:r>
        <w:rPr>
          <w:rStyle w:val="HideTWBExt"/>
        </w:rPr>
        <w:t>&lt;/NumAm&gt;</w:t>
      </w:r>
    </w:p>
    <w:p w14:paraId="6AA38802" w14:textId="77777777" w:rsidR="006B6379" w:rsidRPr="00E96208" w:rsidRDefault="006B6379" w:rsidP="006B6379">
      <w:pPr>
        <w:pStyle w:val="NormalBold"/>
      </w:pPr>
      <w:r>
        <w:rPr>
          <w:rStyle w:val="HideTWBExt"/>
          <w:b w:val="0"/>
        </w:rPr>
        <w:t>&lt;RepeatBlock-By&gt;&lt;Members&gt;</w:t>
      </w:r>
      <w:r>
        <w:t>Gilles Boyer, Olivier Chastel, Vlad Vasile-Voiculescu, Michal Wiezik</w:t>
      </w:r>
      <w:r>
        <w:rPr>
          <w:rStyle w:val="HideTWBExt"/>
          <w:b w:val="0"/>
        </w:rPr>
        <w:t>&lt;/Members&gt;</w:t>
      </w:r>
    </w:p>
    <w:p w14:paraId="1EA5A20D" w14:textId="77777777" w:rsidR="006B6379" w:rsidRPr="00E96208" w:rsidRDefault="006B6379" w:rsidP="006B6379">
      <w:pPr>
        <w:pStyle w:val="NormalBold"/>
      </w:pPr>
      <w:r>
        <w:rPr>
          <w:rStyle w:val="HideTWBExt"/>
          <w:b w:val="0"/>
        </w:rPr>
        <w:t>&lt;/RepeatBlock-By&gt;</w:t>
      </w:r>
    </w:p>
    <w:p w14:paraId="534680B9" w14:textId="77777777" w:rsidR="006B6379" w:rsidRPr="00E96208" w:rsidRDefault="006B6379" w:rsidP="006B6379">
      <w:pPr>
        <w:pStyle w:val="NormalBold"/>
      </w:pPr>
      <w:r>
        <w:rPr>
          <w:rStyle w:val="HideTWBExt"/>
        </w:rPr>
        <w:t>&lt;DocAmend&gt;</w:t>
      </w:r>
      <w:r>
        <w:t>Ontwerpresolutie</w:t>
      </w:r>
      <w:r>
        <w:rPr>
          <w:rStyle w:val="HideTWBExt"/>
        </w:rPr>
        <w:t>&lt;/DocAmend&gt;</w:t>
      </w:r>
    </w:p>
    <w:p w14:paraId="52C5154B" w14:textId="77777777" w:rsidR="006B6379" w:rsidRPr="00E96208" w:rsidRDefault="006B6379" w:rsidP="006B6379">
      <w:pPr>
        <w:pStyle w:val="NormalBold"/>
      </w:pPr>
      <w:r>
        <w:rPr>
          <w:rStyle w:val="HideTWBExt"/>
        </w:rPr>
        <w:t>&lt;Article&gt;</w:t>
      </w:r>
      <w:r>
        <w:t>Paragraaf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2FD4C604" w14:textId="77777777" w:rsidTr="00B30934">
        <w:trPr>
          <w:trHeight w:val="240"/>
          <w:jc w:val="center"/>
        </w:trPr>
        <w:tc>
          <w:tcPr>
            <w:tcW w:w="9752" w:type="dxa"/>
            <w:gridSpan w:val="2"/>
            <w:tcBorders>
              <w:top w:val="nil"/>
              <w:left w:val="nil"/>
              <w:bottom w:val="nil"/>
              <w:right w:val="nil"/>
            </w:tcBorders>
          </w:tcPr>
          <w:p w14:paraId="6DCEC126" w14:textId="77777777" w:rsidR="006B6379" w:rsidRPr="00E96208" w:rsidRDefault="006B6379" w:rsidP="00B30934"/>
        </w:tc>
      </w:tr>
      <w:tr w:rsidR="006B6379" w14:paraId="2035A833" w14:textId="77777777" w:rsidTr="00B30934">
        <w:trPr>
          <w:trHeight w:val="240"/>
          <w:jc w:val="center"/>
        </w:trPr>
        <w:tc>
          <w:tcPr>
            <w:tcW w:w="4876" w:type="dxa"/>
            <w:tcBorders>
              <w:top w:val="nil"/>
              <w:left w:val="nil"/>
              <w:bottom w:val="nil"/>
              <w:right w:val="nil"/>
            </w:tcBorders>
            <w:hideMark/>
          </w:tcPr>
          <w:p w14:paraId="10BD60FF"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4C3ECC6F" w14:textId="77777777" w:rsidR="006B6379" w:rsidRPr="00E96208" w:rsidRDefault="006B6379" w:rsidP="00B30934">
            <w:pPr>
              <w:pStyle w:val="AmColumnHeading"/>
            </w:pPr>
            <w:r>
              <w:t>Amendement</w:t>
            </w:r>
          </w:p>
        </w:tc>
      </w:tr>
      <w:tr w:rsidR="006B6379" w14:paraId="7A830FCF" w14:textId="77777777" w:rsidTr="00B30934">
        <w:trPr>
          <w:jc w:val="center"/>
        </w:trPr>
        <w:tc>
          <w:tcPr>
            <w:tcW w:w="4876" w:type="dxa"/>
            <w:tcBorders>
              <w:top w:val="nil"/>
              <w:left w:val="nil"/>
              <w:bottom w:val="nil"/>
              <w:right w:val="nil"/>
            </w:tcBorders>
            <w:hideMark/>
          </w:tcPr>
          <w:p w14:paraId="45827941" w14:textId="77777777" w:rsidR="006B6379" w:rsidRPr="00E96208" w:rsidRDefault="006B6379" w:rsidP="00B30934">
            <w:pPr>
              <w:pStyle w:val="Normal6a"/>
            </w:pPr>
            <w:r>
              <w:t>45.</w:t>
            </w:r>
            <w:r>
              <w:tab/>
              <w:t xml:space="preserve">waardeert het feit dat de personeelsbezetting binnen het EOM gericht is op het maximaliseren van de prestaties en merkt op dat er eind 2024 van de 412 posten 319 bestemd waren voor operationele activiteiten, dat wil zeggen meer dan 77 % (ten opzichte van 80 % in 2023), terwijl 18 % bestemd was voor administratieve taken (ten opzichte van 14 % in 2023), hetgeen aansluit bij de aanpak van het EOM om prioriteit te geven aan de operationele activiteiten; merkt echter op dat het percentage personeel dat wordt </w:t>
            </w:r>
            <w:r>
              <w:rPr>
                <w:b/>
                <w:i/>
              </w:rPr>
              <w:t>ingezet voor bureaucratisch-administratieve</w:t>
            </w:r>
            <w:r>
              <w:t xml:space="preserve"> taken is toegenomen; begrijpt dat dit voornamelijk het gevolg is van enkele recente wijzigingen in het beleid van de Commissie, zoals de stopzetting van de IT-diensten, waardoor het EOM gedwongen werd de meest cruciale taken met eigen personeel uit te voeren, waardoor dat personeel werd ingezet voor niet-operationele functies;</w:t>
            </w:r>
          </w:p>
        </w:tc>
        <w:tc>
          <w:tcPr>
            <w:tcW w:w="4876" w:type="dxa"/>
            <w:tcBorders>
              <w:top w:val="nil"/>
              <w:left w:val="nil"/>
              <w:bottom w:val="nil"/>
              <w:right w:val="nil"/>
            </w:tcBorders>
            <w:hideMark/>
          </w:tcPr>
          <w:p w14:paraId="39728C74" w14:textId="77777777" w:rsidR="006B6379" w:rsidRPr="00E96208" w:rsidRDefault="006B6379" w:rsidP="00B30934">
            <w:pPr>
              <w:pStyle w:val="Normal6a"/>
            </w:pPr>
            <w:r>
              <w:t>45.</w:t>
            </w:r>
            <w:r>
              <w:tab/>
              <w:t xml:space="preserve">waardeert het feit dat de personeelsbezetting binnen het EOM gericht is op het maximaliseren van de prestaties en merkt op dat er eind 2024 van de 412 posten 319 bestemd waren voor operationele activiteiten, dat wil zeggen meer dan 77 % (ten opzichte van 80 % in 2023), terwijl 18 % bestemd was voor administratieve taken (ten opzichte van 14 % in 2023), hetgeen aansluit bij de aanpak van het EOM om prioriteit te geven aan de operationele activiteiten; merkt echter op dat het percentage personeel dat wordt </w:t>
            </w:r>
            <w:r>
              <w:rPr>
                <w:b/>
                <w:i/>
              </w:rPr>
              <w:t>toegewezen aan administratieve en ondersteunende</w:t>
            </w:r>
            <w:r>
              <w:t xml:space="preserve"> taken is toegenomen; begrijpt dat dit voornamelijk het gevolg is van enkele recente wijzigingen in het beleid van de Commissie, zoals de stopzetting van de IT-diensten, waardoor het EOM gedwongen werd de meest cruciale taken met eigen personeel uit te voeren, waardoor dat personeel werd ingezet voor niet-operationele functies;</w:t>
            </w:r>
          </w:p>
        </w:tc>
      </w:tr>
    </w:tbl>
    <w:p w14:paraId="110277F5"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26C099F1" w14:textId="77777777" w:rsidR="006B6379" w:rsidRPr="00E96208" w:rsidRDefault="006B6379" w:rsidP="006B6379">
      <w:r>
        <w:rPr>
          <w:rStyle w:val="HideTWBExt"/>
        </w:rPr>
        <w:t>&lt;/Amend&gt;</w:t>
      </w:r>
    </w:p>
    <w:p w14:paraId="56D3616D" w14:textId="77777777" w:rsidR="006B6379" w:rsidRPr="00E96208" w:rsidRDefault="006B6379" w:rsidP="006B6379">
      <w:pPr>
        <w:pStyle w:val="AmNumberTabs"/>
      </w:pPr>
      <w:r>
        <w:rPr>
          <w:rStyle w:val="HideTWBExt"/>
        </w:rPr>
        <w:t>&lt;Amend&gt;</w:t>
      </w:r>
      <w:r>
        <w:t>Amendement</w:t>
      </w:r>
      <w:r>
        <w:tab/>
      </w:r>
      <w:r>
        <w:tab/>
      </w:r>
      <w:r>
        <w:rPr>
          <w:rStyle w:val="HideTWBExt"/>
        </w:rPr>
        <w:t>&lt;NumAm&gt;</w:t>
      </w:r>
      <w:r>
        <w:t>38</w:t>
      </w:r>
      <w:r>
        <w:rPr>
          <w:rStyle w:val="HideTWBExt"/>
        </w:rPr>
        <w:t>&lt;/NumAm&gt;</w:t>
      </w:r>
    </w:p>
    <w:p w14:paraId="064D8637" w14:textId="77777777" w:rsidR="006B6379" w:rsidRPr="00E96208" w:rsidRDefault="006B6379" w:rsidP="006B6379">
      <w:pPr>
        <w:pStyle w:val="NormalBold"/>
      </w:pPr>
      <w:r>
        <w:rPr>
          <w:rStyle w:val="HideTWBExt"/>
          <w:b w:val="0"/>
        </w:rPr>
        <w:t>&lt;RepeatBlock-By&gt;&lt;Members&gt;</w:t>
      </w:r>
      <w:r>
        <w:t>Csaba Molnár</w:t>
      </w:r>
      <w:r>
        <w:rPr>
          <w:rStyle w:val="HideTWBExt"/>
          <w:b w:val="0"/>
        </w:rPr>
        <w:t>&lt;/Members&gt;</w:t>
      </w:r>
    </w:p>
    <w:p w14:paraId="6722A9DF" w14:textId="77777777" w:rsidR="006B6379" w:rsidRPr="00E96208" w:rsidRDefault="006B6379" w:rsidP="006B6379">
      <w:pPr>
        <w:pStyle w:val="NormalBold"/>
      </w:pPr>
      <w:r>
        <w:rPr>
          <w:rStyle w:val="HideTWBExt"/>
          <w:b w:val="0"/>
        </w:rPr>
        <w:t>&lt;/RepeatBlock-By&gt;</w:t>
      </w:r>
    </w:p>
    <w:p w14:paraId="37DBAB33" w14:textId="77777777" w:rsidR="006B6379" w:rsidRPr="00E96208" w:rsidRDefault="006B6379" w:rsidP="006B6379">
      <w:pPr>
        <w:pStyle w:val="NormalBold"/>
      </w:pPr>
      <w:r>
        <w:rPr>
          <w:rStyle w:val="HideTWBExt"/>
        </w:rPr>
        <w:t>&lt;DocAmend&gt;</w:t>
      </w:r>
      <w:r>
        <w:t>Ontwerpresolutie</w:t>
      </w:r>
      <w:r>
        <w:rPr>
          <w:rStyle w:val="HideTWBExt"/>
        </w:rPr>
        <w:t>&lt;/DocAmend&gt;</w:t>
      </w:r>
    </w:p>
    <w:p w14:paraId="01439F8B" w14:textId="77777777" w:rsidR="006B6379" w:rsidRPr="00E96208" w:rsidRDefault="006B6379" w:rsidP="006B6379">
      <w:pPr>
        <w:pStyle w:val="NormalBold"/>
      </w:pPr>
      <w:r>
        <w:rPr>
          <w:rStyle w:val="HideTWBExt"/>
        </w:rPr>
        <w:t>&lt;Article&gt;</w:t>
      </w:r>
      <w:r>
        <w:t>Paragraaf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7C358081" w14:textId="77777777" w:rsidTr="00B30934">
        <w:trPr>
          <w:trHeight w:val="240"/>
          <w:jc w:val="center"/>
        </w:trPr>
        <w:tc>
          <w:tcPr>
            <w:tcW w:w="9752" w:type="dxa"/>
            <w:gridSpan w:val="2"/>
            <w:tcBorders>
              <w:top w:val="nil"/>
              <w:left w:val="nil"/>
              <w:bottom w:val="nil"/>
              <w:right w:val="nil"/>
            </w:tcBorders>
          </w:tcPr>
          <w:p w14:paraId="1A4C4D13" w14:textId="77777777" w:rsidR="006B6379" w:rsidRPr="00E96208" w:rsidRDefault="006B6379" w:rsidP="00B30934"/>
        </w:tc>
      </w:tr>
      <w:tr w:rsidR="006B6379" w14:paraId="573C0F56" w14:textId="77777777" w:rsidTr="00B30934">
        <w:trPr>
          <w:trHeight w:val="240"/>
          <w:jc w:val="center"/>
        </w:trPr>
        <w:tc>
          <w:tcPr>
            <w:tcW w:w="4876" w:type="dxa"/>
            <w:tcBorders>
              <w:top w:val="nil"/>
              <w:left w:val="nil"/>
              <w:bottom w:val="nil"/>
              <w:right w:val="nil"/>
            </w:tcBorders>
            <w:hideMark/>
          </w:tcPr>
          <w:p w14:paraId="2B8FDFD2"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498A3C67" w14:textId="77777777" w:rsidR="006B6379" w:rsidRPr="00E96208" w:rsidRDefault="006B6379" w:rsidP="00B30934">
            <w:pPr>
              <w:pStyle w:val="AmColumnHeading"/>
            </w:pPr>
            <w:r>
              <w:t>Amendement</w:t>
            </w:r>
          </w:p>
        </w:tc>
      </w:tr>
      <w:tr w:rsidR="006B6379" w14:paraId="13CE75E0" w14:textId="77777777" w:rsidTr="00B30934">
        <w:trPr>
          <w:jc w:val="center"/>
        </w:trPr>
        <w:tc>
          <w:tcPr>
            <w:tcW w:w="4876" w:type="dxa"/>
            <w:tcBorders>
              <w:top w:val="nil"/>
              <w:left w:val="nil"/>
              <w:bottom w:val="nil"/>
              <w:right w:val="nil"/>
            </w:tcBorders>
            <w:hideMark/>
          </w:tcPr>
          <w:p w14:paraId="362540DE" w14:textId="77777777" w:rsidR="006B6379" w:rsidRPr="00E96208" w:rsidRDefault="006B6379" w:rsidP="00B30934">
            <w:pPr>
              <w:pStyle w:val="Normal6a"/>
            </w:pPr>
            <w:r>
              <w:t>50.</w:t>
            </w:r>
            <w:r>
              <w:tab/>
              <w:t>merkt op dat in 2024 en 2025 een adequaat genderevenwicht in leidinggevende functies werd bereikt (vier vrouwen, vijf mannen) door benoemingen van het ondervertegenwoordigde gender in het midden- en hoger management; merkt met betrekking tot het geografisch evenwicht op dat alle 26 lidstaten die partij zijn bij het EOM vertegenwoordigd zijn in het personeelsbestand, waarbij sommige nationaliteiten sterker vertegenwoordigd zijn dan andere; verzoekt het EOM zijn strategie voor diversiteit en inclusie, waarvan de uitvoering in 2023 is besloten, af te ronden;</w:t>
            </w:r>
          </w:p>
        </w:tc>
        <w:tc>
          <w:tcPr>
            <w:tcW w:w="4876" w:type="dxa"/>
            <w:tcBorders>
              <w:top w:val="nil"/>
              <w:left w:val="nil"/>
              <w:bottom w:val="nil"/>
              <w:right w:val="nil"/>
            </w:tcBorders>
            <w:hideMark/>
          </w:tcPr>
          <w:p w14:paraId="4E364A55" w14:textId="77777777" w:rsidR="006B6379" w:rsidRPr="00E96208" w:rsidRDefault="006B6379" w:rsidP="00B30934">
            <w:pPr>
              <w:pStyle w:val="Normal6a"/>
            </w:pPr>
            <w:r>
              <w:t>50.</w:t>
            </w:r>
            <w:r>
              <w:tab/>
              <w:t xml:space="preserve">merkt </w:t>
            </w:r>
            <w:r>
              <w:rPr>
                <w:b/>
                <w:i/>
              </w:rPr>
              <w:t xml:space="preserve">tevreden </w:t>
            </w:r>
            <w:r>
              <w:t>op dat in 2024 en 2025 een adequaat genderevenwicht in leidinggevende functies werd bereikt (vier vrouwen, vijf mannen) door benoemingen van het ondervertegenwoordigde gender in het midden- en hoger management; merkt met betrekking tot het geografisch evenwicht op dat alle 26 lidstaten die partij zijn bij het EOM vertegenwoordigd zijn in het personeelsbestand, waarbij sommige nationaliteiten sterker vertegenwoordigd zijn dan andere; verzoekt het EOM zijn strategie voor diversiteit en inclusie, waarvan de uitvoering in 2023 is besloten, af te ronden;</w:t>
            </w:r>
          </w:p>
        </w:tc>
      </w:tr>
    </w:tbl>
    <w:p w14:paraId="728CC16D"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1CE57580" w14:textId="77777777" w:rsidR="006B6379" w:rsidRPr="00E96208" w:rsidRDefault="006B6379" w:rsidP="006B6379">
      <w:r>
        <w:rPr>
          <w:rStyle w:val="HideTWBExt"/>
        </w:rPr>
        <w:t>&lt;/Amend&gt;</w:t>
      </w:r>
    </w:p>
    <w:p w14:paraId="5A153C1F" w14:textId="77777777" w:rsidR="006B6379" w:rsidRPr="00E96208" w:rsidRDefault="006B6379" w:rsidP="006B6379">
      <w:pPr>
        <w:pStyle w:val="AmNumberTabs"/>
      </w:pPr>
      <w:r>
        <w:rPr>
          <w:rStyle w:val="HideTWBExt"/>
        </w:rPr>
        <w:t>&lt;Amend&gt;</w:t>
      </w:r>
      <w:r>
        <w:t>Amendement</w:t>
      </w:r>
      <w:r>
        <w:tab/>
      </w:r>
      <w:r>
        <w:tab/>
      </w:r>
      <w:r>
        <w:rPr>
          <w:rStyle w:val="HideTWBExt"/>
        </w:rPr>
        <w:t>&lt;NumAm&gt;</w:t>
      </w:r>
      <w:r>
        <w:t>39</w:t>
      </w:r>
      <w:r>
        <w:rPr>
          <w:rStyle w:val="HideTWBExt"/>
        </w:rPr>
        <w:t>&lt;/NumAm&gt;</w:t>
      </w:r>
    </w:p>
    <w:p w14:paraId="7BB0683F"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399C23CF" w14:textId="77777777" w:rsidR="006B6379" w:rsidRPr="00E96208" w:rsidRDefault="006B6379" w:rsidP="006B6379">
      <w:pPr>
        <w:pStyle w:val="NormalBold"/>
      </w:pPr>
      <w:r>
        <w:rPr>
          <w:rStyle w:val="HideTWBExt"/>
          <w:b w:val="0"/>
        </w:rPr>
        <w:t>&lt;/RepeatBlock-By&gt;</w:t>
      </w:r>
    </w:p>
    <w:p w14:paraId="36169DD5" w14:textId="77777777" w:rsidR="006B6379" w:rsidRPr="00E96208" w:rsidRDefault="006B6379" w:rsidP="006B6379">
      <w:pPr>
        <w:pStyle w:val="NormalBold"/>
      </w:pPr>
      <w:r>
        <w:rPr>
          <w:rStyle w:val="HideTWBExt"/>
        </w:rPr>
        <w:t>&lt;DocAmend&gt;</w:t>
      </w:r>
      <w:r>
        <w:t>Ontwerpresolutie</w:t>
      </w:r>
      <w:r>
        <w:rPr>
          <w:rStyle w:val="HideTWBExt"/>
        </w:rPr>
        <w:t>&lt;/DocAmend&gt;</w:t>
      </w:r>
    </w:p>
    <w:p w14:paraId="1CB1C1DB" w14:textId="77777777" w:rsidR="006B6379" w:rsidRPr="00E96208" w:rsidRDefault="006B6379" w:rsidP="006B6379">
      <w:pPr>
        <w:pStyle w:val="NormalBold"/>
      </w:pPr>
      <w:r>
        <w:rPr>
          <w:rStyle w:val="HideTWBExt"/>
        </w:rPr>
        <w:t>&lt;Article&gt;</w:t>
      </w:r>
      <w:r>
        <w:t>Paragraaf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03148EE3" w14:textId="77777777" w:rsidTr="00B30934">
        <w:trPr>
          <w:trHeight w:val="240"/>
          <w:jc w:val="center"/>
        </w:trPr>
        <w:tc>
          <w:tcPr>
            <w:tcW w:w="9752" w:type="dxa"/>
            <w:gridSpan w:val="2"/>
            <w:tcBorders>
              <w:top w:val="nil"/>
              <w:left w:val="nil"/>
              <w:bottom w:val="nil"/>
              <w:right w:val="nil"/>
            </w:tcBorders>
          </w:tcPr>
          <w:p w14:paraId="6A66C15A" w14:textId="77777777" w:rsidR="006B6379" w:rsidRPr="00E96208" w:rsidRDefault="006B6379" w:rsidP="00B30934"/>
        </w:tc>
      </w:tr>
      <w:tr w:rsidR="006B6379" w14:paraId="398FF64A" w14:textId="77777777" w:rsidTr="00B30934">
        <w:trPr>
          <w:trHeight w:val="240"/>
          <w:jc w:val="center"/>
        </w:trPr>
        <w:tc>
          <w:tcPr>
            <w:tcW w:w="4876" w:type="dxa"/>
            <w:tcBorders>
              <w:top w:val="nil"/>
              <w:left w:val="nil"/>
              <w:bottom w:val="nil"/>
              <w:right w:val="nil"/>
            </w:tcBorders>
            <w:hideMark/>
          </w:tcPr>
          <w:p w14:paraId="46BA513D"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74CB6288" w14:textId="77777777" w:rsidR="006B6379" w:rsidRPr="00E96208" w:rsidRDefault="006B6379" w:rsidP="00B30934">
            <w:pPr>
              <w:pStyle w:val="AmColumnHeading"/>
            </w:pPr>
            <w:r>
              <w:t>Amendement</w:t>
            </w:r>
          </w:p>
        </w:tc>
      </w:tr>
      <w:tr w:rsidR="006B6379" w14:paraId="39F8C740" w14:textId="77777777" w:rsidTr="00B30934">
        <w:trPr>
          <w:jc w:val="center"/>
        </w:trPr>
        <w:tc>
          <w:tcPr>
            <w:tcW w:w="4876" w:type="dxa"/>
            <w:tcBorders>
              <w:top w:val="nil"/>
              <w:left w:val="nil"/>
              <w:bottom w:val="nil"/>
              <w:right w:val="nil"/>
            </w:tcBorders>
            <w:hideMark/>
          </w:tcPr>
          <w:p w14:paraId="62E84A86" w14:textId="77777777" w:rsidR="006B6379" w:rsidRPr="00E96208" w:rsidRDefault="006B6379" w:rsidP="00B30934">
            <w:pPr>
              <w:pStyle w:val="Normal6a"/>
            </w:pPr>
            <w:r>
              <w:t>50.</w:t>
            </w:r>
            <w:r>
              <w:tab/>
              <w:t xml:space="preserve">merkt op dat in 2024 en 2025 een adequaat genderevenwicht in leidinggevende functies werd bereikt (vier vrouwen, vijf mannen) door benoemingen van het ondervertegenwoordigde gender in het midden- en hoger management; merkt met betrekking tot het geografisch evenwicht op dat </w:t>
            </w:r>
            <w:r>
              <w:rPr>
                <w:b/>
                <w:i/>
              </w:rPr>
              <w:t xml:space="preserve">alle </w:t>
            </w:r>
            <w:r>
              <w:t>26 </w:t>
            </w:r>
            <w:r>
              <w:rPr>
                <w:b/>
                <w:i/>
              </w:rPr>
              <w:t>lidstaten die partij zijn bij het EOM</w:t>
            </w:r>
            <w:r>
              <w:t xml:space="preserve"> vertegenwoordigd zijn in het personeelsbestand, waarbij sommige nationaliteiten sterker vertegenwoordigd zijn dan andere; verzoekt het EOM zijn strategie voor diversiteit en inclusie, waarvan de uitvoering in 2023 is besloten, af te ronden;</w:t>
            </w:r>
          </w:p>
        </w:tc>
        <w:tc>
          <w:tcPr>
            <w:tcW w:w="4876" w:type="dxa"/>
            <w:tcBorders>
              <w:top w:val="nil"/>
              <w:left w:val="nil"/>
              <w:bottom w:val="nil"/>
              <w:right w:val="nil"/>
            </w:tcBorders>
            <w:hideMark/>
          </w:tcPr>
          <w:p w14:paraId="047FE820" w14:textId="77777777" w:rsidR="006B6379" w:rsidRPr="00E96208" w:rsidRDefault="006B6379" w:rsidP="00B30934">
            <w:pPr>
              <w:pStyle w:val="Normal6a"/>
            </w:pPr>
            <w:r>
              <w:t>50.</w:t>
            </w:r>
            <w:r>
              <w:tab/>
              <w:t>merkt op dat in 2024 en 2025 een adequaat genderevenwicht in leidinggevende functies werd bereikt (vier vrouwen, vijf mannen) door benoemingen van het ondervertegenwoordigde gender in het midden- en hoger management; merkt met betrekking tot het geografisch evenwicht op dat 26 </w:t>
            </w:r>
            <w:r>
              <w:rPr>
                <w:b/>
                <w:i/>
              </w:rPr>
              <w:t>EU-nationaliteiten in verschillende mate</w:t>
            </w:r>
            <w:r>
              <w:t xml:space="preserve"> vertegenwoordigd zijn in het personeelsbestand, waarbij sommige nationaliteiten sterker vertegenwoordigd zijn dan andere; verzoekt het EOM zijn strategie voor diversiteit en inclusie, waarvan de uitvoering in 2023 is besloten, af te ronden;</w:t>
            </w:r>
          </w:p>
        </w:tc>
      </w:tr>
    </w:tbl>
    <w:p w14:paraId="1800C1DC"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7019E611" w14:textId="77777777" w:rsidR="006B6379" w:rsidRPr="00E96208" w:rsidRDefault="006B6379" w:rsidP="006B6379">
      <w:r>
        <w:rPr>
          <w:rStyle w:val="HideTWBExt"/>
        </w:rPr>
        <w:t>&lt;/Amend&gt;</w:t>
      </w:r>
    </w:p>
    <w:p w14:paraId="245045FD" w14:textId="77777777" w:rsidR="006B6379" w:rsidRPr="00E96208" w:rsidRDefault="006B6379" w:rsidP="006B6379">
      <w:pPr>
        <w:pStyle w:val="AmNumberTabs"/>
      </w:pPr>
      <w:r>
        <w:rPr>
          <w:rStyle w:val="HideTWBExt"/>
        </w:rPr>
        <w:t>&lt;Amend&gt;</w:t>
      </w:r>
      <w:r>
        <w:t>Amendement</w:t>
      </w:r>
      <w:r>
        <w:tab/>
      </w:r>
      <w:r>
        <w:tab/>
      </w:r>
      <w:r>
        <w:rPr>
          <w:rStyle w:val="HideTWBExt"/>
        </w:rPr>
        <w:t>&lt;NumAm&gt;</w:t>
      </w:r>
      <w:r>
        <w:t>40</w:t>
      </w:r>
      <w:r>
        <w:rPr>
          <w:rStyle w:val="HideTWBExt"/>
        </w:rPr>
        <w:t>&lt;/NumAm&gt;</w:t>
      </w:r>
    </w:p>
    <w:p w14:paraId="3699B92D"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4261CB04" w14:textId="77777777" w:rsidR="006B6379" w:rsidRPr="00E96208" w:rsidRDefault="006B6379" w:rsidP="006B6379">
      <w:pPr>
        <w:pStyle w:val="NormalBold"/>
      </w:pPr>
      <w:r>
        <w:rPr>
          <w:rStyle w:val="HideTWBExt"/>
          <w:b w:val="0"/>
        </w:rPr>
        <w:t>&lt;/RepeatBlock-By&gt;</w:t>
      </w:r>
    </w:p>
    <w:p w14:paraId="3CB61FDC" w14:textId="77777777" w:rsidR="006B6379" w:rsidRPr="00E96208" w:rsidRDefault="006B6379" w:rsidP="006B6379">
      <w:pPr>
        <w:pStyle w:val="NormalBold"/>
      </w:pPr>
      <w:r>
        <w:rPr>
          <w:rStyle w:val="HideTWBExt"/>
        </w:rPr>
        <w:t>&lt;DocAmend&gt;</w:t>
      </w:r>
      <w:r>
        <w:t>Ontwerpresolutie</w:t>
      </w:r>
      <w:r>
        <w:rPr>
          <w:rStyle w:val="HideTWBExt"/>
        </w:rPr>
        <w:t>&lt;/DocAmend&gt;</w:t>
      </w:r>
    </w:p>
    <w:p w14:paraId="31F118BC" w14:textId="77777777" w:rsidR="006B6379" w:rsidRPr="00E96208" w:rsidRDefault="006B6379" w:rsidP="006B6379">
      <w:pPr>
        <w:pStyle w:val="NormalBold"/>
      </w:pPr>
      <w:r>
        <w:rPr>
          <w:rStyle w:val="HideTWBExt"/>
        </w:rPr>
        <w:t>&lt;Article&gt;</w:t>
      </w:r>
      <w:r>
        <w:t>Paragraaf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2982BD30" w14:textId="77777777" w:rsidTr="00B30934">
        <w:trPr>
          <w:trHeight w:val="240"/>
          <w:jc w:val="center"/>
        </w:trPr>
        <w:tc>
          <w:tcPr>
            <w:tcW w:w="9752" w:type="dxa"/>
            <w:gridSpan w:val="2"/>
            <w:tcBorders>
              <w:top w:val="nil"/>
              <w:left w:val="nil"/>
              <w:bottom w:val="nil"/>
              <w:right w:val="nil"/>
            </w:tcBorders>
          </w:tcPr>
          <w:p w14:paraId="094EA7A9" w14:textId="77777777" w:rsidR="006B6379" w:rsidRPr="00E96208" w:rsidRDefault="006B6379" w:rsidP="00B30934"/>
        </w:tc>
      </w:tr>
      <w:tr w:rsidR="006B6379" w14:paraId="41813B93" w14:textId="77777777" w:rsidTr="00B30934">
        <w:trPr>
          <w:trHeight w:val="240"/>
          <w:jc w:val="center"/>
        </w:trPr>
        <w:tc>
          <w:tcPr>
            <w:tcW w:w="4876" w:type="dxa"/>
            <w:tcBorders>
              <w:top w:val="nil"/>
              <w:left w:val="nil"/>
              <w:bottom w:val="nil"/>
              <w:right w:val="nil"/>
            </w:tcBorders>
            <w:hideMark/>
          </w:tcPr>
          <w:p w14:paraId="17A09628"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06AD4D75" w14:textId="77777777" w:rsidR="006B6379" w:rsidRPr="00E96208" w:rsidRDefault="006B6379" w:rsidP="00B30934">
            <w:pPr>
              <w:pStyle w:val="AmColumnHeading"/>
            </w:pPr>
            <w:r>
              <w:t>Amendement</w:t>
            </w:r>
          </w:p>
        </w:tc>
      </w:tr>
      <w:tr w:rsidR="006B6379" w14:paraId="2033EE59" w14:textId="77777777" w:rsidTr="00B30934">
        <w:trPr>
          <w:jc w:val="center"/>
        </w:trPr>
        <w:tc>
          <w:tcPr>
            <w:tcW w:w="4876" w:type="dxa"/>
            <w:tcBorders>
              <w:top w:val="nil"/>
              <w:left w:val="nil"/>
              <w:bottom w:val="nil"/>
              <w:right w:val="nil"/>
            </w:tcBorders>
            <w:hideMark/>
          </w:tcPr>
          <w:p w14:paraId="15D7477A" w14:textId="77777777" w:rsidR="006B6379" w:rsidRPr="00E96208" w:rsidRDefault="006B6379" w:rsidP="00B30934">
            <w:pPr>
              <w:pStyle w:val="Normal6a"/>
            </w:pPr>
            <w:r>
              <w:t>52.</w:t>
            </w:r>
            <w:r>
              <w:tab/>
              <w:t>benadrukt dat het EOM had aangegeven dat er tegen eind 2024 in totaal 172 gedelegeerde Europese aanklagers zouden worden aangesteld, zonder rekening te houden met de bijkomende behoeften als gevolg van de uitbreiding met Polen en Zweden; wijst erop dat de begrotingsautoriteit van de Unie er slechts mee heeft ingestemd het aantal gedelegeerde Europese aanklagers te verhogen van 140 tot 166, met de toewijzing van 24 gedelegeerde Europese aanklagers aan Polen en twee aan Zweden; wijst erop dat de begrotingsautoriteit van de Unie middelen is blijven toekennen voor de bezoldiging van gedelegeerde Europese aanklagers, maar dat die middelen slechts overeenstemden met 80 % van het AD9-salaris, in plaats van 100 % van het AD9-salaris, zoals door het EOM was beslist om de functie aantrekkelijker te maken voor senior aanklagers met voldoende langdurige beroepservaring om de complexe zaken van het EOM te behandelen; begrijpt dat het EOM vanwege de financiële beperkingen als gevolg van dit tekort aan toegewezen middelen eind 2024 naast de twee gedelegeerde Europese aanklagers in Zweden slechts acht gedelegeerde Europese aanklagers in Polen (in plaats van de benodigde 24 gedelegeerde Europese aanklagers) en 156 gedelegeerde Europese aanklagers in de overige lidstaten kon inzetten; verzoekt de Commissie de situatie te beoordelen, rekening houdend met de toenemende werkdruk en de gevoeligheid van de behandelde zaken, en aan het Parlement verslag uit te brengen over de resultaten en de mogelijke oplossingen om het financiële tekort aan te vullen;</w:t>
            </w:r>
          </w:p>
        </w:tc>
        <w:tc>
          <w:tcPr>
            <w:tcW w:w="4876" w:type="dxa"/>
            <w:tcBorders>
              <w:top w:val="nil"/>
              <w:left w:val="nil"/>
              <w:bottom w:val="nil"/>
              <w:right w:val="nil"/>
            </w:tcBorders>
            <w:hideMark/>
          </w:tcPr>
          <w:p w14:paraId="7EDDDB53" w14:textId="77777777" w:rsidR="006B6379" w:rsidRPr="00E96208" w:rsidRDefault="006B6379" w:rsidP="00B30934">
            <w:pPr>
              <w:pStyle w:val="Normal6a"/>
            </w:pPr>
            <w:r>
              <w:t>52.</w:t>
            </w:r>
            <w:r>
              <w:tab/>
              <w:t xml:space="preserve">benadrukt dat het EOM had aangegeven dat er tegen eind 2024 in totaal 172 gedelegeerde Europese aanklagers zouden worden aangesteld, zonder rekening te houden met de bijkomende behoeften als gevolg van de uitbreiding met Polen en Zweden; wijst erop dat de begrotingsautoriteit van de Unie er slechts mee heeft ingestemd het aantal gedelegeerde Europese aanklagers te verhogen van 140 tot 166, met de toewijzing van 24 gedelegeerde Europese aanklagers aan Polen en twee aan Zweden; wijst erop dat de begrotingsautoriteit van de Unie middelen is blijven toekennen voor de bezoldiging van gedelegeerde Europese aanklagers, maar dat die middelen slechts overeenstemden met 80 % van het AD9-salaris, in plaats van 100 % van het AD9-salaris, zoals door het EOM was beslist om de functie aantrekkelijker te maken voor senior aanklagers met voldoende langdurige beroepservaring om de complexe zaken van het EOM te behandelen; begrijpt dat het EOM vanwege de financiële beperkingen als gevolg van dit tekort aan toegewezen middelen eind 2024 naast de twee gedelegeerde Europese aanklagers in Zweden slechts acht gedelegeerde Europese aanklagers in Polen (in plaats van de benodigde 24 gedelegeerde Europese aanklagers) en 156 gedelegeerde Europese aanklagers in de overige lidstaten kon inzetten; </w:t>
            </w:r>
            <w:r>
              <w:rPr>
                <w:b/>
                <w:i/>
              </w:rPr>
              <w:t>merkt op dat de vertraging bij het aantrekken van extra gedelegeerde Europese aanklagers negatieve gevolgen heeft voor het vermogen van het EOM om een toenemend aantal onderzoeken en vervolgingen te leiden; merkt voorts op dat het EOM als gevolg van de financieringskloof ook investeringen in het casemanagementsysteem moest verminderen of uitstellen, waardoor het EOM zijn vermogen om grensoverschrijdende onderzoeken te voeren niet kon verbeteren;</w:t>
            </w:r>
            <w:r>
              <w:t xml:space="preserve"> verzoekt de Commissie de situatie te beoordelen, rekening houdend met de toenemende werkdruk en de gevoeligheid van de behandelde zaken, en aan het Parlement verslag uit te brengen over de resultaten en de mogelijke oplossingen om het financiële tekort aan te vullen;</w:t>
            </w:r>
          </w:p>
        </w:tc>
      </w:tr>
    </w:tbl>
    <w:p w14:paraId="034B9517"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05A35525" w14:textId="77777777" w:rsidR="006B6379" w:rsidRPr="00E96208" w:rsidRDefault="006B6379" w:rsidP="006B6379">
      <w:r>
        <w:rPr>
          <w:rStyle w:val="HideTWBExt"/>
        </w:rPr>
        <w:t>&lt;/Amend&gt;</w:t>
      </w:r>
    </w:p>
    <w:p w14:paraId="32043D0C" w14:textId="77777777" w:rsidR="006B6379" w:rsidRPr="00E96208" w:rsidRDefault="006B6379" w:rsidP="006B6379">
      <w:pPr>
        <w:pStyle w:val="AmNumberTabs"/>
      </w:pPr>
      <w:r>
        <w:rPr>
          <w:rStyle w:val="HideTWBExt"/>
        </w:rPr>
        <w:t>&lt;Amend&gt;</w:t>
      </w:r>
      <w:r>
        <w:t>Amendement</w:t>
      </w:r>
      <w:r>
        <w:tab/>
      </w:r>
      <w:r>
        <w:tab/>
      </w:r>
      <w:r>
        <w:rPr>
          <w:rStyle w:val="HideTWBExt"/>
        </w:rPr>
        <w:t>&lt;NumAm&gt;</w:t>
      </w:r>
      <w:r>
        <w:t>41</w:t>
      </w:r>
      <w:r>
        <w:rPr>
          <w:rStyle w:val="HideTWBExt"/>
        </w:rPr>
        <w:t>&lt;/NumAm&gt;</w:t>
      </w:r>
    </w:p>
    <w:p w14:paraId="67A6C322"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0398DE06" w14:textId="77777777" w:rsidR="006B6379" w:rsidRPr="00E96208" w:rsidRDefault="006B6379" w:rsidP="006B6379">
      <w:pPr>
        <w:pStyle w:val="NormalBold"/>
      </w:pPr>
      <w:r>
        <w:rPr>
          <w:rStyle w:val="HideTWBExt"/>
          <w:b w:val="0"/>
        </w:rPr>
        <w:t>&lt;/RepeatBlock-By&gt;</w:t>
      </w:r>
    </w:p>
    <w:p w14:paraId="1A8A4A86" w14:textId="77777777" w:rsidR="006B6379" w:rsidRPr="00E96208" w:rsidRDefault="006B6379" w:rsidP="006B6379">
      <w:pPr>
        <w:pStyle w:val="NormalBold"/>
      </w:pPr>
      <w:r>
        <w:rPr>
          <w:rStyle w:val="HideTWBExt"/>
        </w:rPr>
        <w:t>&lt;DocAmend&gt;</w:t>
      </w:r>
      <w:r>
        <w:t>Ontwerpresolutie</w:t>
      </w:r>
      <w:r>
        <w:rPr>
          <w:rStyle w:val="HideTWBExt"/>
        </w:rPr>
        <w:t>&lt;/DocAmend&gt;</w:t>
      </w:r>
    </w:p>
    <w:p w14:paraId="4659AEF3" w14:textId="77777777" w:rsidR="006B6379" w:rsidRPr="00E96208" w:rsidRDefault="006B6379" w:rsidP="006B6379">
      <w:pPr>
        <w:pStyle w:val="NormalBold"/>
      </w:pPr>
      <w:r>
        <w:rPr>
          <w:rStyle w:val="HideTWBExt"/>
        </w:rPr>
        <w:t>&lt;Article&gt;</w:t>
      </w:r>
      <w:r>
        <w:t>Paragraaf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124D2749" w14:textId="77777777" w:rsidTr="00B30934">
        <w:trPr>
          <w:trHeight w:val="240"/>
          <w:jc w:val="center"/>
        </w:trPr>
        <w:tc>
          <w:tcPr>
            <w:tcW w:w="9752" w:type="dxa"/>
            <w:gridSpan w:val="2"/>
            <w:tcBorders>
              <w:top w:val="nil"/>
              <w:left w:val="nil"/>
              <w:bottom w:val="nil"/>
              <w:right w:val="nil"/>
            </w:tcBorders>
          </w:tcPr>
          <w:p w14:paraId="799989EC" w14:textId="77777777" w:rsidR="006B6379" w:rsidRPr="00E96208" w:rsidRDefault="006B6379" w:rsidP="00B30934"/>
        </w:tc>
      </w:tr>
      <w:tr w:rsidR="006B6379" w14:paraId="2E5AFFF1" w14:textId="77777777" w:rsidTr="00B30934">
        <w:trPr>
          <w:trHeight w:val="240"/>
          <w:jc w:val="center"/>
        </w:trPr>
        <w:tc>
          <w:tcPr>
            <w:tcW w:w="4876" w:type="dxa"/>
            <w:tcBorders>
              <w:top w:val="nil"/>
              <w:left w:val="nil"/>
              <w:bottom w:val="nil"/>
              <w:right w:val="nil"/>
            </w:tcBorders>
            <w:hideMark/>
          </w:tcPr>
          <w:p w14:paraId="34E8DB6F"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643708D7" w14:textId="77777777" w:rsidR="006B6379" w:rsidRPr="00E96208" w:rsidRDefault="006B6379" w:rsidP="00B30934">
            <w:pPr>
              <w:pStyle w:val="AmColumnHeading"/>
            </w:pPr>
            <w:r>
              <w:t>Amendement</w:t>
            </w:r>
          </w:p>
        </w:tc>
      </w:tr>
      <w:tr w:rsidR="006B6379" w14:paraId="33883DA0" w14:textId="77777777" w:rsidTr="00B30934">
        <w:trPr>
          <w:jc w:val="center"/>
        </w:trPr>
        <w:tc>
          <w:tcPr>
            <w:tcW w:w="4876" w:type="dxa"/>
            <w:tcBorders>
              <w:top w:val="nil"/>
              <w:left w:val="nil"/>
              <w:bottom w:val="nil"/>
              <w:right w:val="nil"/>
            </w:tcBorders>
            <w:hideMark/>
          </w:tcPr>
          <w:p w14:paraId="7419803D" w14:textId="77777777" w:rsidR="006B6379" w:rsidRPr="00E96208" w:rsidRDefault="006B6379" w:rsidP="00B30934">
            <w:pPr>
              <w:pStyle w:val="Normal6a"/>
            </w:pPr>
            <w:r>
              <w:t>53.</w:t>
            </w:r>
            <w:r>
              <w:tab/>
              <w:t xml:space="preserve">blijft erbij dat de benoeming van gedelegeerde Europese aanklagers een gedeelde verantwoordelijkheid is van het EOM en de lidstaten, omdat Europese aanklagers weliswaar door de lidstaten worden voorgedragen en vervolgens door de Raad worden benoemd, maar gedelegeerde Europese aanklagers door de lidstaten worden voorgedragen en door het college worden benoemd; moedigt de lidstaten aan bij te dragen aan de volledige onafhankelijkheid van de gedelegeerde Europese aanklagers en het EOM; merkt op dat het EOM zich heeft ingespannen om de arbeidsvoorwaarden van de gedelegeerde Europese aanklagers te verbeteren teneinde de functie aantrekkelijker te maken, bijvoorbeeld door de bezoldiging van gedelegeerde Europese aanklagers in overeenstemming te brengen met die van ambtenaren van de Unie met een gelijkwaardig verantwoordelijkheidsniveau, in plaats van 80 % van het salaris van ambtenaren van de Unie, zoals oorspronkelijk was </w:t>
            </w:r>
            <w:r>
              <w:rPr>
                <w:b/>
                <w:i/>
              </w:rPr>
              <w:t>bepaald</w:t>
            </w:r>
            <w:r>
              <w:t>, rekening houdend met het feit dat het nationale salaris van de meest ervaren nationale aanklagers hoger was dan het salaris dat voor de functie van gedelegeerde Europese aanklager werd aangeboden, waardoor het EOM moest ingrijpen voor de uitvoering van artikel 16, lid 1, van de arbeidsvoorwaarden van de gedelegeerde Europese aanklagers, waarin is bepaald dat, indien het totale nettosalaris lager is dan het nationale salaris, een aanvullend bedrag wordt verstrekt om ervoor te zorgen dat de bezoldiging overeenkomt met het eerdere niveau; herhaalt zijn oproep om te voorzien in een duidelijk loopbaantraject voor de gedelegeerde Europese aanklagers en een gunstigere administratieve regeling op het gebied van sociale zekerheid en ziektekostenverzekering; dringt aan op de invoering van een specifieke status voor gedelegeerde Europese aanklagers die aansluit bij de aard van hun gerechtelijke functie en verzoekt de Commissie om in het kader van de aanstaande herziening van Verordening (EU) 2017/1939 wijzigingen voor te stellen die ook betrekking hebben op de lacune in de dekking van de sociale zekerheid en ziektekostenverzekering van de gedelegeerde Europese aanklagers, die nog niet door alle lidstaten is opgelost door middel van wettelijke of administratieve regelingen, ook al is de invoering daarvan verplicht krachtens Verordening (EU) 2017/1939;</w:t>
            </w:r>
          </w:p>
        </w:tc>
        <w:tc>
          <w:tcPr>
            <w:tcW w:w="4876" w:type="dxa"/>
            <w:tcBorders>
              <w:top w:val="nil"/>
              <w:left w:val="nil"/>
              <w:bottom w:val="nil"/>
              <w:right w:val="nil"/>
            </w:tcBorders>
            <w:hideMark/>
          </w:tcPr>
          <w:p w14:paraId="11598D23" w14:textId="77777777" w:rsidR="006B6379" w:rsidRPr="00E96208" w:rsidRDefault="006B6379" w:rsidP="00B30934">
            <w:pPr>
              <w:pStyle w:val="Normal6a"/>
            </w:pPr>
            <w:r>
              <w:t>53.</w:t>
            </w:r>
            <w:r>
              <w:tab/>
              <w:t xml:space="preserve">blijft erbij dat de benoeming van gedelegeerde Europese aanklagers een gedeelde verantwoordelijkheid is van het EOM en de lidstaten, omdat Europese aanklagers weliswaar door de lidstaten worden voorgedragen en vervolgens door de Raad worden benoemd, maar gedelegeerde Europese aanklagers door de lidstaten worden voorgedragen en door het college worden benoemd; moedigt de lidstaten aan bij te dragen aan de volledige onafhankelijkheid van de gedelegeerde Europese aanklagers en het EOM; merkt op dat het EOM zich heeft ingespannen om de arbeidsvoorwaarden van de gedelegeerde Europese aanklagers te verbeteren teneinde de functie aantrekkelijker te maken, bijvoorbeeld door de bezoldiging van gedelegeerde Europese aanklagers in overeenstemming te brengen met die van ambtenaren van de Unie met een gelijkwaardig verantwoordelijkheidsniveau </w:t>
            </w:r>
            <w:r>
              <w:rPr>
                <w:b/>
                <w:i/>
              </w:rPr>
              <w:t>(AD9)</w:t>
            </w:r>
            <w:r>
              <w:t xml:space="preserve">, in plaats van 80 % van het salaris van ambtenaren van de Unie, zoals oorspronkelijk was </w:t>
            </w:r>
            <w:r>
              <w:rPr>
                <w:b/>
                <w:i/>
              </w:rPr>
              <w:t>beslist door de Commissie</w:t>
            </w:r>
            <w:r>
              <w:t>, rekening houdend met het feit dat</w:t>
            </w:r>
            <w:r>
              <w:rPr>
                <w:b/>
                <w:i/>
              </w:rPr>
              <w:t xml:space="preserve"> de loopbaanontwikkeling van de gedelegeerde Europese aanklagers in hun nationale systemen onduidelijk blijft en in verschillende gevallen</w:t>
            </w:r>
            <w:r>
              <w:t xml:space="preserve"> het nationale salaris van de meest ervaren nationale aanklagers hoger was dan het salaris dat voor de functie van gedelegeerde Europese aanklager werd aangeboden, waardoor het EOM moest ingrijpen voor de uitvoering van artikel 16, lid 1, van de arbeidsvoorwaarden van de gedelegeerde Europese aanklagers, waarin is bepaald dat, indien het totale nettosalaris lager is dan het nationale salaris, een aanvullend bedrag wordt verstrekt om ervoor te zorgen dat de bezoldiging overeenkomt met het eerdere niveau; herhaalt zijn oproep om te voorzien in een duidelijk loopbaantraject voor de gedelegeerde Europese aanklagers en een gunstigere administratieve regeling op het gebied van sociale zekerheid en ziektekostenverzekering; dringt aan op de invoering van een specifieke status voor gedelegeerde Europese aanklagers die aansluit bij de aard van hun gerechtelijke functie en verzoekt de Commissie om in het kader van de aanstaande herziening van Verordening (EU) 2017/1939 wijzigingen voor te stellen die ook betrekking hebben op de lacune in de dekking van de sociale zekerheid en ziektekostenverzekering van de gedelegeerde Europese aanklagers, die nog niet door alle lidstaten is opgelost door middel van wettelijke of administratieve regelingen, ook al is de invoering daarvan verplicht krachtens Verordening (EU) 2017/1939;</w:t>
            </w:r>
          </w:p>
        </w:tc>
      </w:tr>
    </w:tbl>
    <w:p w14:paraId="0CB0E8A9"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79DA6472" w14:textId="77777777" w:rsidR="006B6379" w:rsidRPr="00E96208" w:rsidRDefault="006B6379" w:rsidP="006B6379">
      <w:r>
        <w:rPr>
          <w:rStyle w:val="HideTWBExt"/>
        </w:rPr>
        <w:t>&lt;/Amend&gt;</w:t>
      </w:r>
    </w:p>
    <w:p w14:paraId="51A8442A" w14:textId="77777777" w:rsidR="006B6379" w:rsidRPr="00E96208" w:rsidRDefault="006B6379" w:rsidP="006B6379">
      <w:pPr>
        <w:pStyle w:val="AmNumberTabs"/>
      </w:pPr>
      <w:r>
        <w:rPr>
          <w:rStyle w:val="HideTWBExt"/>
        </w:rPr>
        <w:t>&lt;Amend&gt;</w:t>
      </w:r>
      <w:r>
        <w:t>Amendement</w:t>
      </w:r>
      <w:r>
        <w:tab/>
      </w:r>
      <w:r>
        <w:tab/>
      </w:r>
      <w:r>
        <w:rPr>
          <w:rStyle w:val="HideTWBExt"/>
        </w:rPr>
        <w:t>&lt;NumAm&gt;</w:t>
      </w:r>
      <w:r>
        <w:t>42</w:t>
      </w:r>
      <w:r>
        <w:rPr>
          <w:rStyle w:val="HideTWBExt"/>
        </w:rPr>
        <w:t>&lt;/NumAm&gt;</w:t>
      </w:r>
    </w:p>
    <w:p w14:paraId="3F4BF126" w14:textId="77777777" w:rsidR="006B6379" w:rsidRPr="00E96208" w:rsidRDefault="006B6379" w:rsidP="006B6379">
      <w:pPr>
        <w:pStyle w:val="NormalBold"/>
      </w:pPr>
      <w:r>
        <w:rPr>
          <w:rStyle w:val="HideTWBExt"/>
          <w:b w:val="0"/>
        </w:rPr>
        <w:t>&lt;RepeatBlock-By&gt;&lt;Members&gt;</w:t>
      </w:r>
      <w:r>
        <w:t>Gilles Boyer, Olivier Chastel, Vlad Vasile-Voiculescu, Michal Wiezik</w:t>
      </w:r>
      <w:r>
        <w:rPr>
          <w:rStyle w:val="HideTWBExt"/>
          <w:b w:val="0"/>
        </w:rPr>
        <w:t>&lt;/Members&gt;</w:t>
      </w:r>
    </w:p>
    <w:p w14:paraId="5F6F1C3D" w14:textId="77777777" w:rsidR="006B6379" w:rsidRPr="00E96208" w:rsidRDefault="006B6379" w:rsidP="006B6379">
      <w:pPr>
        <w:pStyle w:val="NormalBold"/>
      </w:pPr>
      <w:r>
        <w:rPr>
          <w:rStyle w:val="HideTWBExt"/>
          <w:b w:val="0"/>
        </w:rPr>
        <w:t>&lt;/RepeatBlock-By&gt;</w:t>
      </w:r>
    </w:p>
    <w:p w14:paraId="449B3D68" w14:textId="77777777" w:rsidR="006B6379" w:rsidRPr="00E96208" w:rsidRDefault="006B6379" w:rsidP="006B6379">
      <w:pPr>
        <w:pStyle w:val="NormalBold"/>
      </w:pPr>
      <w:r>
        <w:rPr>
          <w:rStyle w:val="HideTWBExt"/>
        </w:rPr>
        <w:t>&lt;DocAmend&gt;</w:t>
      </w:r>
      <w:r>
        <w:t>Ontwerpresolutie</w:t>
      </w:r>
      <w:r>
        <w:rPr>
          <w:rStyle w:val="HideTWBExt"/>
        </w:rPr>
        <w:t>&lt;/DocAmend&gt;</w:t>
      </w:r>
    </w:p>
    <w:p w14:paraId="128F922E" w14:textId="77777777" w:rsidR="006B6379" w:rsidRPr="00E96208" w:rsidRDefault="006B6379" w:rsidP="006B6379">
      <w:pPr>
        <w:pStyle w:val="NormalBold"/>
      </w:pPr>
      <w:r>
        <w:rPr>
          <w:rStyle w:val="HideTWBExt"/>
        </w:rPr>
        <w:t>&lt;Article&gt;</w:t>
      </w:r>
      <w:r>
        <w:t>Paragraaf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5A3A321E" w14:textId="77777777" w:rsidTr="00B30934">
        <w:trPr>
          <w:trHeight w:val="240"/>
          <w:jc w:val="center"/>
        </w:trPr>
        <w:tc>
          <w:tcPr>
            <w:tcW w:w="9752" w:type="dxa"/>
            <w:gridSpan w:val="2"/>
            <w:tcBorders>
              <w:top w:val="nil"/>
              <w:left w:val="nil"/>
              <w:bottom w:val="nil"/>
              <w:right w:val="nil"/>
            </w:tcBorders>
          </w:tcPr>
          <w:p w14:paraId="28E7A88F" w14:textId="77777777" w:rsidR="006B6379" w:rsidRPr="00E96208" w:rsidRDefault="006B6379" w:rsidP="00B30934"/>
        </w:tc>
      </w:tr>
      <w:tr w:rsidR="006B6379" w14:paraId="49188A40" w14:textId="77777777" w:rsidTr="00B30934">
        <w:trPr>
          <w:trHeight w:val="240"/>
          <w:jc w:val="center"/>
        </w:trPr>
        <w:tc>
          <w:tcPr>
            <w:tcW w:w="4876" w:type="dxa"/>
            <w:tcBorders>
              <w:top w:val="nil"/>
              <w:left w:val="nil"/>
              <w:bottom w:val="nil"/>
              <w:right w:val="nil"/>
            </w:tcBorders>
            <w:hideMark/>
          </w:tcPr>
          <w:p w14:paraId="05A17D46"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1F4F87C6" w14:textId="77777777" w:rsidR="006B6379" w:rsidRPr="00E96208" w:rsidRDefault="006B6379" w:rsidP="00B30934">
            <w:pPr>
              <w:pStyle w:val="AmColumnHeading"/>
            </w:pPr>
            <w:r>
              <w:t>Amendement</w:t>
            </w:r>
          </w:p>
        </w:tc>
      </w:tr>
      <w:tr w:rsidR="006B6379" w14:paraId="6431B5CE" w14:textId="77777777" w:rsidTr="00B30934">
        <w:trPr>
          <w:jc w:val="center"/>
        </w:trPr>
        <w:tc>
          <w:tcPr>
            <w:tcW w:w="4876" w:type="dxa"/>
            <w:tcBorders>
              <w:top w:val="nil"/>
              <w:left w:val="nil"/>
              <w:bottom w:val="nil"/>
              <w:right w:val="nil"/>
            </w:tcBorders>
            <w:hideMark/>
          </w:tcPr>
          <w:p w14:paraId="4D7C927D" w14:textId="77777777" w:rsidR="006B6379" w:rsidRPr="00E96208" w:rsidRDefault="006B6379" w:rsidP="00B30934">
            <w:pPr>
              <w:pStyle w:val="Normal6a"/>
            </w:pPr>
            <w:r>
              <w:t>54.</w:t>
            </w:r>
            <w:r>
              <w:tab/>
              <w:t xml:space="preserve">begrijpt dat het EOM in 2024 </w:t>
            </w:r>
            <w:r>
              <w:rPr>
                <w:b/>
                <w:i/>
              </w:rPr>
              <w:t>de voorkeur gaf aan een interne</w:t>
            </w:r>
            <w:r>
              <w:t xml:space="preserve"> enquête naar de tevredenheid van het personeel </w:t>
            </w:r>
            <w:r>
              <w:rPr>
                <w:b/>
                <w:i/>
              </w:rPr>
              <w:t>in plaats van</w:t>
            </w:r>
            <w:r>
              <w:t xml:space="preserve"> een beroep </w:t>
            </w:r>
            <w:r>
              <w:rPr>
                <w:b/>
                <w:i/>
              </w:rPr>
              <w:t>te doen</w:t>
            </w:r>
            <w:r>
              <w:t xml:space="preserve"> op een</w:t>
            </w:r>
            <w:r>
              <w:rPr>
                <w:b/>
                <w:i/>
              </w:rPr>
              <w:t xml:space="preserve"> dure</w:t>
            </w:r>
            <w:r>
              <w:t xml:space="preserve"> externe dienstverlener in het kader van de bestaande raamovereenkomst, maar </w:t>
            </w:r>
            <w:r>
              <w:rPr>
                <w:b/>
                <w:i/>
              </w:rPr>
              <w:t>betreurt het gebrek aan betrokkenheid</w:t>
            </w:r>
            <w:r>
              <w:t xml:space="preserve"> van het personeelscomité, </w:t>
            </w:r>
            <w:r>
              <w:rPr>
                <w:b/>
                <w:i/>
              </w:rPr>
              <w:t>hetgeen passender zou zijn geweest; merkt op dat</w:t>
            </w:r>
            <w:r>
              <w:t xml:space="preserve"> terugkerende kwesties </w:t>
            </w:r>
            <w:r>
              <w:rPr>
                <w:b/>
                <w:i/>
              </w:rPr>
              <w:t>herhaaldelijk</w:t>
            </w:r>
            <w:r>
              <w:t xml:space="preserve"> door het personeel </w:t>
            </w:r>
            <w:r>
              <w:rPr>
                <w:b/>
                <w:i/>
              </w:rPr>
              <w:t xml:space="preserve">in de enquête </w:t>
            </w:r>
            <w:r>
              <w:t xml:space="preserve">aan de orde werden gesteld, deze waren voornamelijk gericht op het evenwicht tussen werk en privéleven en de interpretatie van de toegankelijkheid tot telewerken vanuit het buitenland om familiale of persoonlijke redenen; merkt op dat het EOM aangeeft dat zijn </w:t>
            </w:r>
            <w:r>
              <w:rPr>
                <w:b/>
                <w:i/>
              </w:rPr>
              <w:t>strenge telewerkbeleid een van</w:t>
            </w:r>
            <w:r>
              <w:t xml:space="preserve"> de</w:t>
            </w:r>
            <w:r>
              <w:rPr>
                <w:b/>
                <w:i/>
              </w:rPr>
              <w:t xml:space="preserve"> mogelijke</w:t>
            </w:r>
            <w:r>
              <w:t xml:space="preserve"> belemmeringen voor aanwerving </w:t>
            </w:r>
            <w:r>
              <w:rPr>
                <w:b/>
                <w:i/>
              </w:rPr>
              <w:t>is</w:t>
            </w:r>
            <w:r>
              <w:t xml:space="preserve">, en moedigt het EOM aan om verder te zoeken naar </w:t>
            </w:r>
            <w:r>
              <w:rPr>
                <w:b/>
                <w:i/>
              </w:rPr>
              <w:t>alternatieven</w:t>
            </w:r>
            <w:r>
              <w:t xml:space="preserve"> die – zonder afbreuk te doen aan de doeltreffendheid van zijn werkmethoden </w:t>
            </w:r>
            <w:r>
              <w:rPr>
                <w:b/>
                <w:i/>
              </w:rPr>
              <w:t>en zonder</w:t>
            </w:r>
            <w:r>
              <w:t xml:space="preserve"> de bedrijfscultuur in </w:t>
            </w:r>
            <w:r>
              <w:rPr>
                <w:b/>
                <w:i/>
              </w:rPr>
              <w:t>twijfel</w:t>
            </w:r>
            <w:r>
              <w:t xml:space="preserve"> te </w:t>
            </w:r>
            <w:r>
              <w:rPr>
                <w:b/>
                <w:i/>
              </w:rPr>
              <w:t>trekken</w:t>
            </w:r>
            <w:r>
              <w:t xml:space="preserve"> – een grotere mate van autonomie </w:t>
            </w:r>
            <w:r>
              <w:rPr>
                <w:b/>
                <w:i/>
              </w:rPr>
              <w:t>kunnen bieden, hetgeen op zijn beurt zou</w:t>
            </w:r>
            <w:r>
              <w:t xml:space="preserve"> kunnen </w:t>
            </w:r>
            <w:r>
              <w:rPr>
                <w:b/>
                <w:i/>
              </w:rPr>
              <w:t>leiden tot een hogere mate van</w:t>
            </w:r>
            <w:r>
              <w:t xml:space="preserve"> tevredenheid onder het personeel;</w:t>
            </w:r>
          </w:p>
        </w:tc>
        <w:tc>
          <w:tcPr>
            <w:tcW w:w="4876" w:type="dxa"/>
            <w:tcBorders>
              <w:top w:val="nil"/>
              <w:left w:val="nil"/>
              <w:bottom w:val="nil"/>
              <w:right w:val="nil"/>
            </w:tcBorders>
            <w:hideMark/>
          </w:tcPr>
          <w:p w14:paraId="3F0CAC10" w14:textId="77777777" w:rsidR="006B6379" w:rsidRPr="00E96208" w:rsidRDefault="006B6379" w:rsidP="00B30934">
            <w:pPr>
              <w:pStyle w:val="Normal6a"/>
            </w:pPr>
            <w:r>
              <w:t>54.</w:t>
            </w:r>
            <w:r>
              <w:tab/>
              <w:t xml:space="preserve">begrijpt dat het EOM in 2024 </w:t>
            </w:r>
            <w:r>
              <w:rPr>
                <w:b/>
                <w:i/>
              </w:rPr>
              <w:t>geen</w:t>
            </w:r>
            <w:r>
              <w:t xml:space="preserve"> enquête naar de tevredenheid van het personeel </w:t>
            </w:r>
            <w:r>
              <w:rPr>
                <w:b/>
                <w:i/>
              </w:rPr>
              <w:t>heeft gehouden omdat</w:t>
            </w:r>
            <w:r>
              <w:t xml:space="preserve"> een beroep op een externe dienstverlener in het kader van de bestaande raamovereenkomst</w:t>
            </w:r>
            <w:r>
              <w:rPr>
                <w:b/>
                <w:i/>
              </w:rPr>
              <w:t xml:space="preserve"> duur zou zijn geweest</w:t>
            </w:r>
            <w:r>
              <w:t xml:space="preserve">, maar </w:t>
            </w:r>
            <w:r>
              <w:rPr>
                <w:b/>
                <w:i/>
              </w:rPr>
              <w:t>rekening heeft gehouden met de vorige enquête</w:t>
            </w:r>
            <w:r>
              <w:t xml:space="preserve"> van het personeelscomité, </w:t>
            </w:r>
            <w:r>
              <w:rPr>
                <w:b/>
                <w:i/>
              </w:rPr>
              <w:t>met betrekking tot de</w:t>
            </w:r>
            <w:r>
              <w:t xml:space="preserve"> terugkerende kwesties </w:t>
            </w:r>
            <w:r>
              <w:rPr>
                <w:b/>
                <w:i/>
              </w:rPr>
              <w:t>die</w:t>
            </w:r>
            <w:r>
              <w:t xml:space="preserve"> door het personeel aan de orde werden gesteld, deze waren voornamelijk gericht op het evenwicht tussen werk en privéleven en de interpretatie van de toegankelijkheid tot telewerken vanuit het buitenland om familiale of persoonlijke redenen; merkt op dat het EOM aangeeft dat zijn </w:t>
            </w:r>
            <w:r>
              <w:rPr>
                <w:b/>
                <w:i/>
              </w:rPr>
              <w:t>regels inzake telewerk geen compensatie vormen voor</w:t>
            </w:r>
            <w:r>
              <w:t xml:space="preserve"> de belemmeringen voor aanwerving </w:t>
            </w:r>
            <w:r>
              <w:rPr>
                <w:b/>
                <w:i/>
              </w:rPr>
              <w:t>in Luxemburg</w:t>
            </w:r>
            <w:r>
              <w:t xml:space="preserve">, en moedigt het EOM aan om verder te zoeken naar </w:t>
            </w:r>
            <w:r>
              <w:rPr>
                <w:b/>
                <w:i/>
              </w:rPr>
              <w:t>mogelijkheden</w:t>
            </w:r>
            <w:r>
              <w:t xml:space="preserve"> die – zonder afbreuk te doen aan de doeltreffendheid van zijn werkmethoden </w:t>
            </w:r>
            <w:r>
              <w:rPr>
                <w:b/>
                <w:i/>
              </w:rPr>
              <w:t>of</w:t>
            </w:r>
            <w:r>
              <w:t xml:space="preserve"> de bedrijfscultuur in </w:t>
            </w:r>
            <w:r>
              <w:rPr>
                <w:b/>
                <w:i/>
              </w:rPr>
              <w:t>vraag</w:t>
            </w:r>
            <w:r>
              <w:t xml:space="preserve"> te </w:t>
            </w:r>
            <w:r>
              <w:rPr>
                <w:b/>
                <w:i/>
              </w:rPr>
              <w:t>stellen</w:t>
            </w:r>
            <w:r>
              <w:t xml:space="preserve"> – een grotere mate van autonomie </w:t>
            </w:r>
            <w:r>
              <w:rPr>
                <w:b/>
                <w:i/>
              </w:rPr>
              <w:t>aan het personeel</w:t>
            </w:r>
            <w:r>
              <w:t xml:space="preserve"> kunnen </w:t>
            </w:r>
            <w:r>
              <w:rPr>
                <w:b/>
                <w:i/>
              </w:rPr>
              <w:t>bieden, en daarmee de</w:t>
            </w:r>
            <w:r>
              <w:t xml:space="preserve"> tevredenheid onder het personeel </w:t>
            </w:r>
            <w:r>
              <w:rPr>
                <w:b/>
                <w:i/>
              </w:rPr>
              <w:t>kunnen verbeteren</w:t>
            </w:r>
            <w:r>
              <w:t>;</w:t>
            </w:r>
          </w:p>
        </w:tc>
      </w:tr>
    </w:tbl>
    <w:p w14:paraId="6218916D"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638FEA85" w14:textId="77777777" w:rsidR="006B6379" w:rsidRPr="00E96208" w:rsidRDefault="006B6379" w:rsidP="006B6379">
      <w:r>
        <w:rPr>
          <w:rStyle w:val="HideTWBExt"/>
        </w:rPr>
        <w:t>&lt;/Amend&gt;</w:t>
      </w:r>
    </w:p>
    <w:p w14:paraId="62B86418" w14:textId="77777777" w:rsidR="006B6379" w:rsidRPr="00E96208" w:rsidRDefault="006B6379" w:rsidP="006B6379">
      <w:pPr>
        <w:pStyle w:val="AmNumberTabs"/>
      </w:pPr>
      <w:r>
        <w:rPr>
          <w:rStyle w:val="HideTWBExt"/>
        </w:rPr>
        <w:t>&lt;Amend&gt;</w:t>
      </w:r>
      <w:r>
        <w:t>Amendement</w:t>
      </w:r>
      <w:r>
        <w:tab/>
      </w:r>
      <w:r>
        <w:tab/>
      </w:r>
      <w:r>
        <w:rPr>
          <w:rStyle w:val="HideTWBExt"/>
        </w:rPr>
        <w:t>&lt;NumAm&gt;</w:t>
      </w:r>
      <w:r>
        <w:t>43</w:t>
      </w:r>
      <w:r>
        <w:rPr>
          <w:rStyle w:val="HideTWBExt"/>
        </w:rPr>
        <w:t>&lt;/NumAm&gt;</w:t>
      </w:r>
    </w:p>
    <w:p w14:paraId="56E4D5D8" w14:textId="77777777" w:rsidR="006B6379" w:rsidRPr="00E96208" w:rsidRDefault="006B6379" w:rsidP="006B6379">
      <w:pPr>
        <w:pStyle w:val="NormalBold"/>
      </w:pPr>
      <w:r>
        <w:rPr>
          <w:rStyle w:val="HideTWBExt"/>
          <w:b w:val="0"/>
        </w:rPr>
        <w:t>&lt;RepeatBlock-By&gt;&lt;Members&gt;</w:t>
      </w:r>
      <w:r>
        <w:t>Csaba Molnár</w:t>
      </w:r>
      <w:r>
        <w:rPr>
          <w:rStyle w:val="HideTWBExt"/>
          <w:b w:val="0"/>
        </w:rPr>
        <w:t>&lt;/Members&gt;</w:t>
      </w:r>
    </w:p>
    <w:p w14:paraId="23EC933E" w14:textId="77777777" w:rsidR="006B6379" w:rsidRPr="00E96208" w:rsidRDefault="006B6379" w:rsidP="006B6379">
      <w:pPr>
        <w:pStyle w:val="NormalBold"/>
      </w:pPr>
      <w:r>
        <w:rPr>
          <w:rStyle w:val="HideTWBExt"/>
          <w:b w:val="0"/>
        </w:rPr>
        <w:t>&lt;/RepeatBlock-By&gt;</w:t>
      </w:r>
    </w:p>
    <w:p w14:paraId="45D967D9" w14:textId="77777777" w:rsidR="006B6379" w:rsidRPr="00E96208" w:rsidRDefault="006B6379" w:rsidP="006B6379">
      <w:pPr>
        <w:pStyle w:val="NormalBold"/>
      </w:pPr>
      <w:r>
        <w:rPr>
          <w:rStyle w:val="HideTWBExt"/>
        </w:rPr>
        <w:t>&lt;DocAmend&gt;</w:t>
      </w:r>
      <w:r>
        <w:t>Ontwerpresolutie</w:t>
      </w:r>
      <w:r>
        <w:rPr>
          <w:rStyle w:val="HideTWBExt"/>
        </w:rPr>
        <w:t>&lt;/DocAmend&gt;</w:t>
      </w:r>
    </w:p>
    <w:p w14:paraId="4071BDC2" w14:textId="77777777" w:rsidR="006B6379" w:rsidRPr="00E96208" w:rsidRDefault="006B6379" w:rsidP="006B6379">
      <w:pPr>
        <w:pStyle w:val="NormalBold"/>
      </w:pPr>
      <w:r>
        <w:rPr>
          <w:rStyle w:val="HideTWBExt"/>
        </w:rPr>
        <w:t>&lt;Article&gt;</w:t>
      </w:r>
      <w:r>
        <w:t>Paragraaf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46A81C4E" w14:textId="77777777" w:rsidTr="00B30934">
        <w:trPr>
          <w:trHeight w:val="240"/>
          <w:jc w:val="center"/>
        </w:trPr>
        <w:tc>
          <w:tcPr>
            <w:tcW w:w="9752" w:type="dxa"/>
            <w:gridSpan w:val="2"/>
            <w:tcBorders>
              <w:top w:val="nil"/>
              <w:left w:val="nil"/>
              <w:bottom w:val="nil"/>
              <w:right w:val="nil"/>
            </w:tcBorders>
          </w:tcPr>
          <w:p w14:paraId="668991B8" w14:textId="77777777" w:rsidR="006B6379" w:rsidRPr="00E96208" w:rsidRDefault="006B6379" w:rsidP="00B30934"/>
        </w:tc>
      </w:tr>
      <w:tr w:rsidR="006B6379" w14:paraId="5E326B1D" w14:textId="77777777" w:rsidTr="00B30934">
        <w:trPr>
          <w:trHeight w:val="240"/>
          <w:jc w:val="center"/>
        </w:trPr>
        <w:tc>
          <w:tcPr>
            <w:tcW w:w="4876" w:type="dxa"/>
            <w:tcBorders>
              <w:top w:val="nil"/>
              <w:left w:val="nil"/>
              <w:bottom w:val="nil"/>
              <w:right w:val="nil"/>
            </w:tcBorders>
            <w:hideMark/>
          </w:tcPr>
          <w:p w14:paraId="3A52BBB8"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12F86474" w14:textId="77777777" w:rsidR="006B6379" w:rsidRPr="00E96208" w:rsidRDefault="006B6379" w:rsidP="00B30934">
            <w:pPr>
              <w:pStyle w:val="AmColumnHeading"/>
            </w:pPr>
            <w:r>
              <w:t>Amendement</w:t>
            </w:r>
          </w:p>
        </w:tc>
      </w:tr>
      <w:tr w:rsidR="006B6379" w14:paraId="46DCFFBE" w14:textId="77777777" w:rsidTr="00B30934">
        <w:trPr>
          <w:jc w:val="center"/>
        </w:trPr>
        <w:tc>
          <w:tcPr>
            <w:tcW w:w="4876" w:type="dxa"/>
            <w:tcBorders>
              <w:top w:val="nil"/>
              <w:left w:val="nil"/>
              <w:bottom w:val="nil"/>
              <w:right w:val="nil"/>
            </w:tcBorders>
            <w:hideMark/>
          </w:tcPr>
          <w:p w14:paraId="4F44217C" w14:textId="77777777" w:rsidR="006B6379" w:rsidRPr="00E96208" w:rsidRDefault="006B6379" w:rsidP="00B30934">
            <w:pPr>
              <w:pStyle w:val="Normal6a"/>
            </w:pPr>
            <w:r>
              <w:t>60.</w:t>
            </w:r>
            <w:r>
              <w:tab/>
              <w:t xml:space="preserve">merkt op dat in 2024, na de positieve conclusies van het proefproject dat in 2023 is uitgevoerd, een stagebeleid is vastgesteld en goedgekeurd, waarna, in hetzelfde jaar, de eerste groep stagiairs werd aangeworven; merkt op dat in 2024 acht stagiairs bij het EOM zijn ontvangen, die – zoals bepaald in het stagebeleid – volgens een werktijdregeling hebben gewerkt die is gekoppeld aan die van het statutaire personeel van het EOM, in dit geval overeenkomstig de bepalingen van Besluit C(2022) 1788 </w:t>
            </w:r>
            <w:proofErr w:type="spellStart"/>
            <w:r>
              <w:t>final</w:t>
            </w:r>
            <w:proofErr w:type="spellEnd"/>
            <w:r>
              <w:t xml:space="preserve"> van de Commissie van 24 maart 2022 inzake arbeidstijd en hybride werken; waardeert het feit dat alle stagiairs bij het EOM een maandelijks inkomen (in de vorm van een beurs) ontvangen;</w:t>
            </w:r>
          </w:p>
        </w:tc>
        <w:tc>
          <w:tcPr>
            <w:tcW w:w="4876" w:type="dxa"/>
            <w:tcBorders>
              <w:top w:val="nil"/>
              <w:left w:val="nil"/>
              <w:bottom w:val="nil"/>
              <w:right w:val="nil"/>
            </w:tcBorders>
            <w:hideMark/>
          </w:tcPr>
          <w:p w14:paraId="03C565BF" w14:textId="77777777" w:rsidR="006B6379" w:rsidRPr="00E96208" w:rsidRDefault="006B6379" w:rsidP="00B30934">
            <w:pPr>
              <w:pStyle w:val="Normal6a"/>
            </w:pPr>
            <w:r>
              <w:t>60.</w:t>
            </w:r>
            <w:r>
              <w:tab/>
              <w:t xml:space="preserve">merkt op dat in 2024, na de positieve conclusies van het proefproject dat in 2023 is uitgevoerd, een stagebeleid is vastgesteld en goedgekeurd, waarna, in hetzelfde jaar, de eerste groep stagiairs werd aangeworven; merkt op dat in 2024 acht stagiairs bij het EOM zijn ontvangen, die – zoals bepaald in het stagebeleid – volgens een werktijdregeling hebben gewerkt die is gekoppeld aan die van het statutaire personeel van het EOM, in dit geval overeenkomstig de bepalingen van Besluit C(2022) 1788 </w:t>
            </w:r>
            <w:proofErr w:type="spellStart"/>
            <w:r>
              <w:t>final</w:t>
            </w:r>
            <w:proofErr w:type="spellEnd"/>
            <w:r>
              <w:t xml:space="preserve"> van de Commissie van 24 maart 2022 inzake arbeidstijd en hybride werken; waardeert het feit dat alle stagiairs bij het EOM een maandelijks inkomen (in de vorm van een beurs) ontvangen; </w:t>
            </w:r>
            <w:r>
              <w:rPr>
                <w:b/>
                <w:i/>
              </w:rPr>
              <w:t>benadrukt dat de hoge kosten van levensonderhoud in Luxemburg een aanzienlijk obstakel vormen voor potentiële stagiairs;</w:t>
            </w:r>
          </w:p>
        </w:tc>
      </w:tr>
    </w:tbl>
    <w:p w14:paraId="274BEE12"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26F8FE69" w14:textId="77777777" w:rsidR="006B6379" w:rsidRPr="00E96208" w:rsidRDefault="006B6379" w:rsidP="006B6379">
      <w:r>
        <w:rPr>
          <w:rStyle w:val="HideTWBExt"/>
        </w:rPr>
        <w:t>&lt;/Amend&gt;</w:t>
      </w:r>
    </w:p>
    <w:p w14:paraId="25E4AC26" w14:textId="77777777" w:rsidR="006B6379" w:rsidRPr="00E96208" w:rsidRDefault="006B6379" w:rsidP="006B6379">
      <w:pPr>
        <w:pStyle w:val="AmNumberTabs"/>
      </w:pPr>
      <w:r>
        <w:rPr>
          <w:rStyle w:val="HideTWBExt"/>
        </w:rPr>
        <w:t>&lt;Amend&gt;</w:t>
      </w:r>
      <w:r>
        <w:t>Amendement</w:t>
      </w:r>
      <w:r>
        <w:tab/>
      </w:r>
      <w:r>
        <w:tab/>
      </w:r>
      <w:r>
        <w:rPr>
          <w:rStyle w:val="HideTWBExt"/>
        </w:rPr>
        <w:t>&lt;NumAm&gt;</w:t>
      </w:r>
      <w:r>
        <w:t>44</w:t>
      </w:r>
      <w:r>
        <w:rPr>
          <w:rStyle w:val="HideTWBExt"/>
        </w:rPr>
        <w:t>&lt;/NumAm&gt;</w:t>
      </w:r>
    </w:p>
    <w:p w14:paraId="50ACFD4E" w14:textId="77777777" w:rsidR="006B6379" w:rsidRPr="00E96208" w:rsidRDefault="006B6379" w:rsidP="006B6379">
      <w:pPr>
        <w:pStyle w:val="NormalBold"/>
      </w:pPr>
      <w:r>
        <w:rPr>
          <w:rStyle w:val="HideTWBExt"/>
          <w:b w:val="0"/>
        </w:rPr>
        <w:t>&lt;RepeatBlock-By&gt;&lt;Members&gt;</w:t>
      </w:r>
      <w:r>
        <w:t>Damian Boeselager</w:t>
      </w:r>
      <w:r>
        <w:rPr>
          <w:rStyle w:val="HideTWBExt"/>
          <w:b w:val="0"/>
        </w:rPr>
        <w:t>&lt;/Members&gt;</w:t>
      </w:r>
    </w:p>
    <w:p w14:paraId="177E6877" w14:textId="77777777" w:rsidR="006B6379" w:rsidRPr="00E96208" w:rsidRDefault="006B6379" w:rsidP="006B6379">
      <w:r>
        <w:rPr>
          <w:rStyle w:val="HideTWBExt"/>
        </w:rPr>
        <w:t>&lt;AuNomDe&gt;</w:t>
      </w:r>
      <w:r>
        <w:rPr>
          <w:rStyle w:val="HideTWBInt"/>
          <w:color w:val="auto"/>
        </w:rPr>
        <w:t>{Verts/ALE}</w:t>
      </w:r>
      <w:r>
        <w:t>namens de Verts/ALE‐Fractie</w:t>
      </w:r>
      <w:r>
        <w:rPr>
          <w:rStyle w:val="HideTWBExt"/>
        </w:rPr>
        <w:t>&lt;/AuNomDe&gt;</w:t>
      </w:r>
    </w:p>
    <w:p w14:paraId="677A4983" w14:textId="77777777" w:rsidR="006B6379" w:rsidRPr="00E96208" w:rsidRDefault="006B6379" w:rsidP="006B6379">
      <w:pPr>
        <w:pStyle w:val="NormalBold"/>
      </w:pPr>
      <w:r>
        <w:rPr>
          <w:rStyle w:val="HideTWBExt"/>
          <w:b w:val="0"/>
        </w:rPr>
        <w:t>&lt;/RepeatBlock-By&gt;</w:t>
      </w:r>
    </w:p>
    <w:p w14:paraId="59630DD7" w14:textId="77777777" w:rsidR="006B6379" w:rsidRPr="00E96208" w:rsidRDefault="006B6379" w:rsidP="006B6379">
      <w:pPr>
        <w:pStyle w:val="NormalBold"/>
      </w:pPr>
      <w:r>
        <w:rPr>
          <w:rStyle w:val="HideTWBExt"/>
        </w:rPr>
        <w:t>&lt;DocAmend&gt;</w:t>
      </w:r>
      <w:r>
        <w:t>Ontwerpresolutie</w:t>
      </w:r>
      <w:r>
        <w:rPr>
          <w:rStyle w:val="HideTWBExt"/>
        </w:rPr>
        <w:t>&lt;/DocAmend&gt;</w:t>
      </w:r>
    </w:p>
    <w:p w14:paraId="4816D67C" w14:textId="77777777" w:rsidR="006B6379" w:rsidRPr="00E96208" w:rsidRDefault="006B6379" w:rsidP="006B6379">
      <w:pPr>
        <w:pStyle w:val="NormalBold"/>
      </w:pPr>
      <w:r>
        <w:rPr>
          <w:rStyle w:val="HideTWBExt"/>
        </w:rPr>
        <w:t>&lt;Article&gt;</w:t>
      </w:r>
      <w:r>
        <w:t>Paragraaf 65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3E78420B" w14:textId="77777777" w:rsidTr="00B30934">
        <w:trPr>
          <w:trHeight w:val="240"/>
          <w:jc w:val="center"/>
        </w:trPr>
        <w:tc>
          <w:tcPr>
            <w:tcW w:w="9752" w:type="dxa"/>
            <w:gridSpan w:val="2"/>
            <w:tcBorders>
              <w:top w:val="nil"/>
              <w:left w:val="nil"/>
              <w:bottom w:val="nil"/>
              <w:right w:val="nil"/>
            </w:tcBorders>
          </w:tcPr>
          <w:p w14:paraId="2F2F23AC" w14:textId="77777777" w:rsidR="006B6379" w:rsidRPr="00E96208" w:rsidRDefault="006B6379" w:rsidP="00B30934"/>
        </w:tc>
      </w:tr>
      <w:tr w:rsidR="006B6379" w14:paraId="477FCEA3" w14:textId="77777777" w:rsidTr="00B30934">
        <w:trPr>
          <w:trHeight w:val="240"/>
          <w:jc w:val="center"/>
        </w:trPr>
        <w:tc>
          <w:tcPr>
            <w:tcW w:w="4876" w:type="dxa"/>
            <w:tcBorders>
              <w:top w:val="nil"/>
              <w:left w:val="nil"/>
              <w:bottom w:val="nil"/>
              <w:right w:val="nil"/>
            </w:tcBorders>
            <w:hideMark/>
          </w:tcPr>
          <w:p w14:paraId="268A818E"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2A98EB18" w14:textId="77777777" w:rsidR="006B6379" w:rsidRPr="00E96208" w:rsidRDefault="006B6379" w:rsidP="00B30934">
            <w:pPr>
              <w:pStyle w:val="AmColumnHeading"/>
            </w:pPr>
            <w:r>
              <w:t>Amendement</w:t>
            </w:r>
          </w:p>
        </w:tc>
      </w:tr>
      <w:tr w:rsidR="006B6379" w14:paraId="03A0D37D" w14:textId="77777777" w:rsidTr="00B30934">
        <w:trPr>
          <w:jc w:val="center"/>
        </w:trPr>
        <w:tc>
          <w:tcPr>
            <w:tcW w:w="4876" w:type="dxa"/>
            <w:tcBorders>
              <w:top w:val="nil"/>
              <w:left w:val="nil"/>
              <w:bottom w:val="nil"/>
              <w:right w:val="nil"/>
            </w:tcBorders>
            <w:hideMark/>
          </w:tcPr>
          <w:p w14:paraId="0D2711AB" w14:textId="77777777" w:rsidR="006B6379" w:rsidRPr="00E96208" w:rsidRDefault="006B6379" w:rsidP="00B30934">
            <w:pPr>
              <w:pStyle w:val="Normal6a"/>
            </w:pPr>
            <w:r>
              <w:t>65.</w:t>
            </w:r>
            <w:r>
              <w:tab/>
              <w:t xml:space="preserve">is blij met de follow-up van het EOM met betrekking tot de meest recente resolutie van het Parlement over het verlenen van kwijting, waarin werd gevraagd om de vaststelling van een speciale klokkenluiders- en </w:t>
            </w:r>
            <w:proofErr w:type="spellStart"/>
            <w:r>
              <w:t>antirepresailleprocedure</w:t>
            </w:r>
            <w:proofErr w:type="spellEnd"/>
            <w:r>
              <w:t xml:space="preserve">, die de door het college vastgestelde uitvoeringsbepalingen bij het Statuut (Besluit 2021/077 van het college tot vaststelling van richtsnoeren inzake klokkenluiders die van toepassing zijn binnen het EOM) moet integreren en artikel 45, lid 12, van het financieel reglement van het EOM (waarin de in de gegeven omstandigheden te nemen maatregelen worden vastgesteld) moet vergezellen, teneinde een veilige en beschermde werkplek te garanderen; begrijpt dat in 2024 een speciale klokkenluiders- en </w:t>
            </w:r>
            <w:proofErr w:type="spellStart"/>
            <w:r>
              <w:t>antirepresailleprocedure</w:t>
            </w:r>
            <w:proofErr w:type="spellEnd"/>
            <w:r>
              <w:t xml:space="preserve"> is opgesteld die begin 2025 is goedgekeurd; moedigt het EOM aan om een intensieve interne dialoog over klokkenluiden te blijven voeren met de vertrouwenspersonen en om de </w:t>
            </w:r>
            <w:proofErr w:type="spellStart"/>
            <w:r>
              <w:t>NEDPA’s</w:t>
            </w:r>
            <w:proofErr w:type="spellEnd"/>
            <w:r>
              <w:t xml:space="preserve"> bij de inhoudelijke kwesties te betrekken;</w:t>
            </w:r>
          </w:p>
        </w:tc>
        <w:tc>
          <w:tcPr>
            <w:tcW w:w="4876" w:type="dxa"/>
            <w:tcBorders>
              <w:top w:val="nil"/>
              <w:left w:val="nil"/>
              <w:bottom w:val="nil"/>
              <w:right w:val="nil"/>
            </w:tcBorders>
            <w:hideMark/>
          </w:tcPr>
          <w:p w14:paraId="2EDD876B" w14:textId="77777777" w:rsidR="006B6379" w:rsidRPr="00E96208" w:rsidRDefault="006B6379" w:rsidP="00B30934">
            <w:pPr>
              <w:pStyle w:val="Normal6a"/>
            </w:pPr>
            <w:r>
              <w:t>65.</w:t>
            </w:r>
            <w:r>
              <w:tab/>
              <w:t xml:space="preserve">is blij met de follow-up van het EOM met betrekking tot de meest recente resolutie van het Parlement over het verlenen van kwijting, waarin werd gevraagd om de vaststelling van een speciale klokkenluiders- en </w:t>
            </w:r>
            <w:proofErr w:type="spellStart"/>
            <w:r>
              <w:t>antirepresailleprocedure</w:t>
            </w:r>
            <w:proofErr w:type="spellEnd"/>
            <w:r>
              <w:t xml:space="preserve">, die de door het college vastgestelde uitvoeringsbepalingen bij het Statuut (Besluit 2021/077 van het college tot vaststelling van richtsnoeren inzake klokkenluiders die van toepassing zijn binnen het EOM) moet integreren en artikel 45, lid 12, van het financieel reglement van het EOM (waarin de in de gegeven omstandigheden te nemen maatregelen worden vastgesteld) moet vergezellen, teneinde een veilige en beschermde werkplek te garanderen; begrijpt dat in 2024 een speciale klokkenluiders- en </w:t>
            </w:r>
            <w:proofErr w:type="spellStart"/>
            <w:r>
              <w:t>antirepresailleprocedure</w:t>
            </w:r>
            <w:proofErr w:type="spellEnd"/>
            <w:r>
              <w:t xml:space="preserve"> is opgesteld die begin 2025 is goedgekeurd; moedigt het EOM aan om een intensieve interne dialoog over klokkenluiden te blijven voeren met de vertrouwenspersonen en om de </w:t>
            </w:r>
            <w:proofErr w:type="spellStart"/>
            <w:r>
              <w:t>NEDPA’s</w:t>
            </w:r>
            <w:proofErr w:type="spellEnd"/>
            <w:r>
              <w:t xml:space="preserve"> bij de inhoudelijke kwesties te betrekken; </w:t>
            </w:r>
            <w:r>
              <w:rPr>
                <w:b/>
                <w:i/>
              </w:rPr>
              <w:t xml:space="preserve">benadrukt dat de doeltreffende uitvoering van klokkenluiders- en </w:t>
            </w:r>
            <w:proofErr w:type="spellStart"/>
            <w:r>
              <w:rPr>
                <w:b/>
                <w:i/>
              </w:rPr>
              <w:t>antirepresailleprocedure</w:t>
            </w:r>
            <w:proofErr w:type="spellEnd"/>
            <w:r>
              <w:rPr>
                <w:b/>
                <w:i/>
              </w:rPr>
              <w:t xml:space="preserve"> van essentieel belang is om de interne integriteit en geloofwaardigheid van het EOM te vrijwaren; verzoekt het EOM aan de kwijtingsautoriteit verslag uit te brengen over de praktische werking van deze waarborgen, waarbij ook aandacht wordt besteed aan het inzicht en het vertrouwen van het personeel in het systeem;</w:t>
            </w:r>
          </w:p>
        </w:tc>
      </w:tr>
    </w:tbl>
    <w:p w14:paraId="4BDE1E0D"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2333C90B" w14:textId="77777777" w:rsidR="006B6379" w:rsidRPr="00E96208" w:rsidRDefault="006B6379" w:rsidP="006B6379">
      <w:r>
        <w:rPr>
          <w:rStyle w:val="HideTWBExt"/>
        </w:rPr>
        <w:t>&lt;/Amend&gt;</w:t>
      </w:r>
    </w:p>
    <w:p w14:paraId="3569C897" w14:textId="77777777" w:rsidR="006B6379" w:rsidRPr="00E96208" w:rsidRDefault="006B6379" w:rsidP="006B6379">
      <w:pPr>
        <w:pStyle w:val="AmNumberTabs"/>
      </w:pPr>
      <w:r>
        <w:rPr>
          <w:rStyle w:val="HideTWBExt"/>
        </w:rPr>
        <w:t>&lt;Amend&gt;</w:t>
      </w:r>
      <w:r>
        <w:t>Amendement</w:t>
      </w:r>
      <w:r>
        <w:tab/>
      </w:r>
      <w:r>
        <w:tab/>
      </w:r>
      <w:r>
        <w:rPr>
          <w:rStyle w:val="HideTWBExt"/>
        </w:rPr>
        <w:t>&lt;NumAm&gt;</w:t>
      </w:r>
      <w:r>
        <w:t>45</w:t>
      </w:r>
      <w:r>
        <w:rPr>
          <w:rStyle w:val="HideTWBExt"/>
        </w:rPr>
        <w:t>&lt;/NumAm&gt;</w:t>
      </w:r>
    </w:p>
    <w:p w14:paraId="36412372"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7BF9970A" w14:textId="77777777" w:rsidR="006B6379" w:rsidRPr="00E96208" w:rsidRDefault="006B6379" w:rsidP="006B6379">
      <w:pPr>
        <w:pStyle w:val="NormalBold"/>
      </w:pPr>
      <w:r>
        <w:rPr>
          <w:rStyle w:val="HideTWBExt"/>
          <w:b w:val="0"/>
        </w:rPr>
        <w:t>&lt;/RepeatBlock-By&gt;</w:t>
      </w:r>
    </w:p>
    <w:p w14:paraId="3124578A" w14:textId="77777777" w:rsidR="006B6379" w:rsidRPr="00E96208" w:rsidRDefault="006B6379" w:rsidP="006B6379">
      <w:pPr>
        <w:pStyle w:val="NormalBold"/>
      </w:pPr>
      <w:r>
        <w:rPr>
          <w:rStyle w:val="HideTWBExt"/>
        </w:rPr>
        <w:t>&lt;DocAmend&gt;</w:t>
      </w:r>
      <w:r>
        <w:t>Ontwerpresolutie</w:t>
      </w:r>
      <w:r>
        <w:rPr>
          <w:rStyle w:val="HideTWBExt"/>
        </w:rPr>
        <w:t>&lt;/DocAmend&gt;</w:t>
      </w:r>
    </w:p>
    <w:p w14:paraId="5A3F1B2E" w14:textId="77777777" w:rsidR="006B6379" w:rsidRPr="00E96208" w:rsidRDefault="006B6379" w:rsidP="006B6379">
      <w:pPr>
        <w:pStyle w:val="NormalBold"/>
      </w:pPr>
      <w:r>
        <w:rPr>
          <w:rStyle w:val="HideTWBExt"/>
        </w:rPr>
        <w:t>&lt;Article&gt;</w:t>
      </w:r>
      <w:r>
        <w:t>Paragraaf 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7664D2BF" w14:textId="77777777" w:rsidTr="00B30934">
        <w:trPr>
          <w:trHeight w:val="240"/>
          <w:jc w:val="center"/>
        </w:trPr>
        <w:tc>
          <w:tcPr>
            <w:tcW w:w="9752" w:type="dxa"/>
            <w:gridSpan w:val="2"/>
            <w:tcBorders>
              <w:top w:val="nil"/>
              <w:left w:val="nil"/>
              <w:bottom w:val="nil"/>
              <w:right w:val="nil"/>
            </w:tcBorders>
          </w:tcPr>
          <w:p w14:paraId="42028994" w14:textId="77777777" w:rsidR="006B6379" w:rsidRPr="00E96208" w:rsidRDefault="006B6379" w:rsidP="00B30934"/>
        </w:tc>
      </w:tr>
      <w:tr w:rsidR="006B6379" w14:paraId="5C310341" w14:textId="77777777" w:rsidTr="00B30934">
        <w:trPr>
          <w:trHeight w:val="240"/>
          <w:jc w:val="center"/>
        </w:trPr>
        <w:tc>
          <w:tcPr>
            <w:tcW w:w="4876" w:type="dxa"/>
            <w:tcBorders>
              <w:top w:val="nil"/>
              <w:left w:val="nil"/>
              <w:bottom w:val="nil"/>
              <w:right w:val="nil"/>
            </w:tcBorders>
            <w:hideMark/>
          </w:tcPr>
          <w:p w14:paraId="14F5DD61"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373A8C9C" w14:textId="77777777" w:rsidR="006B6379" w:rsidRPr="00E96208" w:rsidRDefault="006B6379" w:rsidP="00B30934">
            <w:pPr>
              <w:pStyle w:val="AmColumnHeading"/>
            </w:pPr>
            <w:r>
              <w:t>Amendement</w:t>
            </w:r>
          </w:p>
        </w:tc>
      </w:tr>
      <w:tr w:rsidR="006B6379" w14:paraId="5F15800C" w14:textId="77777777" w:rsidTr="00B30934">
        <w:trPr>
          <w:jc w:val="center"/>
        </w:trPr>
        <w:tc>
          <w:tcPr>
            <w:tcW w:w="4876" w:type="dxa"/>
            <w:tcBorders>
              <w:top w:val="nil"/>
              <w:left w:val="nil"/>
              <w:bottom w:val="nil"/>
              <w:right w:val="nil"/>
            </w:tcBorders>
            <w:hideMark/>
          </w:tcPr>
          <w:p w14:paraId="5F56B27F" w14:textId="77777777" w:rsidR="006B6379" w:rsidRPr="00E96208" w:rsidRDefault="006B6379" w:rsidP="00B30934">
            <w:pPr>
              <w:pStyle w:val="Normal6a"/>
            </w:pPr>
            <w:r>
              <w:t>67.</w:t>
            </w:r>
            <w:r>
              <w:tab/>
              <w:t>merkt op dat transparantie van cruciaal belang is in de interacties van het EOM met externe actoren; waardeert de bereidheid van het EOM om te onderzoeken hoe de transparantie van zijn interacties met externe actoren verder kan worden vergroot, waarbij naar behoren rekening wordt gehouden met de gevoeligheid en specificiteit van de functie van openbaar aanklager en de noodzaak om de onafhankelijkheid van het EOM te beschermen; blijft van mening dat de invoering van een verplicht openbaar register van alle bijeenkomsten tussen ambtenaren van het EOM en vertegenwoordigers van derde partijen, met inbegrip van lobbyisten en vertegenwoordigers van nationale regeringen,</w:t>
            </w:r>
            <w:r>
              <w:rPr>
                <w:b/>
                <w:i/>
              </w:rPr>
              <w:t xml:space="preserve"> in hoge mate</w:t>
            </w:r>
            <w:r>
              <w:t xml:space="preserve"> zou bijdragen tot het versterken van het vertrouwen van het publiek in de onafhankelijkheid van het EOM en elke schijn van ongepaste beïnvloeding zou voorkomen;</w:t>
            </w:r>
          </w:p>
        </w:tc>
        <w:tc>
          <w:tcPr>
            <w:tcW w:w="4876" w:type="dxa"/>
            <w:tcBorders>
              <w:top w:val="nil"/>
              <w:left w:val="nil"/>
              <w:bottom w:val="nil"/>
              <w:right w:val="nil"/>
            </w:tcBorders>
            <w:hideMark/>
          </w:tcPr>
          <w:p w14:paraId="1C0AA2D5" w14:textId="77777777" w:rsidR="006B6379" w:rsidRPr="00E96208" w:rsidRDefault="006B6379" w:rsidP="00B30934">
            <w:pPr>
              <w:pStyle w:val="Normal6a"/>
            </w:pPr>
            <w:r>
              <w:t>67.</w:t>
            </w:r>
            <w:r>
              <w:tab/>
              <w:t>merkt op dat transparantie van cruciaal belang is in de interacties van het EOM met externe actoren; waardeert de bereidheid van het EOM om te onderzoeken hoe de transparantie van zijn interacties met externe actoren verder kan worden vergroot, waarbij naar behoren rekening wordt gehouden met de gevoeligheid en specificiteit van de functie van openbaar aanklager</w:t>
            </w:r>
            <w:r>
              <w:rPr>
                <w:b/>
                <w:i/>
              </w:rPr>
              <w:t>, met inbegrip van het toezicht door rechterlijke instanties,</w:t>
            </w:r>
            <w:r>
              <w:t xml:space="preserve"> en de noodzaak om de onafhankelijkheid van het EOM te beschermen; blijft van mening dat de invoering van een verplicht openbaar register van alle bijeenkomsten tussen ambtenaren van het EOM en vertegenwoordigers van derde partijen, met inbegrip van lobbyisten en vertegenwoordigers van nationale regeringen, zou bijdragen tot het versterken van het vertrouwen van het publiek in de onafhankelijkheid van het EOM en elke schijn van ongepaste beïnvloeding zou voorkomen;</w:t>
            </w:r>
          </w:p>
        </w:tc>
      </w:tr>
    </w:tbl>
    <w:p w14:paraId="56DE2ED0"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24B6D554" w14:textId="77777777" w:rsidR="006B6379" w:rsidRPr="00E96208" w:rsidRDefault="006B6379" w:rsidP="006B6379">
      <w:r>
        <w:rPr>
          <w:rStyle w:val="HideTWBExt"/>
        </w:rPr>
        <w:t>&lt;/Amend&gt;</w:t>
      </w:r>
    </w:p>
    <w:p w14:paraId="6A20CA12" w14:textId="77777777" w:rsidR="006B6379" w:rsidRPr="00E96208" w:rsidRDefault="006B6379" w:rsidP="006B6379">
      <w:pPr>
        <w:pStyle w:val="AmNumberTabs"/>
      </w:pPr>
      <w:r>
        <w:rPr>
          <w:rStyle w:val="HideTWBExt"/>
        </w:rPr>
        <w:t>&lt;Amend&gt;</w:t>
      </w:r>
      <w:r>
        <w:t>Amendement</w:t>
      </w:r>
      <w:r>
        <w:tab/>
      </w:r>
      <w:r>
        <w:tab/>
      </w:r>
      <w:r>
        <w:rPr>
          <w:rStyle w:val="HideTWBExt"/>
        </w:rPr>
        <w:t>&lt;NumAm&gt;</w:t>
      </w:r>
      <w:r>
        <w:t>46</w:t>
      </w:r>
      <w:r>
        <w:rPr>
          <w:rStyle w:val="HideTWBExt"/>
        </w:rPr>
        <w:t>&lt;/NumAm&gt;</w:t>
      </w:r>
    </w:p>
    <w:p w14:paraId="06F4FE0B" w14:textId="77777777" w:rsidR="006B6379" w:rsidRPr="00E96208" w:rsidRDefault="006B6379" w:rsidP="006B6379">
      <w:pPr>
        <w:pStyle w:val="NormalBold"/>
      </w:pPr>
      <w:r>
        <w:rPr>
          <w:rStyle w:val="HideTWBExt"/>
          <w:b w:val="0"/>
        </w:rPr>
        <w:t>&lt;RepeatBlock-By&gt;&lt;Members&gt;</w:t>
      </w:r>
      <w:r>
        <w:t>Ondřej Knotek, Virginie Joron, Julien Sanchez</w:t>
      </w:r>
      <w:r>
        <w:rPr>
          <w:rStyle w:val="HideTWBExt"/>
          <w:b w:val="0"/>
        </w:rPr>
        <w:t>&lt;/Members&gt;</w:t>
      </w:r>
    </w:p>
    <w:p w14:paraId="7FC295E1" w14:textId="77777777" w:rsidR="006B6379" w:rsidRPr="00E96208" w:rsidRDefault="006B6379" w:rsidP="006B6379">
      <w:pPr>
        <w:pStyle w:val="NormalBold"/>
      </w:pPr>
      <w:r>
        <w:rPr>
          <w:rStyle w:val="HideTWBExt"/>
          <w:b w:val="0"/>
        </w:rPr>
        <w:t>&lt;/RepeatBlock-By&gt;</w:t>
      </w:r>
    </w:p>
    <w:p w14:paraId="66FCC72E" w14:textId="77777777" w:rsidR="006B6379" w:rsidRPr="00E96208" w:rsidRDefault="006B6379" w:rsidP="006B6379">
      <w:pPr>
        <w:pStyle w:val="NormalBold"/>
      </w:pPr>
      <w:r>
        <w:rPr>
          <w:rStyle w:val="HideTWBExt"/>
        </w:rPr>
        <w:t>&lt;DocAmend&gt;</w:t>
      </w:r>
      <w:r>
        <w:t>Ontwerpresolutie</w:t>
      </w:r>
      <w:r>
        <w:rPr>
          <w:rStyle w:val="HideTWBExt"/>
        </w:rPr>
        <w:t>&lt;/DocAmend&gt;</w:t>
      </w:r>
    </w:p>
    <w:p w14:paraId="0A722607" w14:textId="77777777" w:rsidR="006B6379" w:rsidRPr="00E96208" w:rsidRDefault="006B6379" w:rsidP="006B6379">
      <w:pPr>
        <w:pStyle w:val="NormalBold"/>
      </w:pPr>
      <w:r>
        <w:rPr>
          <w:rStyle w:val="HideTWBExt"/>
        </w:rPr>
        <w:t>&lt;Article&gt;</w:t>
      </w:r>
      <w:r>
        <w:t>Paragraaf 67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4C235408" w14:textId="77777777" w:rsidTr="00B30934">
        <w:trPr>
          <w:trHeight w:val="240"/>
          <w:jc w:val="center"/>
        </w:trPr>
        <w:tc>
          <w:tcPr>
            <w:tcW w:w="9752" w:type="dxa"/>
            <w:gridSpan w:val="2"/>
            <w:tcBorders>
              <w:top w:val="nil"/>
              <w:left w:val="nil"/>
              <w:bottom w:val="nil"/>
              <w:right w:val="nil"/>
            </w:tcBorders>
          </w:tcPr>
          <w:p w14:paraId="582986C0" w14:textId="77777777" w:rsidR="006B6379" w:rsidRPr="00E96208" w:rsidRDefault="006B6379" w:rsidP="00B30934"/>
        </w:tc>
      </w:tr>
      <w:tr w:rsidR="006B6379" w14:paraId="0A93A8FE" w14:textId="77777777" w:rsidTr="00B30934">
        <w:trPr>
          <w:trHeight w:val="240"/>
          <w:jc w:val="center"/>
        </w:trPr>
        <w:tc>
          <w:tcPr>
            <w:tcW w:w="4876" w:type="dxa"/>
            <w:tcBorders>
              <w:top w:val="nil"/>
              <w:left w:val="nil"/>
              <w:bottom w:val="nil"/>
              <w:right w:val="nil"/>
            </w:tcBorders>
            <w:hideMark/>
          </w:tcPr>
          <w:p w14:paraId="025BA069"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10258608" w14:textId="77777777" w:rsidR="006B6379" w:rsidRPr="00E96208" w:rsidRDefault="006B6379" w:rsidP="00B30934">
            <w:pPr>
              <w:pStyle w:val="AmColumnHeading"/>
            </w:pPr>
            <w:r>
              <w:t>Amendement</w:t>
            </w:r>
          </w:p>
        </w:tc>
      </w:tr>
      <w:tr w:rsidR="006B6379" w14:paraId="052CD5B6" w14:textId="77777777" w:rsidTr="00B30934">
        <w:trPr>
          <w:jc w:val="center"/>
        </w:trPr>
        <w:tc>
          <w:tcPr>
            <w:tcW w:w="4876" w:type="dxa"/>
            <w:tcBorders>
              <w:top w:val="nil"/>
              <w:left w:val="nil"/>
              <w:bottom w:val="nil"/>
              <w:right w:val="nil"/>
            </w:tcBorders>
          </w:tcPr>
          <w:p w14:paraId="5DC6D8B6" w14:textId="77777777" w:rsidR="006B6379" w:rsidRPr="00E96208" w:rsidRDefault="006B6379" w:rsidP="00B30934">
            <w:pPr>
              <w:pStyle w:val="Normal6a"/>
            </w:pPr>
          </w:p>
        </w:tc>
        <w:tc>
          <w:tcPr>
            <w:tcW w:w="4876" w:type="dxa"/>
            <w:tcBorders>
              <w:top w:val="nil"/>
              <w:left w:val="nil"/>
              <w:bottom w:val="nil"/>
              <w:right w:val="nil"/>
            </w:tcBorders>
            <w:hideMark/>
          </w:tcPr>
          <w:p w14:paraId="3074A00D" w14:textId="77777777" w:rsidR="006B6379" w:rsidRPr="00E96208" w:rsidRDefault="006B6379" w:rsidP="00B30934">
            <w:pPr>
              <w:pStyle w:val="Normal6a"/>
            </w:pPr>
            <w:r>
              <w:rPr>
                <w:b/>
                <w:i/>
              </w:rPr>
              <w:t>67 bis.</w:t>
            </w:r>
            <w:r>
              <w:tab/>
            </w:r>
            <w:r>
              <w:rPr>
                <w:b/>
                <w:i/>
              </w:rPr>
              <w:t>neemt kennis van de beschuldigingen die op 11 juli 2025 openbaar zijn gemaakt in een video waarin een klokkenluider de Europese hoofdaanklager ervan beschuldigt een vermeend bevel tot vernietiging van bewijsmateriaal in verband met corruptie en misbruik van middelen van de Unie in Roemenië te hebben verhuld; betreurt dat de Commissie niet heeft geantwoord op parlementaire vragen over de authenticiteit van de video; verzoekt de Commissie, met volledige inachtneming van de onafhankelijkheid van het openbaar ministerie en het vermoeden van onschuld, onverwijld te verduidelijken of de beschuldigingen zijn nagegaan en het Parlement in kennis te stellen;</w:t>
            </w:r>
          </w:p>
        </w:tc>
      </w:tr>
    </w:tbl>
    <w:p w14:paraId="240F696E"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7E4C7148" w14:textId="77777777" w:rsidR="006B6379" w:rsidRPr="00E96208" w:rsidRDefault="006B6379" w:rsidP="006B6379">
      <w:r>
        <w:rPr>
          <w:rStyle w:val="HideTWBExt"/>
        </w:rPr>
        <w:t>&lt;/Amend&gt;</w:t>
      </w:r>
    </w:p>
    <w:p w14:paraId="62D342A2" w14:textId="77777777" w:rsidR="006B6379" w:rsidRPr="00E96208" w:rsidRDefault="006B6379" w:rsidP="006B6379">
      <w:pPr>
        <w:pStyle w:val="AmNumberTabs"/>
      </w:pPr>
      <w:r>
        <w:rPr>
          <w:rStyle w:val="HideTWBExt"/>
        </w:rPr>
        <w:t>&lt;Amend&gt;</w:t>
      </w:r>
      <w:r>
        <w:t>Amendement</w:t>
      </w:r>
      <w:r>
        <w:tab/>
      </w:r>
      <w:r>
        <w:tab/>
      </w:r>
      <w:r>
        <w:rPr>
          <w:rStyle w:val="HideTWBExt"/>
        </w:rPr>
        <w:t>&lt;NumAm&gt;</w:t>
      </w:r>
      <w:r>
        <w:t>47</w:t>
      </w:r>
      <w:r>
        <w:rPr>
          <w:rStyle w:val="HideTWBExt"/>
        </w:rPr>
        <w:t>&lt;/NumAm&gt;</w:t>
      </w:r>
    </w:p>
    <w:p w14:paraId="5DB0325E" w14:textId="77777777" w:rsidR="006B6379" w:rsidRPr="00E96208" w:rsidRDefault="006B6379" w:rsidP="006B6379">
      <w:pPr>
        <w:pStyle w:val="NormalBold"/>
      </w:pPr>
      <w:r>
        <w:rPr>
          <w:rStyle w:val="HideTWBExt"/>
          <w:b w:val="0"/>
        </w:rPr>
        <w:t>&lt;RepeatBlock-By&gt;&lt;Members&gt;</w:t>
      </w:r>
      <w:r>
        <w:t>Virginie Joron, Julien Sanchez</w:t>
      </w:r>
      <w:r>
        <w:rPr>
          <w:rStyle w:val="HideTWBExt"/>
          <w:b w:val="0"/>
        </w:rPr>
        <w:t>&lt;/Members&gt;</w:t>
      </w:r>
    </w:p>
    <w:p w14:paraId="4B89211B" w14:textId="77777777" w:rsidR="006B6379" w:rsidRPr="00E96208" w:rsidRDefault="006B6379" w:rsidP="006B6379">
      <w:pPr>
        <w:pStyle w:val="NormalBold"/>
      </w:pPr>
      <w:r>
        <w:rPr>
          <w:rStyle w:val="HideTWBExt"/>
          <w:b w:val="0"/>
        </w:rPr>
        <w:t>&lt;/RepeatBlock-By&gt;</w:t>
      </w:r>
    </w:p>
    <w:p w14:paraId="66C7E44B" w14:textId="77777777" w:rsidR="006B6379" w:rsidRPr="00E96208" w:rsidRDefault="006B6379" w:rsidP="006B6379">
      <w:pPr>
        <w:pStyle w:val="NormalBold"/>
      </w:pPr>
      <w:r>
        <w:rPr>
          <w:rStyle w:val="HideTWBExt"/>
        </w:rPr>
        <w:t>&lt;DocAmend&gt;</w:t>
      </w:r>
      <w:r>
        <w:t>Ontwerpresolutie</w:t>
      </w:r>
      <w:r>
        <w:rPr>
          <w:rStyle w:val="HideTWBExt"/>
        </w:rPr>
        <w:t>&lt;/DocAmend&gt;</w:t>
      </w:r>
    </w:p>
    <w:p w14:paraId="1D8E0922" w14:textId="77777777" w:rsidR="006B6379" w:rsidRPr="00E96208" w:rsidRDefault="006B6379" w:rsidP="006B6379">
      <w:pPr>
        <w:pStyle w:val="NormalBold"/>
      </w:pPr>
      <w:r>
        <w:rPr>
          <w:rStyle w:val="HideTWBExt"/>
        </w:rPr>
        <w:t>&lt;Article&gt;</w:t>
      </w:r>
      <w:r>
        <w:t>Paragraaf 67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60873D4D" w14:textId="77777777" w:rsidTr="00B30934">
        <w:trPr>
          <w:trHeight w:val="240"/>
          <w:jc w:val="center"/>
        </w:trPr>
        <w:tc>
          <w:tcPr>
            <w:tcW w:w="9752" w:type="dxa"/>
            <w:gridSpan w:val="2"/>
            <w:tcBorders>
              <w:top w:val="nil"/>
              <w:left w:val="nil"/>
              <w:bottom w:val="nil"/>
              <w:right w:val="nil"/>
            </w:tcBorders>
          </w:tcPr>
          <w:p w14:paraId="6D0128CD" w14:textId="77777777" w:rsidR="006B6379" w:rsidRPr="00E96208" w:rsidRDefault="006B6379" w:rsidP="00B30934"/>
        </w:tc>
      </w:tr>
      <w:tr w:rsidR="006B6379" w14:paraId="161261A4" w14:textId="77777777" w:rsidTr="00B30934">
        <w:trPr>
          <w:trHeight w:val="240"/>
          <w:jc w:val="center"/>
        </w:trPr>
        <w:tc>
          <w:tcPr>
            <w:tcW w:w="4876" w:type="dxa"/>
            <w:tcBorders>
              <w:top w:val="nil"/>
              <w:left w:val="nil"/>
              <w:bottom w:val="nil"/>
              <w:right w:val="nil"/>
            </w:tcBorders>
            <w:hideMark/>
          </w:tcPr>
          <w:p w14:paraId="3F47A47D"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3A7E305E" w14:textId="77777777" w:rsidR="006B6379" w:rsidRPr="00E96208" w:rsidRDefault="006B6379" w:rsidP="00B30934">
            <w:pPr>
              <w:pStyle w:val="AmColumnHeading"/>
            </w:pPr>
            <w:r>
              <w:t>Amendement</w:t>
            </w:r>
          </w:p>
        </w:tc>
      </w:tr>
      <w:tr w:rsidR="006B6379" w14:paraId="619CA800" w14:textId="77777777" w:rsidTr="00B30934">
        <w:trPr>
          <w:jc w:val="center"/>
        </w:trPr>
        <w:tc>
          <w:tcPr>
            <w:tcW w:w="4876" w:type="dxa"/>
            <w:tcBorders>
              <w:top w:val="nil"/>
              <w:left w:val="nil"/>
              <w:bottom w:val="nil"/>
              <w:right w:val="nil"/>
            </w:tcBorders>
          </w:tcPr>
          <w:p w14:paraId="5A387BBC" w14:textId="77777777" w:rsidR="006B6379" w:rsidRPr="00E96208" w:rsidRDefault="006B6379" w:rsidP="00B30934">
            <w:pPr>
              <w:pStyle w:val="Normal6a"/>
            </w:pPr>
          </w:p>
        </w:tc>
        <w:tc>
          <w:tcPr>
            <w:tcW w:w="4876" w:type="dxa"/>
            <w:tcBorders>
              <w:top w:val="nil"/>
              <w:left w:val="nil"/>
              <w:bottom w:val="nil"/>
              <w:right w:val="nil"/>
            </w:tcBorders>
            <w:hideMark/>
          </w:tcPr>
          <w:p w14:paraId="43EFCD1D" w14:textId="77777777" w:rsidR="006B6379" w:rsidRPr="00E96208" w:rsidRDefault="006B6379" w:rsidP="00B30934">
            <w:pPr>
              <w:pStyle w:val="Normal6a"/>
            </w:pPr>
            <w:r>
              <w:rPr>
                <w:b/>
                <w:i/>
              </w:rPr>
              <w:t>67 bis.</w:t>
            </w:r>
            <w:r>
              <w:tab/>
            </w:r>
            <w:r>
              <w:rPr>
                <w:b/>
                <w:i/>
              </w:rPr>
              <w:t>wijst erop dat de Commissie volgens de Europese Rekenkamer overeenkomsten ter waarde van in totaal 71 miljard EUR heeft ondertekend voor de levering van tot 4,6 miljard doses COVID-19-vaccins</w:t>
            </w:r>
            <w:r>
              <w:rPr>
                <w:b/>
                <w:i/>
                <w:vertAlign w:val="superscript"/>
              </w:rPr>
              <w:t>1 bis</w:t>
            </w:r>
            <w:r>
              <w:rPr>
                <w:b/>
                <w:i/>
              </w:rPr>
              <w:t>; betreurt dat het Europees Openbaar Ministerie (EOM) blijft weigeren te communiceren of vragen te beantwoorden over de middelen en het aantal personeelsleden toegewezen aan zijn onderzoek naar de aankoop van COVID-19-vaccins, of over het tijdschema van dat onderzoek;</w:t>
            </w:r>
          </w:p>
        </w:tc>
      </w:tr>
      <w:tr w:rsidR="006B6379" w14:paraId="4FD57B5A" w14:textId="77777777" w:rsidTr="00B30934">
        <w:trPr>
          <w:jc w:val="center"/>
        </w:trPr>
        <w:tc>
          <w:tcPr>
            <w:tcW w:w="4876" w:type="dxa"/>
            <w:tcBorders>
              <w:top w:val="nil"/>
              <w:left w:val="nil"/>
              <w:bottom w:val="nil"/>
              <w:right w:val="nil"/>
            </w:tcBorders>
          </w:tcPr>
          <w:p w14:paraId="51E5F95E" w14:textId="77777777" w:rsidR="006B6379" w:rsidRPr="00E96208" w:rsidRDefault="006B6379" w:rsidP="00B30934"/>
        </w:tc>
        <w:tc>
          <w:tcPr>
            <w:tcW w:w="4876" w:type="dxa"/>
            <w:tcBorders>
              <w:top w:val="nil"/>
              <w:left w:val="nil"/>
              <w:bottom w:val="nil"/>
              <w:right w:val="nil"/>
            </w:tcBorders>
            <w:hideMark/>
          </w:tcPr>
          <w:p w14:paraId="7E9C5E2A" w14:textId="77777777" w:rsidR="006B6379" w:rsidRPr="00E96208" w:rsidRDefault="006B6379" w:rsidP="00B30934">
            <w:pPr>
              <w:pStyle w:val="Normal6a"/>
            </w:pPr>
            <w:r>
              <w:rPr>
                <w:b/>
                <w:i/>
              </w:rPr>
              <w:t>_________________</w:t>
            </w:r>
          </w:p>
        </w:tc>
      </w:tr>
      <w:tr w:rsidR="006B6379" w14:paraId="53DE678F" w14:textId="77777777" w:rsidTr="00B30934">
        <w:trPr>
          <w:jc w:val="center"/>
        </w:trPr>
        <w:tc>
          <w:tcPr>
            <w:tcW w:w="4876" w:type="dxa"/>
            <w:tcBorders>
              <w:top w:val="nil"/>
              <w:left w:val="nil"/>
              <w:bottom w:val="nil"/>
              <w:right w:val="nil"/>
            </w:tcBorders>
          </w:tcPr>
          <w:p w14:paraId="4BE9FC8B" w14:textId="77777777" w:rsidR="006B6379" w:rsidRPr="00E96208" w:rsidRDefault="006B6379" w:rsidP="00B30934"/>
        </w:tc>
        <w:tc>
          <w:tcPr>
            <w:tcW w:w="4876" w:type="dxa"/>
            <w:tcBorders>
              <w:top w:val="nil"/>
              <w:left w:val="nil"/>
              <w:bottom w:val="nil"/>
              <w:right w:val="nil"/>
            </w:tcBorders>
            <w:hideMark/>
          </w:tcPr>
          <w:p w14:paraId="6A8A39F5" w14:textId="77777777" w:rsidR="006B6379" w:rsidRPr="00E96208" w:rsidRDefault="006B6379" w:rsidP="00B30934">
            <w:pPr>
              <w:pStyle w:val="Normal6a"/>
            </w:pPr>
            <w:r>
              <w:rPr>
                <w:b/>
                <w:i/>
                <w:vertAlign w:val="superscript"/>
              </w:rPr>
              <w:t>1 bis</w:t>
            </w:r>
            <w:r>
              <w:t xml:space="preserve"> </w:t>
            </w:r>
            <w:r>
              <w:rPr>
                <w:b/>
                <w:i/>
              </w:rPr>
              <w:t>https://www.eca.europa.eu/Lists/ECADocuments/SR22_19/SR_EU_COVID_vaccine_procurement_NL.pdf, https://www.euractiv.com/news/pfizergate-commission-broke-transparency-rules-over-von-der-leyen-texts-court-rules/</w:t>
            </w:r>
            <w:r>
              <w:t>.</w:t>
            </w:r>
            <w:r>
              <w:rPr>
                <w:b/>
                <w:i/>
              </w:rPr>
              <w:t xml:space="preserve"> </w:t>
            </w:r>
          </w:p>
        </w:tc>
      </w:tr>
    </w:tbl>
    <w:p w14:paraId="1637C6F2"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{FR}</w:t>
      </w:r>
      <w:proofErr w:type="spellStart"/>
      <w:r w:rsidRPr="00E96208">
        <w:t>fr</w:t>
      </w:r>
      <w:proofErr w:type="spellEnd"/>
      <w:r w:rsidRPr="00E96208">
        <w:rPr>
          <w:rStyle w:val="HideTWBExt"/>
        </w:rPr>
        <w:t>&lt;/Original&gt;</w:t>
      </w:r>
    </w:p>
    <w:p w14:paraId="74D7FE43" w14:textId="77777777" w:rsidR="006B6379" w:rsidRPr="00E96208" w:rsidRDefault="006B6379" w:rsidP="006B6379">
      <w:r>
        <w:rPr>
          <w:rStyle w:val="HideTWBExt"/>
        </w:rPr>
        <w:t>&lt;/Amend&gt;</w:t>
      </w:r>
    </w:p>
    <w:p w14:paraId="1722FB23" w14:textId="77777777" w:rsidR="006B6379" w:rsidRPr="00E96208" w:rsidRDefault="006B6379" w:rsidP="006B6379">
      <w:pPr>
        <w:pStyle w:val="AmNumberTabs"/>
      </w:pPr>
      <w:r>
        <w:rPr>
          <w:rStyle w:val="HideTWBExt"/>
        </w:rPr>
        <w:t>&lt;Amend&gt;</w:t>
      </w:r>
      <w:r>
        <w:t>Amendement</w:t>
      </w:r>
      <w:r>
        <w:tab/>
      </w:r>
      <w:r>
        <w:tab/>
      </w:r>
      <w:r>
        <w:rPr>
          <w:rStyle w:val="HideTWBExt"/>
        </w:rPr>
        <w:t>&lt;NumAm&gt;</w:t>
      </w:r>
      <w:r>
        <w:t>48</w:t>
      </w:r>
      <w:r>
        <w:rPr>
          <w:rStyle w:val="HideTWBExt"/>
        </w:rPr>
        <w:t>&lt;/NumAm&gt;</w:t>
      </w:r>
    </w:p>
    <w:p w14:paraId="34093978"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60EE7C92" w14:textId="77777777" w:rsidR="006B6379" w:rsidRPr="00E96208" w:rsidRDefault="006B6379" w:rsidP="006B6379">
      <w:pPr>
        <w:pStyle w:val="NormalBold"/>
      </w:pPr>
      <w:r>
        <w:rPr>
          <w:rStyle w:val="HideTWBExt"/>
          <w:b w:val="0"/>
        </w:rPr>
        <w:t>&lt;/RepeatBlock-By&gt;</w:t>
      </w:r>
    </w:p>
    <w:p w14:paraId="382DCDEC" w14:textId="77777777" w:rsidR="006B6379" w:rsidRPr="00E96208" w:rsidRDefault="006B6379" w:rsidP="006B6379">
      <w:pPr>
        <w:pStyle w:val="NormalBold"/>
      </w:pPr>
      <w:r>
        <w:rPr>
          <w:rStyle w:val="HideTWBExt"/>
        </w:rPr>
        <w:t>&lt;DocAmend&gt;</w:t>
      </w:r>
      <w:r>
        <w:t>Ontwerpresolutie</w:t>
      </w:r>
      <w:r>
        <w:rPr>
          <w:rStyle w:val="HideTWBExt"/>
        </w:rPr>
        <w:t>&lt;/DocAmend&gt;</w:t>
      </w:r>
    </w:p>
    <w:p w14:paraId="5041AB41" w14:textId="77777777" w:rsidR="006B6379" w:rsidRPr="00E96208" w:rsidRDefault="006B6379" w:rsidP="006B6379">
      <w:pPr>
        <w:pStyle w:val="NormalBold"/>
      </w:pPr>
      <w:r>
        <w:rPr>
          <w:rStyle w:val="HideTWBExt"/>
        </w:rPr>
        <w:t>&lt;Article&gt;</w:t>
      </w:r>
      <w:r>
        <w:t>Paragraaf 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5FEA590E" w14:textId="77777777" w:rsidTr="00B30934">
        <w:trPr>
          <w:trHeight w:val="240"/>
          <w:jc w:val="center"/>
        </w:trPr>
        <w:tc>
          <w:tcPr>
            <w:tcW w:w="9752" w:type="dxa"/>
            <w:gridSpan w:val="2"/>
            <w:tcBorders>
              <w:top w:val="nil"/>
              <w:left w:val="nil"/>
              <w:bottom w:val="nil"/>
              <w:right w:val="nil"/>
            </w:tcBorders>
          </w:tcPr>
          <w:p w14:paraId="0253B243" w14:textId="77777777" w:rsidR="006B6379" w:rsidRPr="00E96208" w:rsidRDefault="006B6379" w:rsidP="00B30934"/>
        </w:tc>
      </w:tr>
      <w:tr w:rsidR="006B6379" w14:paraId="2DD84B09" w14:textId="77777777" w:rsidTr="00B30934">
        <w:trPr>
          <w:trHeight w:val="240"/>
          <w:jc w:val="center"/>
        </w:trPr>
        <w:tc>
          <w:tcPr>
            <w:tcW w:w="4876" w:type="dxa"/>
            <w:tcBorders>
              <w:top w:val="nil"/>
              <w:left w:val="nil"/>
              <w:bottom w:val="nil"/>
              <w:right w:val="nil"/>
            </w:tcBorders>
            <w:hideMark/>
          </w:tcPr>
          <w:p w14:paraId="3C674814"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6144F783" w14:textId="77777777" w:rsidR="006B6379" w:rsidRPr="00E96208" w:rsidRDefault="006B6379" w:rsidP="00B30934">
            <w:pPr>
              <w:pStyle w:val="AmColumnHeading"/>
            </w:pPr>
            <w:r>
              <w:t>Amendement</w:t>
            </w:r>
          </w:p>
        </w:tc>
      </w:tr>
      <w:tr w:rsidR="006B6379" w14:paraId="35906383" w14:textId="77777777" w:rsidTr="00B30934">
        <w:trPr>
          <w:jc w:val="center"/>
        </w:trPr>
        <w:tc>
          <w:tcPr>
            <w:tcW w:w="4876" w:type="dxa"/>
            <w:tcBorders>
              <w:top w:val="nil"/>
              <w:left w:val="nil"/>
              <w:bottom w:val="nil"/>
              <w:right w:val="nil"/>
            </w:tcBorders>
            <w:hideMark/>
          </w:tcPr>
          <w:p w14:paraId="5DC36811" w14:textId="77777777" w:rsidR="006B6379" w:rsidRPr="00E96208" w:rsidRDefault="006B6379" w:rsidP="00B30934">
            <w:pPr>
              <w:pStyle w:val="Normal6a"/>
            </w:pPr>
            <w:r>
              <w:t>74.</w:t>
            </w:r>
            <w:r>
              <w:tab/>
              <w:t xml:space="preserve">houdt vol dat de integratie van het casemanagementsysteem van het EOM en de nationale casemanagementsystemen noodzakelijk is om de doeltreffendheid van de onderzoeken te vergroten en dat die integratie moet worden nagestreefd in het kader van de herziening van Verordening (EU) 2017/1939; verwacht dat een dergelijke integratie een gemeenschappelijk, consistent digitaliseringsniveau in alle deelnemende lidstaten vereist om een digitale werkomgeving te creëren die aan dezelfde normen voldoet als het hoofdkantoor van het EOM, </w:t>
            </w:r>
            <w:r>
              <w:rPr>
                <w:b/>
                <w:i/>
              </w:rPr>
              <w:t>en</w:t>
            </w:r>
            <w:r>
              <w:t xml:space="preserve"> dat bij de begrotingsramingen en -prognoses rekening moet worden gehouden met de inherente gedeelde kosten voor de lidstaten en de Unie; waardeert de rol en bijdragen van de </w:t>
            </w:r>
            <w:proofErr w:type="spellStart"/>
            <w:r>
              <w:t>NEDPA’s</w:t>
            </w:r>
            <w:proofErr w:type="spellEnd"/>
            <w:r>
              <w:t xml:space="preserve"> bij het effectieve gebruik van en het invoeren van informatie in de systemen en stelt voor om bij de herziening van Verordening (EU) 2017/1939 te overwegen hen een specifieke status toe te kennen;</w:t>
            </w:r>
          </w:p>
        </w:tc>
        <w:tc>
          <w:tcPr>
            <w:tcW w:w="4876" w:type="dxa"/>
            <w:tcBorders>
              <w:top w:val="nil"/>
              <w:left w:val="nil"/>
              <w:bottom w:val="nil"/>
              <w:right w:val="nil"/>
            </w:tcBorders>
            <w:hideMark/>
          </w:tcPr>
          <w:p w14:paraId="2C7C3F2D" w14:textId="77777777" w:rsidR="006B6379" w:rsidRPr="00E96208" w:rsidRDefault="006B6379" w:rsidP="00B30934">
            <w:pPr>
              <w:pStyle w:val="Normal6a"/>
            </w:pPr>
            <w:r>
              <w:t>74.</w:t>
            </w:r>
            <w:r>
              <w:tab/>
              <w:t xml:space="preserve">houdt vol dat de integratie van het casemanagementsysteem van het EOM en de nationale casemanagementsystemen noodzakelijk is om de doeltreffendheid van de onderzoeken te vergroten en dat die integratie moet worden nagestreefd in het kader van de herziening van Verordening (EU) 2017/1939; verwacht dat een dergelijke integratie een gemeenschappelijk, consistent digitaliseringsniveau in alle deelnemende lidstaten vereist om een digitale werkomgeving te creëren die aan dezelfde normen voldoet als het hoofdkantoor van het EOM, </w:t>
            </w:r>
            <w:r>
              <w:rPr>
                <w:b/>
                <w:i/>
              </w:rPr>
              <w:t>met volledige inachtneming van nationale rechtskaders; herinnert eraan</w:t>
            </w:r>
            <w:r>
              <w:t xml:space="preserve"> dat bij de begrotingsramingen en -prognoses rekening moet worden gehouden met de inherente gedeelde kosten voor de lidstaten en de Unie; waardeert de rol en bijdragen van de </w:t>
            </w:r>
            <w:proofErr w:type="spellStart"/>
            <w:r>
              <w:t>NEDPA’s</w:t>
            </w:r>
            <w:proofErr w:type="spellEnd"/>
            <w:r>
              <w:t xml:space="preserve"> bij het effectieve gebruik van en het invoeren van informatie in de systemen en stelt voor om bij de herziening van Verordening (EU) 2017/1939 te overwegen hen een specifieke status toe te kennen; </w:t>
            </w:r>
            <w:r>
              <w:rPr>
                <w:b/>
                <w:i/>
              </w:rPr>
              <w:t>benadrukt dat elke toekomstige integratie gebaseerd moet zijn op een evenwichtige verdeling van de verantwoordelijkheden tussen de Unie en de lidstaten;</w:t>
            </w:r>
          </w:p>
        </w:tc>
      </w:tr>
    </w:tbl>
    <w:p w14:paraId="7F465AF9"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491D001D" w14:textId="77777777" w:rsidR="006B6379" w:rsidRPr="00E96208" w:rsidRDefault="006B6379" w:rsidP="006B6379">
      <w:r>
        <w:rPr>
          <w:rStyle w:val="HideTWBExt"/>
        </w:rPr>
        <w:t>&lt;/Amend&gt;</w:t>
      </w:r>
    </w:p>
    <w:p w14:paraId="409FBA8C" w14:textId="77777777" w:rsidR="006B6379" w:rsidRPr="00E96208" w:rsidRDefault="006B6379" w:rsidP="006B6379">
      <w:pPr>
        <w:pStyle w:val="AmNumberTabs"/>
      </w:pPr>
      <w:r>
        <w:rPr>
          <w:rStyle w:val="HideTWBExt"/>
        </w:rPr>
        <w:t>&lt;Amend&gt;</w:t>
      </w:r>
      <w:r>
        <w:t>Amendement</w:t>
      </w:r>
      <w:r>
        <w:tab/>
      </w:r>
      <w:r>
        <w:tab/>
      </w:r>
      <w:r>
        <w:rPr>
          <w:rStyle w:val="HideTWBExt"/>
        </w:rPr>
        <w:t>&lt;NumAm&gt;</w:t>
      </w:r>
      <w:r>
        <w:t>49</w:t>
      </w:r>
      <w:r>
        <w:rPr>
          <w:rStyle w:val="HideTWBExt"/>
        </w:rPr>
        <w:t>&lt;/NumAm&gt;</w:t>
      </w:r>
    </w:p>
    <w:p w14:paraId="4AC45876"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69828B45" w14:textId="77777777" w:rsidR="006B6379" w:rsidRPr="00E96208" w:rsidRDefault="006B6379" w:rsidP="006B6379">
      <w:pPr>
        <w:pStyle w:val="NormalBold"/>
      </w:pPr>
      <w:r>
        <w:rPr>
          <w:rStyle w:val="HideTWBExt"/>
          <w:b w:val="0"/>
        </w:rPr>
        <w:t>&lt;/RepeatBlock-By&gt;</w:t>
      </w:r>
    </w:p>
    <w:p w14:paraId="5025BF31" w14:textId="77777777" w:rsidR="006B6379" w:rsidRPr="00E96208" w:rsidRDefault="006B6379" w:rsidP="006B6379">
      <w:pPr>
        <w:pStyle w:val="NormalBold"/>
      </w:pPr>
      <w:r>
        <w:rPr>
          <w:rStyle w:val="HideTWBExt"/>
        </w:rPr>
        <w:t>&lt;DocAmend&gt;</w:t>
      </w:r>
      <w:r>
        <w:t>Ontwerpresolutie</w:t>
      </w:r>
      <w:r>
        <w:rPr>
          <w:rStyle w:val="HideTWBExt"/>
        </w:rPr>
        <w:t>&lt;/DocAmend&gt;</w:t>
      </w:r>
    </w:p>
    <w:p w14:paraId="53248E92" w14:textId="77777777" w:rsidR="006B6379" w:rsidRPr="00E96208" w:rsidRDefault="006B6379" w:rsidP="006B6379">
      <w:pPr>
        <w:pStyle w:val="NormalBold"/>
      </w:pPr>
      <w:r>
        <w:rPr>
          <w:rStyle w:val="HideTWBExt"/>
        </w:rPr>
        <w:t>&lt;Article&gt;</w:t>
      </w:r>
      <w:r>
        <w:t>Paragraaf 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555ED47F" w14:textId="77777777" w:rsidTr="00B30934">
        <w:trPr>
          <w:trHeight w:val="240"/>
          <w:jc w:val="center"/>
        </w:trPr>
        <w:tc>
          <w:tcPr>
            <w:tcW w:w="9752" w:type="dxa"/>
            <w:gridSpan w:val="2"/>
            <w:tcBorders>
              <w:top w:val="nil"/>
              <w:left w:val="nil"/>
              <w:bottom w:val="nil"/>
              <w:right w:val="nil"/>
            </w:tcBorders>
          </w:tcPr>
          <w:p w14:paraId="3C7E53BA" w14:textId="77777777" w:rsidR="006B6379" w:rsidRPr="00E96208" w:rsidRDefault="006B6379" w:rsidP="00B30934"/>
        </w:tc>
      </w:tr>
      <w:tr w:rsidR="006B6379" w14:paraId="767ED568" w14:textId="77777777" w:rsidTr="00B30934">
        <w:trPr>
          <w:trHeight w:val="240"/>
          <w:jc w:val="center"/>
        </w:trPr>
        <w:tc>
          <w:tcPr>
            <w:tcW w:w="4876" w:type="dxa"/>
            <w:tcBorders>
              <w:top w:val="nil"/>
              <w:left w:val="nil"/>
              <w:bottom w:val="nil"/>
              <w:right w:val="nil"/>
            </w:tcBorders>
            <w:hideMark/>
          </w:tcPr>
          <w:p w14:paraId="320AE261"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669B7FB3" w14:textId="77777777" w:rsidR="006B6379" w:rsidRPr="00E96208" w:rsidRDefault="006B6379" w:rsidP="00B30934">
            <w:pPr>
              <w:pStyle w:val="AmColumnHeading"/>
            </w:pPr>
            <w:r>
              <w:t>Amendement</w:t>
            </w:r>
          </w:p>
        </w:tc>
      </w:tr>
      <w:tr w:rsidR="006B6379" w14:paraId="6915EA03" w14:textId="77777777" w:rsidTr="00B30934">
        <w:trPr>
          <w:jc w:val="center"/>
        </w:trPr>
        <w:tc>
          <w:tcPr>
            <w:tcW w:w="4876" w:type="dxa"/>
            <w:tcBorders>
              <w:top w:val="nil"/>
              <w:left w:val="nil"/>
              <w:bottom w:val="nil"/>
              <w:right w:val="nil"/>
            </w:tcBorders>
            <w:hideMark/>
          </w:tcPr>
          <w:p w14:paraId="7ACDFFBF" w14:textId="77777777" w:rsidR="006B6379" w:rsidRPr="00E96208" w:rsidRDefault="006B6379" w:rsidP="00B30934">
            <w:pPr>
              <w:pStyle w:val="Normal6a"/>
            </w:pPr>
            <w:r>
              <w:t>75.</w:t>
            </w:r>
            <w:r>
              <w:tab/>
              <w:t>acht het van cruciaal belang dat de risico’s voor de structurele integriteit van de IT van het EOM worden beperkt, die voortvloeien uit de agressieve praktijken van de door het EOM onderzochte en vervolgde georganiseerde criminele organisaties, die geneigd zijn agressief te reageren op interventies van het EOM om hun criminele activiteiten te verstoren; is ingenomen met het feit dat de algemene verbeterde veiligheidsstrategie en het algemeen beleidskader voor informatiebeveiliging die in 2023 werden voorgesteld, in 2024 formeel zijn goedgekeurd en aangenomen; benadrukt dat fysieke en digitale veiligheid en de governance daarvan middelen vereisen, zoals die welke zijn ingezet voor de oprichting van een speciale eenheid voor cyber- en fysieke veiligheid;</w:t>
            </w:r>
          </w:p>
        </w:tc>
        <w:tc>
          <w:tcPr>
            <w:tcW w:w="4876" w:type="dxa"/>
            <w:tcBorders>
              <w:top w:val="nil"/>
              <w:left w:val="nil"/>
              <w:bottom w:val="nil"/>
              <w:right w:val="nil"/>
            </w:tcBorders>
            <w:hideMark/>
          </w:tcPr>
          <w:p w14:paraId="4BD94416" w14:textId="77777777" w:rsidR="006B6379" w:rsidRPr="00E96208" w:rsidRDefault="006B6379" w:rsidP="00B30934">
            <w:pPr>
              <w:pStyle w:val="Normal6a"/>
            </w:pPr>
            <w:r>
              <w:t>75.</w:t>
            </w:r>
            <w:r>
              <w:tab/>
              <w:t xml:space="preserve">acht het van cruciaal belang dat de risico’s voor de structurele integriteit van de IT van het EOM worden beperkt, die voortvloeien uit de agressieve praktijken van de door het EOM onderzochte en vervolgde georganiseerde criminele organisaties, die geneigd zijn agressief te reageren op interventies van het EOM om hun criminele activiteiten te verstoren; is ingenomen met het feit dat de algemene verbeterde veiligheidsstrategie en het algemeen beleidskader voor informatiebeveiliging die in 2023 werden voorgesteld, in 2024 formeel zijn goedgekeurd en aangenomen; benadrukt dat fysieke en digitale veiligheid en de governance daarvan </w:t>
            </w:r>
            <w:r>
              <w:rPr>
                <w:b/>
                <w:i/>
              </w:rPr>
              <w:t xml:space="preserve">essentiële factoren zijn voor de operationele onafhankelijkheid en doeltreffendheid van het EOM, en </w:t>
            </w:r>
            <w:r>
              <w:t>middelen vereisen, zoals die welke zijn ingezet voor de oprichting van een speciale eenheid voor cyber- en fysieke veiligheid;</w:t>
            </w:r>
          </w:p>
        </w:tc>
      </w:tr>
    </w:tbl>
    <w:p w14:paraId="08BF761F"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34232E7F" w14:textId="77777777" w:rsidR="006B6379" w:rsidRPr="00E96208" w:rsidRDefault="006B6379" w:rsidP="006B6379">
      <w:r>
        <w:rPr>
          <w:rStyle w:val="HideTWBExt"/>
        </w:rPr>
        <w:t>&lt;/Amend&gt;</w:t>
      </w:r>
    </w:p>
    <w:p w14:paraId="051139E0" w14:textId="77777777" w:rsidR="006B6379" w:rsidRPr="00E96208" w:rsidRDefault="006B6379" w:rsidP="006B6379">
      <w:pPr>
        <w:pStyle w:val="AmNumberTabs"/>
      </w:pPr>
      <w:r>
        <w:rPr>
          <w:rStyle w:val="HideTWBExt"/>
        </w:rPr>
        <w:t>&lt;Amend&gt;</w:t>
      </w:r>
      <w:r>
        <w:t>Amendement</w:t>
      </w:r>
      <w:r>
        <w:tab/>
      </w:r>
      <w:r>
        <w:tab/>
      </w:r>
      <w:r>
        <w:rPr>
          <w:rStyle w:val="HideTWBExt"/>
        </w:rPr>
        <w:t>&lt;NumAm&gt;</w:t>
      </w:r>
      <w:r>
        <w:t>50</w:t>
      </w:r>
      <w:r>
        <w:rPr>
          <w:rStyle w:val="HideTWBExt"/>
        </w:rPr>
        <w:t>&lt;/NumAm&gt;</w:t>
      </w:r>
    </w:p>
    <w:p w14:paraId="00E5E94C"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0F33AE74" w14:textId="77777777" w:rsidR="006B6379" w:rsidRPr="00E96208" w:rsidRDefault="006B6379" w:rsidP="006B6379">
      <w:pPr>
        <w:pStyle w:val="NormalBold"/>
      </w:pPr>
      <w:r>
        <w:rPr>
          <w:rStyle w:val="HideTWBExt"/>
          <w:b w:val="0"/>
        </w:rPr>
        <w:t>&lt;/RepeatBlock-By&gt;</w:t>
      </w:r>
    </w:p>
    <w:p w14:paraId="4CB84134" w14:textId="77777777" w:rsidR="006B6379" w:rsidRPr="00E96208" w:rsidRDefault="006B6379" w:rsidP="006B6379">
      <w:pPr>
        <w:pStyle w:val="NormalBold"/>
      </w:pPr>
      <w:r>
        <w:rPr>
          <w:rStyle w:val="HideTWBExt"/>
        </w:rPr>
        <w:t>&lt;DocAmend&gt;</w:t>
      </w:r>
      <w:r>
        <w:t>Ontwerpresolutie</w:t>
      </w:r>
      <w:r>
        <w:rPr>
          <w:rStyle w:val="HideTWBExt"/>
        </w:rPr>
        <w:t>&lt;/DocAmend&gt;</w:t>
      </w:r>
    </w:p>
    <w:p w14:paraId="53AA3B8C" w14:textId="77777777" w:rsidR="006B6379" w:rsidRPr="00E96208" w:rsidRDefault="006B6379" w:rsidP="006B6379">
      <w:pPr>
        <w:pStyle w:val="NormalBold"/>
      </w:pPr>
      <w:r>
        <w:rPr>
          <w:rStyle w:val="HideTWBExt"/>
        </w:rPr>
        <w:t>&lt;Article&gt;</w:t>
      </w:r>
      <w:r>
        <w:t>Paragraaf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60DE87A7" w14:textId="77777777" w:rsidTr="00B30934">
        <w:trPr>
          <w:trHeight w:val="240"/>
          <w:jc w:val="center"/>
        </w:trPr>
        <w:tc>
          <w:tcPr>
            <w:tcW w:w="9752" w:type="dxa"/>
            <w:gridSpan w:val="2"/>
            <w:tcBorders>
              <w:top w:val="nil"/>
              <w:left w:val="nil"/>
              <w:bottom w:val="nil"/>
              <w:right w:val="nil"/>
            </w:tcBorders>
          </w:tcPr>
          <w:p w14:paraId="44BB4F50" w14:textId="77777777" w:rsidR="006B6379" w:rsidRPr="00E96208" w:rsidRDefault="006B6379" w:rsidP="00B30934"/>
        </w:tc>
      </w:tr>
      <w:tr w:rsidR="006B6379" w14:paraId="30B5FF08" w14:textId="77777777" w:rsidTr="00B30934">
        <w:trPr>
          <w:trHeight w:val="240"/>
          <w:jc w:val="center"/>
        </w:trPr>
        <w:tc>
          <w:tcPr>
            <w:tcW w:w="4876" w:type="dxa"/>
            <w:tcBorders>
              <w:top w:val="nil"/>
              <w:left w:val="nil"/>
              <w:bottom w:val="nil"/>
              <w:right w:val="nil"/>
            </w:tcBorders>
            <w:hideMark/>
          </w:tcPr>
          <w:p w14:paraId="5406F878"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2A76F587" w14:textId="77777777" w:rsidR="006B6379" w:rsidRPr="00E96208" w:rsidRDefault="006B6379" w:rsidP="00B30934">
            <w:pPr>
              <w:pStyle w:val="AmColumnHeading"/>
            </w:pPr>
            <w:r>
              <w:t>Amendement</w:t>
            </w:r>
          </w:p>
        </w:tc>
      </w:tr>
      <w:tr w:rsidR="006B6379" w14:paraId="3E2EAB2C" w14:textId="77777777" w:rsidTr="00B30934">
        <w:trPr>
          <w:jc w:val="center"/>
        </w:trPr>
        <w:tc>
          <w:tcPr>
            <w:tcW w:w="4876" w:type="dxa"/>
            <w:tcBorders>
              <w:top w:val="nil"/>
              <w:left w:val="nil"/>
              <w:bottom w:val="nil"/>
              <w:right w:val="nil"/>
            </w:tcBorders>
            <w:hideMark/>
          </w:tcPr>
          <w:p w14:paraId="51059838" w14:textId="77777777" w:rsidR="006B6379" w:rsidRPr="00E96208" w:rsidRDefault="006B6379" w:rsidP="00B30934">
            <w:pPr>
              <w:pStyle w:val="Normal6a"/>
            </w:pPr>
            <w:r>
              <w:t>77.</w:t>
            </w:r>
            <w:r>
              <w:tab/>
              <w:t xml:space="preserve">merkt op dat het EOM in operationele gebieden grote voorzichtigheid betracht bij het gebruik van artificiële intelligentie (AI) en is het ermee eens dat AI weliswaar kan helpen bij de gegevensverwerking, maar dat de beoordeling van bewijsmateriaal en de besluitvorming door het openbaar ministerie strikt onder de volledige verantwoordelijkheid van de mens blijven vallen; benadrukt dat het EOM AI niet beschouwt als een middel om de personeelsbehoefte te verminderen, maar eerder als een ondersteunend instrument om de toenemende werkdruk op te vangen; moedigt gerichte investeringen in AI-instrumenten en </w:t>
            </w:r>
            <w:r>
              <w:rPr>
                <w:b/>
                <w:i/>
              </w:rPr>
              <w:t>-opleidingen</w:t>
            </w:r>
            <w:r>
              <w:t xml:space="preserve"> aan, waarvan de budgettaire gevolgen moeten worden gecompenseerd door efficiëntiewinst bij vertalingen en andere ondersteunende processen; verzoekt het EOM richtsnoeren voor het personeel op te stellen over het gebruik van deze instrumenten, waarbij specifiek wordt ingegaan op de typische processen die inherent zijn aan het bijzondere mandaat van het EOM;</w:t>
            </w:r>
          </w:p>
        </w:tc>
        <w:tc>
          <w:tcPr>
            <w:tcW w:w="4876" w:type="dxa"/>
            <w:tcBorders>
              <w:top w:val="nil"/>
              <w:left w:val="nil"/>
              <w:bottom w:val="nil"/>
              <w:right w:val="nil"/>
            </w:tcBorders>
            <w:hideMark/>
          </w:tcPr>
          <w:p w14:paraId="5EAD6CAA" w14:textId="77777777" w:rsidR="006B6379" w:rsidRPr="00E96208" w:rsidRDefault="006B6379" w:rsidP="00B30934">
            <w:pPr>
              <w:pStyle w:val="Normal6a"/>
            </w:pPr>
            <w:r>
              <w:t>77.</w:t>
            </w:r>
            <w:r>
              <w:tab/>
              <w:t xml:space="preserve">merkt op dat het EOM in operationele gebieden grote voorzichtigheid betracht bij het gebruik van artificiële intelligentie (AI) en is het ermee eens dat AI weliswaar kan helpen bij de gegevensverwerking, maar dat de beoordeling van bewijsmateriaal en de besluitvorming door het openbaar ministerie strikt onder de volledige verantwoordelijkheid van de mens blijven vallen; </w:t>
            </w:r>
            <w:r>
              <w:rPr>
                <w:b/>
                <w:i/>
              </w:rPr>
              <w:t>is ingenomen met deze aanpak, die van essentieel belang is voor de bescherming van de grondrechten, de rechtszekerheid en de verantwoordingsplicht;</w:t>
            </w:r>
            <w:r>
              <w:t xml:space="preserve"> benadrukt dat het EOM AI niet beschouwt als een middel om de personeelsbehoefte te verminderen, maar eerder als een ondersteunend instrument om de toenemende werkdruk op te vangen; moedigt gerichte investeringen in AI-instrumenten </w:t>
            </w:r>
            <w:r>
              <w:rPr>
                <w:b/>
                <w:i/>
              </w:rPr>
              <w:t xml:space="preserve">- op voorwaarde dat het gebruik ervan in verhouding blijft staan tot </w:t>
            </w:r>
            <w:r>
              <w:t xml:space="preserve">en </w:t>
            </w:r>
            <w:r>
              <w:rPr>
                <w:b/>
                <w:i/>
              </w:rPr>
              <w:t>ondergeschikt blijft aan menselijk toezicht - en AI-opleidingen</w:t>
            </w:r>
            <w:r>
              <w:t xml:space="preserve"> aan, waarvan de budgettaire gevolgen moeten worden gecompenseerd door efficiëntiewinst bij vertalingen en andere ondersteunende processen; verzoekt het EOM richtsnoeren voor het personeel op te stellen over het gebruik van deze instrumenten, waarbij specifiek wordt ingegaan op de typische processen die inherent zijn aan het bijzondere mandaat van het EOM;</w:t>
            </w:r>
          </w:p>
        </w:tc>
      </w:tr>
    </w:tbl>
    <w:p w14:paraId="1F6982AA"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2DC678C5" w14:textId="77777777" w:rsidR="006B6379" w:rsidRPr="00E96208" w:rsidRDefault="006B6379" w:rsidP="006B6379">
      <w:r>
        <w:rPr>
          <w:rStyle w:val="HideTWBExt"/>
        </w:rPr>
        <w:t>&lt;/Amend&gt;</w:t>
      </w:r>
    </w:p>
    <w:p w14:paraId="28DF63BB" w14:textId="77777777" w:rsidR="006B6379" w:rsidRPr="00E96208" w:rsidRDefault="006B6379" w:rsidP="006B6379">
      <w:pPr>
        <w:pStyle w:val="AmNumberTabs"/>
      </w:pPr>
      <w:r>
        <w:rPr>
          <w:rStyle w:val="HideTWBExt"/>
        </w:rPr>
        <w:t>&lt;Amend&gt;</w:t>
      </w:r>
      <w:r>
        <w:t>Amendement</w:t>
      </w:r>
      <w:r>
        <w:tab/>
      </w:r>
      <w:r>
        <w:tab/>
      </w:r>
      <w:r>
        <w:rPr>
          <w:rStyle w:val="HideTWBExt"/>
        </w:rPr>
        <w:t>&lt;NumAm&gt;</w:t>
      </w:r>
      <w:r>
        <w:t>51</w:t>
      </w:r>
      <w:r>
        <w:rPr>
          <w:rStyle w:val="HideTWBExt"/>
        </w:rPr>
        <w:t>&lt;/NumAm&gt;</w:t>
      </w:r>
    </w:p>
    <w:p w14:paraId="1D01C2C5"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6799BE21" w14:textId="77777777" w:rsidR="006B6379" w:rsidRPr="00E96208" w:rsidRDefault="006B6379" w:rsidP="006B6379">
      <w:pPr>
        <w:pStyle w:val="NormalBold"/>
      </w:pPr>
      <w:r>
        <w:rPr>
          <w:rStyle w:val="HideTWBExt"/>
          <w:b w:val="0"/>
        </w:rPr>
        <w:t>&lt;/RepeatBlock-By&gt;</w:t>
      </w:r>
    </w:p>
    <w:p w14:paraId="101FEB88" w14:textId="77777777" w:rsidR="006B6379" w:rsidRPr="00E96208" w:rsidRDefault="006B6379" w:rsidP="006B6379">
      <w:pPr>
        <w:pStyle w:val="NormalBold"/>
      </w:pPr>
      <w:r>
        <w:rPr>
          <w:rStyle w:val="HideTWBExt"/>
        </w:rPr>
        <w:t>&lt;DocAmend&gt;</w:t>
      </w:r>
      <w:r>
        <w:t>Ontwerpresolutie</w:t>
      </w:r>
      <w:r>
        <w:rPr>
          <w:rStyle w:val="HideTWBExt"/>
        </w:rPr>
        <w:t>&lt;/DocAmend&gt;</w:t>
      </w:r>
    </w:p>
    <w:p w14:paraId="339B7754" w14:textId="77777777" w:rsidR="006B6379" w:rsidRPr="00E96208" w:rsidRDefault="006B6379" w:rsidP="006B6379">
      <w:pPr>
        <w:pStyle w:val="NormalBold"/>
      </w:pPr>
      <w:r>
        <w:rPr>
          <w:rStyle w:val="HideTWBExt"/>
        </w:rPr>
        <w:t>&lt;Article&gt;</w:t>
      </w:r>
      <w:r>
        <w:t>Paragraaf 87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4FB56A4A" w14:textId="77777777" w:rsidTr="00B30934">
        <w:trPr>
          <w:trHeight w:val="240"/>
          <w:jc w:val="center"/>
        </w:trPr>
        <w:tc>
          <w:tcPr>
            <w:tcW w:w="9752" w:type="dxa"/>
            <w:gridSpan w:val="2"/>
            <w:tcBorders>
              <w:top w:val="nil"/>
              <w:left w:val="nil"/>
              <w:bottom w:val="nil"/>
              <w:right w:val="nil"/>
            </w:tcBorders>
          </w:tcPr>
          <w:p w14:paraId="6E3DB0D2" w14:textId="77777777" w:rsidR="006B6379" w:rsidRPr="00E96208" w:rsidRDefault="006B6379" w:rsidP="00B30934"/>
        </w:tc>
      </w:tr>
      <w:tr w:rsidR="006B6379" w14:paraId="63A2A4F7" w14:textId="77777777" w:rsidTr="00B30934">
        <w:trPr>
          <w:trHeight w:val="240"/>
          <w:jc w:val="center"/>
        </w:trPr>
        <w:tc>
          <w:tcPr>
            <w:tcW w:w="4876" w:type="dxa"/>
            <w:tcBorders>
              <w:top w:val="nil"/>
              <w:left w:val="nil"/>
              <w:bottom w:val="nil"/>
              <w:right w:val="nil"/>
            </w:tcBorders>
            <w:hideMark/>
          </w:tcPr>
          <w:p w14:paraId="7DBB786A"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1C076B0D" w14:textId="77777777" w:rsidR="006B6379" w:rsidRPr="00E96208" w:rsidRDefault="006B6379" w:rsidP="00B30934">
            <w:pPr>
              <w:pStyle w:val="AmColumnHeading"/>
            </w:pPr>
            <w:r>
              <w:t>Amendement</w:t>
            </w:r>
          </w:p>
        </w:tc>
      </w:tr>
      <w:tr w:rsidR="006B6379" w14:paraId="63D783A4" w14:textId="77777777" w:rsidTr="00B30934">
        <w:trPr>
          <w:jc w:val="center"/>
        </w:trPr>
        <w:tc>
          <w:tcPr>
            <w:tcW w:w="4876" w:type="dxa"/>
            <w:tcBorders>
              <w:top w:val="nil"/>
              <w:left w:val="nil"/>
              <w:bottom w:val="nil"/>
              <w:right w:val="nil"/>
            </w:tcBorders>
            <w:hideMark/>
          </w:tcPr>
          <w:p w14:paraId="719F905D" w14:textId="77777777" w:rsidR="006B6379" w:rsidRPr="00E96208" w:rsidRDefault="006B6379" w:rsidP="00B30934">
            <w:pPr>
              <w:pStyle w:val="Normal6a"/>
            </w:pPr>
            <w:r>
              <w:t>87.</w:t>
            </w:r>
            <w:r>
              <w:tab/>
              <w:t xml:space="preserve">is zich bewust van de inspanningen van het EOM om effectief samen te werken met Europol, OLAF en </w:t>
            </w:r>
            <w:proofErr w:type="spellStart"/>
            <w:r>
              <w:t>Eurojust</w:t>
            </w:r>
            <w:proofErr w:type="spellEnd"/>
            <w:r>
              <w:t xml:space="preserve">, hetgeen gebeurt in overeenstemming met het mandaat van elke organisatie, via regelmatige bijeenkomsten op management- en technisch niveau, en via de “hit/no hit”-processen die worden gebruikt voor </w:t>
            </w:r>
            <w:proofErr w:type="spellStart"/>
            <w:r>
              <w:t>bidirectionele</w:t>
            </w:r>
            <w:proofErr w:type="spellEnd"/>
            <w:r>
              <w:t xml:space="preserve"> uitwisselingen van informatie en om dubbel werk te voorkomen; betreurt echter de beperkte omvang van de operationele samenwerking tussen OLAF en het EOM, hetgeen wordt bevestigd door het constant lage aantal zaken van het EOM dat door OLAF wordt ondersteund (vier zaken in 2023 en vijf zaken in 2024) in vergelijking met het aantal zaken waarvoor het EOM in 2024 ondersteuning heeft gekregen van </w:t>
            </w:r>
            <w:proofErr w:type="spellStart"/>
            <w:r>
              <w:t>Eurojust</w:t>
            </w:r>
            <w:proofErr w:type="spellEnd"/>
            <w:r>
              <w:t xml:space="preserve"> (25) en Europol (83); merkt op dat de samenwerking met Europol te lijden heeft onder beperkingen die voortvloeien uit het nationale strafprocesrecht en de toegankelijkheid van de gegevens van het EOM; is van mening dat de verdere versterking van de samenwerking met Europol </w:t>
            </w:r>
            <w:proofErr w:type="spellStart"/>
            <w:r>
              <w:t>synergieën</w:t>
            </w:r>
            <w:proofErr w:type="spellEnd"/>
            <w:r>
              <w:t xml:space="preserve"> en een optimale benutting van middelen mogelijk zou maken, ondanks de dringende noodzaak voor het EOM om zijn interne analyseplatform te ontwikkelen, dat van cruciaal belang is voor de snelle interpretatie van de tijdens zijn onderzoeken verzamelde gegevens en de vaststelling van operationele strategieën in grensoverschrijdende zaken waarvoor toegang tot het volledige casemanagementsysteem van het EOM vereist is; verzoekt alle partijen om adequate manieren te onderzoeken om </w:t>
            </w:r>
            <w:proofErr w:type="spellStart"/>
            <w:r>
              <w:t>synergieën</w:t>
            </w:r>
            <w:proofErr w:type="spellEnd"/>
            <w:r>
              <w:t xml:space="preserve"> te creëren</w:t>
            </w:r>
            <w:r>
              <w:rPr>
                <w:b/>
                <w:i/>
              </w:rPr>
              <w:t xml:space="preserve"> en</w:t>
            </w:r>
            <w:r>
              <w:t xml:space="preserve"> de samenwerking op operationeel niveau te versterken; is ingenomen met de oprichting van speciale werkgroepen voor de door de Commissie aangekondigde herziening van de fraudebestrijdingsarchitectuur en verwacht dat de debatten, waarbij alle onderdelen van de fraudebestrijdingsarchitectuur betrokken zijn, zullen leiden tot tastbare verbeteringen in de manier waarop zij samenwerken en hun activiteiten coördineren, deze herziening zal tegen eind 2026 door de Commissie worden voorgesteld;</w:t>
            </w:r>
          </w:p>
        </w:tc>
        <w:tc>
          <w:tcPr>
            <w:tcW w:w="4876" w:type="dxa"/>
            <w:tcBorders>
              <w:top w:val="nil"/>
              <w:left w:val="nil"/>
              <w:bottom w:val="nil"/>
              <w:right w:val="nil"/>
            </w:tcBorders>
            <w:hideMark/>
          </w:tcPr>
          <w:p w14:paraId="11722A90" w14:textId="77777777" w:rsidR="006B6379" w:rsidRPr="00E96208" w:rsidRDefault="006B6379" w:rsidP="00B30934">
            <w:pPr>
              <w:pStyle w:val="Normal6a"/>
            </w:pPr>
            <w:r>
              <w:t>87.</w:t>
            </w:r>
            <w:r>
              <w:tab/>
              <w:t xml:space="preserve">is zich bewust van de inspanningen van het EOM om effectief samen te werken met Europol, OLAF en </w:t>
            </w:r>
            <w:proofErr w:type="spellStart"/>
            <w:r>
              <w:t>Eurojust</w:t>
            </w:r>
            <w:proofErr w:type="spellEnd"/>
            <w:r>
              <w:t xml:space="preserve">, hetgeen gebeurt in overeenstemming met het mandaat van elke organisatie, via regelmatige bijeenkomsten op management- en technisch niveau, en via de “hit/no hit”-processen die worden gebruikt voor </w:t>
            </w:r>
            <w:proofErr w:type="spellStart"/>
            <w:r>
              <w:t>bidirectionele</w:t>
            </w:r>
            <w:proofErr w:type="spellEnd"/>
            <w:r>
              <w:t xml:space="preserve"> uitwisselingen van informatie en om dubbel werk te voorkomen; betreurt echter de beperkte omvang van de operationele samenwerking tussen OLAF en het EOM, hetgeen wordt bevestigd door het constant lage aantal zaken van het EOM dat door OLAF wordt ondersteund (vier zaken in 2023 en vijf zaken in 2024) in vergelijking met het aantal zaken waarvoor het EOM in 2024 ondersteuning heeft gekregen van </w:t>
            </w:r>
            <w:proofErr w:type="spellStart"/>
            <w:r>
              <w:t>Eurojust</w:t>
            </w:r>
            <w:proofErr w:type="spellEnd"/>
            <w:r>
              <w:t xml:space="preserve"> (25) en Europol (83); merkt op dat de samenwerking met Europol te lijden heeft onder beperkingen die voortvloeien uit het nationale strafprocesrecht en de toegankelijkheid van de gegevens van het EOM; is van mening dat de verdere versterking van de samenwerking met Europol </w:t>
            </w:r>
            <w:proofErr w:type="spellStart"/>
            <w:r>
              <w:t>synergieën</w:t>
            </w:r>
            <w:proofErr w:type="spellEnd"/>
            <w:r>
              <w:t xml:space="preserve"> en een optimale benutting van middelen mogelijk zou maken, ondanks de dringende noodzaak voor het EOM om zijn interne analyseplatform te ontwikkelen, dat van cruciaal belang is voor de snelle interpretatie van de tijdens zijn onderzoeken verzamelde gegevens en de vaststelling van operationele strategieën in grensoverschrijdende zaken waarvoor toegang tot het volledige casemanagementsysteem van het EOM vereist is; verzoekt alle partijen om adequate manieren te onderzoeken om </w:t>
            </w:r>
            <w:proofErr w:type="spellStart"/>
            <w:r>
              <w:t>synergieën</w:t>
            </w:r>
            <w:proofErr w:type="spellEnd"/>
            <w:r>
              <w:t xml:space="preserve"> te creëren</w:t>
            </w:r>
            <w:r>
              <w:rPr>
                <w:b/>
                <w:i/>
              </w:rPr>
              <w:t>,</w:t>
            </w:r>
            <w:r>
              <w:t xml:space="preserve"> de samenwerking op operationeel niveau te versterken</w:t>
            </w:r>
            <w:r>
              <w:rPr>
                <w:b/>
                <w:i/>
              </w:rPr>
              <w:t>, dubbel werk te voorkomen en beter gebruik te maken van de bestaande analytische capaciteiten</w:t>
            </w:r>
            <w:r>
              <w:t>; is ingenomen met de oprichting van speciale werkgroepen voor de door de Commissie aangekondigde herziening van de fraudebestrijdingsarchitectuur en verwacht dat de debatten, waarbij alle onderdelen van de fraudebestrijdingsarchitectuur betrokken zijn, zullen leiden tot tastbare verbeteringen in de manier waarop zij samenwerken en hun activiteiten coördineren, deze herziening zal tegen eind 2026 door de Commissie worden voorgesteld;</w:t>
            </w:r>
          </w:p>
        </w:tc>
      </w:tr>
    </w:tbl>
    <w:p w14:paraId="5DE226A8"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47F1F371" w14:textId="77777777" w:rsidR="006B6379" w:rsidRPr="00E96208" w:rsidRDefault="006B6379" w:rsidP="006B6379">
      <w:r>
        <w:rPr>
          <w:rStyle w:val="HideTWBExt"/>
        </w:rPr>
        <w:t>&lt;/Amend&gt;</w:t>
      </w:r>
    </w:p>
    <w:p w14:paraId="5A262235" w14:textId="77777777" w:rsidR="006B6379" w:rsidRPr="00E96208" w:rsidRDefault="006B6379" w:rsidP="006B6379">
      <w:pPr>
        <w:pStyle w:val="AmNumberTabs"/>
      </w:pPr>
      <w:r>
        <w:rPr>
          <w:rStyle w:val="HideTWBExt"/>
        </w:rPr>
        <w:t>&lt;Amend&gt;</w:t>
      </w:r>
      <w:r>
        <w:t>Amendement</w:t>
      </w:r>
      <w:r>
        <w:tab/>
      </w:r>
      <w:r>
        <w:tab/>
      </w:r>
      <w:r>
        <w:rPr>
          <w:rStyle w:val="HideTWBExt"/>
        </w:rPr>
        <w:t>&lt;NumAm&gt;</w:t>
      </w:r>
      <w:r>
        <w:t>52</w:t>
      </w:r>
      <w:r>
        <w:rPr>
          <w:rStyle w:val="HideTWBExt"/>
        </w:rPr>
        <w:t>&lt;/NumAm&gt;</w:t>
      </w:r>
    </w:p>
    <w:p w14:paraId="03FB23E6"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549CDD75" w14:textId="77777777" w:rsidR="006B6379" w:rsidRPr="00E96208" w:rsidRDefault="006B6379" w:rsidP="006B6379">
      <w:pPr>
        <w:pStyle w:val="NormalBold"/>
      </w:pPr>
      <w:r>
        <w:rPr>
          <w:rStyle w:val="HideTWBExt"/>
          <w:b w:val="0"/>
        </w:rPr>
        <w:t>&lt;/RepeatBlock-By&gt;</w:t>
      </w:r>
    </w:p>
    <w:p w14:paraId="20E8C678" w14:textId="77777777" w:rsidR="006B6379" w:rsidRPr="00E96208" w:rsidRDefault="006B6379" w:rsidP="006B6379">
      <w:pPr>
        <w:pStyle w:val="NormalBold"/>
      </w:pPr>
      <w:r>
        <w:rPr>
          <w:rStyle w:val="HideTWBExt"/>
        </w:rPr>
        <w:t>&lt;DocAmend&gt;</w:t>
      </w:r>
      <w:r>
        <w:t>Ontwerpresolutie</w:t>
      </w:r>
      <w:r>
        <w:rPr>
          <w:rStyle w:val="HideTWBExt"/>
        </w:rPr>
        <w:t>&lt;/DocAmend&gt;</w:t>
      </w:r>
    </w:p>
    <w:p w14:paraId="1D12B1D4" w14:textId="77777777" w:rsidR="006B6379" w:rsidRPr="00E96208" w:rsidRDefault="006B6379" w:rsidP="006B6379">
      <w:pPr>
        <w:pStyle w:val="NormalBold"/>
      </w:pPr>
      <w:r>
        <w:rPr>
          <w:rStyle w:val="HideTWBExt"/>
        </w:rPr>
        <w:t>&lt;Article&gt;</w:t>
      </w:r>
      <w:r>
        <w:t>Paragraaf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4406BDB8" w14:textId="77777777" w:rsidTr="00B30934">
        <w:trPr>
          <w:trHeight w:val="240"/>
          <w:jc w:val="center"/>
        </w:trPr>
        <w:tc>
          <w:tcPr>
            <w:tcW w:w="9752" w:type="dxa"/>
            <w:gridSpan w:val="2"/>
            <w:tcBorders>
              <w:top w:val="nil"/>
              <w:left w:val="nil"/>
              <w:bottom w:val="nil"/>
              <w:right w:val="nil"/>
            </w:tcBorders>
          </w:tcPr>
          <w:p w14:paraId="713CC963" w14:textId="77777777" w:rsidR="006B6379" w:rsidRPr="00E96208" w:rsidRDefault="006B6379" w:rsidP="00B30934"/>
        </w:tc>
      </w:tr>
      <w:tr w:rsidR="006B6379" w14:paraId="7A5FCF88" w14:textId="77777777" w:rsidTr="00B30934">
        <w:trPr>
          <w:trHeight w:val="240"/>
          <w:jc w:val="center"/>
        </w:trPr>
        <w:tc>
          <w:tcPr>
            <w:tcW w:w="4876" w:type="dxa"/>
            <w:tcBorders>
              <w:top w:val="nil"/>
              <w:left w:val="nil"/>
              <w:bottom w:val="nil"/>
              <w:right w:val="nil"/>
            </w:tcBorders>
            <w:hideMark/>
          </w:tcPr>
          <w:p w14:paraId="51A92544"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61079158" w14:textId="77777777" w:rsidR="006B6379" w:rsidRPr="00E96208" w:rsidRDefault="006B6379" w:rsidP="00B30934">
            <w:pPr>
              <w:pStyle w:val="AmColumnHeading"/>
            </w:pPr>
            <w:r>
              <w:t>Amendement</w:t>
            </w:r>
          </w:p>
        </w:tc>
      </w:tr>
      <w:tr w:rsidR="006B6379" w14:paraId="21D9E88F" w14:textId="77777777" w:rsidTr="00B30934">
        <w:trPr>
          <w:jc w:val="center"/>
        </w:trPr>
        <w:tc>
          <w:tcPr>
            <w:tcW w:w="4876" w:type="dxa"/>
            <w:tcBorders>
              <w:top w:val="nil"/>
              <w:left w:val="nil"/>
              <w:bottom w:val="nil"/>
              <w:right w:val="nil"/>
            </w:tcBorders>
            <w:hideMark/>
          </w:tcPr>
          <w:p w14:paraId="48A98A31" w14:textId="77777777" w:rsidR="006B6379" w:rsidRPr="00E96208" w:rsidRDefault="006B6379" w:rsidP="00B30934">
            <w:pPr>
              <w:pStyle w:val="Normal6a"/>
            </w:pPr>
            <w:r>
              <w:t>89.</w:t>
            </w:r>
            <w:r>
              <w:tab/>
              <w:t xml:space="preserve">is van mening dat de herziening van de regelgevingskaders van OLAF en het EOM de gelegenheid biedt om veel aspecten van hun samenwerking te heroverwegen in het licht van de ervaringen die in de loop van hun operationele activiteiten zijn opgedaan; wijst erop dat de lessen die zijn getrokken bij het uitvoeren van zowel de aanvullende onderzoeken (voorgesteld door OLAF) als de ondersteunende onderzoeken (gevraagd door het EOM), een goede basis hebben opgeleverd voor het hervormen van hun </w:t>
            </w:r>
            <w:r>
              <w:rPr>
                <w:b/>
                <w:i/>
              </w:rPr>
              <w:t>samenwerkingsmodel</w:t>
            </w:r>
            <w:r>
              <w:t xml:space="preserve">; benadrukt dat uit dezelfde operationele ervaring is gebleken dat er behoefte is aan meer opsporing en betere rapportage; merkt op dat in 2024 de eerste </w:t>
            </w:r>
            <w:r>
              <w:rPr>
                <w:b/>
                <w:i/>
              </w:rPr>
              <w:t>internationale gedachtewisseling tussen</w:t>
            </w:r>
            <w:r>
              <w:t xml:space="preserve"> aanklagers van het EOM en onderzoekers van OLAF in het Parlement heeft plaatsgevonden; is van mening dat deze gedachtewisseling kan worden beschouwd als een proefproject voor een praktijk </w:t>
            </w:r>
            <w:r>
              <w:rPr>
                <w:b/>
                <w:i/>
              </w:rPr>
              <w:t xml:space="preserve">van gedachtewisseling </w:t>
            </w:r>
            <w:r>
              <w:t>die</w:t>
            </w:r>
            <w:r>
              <w:rPr>
                <w:b/>
                <w:i/>
              </w:rPr>
              <w:t xml:space="preserve"> verplicht en</w:t>
            </w:r>
            <w:r>
              <w:t xml:space="preserve"> periodiek zou moeten worden; herhaalt dat een adequate dialoog en samenwerking tussen de onderdelen van de fraudebestrijdingsarchitectuur van de Unie alleen kan worden bereikt door een verplicht interinstitutioneel forum in te stellen waar strategische kwesties kunnen worden besproken en behandeld teneinde de middelen te optimaliseren en tastbare resultaten te boeken;</w:t>
            </w:r>
          </w:p>
        </w:tc>
        <w:tc>
          <w:tcPr>
            <w:tcW w:w="4876" w:type="dxa"/>
            <w:tcBorders>
              <w:top w:val="nil"/>
              <w:left w:val="nil"/>
              <w:bottom w:val="nil"/>
              <w:right w:val="nil"/>
            </w:tcBorders>
            <w:hideMark/>
          </w:tcPr>
          <w:p w14:paraId="2B276852" w14:textId="77777777" w:rsidR="006B6379" w:rsidRPr="00E96208" w:rsidRDefault="006B6379" w:rsidP="00B30934">
            <w:pPr>
              <w:pStyle w:val="Normal6a"/>
            </w:pPr>
            <w:r>
              <w:t>89.</w:t>
            </w:r>
            <w:r>
              <w:tab/>
              <w:t xml:space="preserve">is van mening dat de herziening van de regelgevingskaders van OLAF en het EOM de gelegenheid biedt om veel aspecten van hun samenwerking te heroverwegen in het licht van de ervaringen die in de loop van hun operationele activiteiten zijn opgedaan; wijst erop dat de lessen die zijn getrokken bij het uitvoeren van zowel de aanvullende onderzoeken (voorgesteld door OLAF) als de ondersteunende onderzoeken (gevraagd door het EOM), een goede basis hebben opgeleverd voor het hervormen van hun </w:t>
            </w:r>
            <w:r>
              <w:rPr>
                <w:b/>
                <w:i/>
              </w:rPr>
              <w:t>samenwerkingsmodaliteiten</w:t>
            </w:r>
            <w:r>
              <w:t xml:space="preserve">; benadrukt dat uit dezelfde operationele ervaring is gebleken dat er behoefte is aan meer opsporing en betere rapportage; merkt op dat in 2024 de eerste </w:t>
            </w:r>
            <w:r>
              <w:rPr>
                <w:b/>
                <w:i/>
              </w:rPr>
              <w:t>gezamenlijke bijeenkomst van</w:t>
            </w:r>
            <w:r>
              <w:t xml:space="preserve"> aanklagers van het EOM en onderzoekers van OLAF in het Parlement heeft plaatsgevonden; is van mening dat deze gedachtewisseling kan worden beschouwd als een proefproject voor een praktijk die periodiek zou moeten worden</w:t>
            </w:r>
            <w:r>
              <w:rPr>
                <w:b/>
                <w:i/>
              </w:rPr>
              <w:t>, op voorwaarde dat er financiële middelen beschikbaar zijn</w:t>
            </w:r>
            <w:r>
              <w:t>; herhaalt dat een adequate dialoog en samenwerking tussen de onderdelen van de fraudebestrijdingsarchitectuur van de Unie alleen kan worden bereikt door een verplicht interinstitutioneel forum in te stellen waar strategische kwesties kunnen worden besproken en behandeld teneinde de middelen te optimaliseren en tastbare resultaten te boeken;</w:t>
            </w:r>
          </w:p>
        </w:tc>
      </w:tr>
    </w:tbl>
    <w:p w14:paraId="3FBB7676"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15BC75C5" w14:textId="77777777" w:rsidR="006B6379" w:rsidRPr="00E96208" w:rsidRDefault="006B6379" w:rsidP="006B6379">
      <w:r>
        <w:rPr>
          <w:rStyle w:val="HideTWBExt"/>
        </w:rPr>
        <w:t>&lt;/Amend&gt;</w:t>
      </w:r>
    </w:p>
    <w:p w14:paraId="141767D4" w14:textId="77777777" w:rsidR="006B6379" w:rsidRPr="00E96208" w:rsidRDefault="006B6379" w:rsidP="006B6379">
      <w:pPr>
        <w:pStyle w:val="AmNumberTabs"/>
      </w:pPr>
      <w:r>
        <w:rPr>
          <w:rStyle w:val="HideTWBExt"/>
        </w:rPr>
        <w:t>&lt;Amend&gt;</w:t>
      </w:r>
      <w:r>
        <w:t>Amendement</w:t>
      </w:r>
      <w:r>
        <w:tab/>
      </w:r>
      <w:r>
        <w:tab/>
      </w:r>
      <w:r>
        <w:rPr>
          <w:rStyle w:val="HideTWBExt"/>
        </w:rPr>
        <w:t>&lt;NumAm&gt;</w:t>
      </w:r>
      <w:r>
        <w:t>53</w:t>
      </w:r>
      <w:r>
        <w:rPr>
          <w:rStyle w:val="HideTWBExt"/>
        </w:rPr>
        <w:t>&lt;/NumAm&gt;</w:t>
      </w:r>
    </w:p>
    <w:p w14:paraId="60F6E297" w14:textId="77777777" w:rsidR="006B6379" w:rsidRPr="00E96208" w:rsidRDefault="006B6379" w:rsidP="006B6379">
      <w:pPr>
        <w:pStyle w:val="NormalBold"/>
      </w:pPr>
      <w:r>
        <w:rPr>
          <w:rStyle w:val="HideTWBExt"/>
          <w:b w:val="0"/>
        </w:rPr>
        <w:t>&lt;RepeatBlock-By&gt;&lt;Members&gt;</w:t>
      </w:r>
      <w:r>
        <w:t>Ondřej Knotek, Virginie Joron, Julien Sanchez</w:t>
      </w:r>
      <w:r>
        <w:rPr>
          <w:rStyle w:val="HideTWBExt"/>
          <w:b w:val="0"/>
        </w:rPr>
        <w:t>&lt;/Members&gt;</w:t>
      </w:r>
    </w:p>
    <w:p w14:paraId="7A5FABFE" w14:textId="77777777" w:rsidR="006B6379" w:rsidRPr="00E96208" w:rsidRDefault="006B6379" w:rsidP="006B6379">
      <w:pPr>
        <w:pStyle w:val="NormalBold"/>
      </w:pPr>
      <w:r>
        <w:rPr>
          <w:rStyle w:val="HideTWBExt"/>
          <w:b w:val="0"/>
        </w:rPr>
        <w:t>&lt;/RepeatBlock-By&gt;</w:t>
      </w:r>
    </w:p>
    <w:p w14:paraId="43563A1E" w14:textId="77777777" w:rsidR="006B6379" w:rsidRPr="00E96208" w:rsidRDefault="006B6379" w:rsidP="006B6379">
      <w:pPr>
        <w:pStyle w:val="NormalBold"/>
      </w:pPr>
      <w:r>
        <w:rPr>
          <w:rStyle w:val="HideTWBExt"/>
        </w:rPr>
        <w:t>&lt;DocAmend&gt;</w:t>
      </w:r>
      <w:r>
        <w:t>Ontwerpresolutie</w:t>
      </w:r>
      <w:r>
        <w:rPr>
          <w:rStyle w:val="HideTWBExt"/>
        </w:rPr>
        <w:t>&lt;/DocAmend&gt;</w:t>
      </w:r>
    </w:p>
    <w:p w14:paraId="5E005AB4" w14:textId="77777777" w:rsidR="006B6379" w:rsidRPr="00E96208" w:rsidRDefault="006B6379" w:rsidP="006B6379">
      <w:pPr>
        <w:pStyle w:val="NormalBold"/>
      </w:pPr>
      <w:r>
        <w:rPr>
          <w:rStyle w:val="HideTWBExt"/>
        </w:rPr>
        <w:t>&lt;Article&gt;</w:t>
      </w:r>
      <w:r>
        <w:t>Paragraaf 91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181C5FAB" w14:textId="77777777" w:rsidTr="00B30934">
        <w:trPr>
          <w:trHeight w:val="240"/>
          <w:jc w:val="center"/>
        </w:trPr>
        <w:tc>
          <w:tcPr>
            <w:tcW w:w="9752" w:type="dxa"/>
            <w:gridSpan w:val="2"/>
            <w:tcBorders>
              <w:top w:val="nil"/>
              <w:left w:val="nil"/>
              <w:bottom w:val="nil"/>
              <w:right w:val="nil"/>
            </w:tcBorders>
          </w:tcPr>
          <w:p w14:paraId="4EA48202" w14:textId="77777777" w:rsidR="006B6379" w:rsidRPr="00E96208" w:rsidRDefault="006B6379" w:rsidP="00B30934"/>
        </w:tc>
      </w:tr>
      <w:tr w:rsidR="006B6379" w14:paraId="361BA400" w14:textId="77777777" w:rsidTr="00B30934">
        <w:trPr>
          <w:trHeight w:val="240"/>
          <w:jc w:val="center"/>
        </w:trPr>
        <w:tc>
          <w:tcPr>
            <w:tcW w:w="4876" w:type="dxa"/>
            <w:tcBorders>
              <w:top w:val="nil"/>
              <w:left w:val="nil"/>
              <w:bottom w:val="nil"/>
              <w:right w:val="nil"/>
            </w:tcBorders>
            <w:hideMark/>
          </w:tcPr>
          <w:p w14:paraId="138EEDE7"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6D497508" w14:textId="77777777" w:rsidR="006B6379" w:rsidRPr="00E96208" w:rsidRDefault="006B6379" w:rsidP="00B30934">
            <w:pPr>
              <w:pStyle w:val="AmColumnHeading"/>
            </w:pPr>
            <w:r>
              <w:t>Amendement</w:t>
            </w:r>
          </w:p>
        </w:tc>
      </w:tr>
      <w:tr w:rsidR="006B6379" w14:paraId="076A448E" w14:textId="77777777" w:rsidTr="00B30934">
        <w:trPr>
          <w:jc w:val="center"/>
        </w:trPr>
        <w:tc>
          <w:tcPr>
            <w:tcW w:w="4876" w:type="dxa"/>
            <w:tcBorders>
              <w:top w:val="nil"/>
              <w:left w:val="nil"/>
              <w:bottom w:val="nil"/>
              <w:right w:val="nil"/>
            </w:tcBorders>
          </w:tcPr>
          <w:p w14:paraId="5D6F63A6" w14:textId="77777777" w:rsidR="006B6379" w:rsidRPr="00E96208" w:rsidRDefault="006B6379" w:rsidP="00B30934">
            <w:pPr>
              <w:pStyle w:val="Normal6a"/>
            </w:pPr>
          </w:p>
        </w:tc>
        <w:tc>
          <w:tcPr>
            <w:tcW w:w="4876" w:type="dxa"/>
            <w:tcBorders>
              <w:top w:val="nil"/>
              <w:left w:val="nil"/>
              <w:bottom w:val="nil"/>
              <w:right w:val="nil"/>
            </w:tcBorders>
            <w:hideMark/>
          </w:tcPr>
          <w:p w14:paraId="154EB45E" w14:textId="77777777" w:rsidR="006B6379" w:rsidRPr="00E96208" w:rsidRDefault="006B6379" w:rsidP="00B30934">
            <w:pPr>
              <w:pStyle w:val="Normal6a"/>
            </w:pPr>
            <w:r>
              <w:rPr>
                <w:b/>
                <w:i/>
              </w:rPr>
              <w:t>91 bis.</w:t>
            </w:r>
            <w:r>
              <w:tab/>
            </w:r>
            <w:r>
              <w:rPr>
                <w:b/>
                <w:i/>
              </w:rPr>
              <w:t>beklemtoont dat grootschalige btw-fraude niet alleen een financieel misdrijf is, maar ook een rechtstreekse aanval op de interne markt en eerlijke concurrentie, waardoor belastingbetalers en kmo’s die zich aan de wet houden onevenredig worden geschaad; wijst erop dat tolerantie voor grootschalige btw-fraude het vertrouwen van de burgers in de Unie ondermijnt; benadrukt dat de strijd tegen btw-fraude moet worden opgevat als een kwestie van politieke geloofwaardigheid, en niet louter als een kwestie van technische handhaving;</w:t>
            </w:r>
          </w:p>
        </w:tc>
      </w:tr>
    </w:tbl>
    <w:p w14:paraId="12D4BD3A"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066C120C" w14:textId="77777777" w:rsidR="006B6379" w:rsidRPr="00E96208" w:rsidRDefault="006B6379" w:rsidP="006B6379">
      <w:r>
        <w:rPr>
          <w:rStyle w:val="HideTWBExt"/>
        </w:rPr>
        <w:t>&lt;/Amend&gt;</w:t>
      </w:r>
    </w:p>
    <w:p w14:paraId="725A877B" w14:textId="77777777" w:rsidR="006B6379" w:rsidRPr="00E96208" w:rsidRDefault="006B6379" w:rsidP="006B6379">
      <w:pPr>
        <w:pStyle w:val="AmNumberTabs"/>
      </w:pPr>
      <w:r>
        <w:rPr>
          <w:rStyle w:val="HideTWBExt"/>
        </w:rPr>
        <w:t>&lt;Amend&gt;</w:t>
      </w:r>
      <w:r>
        <w:t>Amendement</w:t>
      </w:r>
      <w:r>
        <w:tab/>
      </w:r>
      <w:r>
        <w:tab/>
      </w:r>
      <w:r>
        <w:rPr>
          <w:rStyle w:val="HideTWBExt"/>
        </w:rPr>
        <w:t>&lt;NumAm&gt;</w:t>
      </w:r>
      <w:r>
        <w:t>54</w:t>
      </w:r>
      <w:r>
        <w:rPr>
          <w:rStyle w:val="HideTWBExt"/>
        </w:rPr>
        <w:t>&lt;/NumAm&gt;</w:t>
      </w:r>
    </w:p>
    <w:p w14:paraId="160C5C38" w14:textId="77777777" w:rsidR="006B6379" w:rsidRPr="00E96208" w:rsidRDefault="006B6379" w:rsidP="006B6379">
      <w:pPr>
        <w:pStyle w:val="NormalBold"/>
      </w:pPr>
      <w:r>
        <w:rPr>
          <w:rStyle w:val="HideTWBExt"/>
          <w:b w:val="0"/>
        </w:rPr>
        <w:t>&lt;RepeatBlock-By&gt;&lt;Members&gt;</w:t>
      </w:r>
      <w:r>
        <w:t>Damian Boeselager</w:t>
      </w:r>
      <w:r>
        <w:rPr>
          <w:rStyle w:val="HideTWBExt"/>
          <w:b w:val="0"/>
        </w:rPr>
        <w:t>&lt;/Members&gt;</w:t>
      </w:r>
    </w:p>
    <w:p w14:paraId="733A7E6C" w14:textId="77777777" w:rsidR="006B6379" w:rsidRPr="00E96208" w:rsidRDefault="006B6379" w:rsidP="006B6379">
      <w:r>
        <w:rPr>
          <w:rStyle w:val="HideTWBExt"/>
        </w:rPr>
        <w:t>&lt;AuNomDe&gt;</w:t>
      </w:r>
      <w:r>
        <w:rPr>
          <w:rStyle w:val="HideTWBInt"/>
          <w:color w:val="auto"/>
        </w:rPr>
        <w:t>{Verts/ALE}</w:t>
      </w:r>
      <w:r>
        <w:t>namens de Verts/ALE‐Fractie</w:t>
      </w:r>
      <w:r>
        <w:rPr>
          <w:rStyle w:val="HideTWBExt"/>
        </w:rPr>
        <w:t>&lt;/AuNomDe&gt;</w:t>
      </w:r>
    </w:p>
    <w:p w14:paraId="2610EA46" w14:textId="77777777" w:rsidR="006B6379" w:rsidRPr="00E96208" w:rsidRDefault="006B6379" w:rsidP="006B6379">
      <w:pPr>
        <w:pStyle w:val="NormalBold"/>
      </w:pPr>
      <w:r>
        <w:rPr>
          <w:rStyle w:val="HideTWBExt"/>
          <w:b w:val="0"/>
        </w:rPr>
        <w:t>&lt;/RepeatBlock-By&gt;</w:t>
      </w:r>
    </w:p>
    <w:p w14:paraId="71F84EC7" w14:textId="77777777" w:rsidR="006B6379" w:rsidRPr="00E96208" w:rsidRDefault="006B6379" w:rsidP="006B6379">
      <w:pPr>
        <w:pStyle w:val="NormalBold"/>
      </w:pPr>
      <w:r>
        <w:rPr>
          <w:rStyle w:val="HideTWBExt"/>
        </w:rPr>
        <w:t>&lt;DocAmend&gt;</w:t>
      </w:r>
      <w:r>
        <w:t>Ontwerpresolutie</w:t>
      </w:r>
      <w:r>
        <w:rPr>
          <w:rStyle w:val="HideTWBExt"/>
        </w:rPr>
        <w:t>&lt;/DocAmend&gt;</w:t>
      </w:r>
    </w:p>
    <w:p w14:paraId="5DF30FD8" w14:textId="77777777" w:rsidR="006B6379" w:rsidRPr="00E96208" w:rsidRDefault="006B6379" w:rsidP="006B6379">
      <w:pPr>
        <w:pStyle w:val="NormalBold"/>
      </w:pPr>
      <w:r>
        <w:rPr>
          <w:rStyle w:val="HideTWBExt"/>
        </w:rPr>
        <w:t>&lt;Article&gt;</w:t>
      </w:r>
      <w:r>
        <w:t>Paragraaf 95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17EDC54E" w14:textId="77777777" w:rsidTr="00B30934">
        <w:trPr>
          <w:trHeight w:val="240"/>
          <w:jc w:val="center"/>
        </w:trPr>
        <w:tc>
          <w:tcPr>
            <w:tcW w:w="9752" w:type="dxa"/>
            <w:gridSpan w:val="2"/>
            <w:tcBorders>
              <w:top w:val="nil"/>
              <w:left w:val="nil"/>
              <w:bottom w:val="nil"/>
              <w:right w:val="nil"/>
            </w:tcBorders>
          </w:tcPr>
          <w:p w14:paraId="50B3AC82" w14:textId="77777777" w:rsidR="006B6379" w:rsidRPr="00E96208" w:rsidRDefault="006B6379" w:rsidP="00B30934"/>
        </w:tc>
      </w:tr>
      <w:tr w:rsidR="006B6379" w14:paraId="305D6919" w14:textId="77777777" w:rsidTr="00B30934">
        <w:trPr>
          <w:trHeight w:val="240"/>
          <w:jc w:val="center"/>
        </w:trPr>
        <w:tc>
          <w:tcPr>
            <w:tcW w:w="4876" w:type="dxa"/>
            <w:tcBorders>
              <w:top w:val="nil"/>
              <w:left w:val="nil"/>
              <w:bottom w:val="nil"/>
              <w:right w:val="nil"/>
            </w:tcBorders>
            <w:hideMark/>
          </w:tcPr>
          <w:p w14:paraId="17B6FF28"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62674F63" w14:textId="77777777" w:rsidR="006B6379" w:rsidRPr="00E96208" w:rsidRDefault="006B6379" w:rsidP="00B30934">
            <w:pPr>
              <w:pStyle w:val="AmColumnHeading"/>
            </w:pPr>
            <w:r>
              <w:t>Amendement</w:t>
            </w:r>
          </w:p>
        </w:tc>
      </w:tr>
      <w:tr w:rsidR="006B6379" w14:paraId="6A056AA7" w14:textId="77777777" w:rsidTr="00B30934">
        <w:trPr>
          <w:jc w:val="center"/>
        </w:trPr>
        <w:tc>
          <w:tcPr>
            <w:tcW w:w="4876" w:type="dxa"/>
            <w:tcBorders>
              <w:top w:val="nil"/>
              <w:left w:val="nil"/>
              <w:bottom w:val="nil"/>
              <w:right w:val="nil"/>
            </w:tcBorders>
            <w:hideMark/>
          </w:tcPr>
          <w:p w14:paraId="0A95BFA6" w14:textId="77777777" w:rsidR="006B6379" w:rsidRPr="00E96208" w:rsidRDefault="006B6379" w:rsidP="00B30934">
            <w:pPr>
              <w:pStyle w:val="Normal6a"/>
            </w:pPr>
            <w:r>
              <w:t>95.</w:t>
            </w:r>
            <w:r>
              <w:tab/>
              <w:t>erkent dat de onderzoeken van het EOM alleen kunnen worden gestart als de informatie de openbare aanklagers heeft bereikt en verwacht dat de lidstaten aan de wettelijke verplichtingen voldoen en alle relevante zaken aan het EOM rapporteren; stelt met bezorgdheid vast dat bepaalde lidstaten strafbare feiten met gevolgen voor de financiële belangen van de Unie als nationale zaken hebben aangemerkt, en weigerden te erkennen dat zij onder het mandaat van het EOM vallen; spreekt zijn bezorgdheid uit over de mogelijke negatieve gevolgen van deze bevoegdheidsconflicten voor het onderzoek, door het verlies van bewijsmateriaal of door de laattijdige verzameling van bewijsmateriaal; verzoekt de Commissie informatie over gevallen van bevoegdheidsconflicten te verzamelen en te beoordelen, teneinde over relevante gegevens te beschikken voor de herziening van Verordening (EU) 2017/1939;</w:t>
            </w:r>
          </w:p>
        </w:tc>
        <w:tc>
          <w:tcPr>
            <w:tcW w:w="4876" w:type="dxa"/>
            <w:tcBorders>
              <w:top w:val="nil"/>
              <w:left w:val="nil"/>
              <w:bottom w:val="nil"/>
              <w:right w:val="nil"/>
            </w:tcBorders>
            <w:hideMark/>
          </w:tcPr>
          <w:p w14:paraId="2DE5F56F" w14:textId="77777777" w:rsidR="006B6379" w:rsidRPr="00E96208" w:rsidRDefault="006B6379" w:rsidP="00B30934">
            <w:pPr>
              <w:pStyle w:val="Normal6a"/>
            </w:pPr>
            <w:r>
              <w:t>95.</w:t>
            </w:r>
            <w:r>
              <w:tab/>
              <w:t>erkent dat de onderzoeken van het EOM alleen kunnen worden gestart als de informatie de openbare aanklagers heeft bereikt en verwacht dat de lidstaten aan de wettelijke verplichtingen voldoen en alle relevante zaken aan het EOM rapporteren;</w:t>
            </w:r>
            <w:r>
              <w:rPr>
                <w:b/>
                <w:i/>
              </w:rPr>
              <w:t xml:space="preserve"> stelt bezorgd vast dat er in 2024 nog steeds bevoegdheidsconflicten en systemische belemmeringen bestonden voor onderzoeken van het EOM, waaronder zaken die aanleiding gaven tot bezorgdheid over de rechtsstaat; herinnert in dit verband aan de publieke verklaring van het EOM over een besluit inzake een bevoegdheidsconflict in Kroatië; roept de Commissie ertoe op deze belemmeringen systematisch op te volgen als onderdeel van haar verantwoordelijkheid om de naleving van het Unierecht te waarborgen en de financiële belangen van de Unie te beschermen;</w:t>
            </w:r>
            <w:r>
              <w:t xml:space="preserve"> </w:t>
            </w:r>
            <w:r>
              <w:rPr>
                <w:b/>
                <w:i/>
              </w:rPr>
              <w:t xml:space="preserve">stelt </w:t>
            </w:r>
            <w:r>
              <w:t>met bezorgdheid vast dat bepaalde lidstaten strafbare feiten met gevolgen voor de financiële belangen van de Unie als nationale zaken hebben aangemerkt, en weigerden te erkennen dat zij onder het mandaat van het EOM vallen; spreekt zijn bezorgdheid uit over de mogelijke negatieve gevolgen van deze bevoegdheidsconflicten voor het onderzoek, door het verlies van bewijsmateriaal of door de laattijdige verzameling van bewijsmateriaal; verzoekt de Commissie informatie over gevallen van bevoegdheidsconflicten te verzamelen en te beoordelen, teneinde over relevante gegevens te beschikken voor de herziening van Verordening (EU) 2017/1939;</w:t>
            </w:r>
          </w:p>
        </w:tc>
      </w:tr>
    </w:tbl>
    <w:p w14:paraId="6CD985DF"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6FF1A9DB" w14:textId="77777777" w:rsidR="006B6379" w:rsidRPr="00E96208" w:rsidRDefault="006B6379" w:rsidP="006B6379">
      <w:r>
        <w:rPr>
          <w:rStyle w:val="HideTWBExt"/>
        </w:rPr>
        <w:t>&lt;/Amend&gt;</w:t>
      </w:r>
    </w:p>
    <w:p w14:paraId="65FEC88E" w14:textId="77777777" w:rsidR="006B6379" w:rsidRPr="00E96208" w:rsidRDefault="006B6379" w:rsidP="006B6379">
      <w:pPr>
        <w:pStyle w:val="AmNumberTabs"/>
      </w:pPr>
      <w:r>
        <w:rPr>
          <w:rStyle w:val="HideTWBExt"/>
        </w:rPr>
        <w:t>&lt;Amend&gt;</w:t>
      </w:r>
      <w:r>
        <w:t>Amendement</w:t>
      </w:r>
      <w:r>
        <w:tab/>
      </w:r>
      <w:r>
        <w:tab/>
      </w:r>
      <w:r>
        <w:rPr>
          <w:rStyle w:val="HideTWBExt"/>
        </w:rPr>
        <w:t>&lt;NumAm&gt;</w:t>
      </w:r>
      <w:r>
        <w:t>55</w:t>
      </w:r>
      <w:r>
        <w:rPr>
          <w:rStyle w:val="HideTWBExt"/>
        </w:rPr>
        <w:t>&lt;/NumAm&gt;</w:t>
      </w:r>
    </w:p>
    <w:p w14:paraId="7A60CFCA"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6F108146" w14:textId="77777777" w:rsidR="006B6379" w:rsidRPr="00E96208" w:rsidRDefault="006B6379" w:rsidP="006B6379">
      <w:pPr>
        <w:pStyle w:val="NormalBold"/>
      </w:pPr>
      <w:r>
        <w:rPr>
          <w:rStyle w:val="HideTWBExt"/>
          <w:b w:val="0"/>
        </w:rPr>
        <w:t>&lt;/RepeatBlock-By&gt;</w:t>
      </w:r>
    </w:p>
    <w:p w14:paraId="673C553C" w14:textId="77777777" w:rsidR="006B6379" w:rsidRPr="00E96208" w:rsidRDefault="006B6379" w:rsidP="006B6379">
      <w:pPr>
        <w:pStyle w:val="NormalBold"/>
      </w:pPr>
      <w:r>
        <w:rPr>
          <w:rStyle w:val="HideTWBExt"/>
        </w:rPr>
        <w:t>&lt;DocAmend&gt;</w:t>
      </w:r>
      <w:r>
        <w:t>Ontwerpresolutie</w:t>
      </w:r>
      <w:r>
        <w:rPr>
          <w:rStyle w:val="HideTWBExt"/>
        </w:rPr>
        <w:t>&lt;/DocAmend&gt;</w:t>
      </w:r>
    </w:p>
    <w:p w14:paraId="109ED3EA" w14:textId="77777777" w:rsidR="006B6379" w:rsidRPr="00E96208" w:rsidRDefault="006B6379" w:rsidP="006B6379">
      <w:pPr>
        <w:pStyle w:val="NormalBold"/>
      </w:pPr>
      <w:r>
        <w:rPr>
          <w:rStyle w:val="HideTWBExt"/>
        </w:rPr>
        <w:t>&lt;Article&gt;</w:t>
      </w:r>
      <w:r>
        <w:t>Paragraaf 97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4D7F6C0E" w14:textId="77777777" w:rsidTr="00B30934">
        <w:trPr>
          <w:trHeight w:val="240"/>
          <w:jc w:val="center"/>
        </w:trPr>
        <w:tc>
          <w:tcPr>
            <w:tcW w:w="9752" w:type="dxa"/>
            <w:gridSpan w:val="2"/>
            <w:tcBorders>
              <w:top w:val="nil"/>
              <w:left w:val="nil"/>
              <w:bottom w:val="nil"/>
              <w:right w:val="nil"/>
            </w:tcBorders>
          </w:tcPr>
          <w:p w14:paraId="383467D0" w14:textId="77777777" w:rsidR="006B6379" w:rsidRPr="00E96208" w:rsidRDefault="006B6379" w:rsidP="00B30934"/>
        </w:tc>
      </w:tr>
      <w:tr w:rsidR="006B6379" w14:paraId="2315B9DA" w14:textId="77777777" w:rsidTr="00B30934">
        <w:trPr>
          <w:trHeight w:val="240"/>
          <w:jc w:val="center"/>
        </w:trPr>
        <w:tc>
          <w:tcPr>
            <w:tcW w:w="4876" w:type="dxa"/>
            <w:tcBorders>
              <w:top w:val="nil"/>
              <w:left w:val="nil"/>
              <w:bottom w:val="nil"/>
              <w:right w:val="nil"/>
            </w:tcBorders>
            <w:hideMark/>
          </w:tcPr>
          <w:p w14:paraId="2C613898"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28C4DB17" w14:textId="77777777" w:rsidR="006B6379" w:rsidRPr="00E96208" w:rsidRDefault="006B6379" w:rsidP="00B30934">
            <w:pPr>
              <w:pStyle w:val="AmColumnHeading"/>
            </w:pPr>
            <w:r>
              <w:t>Amendement</w:t>
            </w:r>
          </w:p>
        </w:tc>
      </w:tr>
      <w:tr w:rsidR="006B6379" w14:paraId="5F682958" w14:textId="77777777" w:rsidTr="00B30934">
        <w:trPr>
          <w:jc w:val="center"/>
        </w:trPr>
        <w:tc>
          <w:tcPr>
            <w:tcW w:w="4876" w:type="dxa"/>
            <w:tcBorders>
              <w:top w:val="nil"/>
              <w:left w:val="nil"/>
              <w:bottom w:val="nil"/>
              <w:right w:val="nil"/>
            </w:tcBorders>
            <w:hideMark/>
          </w:tcPr>
          <w:p w14:paraId="1387B864" w14:textId="77777777" w:rsidR="006B6379" w:rsidRPr="00E96208" w:rsidRDefault="006B6379" w:rsidP="00B30934">
            <w:pPr>
              <w:pStyle w:val="Normal6a"/>
            </w:pPr>
            <w:r>
              <w:t>97.</w:t>
            </w:r>
            <w:r>
              <w:tab/>
              <w:t xml:space="preserve">merkt op dat het EOM in 2024 de relevante kosten heeft gedragen voor de organisatie van de “EPPO Academy”, die samen met de </w:t>
            </w:r>
            <w:proofErr w:type="spellStart"/>
            <w:r>
              <w:t>Guardia</w:t>
            </w:r>
            <w:proofErr w:type="spellEnd"/>
            <w:r>
              <w:t xml:space="preserve"> di </w:t>
            </w:r>
            <w:proofErr w:type="spellStart"/>
            <w:r>
              <w:t>Finanza</w:t>
            </w:r>
            <w:proofErr w:type="spellEnd"/>
            <w:r>
              <w:t xml:space="preserve"> in Italië werd georganiseerd en bestond uit twee internationale cursussen ter plaatse van twee weken voor 49 onderzoekers; merkt op dat in sommige lidstaten speciale opleidingen voor rechtshandhavers zijn gegeven op het gebied van criminaliteit die onder het mandaat van het EOM valt; merkt op dat in 2024 door de Europese aanklagers en gedelegeerde Europese aanklagers op gedecentraliseerd en centraal niveau verdere bewustmakingsacties werden gelanceerd voor nationale belanghebbenden, waarbij bij talrijke gelegenheden delegaties van justitie, openbare aanklagers en rechtshandhavingsinstanties zijn ontvangen;</w:t>
            </w:r>
          </w:p>
        </w:tc>
        <w:tc>
          <w:tcPr>
            <w:tcW w:w="4876" w:type="dxa"/>
            <w:tcBorders>
              <w:top w:val="nil"/>
              <w:left w:val="nil"/>
              <w:bottom w:val="nil"/>
              <w:right w:val="nil"/>
            </w:tcBorders>
            <w:hideMark/>
          </w:tcPr>
          <w:p w14:paraId="58B97FC9" w14:textId="77777777" w:rsidR="006B6379" w:rsidRPr="00E96208" w:rsidRDefault="006B6379" w:rsidP="00B30934">
            <w:pPr>
              <w:pStyle w:val="Normal6a"/>
            </w:pPr>
            <w:r>
              <w:t>97.</w:t>
            </w:r>
            <w:r>
              <w:tab/>
              <w:t xml:space="preserve">merkt op dat het EOM in 2024 de relevante kosten heeft gedragen voor de organisatie van de “EPPO Academy”, die samen met de </w:t>
            </w:r>
            <w:proofErr w:type="spellStart"/>
            <w:r>
              <w:t>Guardia</w:t>
            </w:r>
            <w:proofErr w:type="spellEnd"/>
            <w:r>
              <w:t xml:space="preserve"> di </w:t>
            </w:r>
            <w:proofErr w:type="spellStart"/>
            <w:r>
              <w:t>Finanza</w:t>
            </w:r>
            <w:proofErr w:type="spellEnd"/>
            <w:r>
              <w:t xml:space="preserve"> in Italië werd georganiseerd en bestond uit twee internationale cursussen ter plaatse van twee weken voor 49 onderzoekers; merkt op dat in sommige lidstaten speciale opleidingen voor rechtshandhavers zijn gegeven op het gebied van criminaliteit die onder het mandaat van het EOM valt; </w:t>
            </w:r>
            <w:r>
              <w:rPr>
                <w:b/>
                <w:i/>
              </w:rPr>
              <w:t>verzoekt de Commissie dit waardevolle opleidingsproject te ondersteunen en te financieren;</w:t>
            </w:r>
            <w:r>
              <w:t xml:space="preserve"> merkt op dat in 2024 door de Europese aanklagers en gedelegeerde Europese aanklagers op gedecentraliseerd en centraal niveau verdere bewustmakingsacties werden gelanceerd voor nationale belanghebbenden, waarbij bij talrijke gelegenheden delegaties van justitie, openbare aanklagers en rechtshandhavingsinstanties zijn ontvangen;</w:t>
            </w:r>
          </w:p>
        </w:tc>
      </w:tr>
    </w:tbl>
    <w:p w14:paraId="3A070151"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39CA4CEE" w14:textId="77777777" w:rsidR="006B6379" w:rsidRPr="00E96208" w:rsidRDefault="006B6379" w:rsidP="006B6379">
      <w:r>
        <w:rPr>
          <w:rStyle w:val="HideTWBExt"/>
        </w:rPr>
        <w:t>&lt;/Amend&gt;</w:t>
      </w:r>
    </w:p>
    <w:p w14:paraId="05C96A0A" w14:textId="77777777" w:rsidR="006B6379" w:rsidRPr="00E96208" w:rsidRDefault="006B6379" w:rsidP="006B6379">
      <w:pPr>
        <w:pStyle w:val="AmNumberTabs"/>
      </w:pPr>
      <w:r>
        <w:rPr>
          <w:rStyle w:val="HideTWBExt"/>
        </w:rPr>
        <w:t>&lt;Amend&gt;</w:t>
      </w:r>
      <w:r>
        <w:t>Amendement</w:t>
      </w:r>
      <w:r>
        <w:tab/>
      </w:r>
      <w:r>
        <w:tab/>
      </w:r>
      <w:r>
        <w:rPr>
          <w:rStyle w:val="HideTWBExt"/>
        </w:rPr>
        <w:t>&lt;NumAm&gt;</w:t>
      </w:r>
      <w:r>
        <w:t>56</w:t>
      </w:r>
      <w:r>
        <w:rPr>
          <w:rStyle w:val="HideTWBExt"/>
        </w:rPr>
        <w:t>&lt;/NumAm&gt;</w:t>
      </w:r>
    </w:p>
    <w:p w14:paraId="1AF5C5BF" w14:textId="77777777" w:rsidR="006B6379" w:rsidRPr="00E96208" w:rsidRDefault="006B6379" w:rsidP="006B6379">
      <w:pPr>
        <w:pStyle w:val="NormalBold"/>
      </w:pPr>
      <w:r>
        <w:rPr>
          <w:rStyle w:val="HideTWBExt"/>
          <w:b w:val="0"/>
        </w:rPr>
        <w:t>&lt;RepeatBlock-By&gt;&lt;Members&gt;</w:t>
      </w:r>
      <w:r>
        <w:t>Ondřej Knotek, Virginie Joron, Julien Sanchez</w:t>
      </w:r>
      <w:r>
        <w:rPr>
          <w:rStyle w:val="HideTWBExt"/>
          <w:b w:val="0"/>
        </w:rPr>
        <w:t>&lt;/Members&gt;</w:t>
      </w:r>
    </w:p>
    <w:p w14:paraId="61AFE822" w14:textId="77777777" w:rsidR="006B6379" w:rsidRPr="00E96208" w:rsidRDefault="006B6379" w:rsidP="006B6379">
      <w:pPr>
        <w:pStyle w:val="NormalBold"/>
      </w:pPr>
      <w:r>
        <w:rPr>
          <w:rStyle w:val="HideTWBExt"/>
          <w:b w:val="0"/>
        </w:rPr>
        <w:t>&lt;/RepeatBlock-By&gt;</w:t>
      </w:r>
    </w:p>
    <w:p w14:paraId="34693F96" w14:textId="77777777" w:rsidR="006B6379" w:rsidRPr="00E96208" w:rsidRDefault="006B6379" w:rsidP="006B6379">
      <w:pPr>
        <w:pStyle w:val="NormalBold"/>
      </w:pPr>
      <w:r>
        <w:rPr>
          <w:rStyle w:val="HideTWBExt"/>
        </w:rPr>
        <w:t>&lt;DocAmend&gt;</w:t>
      </w:r>
      <w:r>
        <w:t>Ontwerpresolutie</w:t>
      </w:r>
      <w:r>
        <w:rPr>
          <w:rStyle w:val="HideTWBExt"/>
        </w:rPr>
        <w:t>&lt;/DocAmend&gt;</w:t>
      </w:r>
    </w:p>
    <w:p w14:paraId="44B93229" w14:textId="77777777" w:rsidR="006B6379" w:rsidRPr="00E96208" w:rsidRDefault="006B6379" w:rsidP="006B6379">
      <w:pPr>
        <w:pStyle w:val="NormalBold"/>
      </w:pPr>
      <w:r>
        <w:rPr>
          <w:rStyle w:val="HideTWBExt"/>
        </w:rPr>
        <w:t>&lt;Article&gt;</w:t>
      </w:r>
      <w:r>
        <w:t>Paragraaf 99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418B3528" w14:textId="77777777" w:rsidTr="00B30934">
        <w:trPr>
          <w:trHeight w:val="240"/>
          <w:jc w:val="center"/>
        </w:trPr>
        <w:tc>
          <w:tcPr>
            <w:tcW w:w="9752" w:type="dxa"/>
            <w:gridSpan w:val="2"/>
            <w:tcBorders>
              <w:top w:val="nil"/>
              <w:left w:val="nil"/>
              <w:bottom w:val="nil"/>
              <w:right w:val="nil"/>
            </w:tcBorders>
          </w:tcPr>
          <w:p w14:paraId="0FC6327A" w14:textId="77777777" w:rsidR="006B6379" w:rsidRPr="00E96208" w:rsidRDefault="006B6379" w:rsidP="00B30934"/>
        </w:tc>
      </w:tr>
      <w:tr w:rsidR="006B6379" w14:paraId="2EAC9227" w14:textId="77777777" w:rsidTr="00B30934">
        <w:trPr>
          <w:trHeight w:val="240"/>
          <w:jc w:val="center"/>
        </w:trPr>
        <w:tc>
          <w:tcPr>
            <w:tcW w:w="4876" w:type="dxa"/>
            <w:tcBorders>
              <w:top w:val="nil"/>
              <w:left w:val="nil"/>
              <w:bottom w:val="nil"/>
              <w:right w:val="nil"/>
            </w:tcBorders>
            <w:hideMark/>
          </w:tcPr>
          <w:p w14:paraId="14831A46"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0493A1A3" w14:textId="77777777" w:rsidR="006B6379" w:rsidRPr="00E96208" w:rsidRDefault="006B6379" w:rsidP="00B30934">
            <w:pPr>
              <w:pStyle w:val="AmColumnHeading"/>
            </w:pPr>
            <w:r>
              <w:t>Amendement</w:t>
            </w:r>
          </w:p>
        </w:tc>
      </w:tr>
      <w:tr w:rsidR="006B6379" w14:paraId="63B958D4" w14:textId="77777777" w:rsidTr="00B30934">
        <w:trPr>
          <w:jc w:val="center"/>
        </w:trPr>
        <w:tc>
          <w:tcPr>
            <w:tcW w:w="4876" w:type="dxa"/>
            <w:tcBorders>
              <w:top w:val="nil"/>
              <w:left w:val="nil"/>
              <w:bottom w:val="nil"/>
              <w:right w:val="nil"/>
            </w:tcBorders>
          </w:tcPr>
          <w:p w14:paraId="2D6FB4E4" w14:textId="77777777" w:rsidR="006B6379" w:rsidRPr="00E96208" w:rsidRDefault="006B6379" w:rsidP="00B30934">
            <w:pPr>
              <w:pStyle w:val="Normal6a"/>
            </w:pPr>
          </w:p>
        </w:tc>
        <w:tc>
          <w:tcPr>
            <w:tcW w:w="4876" w:type="dxa"/>
            <w:tcBorders>
              <w:top w:val="nil"/>
              <w:left w:val="nil"/>
              <w:bottom w:val="nil"/>
              <w:right w:val="nil"/>
            </w:tcBorders>
            <w:hideMark/>
          </w:tcPr>
          <w:p w14:paraId="317B56B0" w14:textId="77777777" w:rsidR="006B6379" w:rsidRPr="00E96208" w:rsidRDefault="006B6379" w:rsidP="00B30934">
            <w:pPr>
              <w:pStyle w:val="Normal6a"/>
            </w:pPr>
            <w:r>
              <w:rPr>
                <w:b/>
                <w:i/>
              </w:rPr>
              <w:t>99 bis.</w:t>
            </w:r>
            <w:r>
              <w:tab/>
            </w:r>
            <w:r>
              <w:rPr>
                <w:b/>
                <w:i/>
              </w:rPr>
              <w:t>betreurt het dat de Commissie, ondanks herhaalde waarschuwingen van het Europees Parlement en de Rekenkamer, nog steeds te veel blijft vertrouwen op controles achteraf, wat ten koste gaat van het vermogen van de Unie om misbruik van middelen uit de herstel- en veerkrachtfaciliteit te voorkomen, op te sporen en te corrigeren; benadrukt dat uit de ervaring die tot dusver met de herstel- en veerkrachtfaciliteit is opgedaan, blijkt dat dergelijke uitgaveninstrumenten van de Unie een risico vormen voor de financiële belangen van de Unie; waarschuwt ervoor dergelijke modellen in toekomstige instrumenten van de Unie over te nemen zonder solide, afdwingbare en uniforme controlemechanismen;</w:t>
            </w:r>
          </w:p>
        </w:tc>
      </w:tr>
    </w:tbl>
    <w:p w14:paraId="5891B460"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68C1AE46" w14:textId="77777777" w:rsidR="006B6379" w:rsidRPr="00E96208" w:rsidRDefault="006B6379" w:rsidP="006B6379">
      <w:r>
        <w:rPr>
          <w:rStyle w:val="HideTWBExt"/>
        </w:rPr>
        <w:t>&lt;/Amend&gt;</w:t>
      </w:r>
    </w:p>
    <w:p w14:paraId="27F660CF" w14:textId="77777777" w:rsidR="006B6379" w:rsidRPr="00E96208" w:rsidRDefault="006B6379" w:rsidP="006B6379">
      <w:pPr>
        <w:pStyle w:val="AmNumberTabs"/>
      </w:pPr>
      <w:r>
        <w:rPr>
          <w:rStyle w:val="HideTWBExt"/>
        </w:rPr>
        <w:t>&lt;Amend&gt;</w:t>
      </w:r>
      <w:r>
        <w:t>Amendement</w:t>
      </w:r>
      <w:r>
        <w:tab/>
      </w:r>
      <w:r>
        <w:tab/>
      </w:r>
      <w:r>
        <w:rPr>
          <w:rStyle w:val="HideTWBExt"/>
        </w:rPr>
        <w:t>&lt;NumAm&gt;</w:t>
      </w:r>
      <w:r>
        <w:t>57</w:t>
      </w:r>
      <w:r>
        <w:rPr>
          <w:rStyle w:val="HideTWBExt"/>
        </w:rPr>
        <w:t>&lt;/NumAm&gt;</w:t>
      </w:r>
    </w:p>
    <w:p w14:paraId="31ECBEE4" w14:textId="77777777" w:rsidR="006B6379" w:rsidRPr="00E96208" w:rsidRDefault="006B6379" w:rsidP="006B6379">
      <w:pPr>
        <w:pStyle w:val="NormalBold"/>
      </w:pPr>
      <w:r>
        <w:rPr>
          <w:rStyle w:val="HideTWBExt"/>
          <w:b w:val="0"/>
        </w:rPr>
        <w:t>&lt;RepeatBlock-By&gt;&lt;Members&gt;</w:t>
      </w:r>
      <w:r>
        <w:t>Csaba Molnár</w:t>
      </w:r>
      <w:r>
        <w:rPr>
          <w:rStyle w:val="HideTWBExt"/>
          <w:b w:val="0"/>
        </w:rPr>
        <w:t>&lt;/Members&gt;</w:t>
      </w:r>
    </w:p>
    <w:p w14:paraId="6263F490" w14:textId="77777777" w:rsidR="006B6379" w:rsidRPr="00E96208" w:rsidRDefault="006B6379" w:rsidP="006B6379">
      <w:pPr>
        <w:pStyle w:val="NormalBold"/>
      </w:pPr>
      <w:r>
        <w:rPr>
          <w:rStyle w:val="HideTWBExt"/>
          <w:b w:val="0"/>
        </w:rPr>
        <w:t>&lt;/RepeatBlock-By&gt;</w:t>
      </w:r>
    </w:p>
    <w:p w14:paraId="2FAA19F2" w14:textId="77777777" w:rsidR="006B6379" w:rsidRPr="00E96208" w:rsidRDefault="006B6379" w:rsidP="006B6379">
      <w:pPr>
        <w:pStyle w:val="NormalBold"/>
      </w:pPr>
      <w:r>
        <w:rPr>
          <w:rStyle w:val="HideTWBExt"/>
        </w:rPr>
        <w:t>&lt;DocAmend&gt;</w:t>
      </w:r>
      <w:r>
        <w:t>Ontwerpresolutie</w:t>
      </w:r>
      <w:r>
        <w:rPr>
          <w:rStyle w:val="HideTWBExt"/>
        </w:rPr>
        <w:t>&lt;/DocAmend&gt;</w:t>
      </w:r>
    </w:p>
    <w:p w14:paraId="2BB22664" w14:textId="77777777" w:rsidR="006B6379" w:rsidRPr="00E96208" w:rsidRDefault="006B6379" w:rsidP="006B6379">
      <w:pPr>
        <w:pStyle w:val="NormalBold"/>
      </w:pPr>
      <w:r>
        <w:rPr>
          <w:rStyle w:val="HideTWBExt"/>
        </w:rPr>
        <w:t>&lt;Article&gt;</w:t>
      </w:r>
      <w:r>
        <w:t>Paragraaf 104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43D3A373" w14:textId="77777777" w:rsidTr="00B30934">
        <w:trPr>
          <w:trHeight w:val="240"/>
          <w:jc w:val="center"/>
        </w:trPr>
        <w:tc>
          <w:tcPr>
            <w:tcW w:w="9752" w:type="dxa"/>
            <w:gridSpan w:val="2"/>
            <w:tcBorders>
              <w:top w:val="nil"/>
              <w:left w:val="nil"/>
              <w:bottom w:val="nil"/>
              <w:right w:val="nil"/>
            </w:tcBorders>
          </w:tcPr>
          <w:p w14:paraId="6C779D1F" w14:textId="77777777" w:rsidR="006B6379" w:rsidRPr="00E96208" w:rsidRDefault="006B6379" w:rsidP="00B30934"/>
        </w:tc>
      </w:tr>
      <w:tr w:rsidR="006B6379" w14:paraId="04DF8E1F" w14:textId="77777777" w:rsidTr="00B30934">
        <w:trPr>
          <w:trHeight w:val="240"/>
          <w:jc w:val="center"/>
        </w:trPr>
        <w:tc>
          <w:tcPr>
            <w:tcW w:w="4876" w:type="dxa"/>
            <w:tcBorders>
              <w:top w:val="nil"/>
              <w:left w:val="nil"/>
              <w:bottom w:val="nil"/>
              <w:right w:val="nil"/>
            </w:tcBorders>
            <w:hideMark/>
          </w:tcPr>
          <w:p w14:paraId="29324FEA"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0A309562" w14:textId="77777777" w:rsidR="006B6379" w:rsidRPr="00E96208" w:rsidRDefault="006B6379" w:rsidP="00B30934">
            <w:pPr>
              <w:pStyle w:val="AmColumnHeading"/>
            </w:pPr>
            <w:r>
              <w:t>Amendement</w:t>
            </w:r>
          </w:p>
        </w:tc>
      </w:tr>
      <w:tr w:rsidR="006B6379" w14:paraId="14286B2A" w14:textId="77777777" w:rsidTr="00B30934">
        <w:trPr>
          <w:jc w:val="center"/>
        </w:trPr>
        <w:tc>
          <w:tcPr>
            <w:tcW w:w="4876" w:type="dxa"/>
            <w:tcBorders>
              <w:top w:val="nil"/>
              <w:left w:val="nil"/>
              <w:bottom w:val="nil"/>
              <w:right w:val="nil"/>
            </w:tcBorders>
            <w:hideMark/>
          </w:tcPr>
          <w:p w14:paraId="0F5BF39C" w14:textId="77777777" w:rsidR="006B6379" w:rsidRPr="00E96208" w:rsidRDefault="006B6379" w:rsidP="00B30934">
            <w:pPr>
              <w:pStyle w:val="Normal6a"/>
            </w:pPr>
            <w:r>
              <w:t>104.</w:t>
            </w:r>
            <w:r>
              <w:tab/>
              <w:t xml:space="preserve">betreurt dat Hongarije de enige overblijvende lidstaat is die nog niet tot het EOM is toegetreden ondanks het ontbreken van wettelijke of grondwettelijke belemmeringen; </w:t>
            </w:r>
            <w:r>
              <w:rPr>
                <w:b/>
                <w:i/>
              </w:rPr>
              <w:t>verzoekt</w:t>
            </w:r>
            <w:r>
              <w:t xml:space="preserve"> de Hongaarse overheid toe te treden tot het EOM en is van mening dat </w:t>
            </w:r>
            <w:r>
              <w:rPr>
                <w:b/>
                <w:i/>
              </w:rPr>
              <w:t>dit</w:t>
            </w:r>
            <w:r>
              <w:t xml:space="preserve"> tegemoet zou </w:t>
            </w:r>
            <w:r>
              <w:rPr>
                <w:b/>
                <w:i/>
              </w:rPr>
              <w:t>komen</w:t>
            </w:r>
            <w:r>
              <w:t xml:space="preserve"> aan de </w:t>
            </w:r>
            <w:r>
              <w:rPr>
                <w:b/>
                <w:i/>
              </w:rPr>
              <w:t>sterke verwachting</w:t>
            </w:r>
            <w:r>
              <w:t xml:space="preserve"> van het maatschappelijk middenveld en de burgers om de juridische waarborgen tegen fraude, corruptie en ander wangedrag</w:t>
            </w:r>
            <w:r>
              <w:rPr>
                <w:b/>
                <w:i/>
              </w:rPr>
              <w:t>, die</w:t>
            </w:r>
            <w:r>
              <w:t xml:space="preserve"> de financiële belangen van de Unie </w:t>
            </w:r>
            <w:r>
              <w:rPr>
                <w:b/>
                <w:i/>
              </w:rPr>
              <w:t>rechtstreeks schaden</w:t>
            </w:r>
            <w:r>
              <w:t xml:space="preserve"> en die het positieve effect van het beleid van de Unie ter ondersteuning van de groei en het welzijn van de Hongaarse burgers</w:t>
            </w:r>
            <w:r>
              <w:rPr>
                <w:b/>
                <w:i/>
              </w:rPr>
              <w:t xml:space="preserve"> verzwakken</w:t>
            </w:r>
            <w:r>
              <w:t xml:space="preserve">, </w:t>
            </w:r>
            <w:r>
              <w:rPr>
                <w:b/>
                <w:i/>
              </w:rPr>
              <w:t>te versterken</w:t>
            </w:r>
            <w:r>
              <w:t>;</w:t>
            </w:r>
          </w:p>
        </w:tc>
        <w:tc>
          <w:tcPr>
            <w:tcW w:w="4876" w:type="dxa"/>
            <w:tcBorders>
              <w:top w:val="nil"/>
              <w:left w:val="nil"/>
              <w:bottom w:val="nil"/>
              <w:right w:val="nil"/>
            </w:tcBorders>
            <w:hideMark/>
          </w:tcPr>
          <w:p w14:paraId="559D71ED" w14:textId="77777777" w:rsidR="006B6379" w:rsidRPr="00E96208" w:rsidRDefault="006B6379" w:rsidP="00B30934">
            <w:pPr>
              <w:pStyle w:val="Normal6a"/>
            </w:pPr>
            <w:r>
              <w:t>104.</w:t>
            </w:r>
            <w:r>
              <w:tab/>
              <w:t xml:space="preserve">betreurt </w:t>
            </w:r>
            <w:r>
              <w:rPr>
                <w:b/>
                <w:i/>
              </w:rPr>
              <w:t xml:space="preserve">ten zeerste </w:t>
            </w:r>
            <w:r>
              <w:t xml:space="preserve">dat Hongarije de enige overblijvende lidstaat is die nog niet tot het EOM is toegetreden ondanks het ontbreken van wettelijke of grondwettelijke belemmeringen; </w:t>
            </w:r>
            <w:r>
              <w:rPr>
                <w:b/>
                <w:i/>
              </w:rPr>
              <w:t>dringt er bij</w:t>
            </w:r>
            <w:r>
              <w:t xml:space="preserve"> de Hongaarse overheid </w:t>
            </w:r>
            <w:r>
              <w:rPr>
                <w:b/>
                <w:i/>
              </w:rPr>
              <w:t xml:space="preserve">met klem op aan onverwijld </w:t>
            </w:r>
            <w:r>
              <w:t>toe te treden tot het EOM</w:t>
            </w:r>
            <w:r>
              <w:rPr>
                <w:b/>
                <w:i/>
              </w:rPr>
              <w:t>; is van mening dat aanhoudende niet-deelname alleen kan worden opgevat als een opzettelijke poging om corruptie en misbruik van middelen van de Unie te onttrekken aan onafhankelijk Europees toezicht;</w:t>
            </w:r>
            <w:r>
              <w:t xml:space="preserve"> is van mening dat </w:t>
            </w:r>
            <w:r>
              <w:rPr>
                <w:b/>
                <w:i/>
              </w:rPr>
              <w:t>met</w:t>
            </w:r>
            <w:r>
              <w:t xml:space="preserve"> </w:t>
            </w:r>
            <w:r>
              <w:rPr>
                <w:b/>
                <w:i/>
              </w:rPr>
              <w:t>de toetreding van het land tot het EOM eindelijk</w:t>
            </w:r>
            <w:r>
              <w:t xml:space="preserve"> tegemoet zou </w:t>
            </w:r>
            <w:r>
              <w:rPr>
                <w:b/>
                <w:i/>
              </w:rPr>
              <w:t>worden gekomen</w:t>
            </w:r>
            <w:r>
              <w:t xml:space="preserve"> aan de </w:t>
            </w:r>
            <w:r>
              <w:rPr>
                <w:b/>
                <w:i/>
              </w:rPr>
              <w:t>reeds lang bestaande en legitieme eisen</w:t>
            </w:r>
            <w:r>
              <w:t xml:space="preserve"> van het maatschappelijk middenveld en de burgers om de juridische waarborgen tegen fraude, corruptie en ander </w:t>
            </w:r>
            <w:r>
              <w:rPr>
                <w:b/>
                <w:i/>
              </w:rPr>
              <w:t xml:space="preserve">ernstig </w:t>
            </w:r>
            <w:r>
              <w:t>wangedrag</w:t>
            </w:r>
            <w:r>
              <w:rPr>
                <w:b/>
                <w:i/>
              </w:rPr>
              <w:t xml:space="preserve"> te versterken en het vertrouwen in de bescherming van</w:t>
            </w:r>
            <w:r>
              <w:t xml:space="preserve"> de financiële belangen van de Unie </w:t>
            </w:r>
            <w:r>
              <w:rPr>
                <w:b/>
                <w:i/>
              </w:rPr>
              <w:t>te herstellen, welke momenteel worden ondermijnd door aanhoudende tekortkomingen in de handhaving</w:t>
            </w:r>
            <w:r>
              <w:t xml:space="preserve"> en die het positieve effect</w:t>
            </w:r>
            <w:r>
              <w:rPr>
                <w:b/>
                <w:i/>
              </w:rPr>
              <w:t xml:space="preserve"> verzwakken</w:t>
            </w:r>
            <w:r>
              <w:t xml:space="preserve"> van het beleid van de Unie ter ondersteuning van de groei</w:t>
            </w:r>
            <w:r>
              <w:rPr>
                <w:b/>
                <w:i/>
              </w:rPr>
              <w:t>, de cohesie</w:t>
            </w:r>
            <w:r>
              <w:t xml:space="preserve"> en het welzijn van de Hongaarse burgers, </w:t>
            </w:r>
            <w:r>
              <w:rPr>
                <w:b/>
                <w:i/>
              </w:rPr>
              <w:t>kmo’s en lokale en regionale autoriteiten</w:t>
            </w:r>
            <w:r>
              <w:t>;</w:t>
            </w:r>
          </w:p>
        </w:tc>
      </w:tr>
    </w:tbl>
    <w:p w14:paraId="6DA3EA78"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4466F0FC" w14:textId="77777777" w:rsidR="006B6379" w:rsidRPr="00E96208" w:rsidRDefault="006B6379" w:rsidP="006B6379">
      <w:r>
        <w:rPr>
          <w:rStyle w:val="HideTWBExt"/>
        </w:rPr>
        <w:t>&lt;/Amend&gt;</w:t>
      </w:r>
    </w:p>
    <w:p w14:paraId="73F6DFAC" w14:textId="77777777" w:rsidR="006B6379" w:rsidRPr="00E96208" w:rsidRDefault="006B6379" w:rsidP="006B6379">
      <w:pPr>
        <w:pStyle w:val="AmNumberTabs"/>
      </w:pPr>
      <w:r>
        <w:rPr>
          <w:rStyle w:val="HideTWBExt"/>
        </w:rPr>
        <w:t>&lt;Amend&gt;</w:t>
      </w:r>
      <w:r>
        <w:t>Amendement</w:t>
      </w:r>
      <w:r>
        <w:tab/>
      </w:r>
      <w:r>
        <w:tab/>
      </w:r>
      <w:r>
        <w:rPr>
          <w:rStyle w:val="HideTWBExt"/>
        </w:rPr>
        <w:t>&lt;NumAm&gt;</w:t>
      </w:r>
      <w:r>
        <w:t>58</w:t>
      </w:r>
      <w:r>
        <w:rPr>
          <w:rStyle w:val="HideTWBExt"/>
        </w:rPr>
        <w:t>&lt;/NumAm&gt;</w:t>
      </w:r>
    </w:p>
    <w:p w14:paraId="60EFC530" w14:textId="77777777" w:rsidR="006B6379" w:rsidRPr="00E96208" w:rsidRDefault="006B6379" w:rsidP="006B6379">
      <w:pPr>
        <w:pStyle w:val="NormalBold"/>
      </w:pPr>
      <w:r>
        <w:rPr>
          <w:rStyle w:val="HideTWBExt"/>
          <w:b w:val="0"/>
        </w:rPr>
        <w:t>&lt;RepeatBlock-By&gt;&lt;Members&gt;</w:t>
      </w:r>
      <w:r>
        <w:t>Csaba Molnár</w:t>
      </w:r>
      <w:r>
        <w:rPr>
          <w:rStyle w:val="HideTWBExt"/>
          <w:b w:val="0"/>
        </w:rPr>
        <w:t>&lt;/Members&gt;</w:t>
      </w:r>
    </w:p>
    <w:p w14:paraId="696CBE71" w14:textId="77777777" w:rsidR="006B6379" w:rsidRPr="00E96208" w:rsidRDefault="006B6379" w:rsidP="006B6379">
      <w:pPr>
        <w:pStyle w:val="NormalBold"/>
      </w:pPr>
      <w:r>
        <w:rPr>
          <w:rStyle w:val="HideTWBExt"/>
          <w:b w:val="0"/>
        </w:rPr>
        <w:t>&lt;/RepeatBlock-By&gt;</w:t>
      </w:r>
    </w:p>
    <w:p w14:paraId="0BD2E67F" w14:textId="77777777" w:rsidR="006B6379" w:rsidRPr="00E96208" w:rsidRDefault="006B6379" w:rsidP="006B6379">
      <w:pPr>
        <w:pStyle w:val="NormalBold"/>
      </w:pPr>
      <w:r>
        <w:rPr>
          <w:rStyle w:val="HideTWBExt"/>
        </w:rPr>
        <w:t>&lt;DocAmend&gt;</w:t>
      </w:r>
      <w:r>
        <w:t>Ontwerpresolutie</w:t>
      </w:r>
      <w:r>
        <w:rPr>
          <w:rStyle w:val="HideTWBExt"/>
        </w:rPr>
        <w:t>&lt;/DocAmend&gt;</w:t>
      </w:r>
    </w:p>
    <w:p w14:paraId="34E149C3" w14:textId="77777777" w:rsidR="006B6379" w:rsidRPr="00E96208" w:rsidRDefault="006B6379" w:rsidP="006B6379">
      <w:pPr>
        <w:pStyle w:val="NormalBold"/>
      </w:pPr>
      <w:r>
        <w:rPr>
          <w:rStyle w:val="HideTWBExt"/>
        </w:rPr>
        <w:t>&lt;Article&gt;</w:t>
      </w:r>
      <w:r>
        <w:t>Paragraaf 105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07C015EE" w14:textId="77777777" w:rsidTr="00B30934">
        <w:trPr>
          <w:trHeight w:val="240"/>
          <w:jc w:val="center"/>
        </w:trPr>
        <w:tc>
          <w:tcPr>
            <w:tcW w:w="9752" w:type="dxa"/>
            <w:gridSpan w:val="2"/>
            <w:tcBorders>
              <w:top w:val="nil"/>
              <w:left w:val="nil"/>
              <w:bottom w:val="nil"/>
              <w:right w:val="nil"/>
            </w:tcBorders>
          </w:tcPr>
          <w:p w14:paraId="41D79D73" w14:textId="77777777" w:rsidR="006B6379" w:rsidRPr="00E96208" w:rsidRDefault="006B6379" w:rsidP="00B30934"/>
        </w:tc>
      </w:tr>
      <w:tr w:rsidR="006B6379" w14:paraId="3A7EED3E" w14:textId="77777777" w:rsidTr="00B30934">
        <w:trPr>
          <w:trHeight w:val="240"/>
          <w:jc w:val="center"/>
        </w:trPr>
        <w:tc>
          <w:tcPr>
            <w:tcW w:w="4876" w:type="dxa"/>
            <w:tcBorders>
              <w:top w:val="nil"/>
              <w:left w:val="nil"/>
              <w:bottom w:val="nil"/>
              <w:right w:val="nil"/>
            </w:tcBorders>
            <w:hideMark/>
          </w:tcPr>
          <w:p w14:paraId="6F15F412"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3841419D" w14:textId="77777777" w:rsidR="006B6379" w:rsidRPr="00E96208" w:rsidRDefault="006B6379" w:rsidP="00B30934">
            <w:pPr>
              <w:pStyle w:val="AmColumnHeading"/>
            </w:pPr>
            <w:r>
              <w:t>Amendement</w:t>
            </w:r>
          </w:p>
        </w:tc>
      </w:tr>
      <w:tr w:rsidR="006B6379" w14:paraId="1471A3F7" w14:textId="77777777" w:rsidTr="00B30934">
        <w:trPr>
          <w:jc w:val="center"/>
        </w:trPr>
        <w:tc>
          <w:tcPr>
            <w:tcW w:w="4876" w:type="dxa"/>
            <w:tcBorders>
              <w:top w:val="nil"/>
              <w:left w:val="nil"/>
              <w:bottom w:val="nil"/>
              <w:right w:val="nil"/>
            </w:tcBorders>
            <w:hideMark/>
          </w:tcPr>
          <w:p w14:paraId="326028C2" w14:textId="77777777" w:rsidR="006B6379" w:rsidRPr="00E96208" w:rsidRDefault="006B6379" w:rsidP="00B30934">
            <w:pPr>
              <w:pStyle w:val="Normal6a"/>
            </w:pPr>
            <w:r>
              <w:t>105.</w:t>
            </w:r>
            <w:r>
              <w:tab/>
              <w:t xml:space="preserve">wijst erop dat de keuze van een lidstaat om niet samen te werken met het EOM, niches van immuniteit en voorrecht doet ontstaan die de verdediging van de financiële belangen van de Unie ongelijkmatig en inefficiënt maken en dringt er bij de Commissie op aan inbreukprocedures in te leiden tegen lidstaten die door het EOM geleide onderzoeken systematisch belemmeren; </w:t>
            </w:r>
            <w:r>
              <w:rPr>
                <w:b/>
                <w:i/>
              </w:rPr>
              <w:t>verzoekt</w:t>
            </w:r>
            <w:r>
              <w:t xml:space="preserve"> de Commissie om deelname aan het EOM te beschouwen als een voorwaarde voor het ontvangen van Uniemiddelen en verzoekt de Commissie nauwlettend toe te zien op de mate van samenwerking van de lidstaten met het EOM; betreurt in dit verband de gevallen die in 2024 zijn gemeld van bedreigingen van OLAF- en EOM-onderzoekers bij de uitvoering van hun activiteiten ter plaatse; wijst erop dat dergelijke situaties de rechtsstaat ondermijnen en het optreden van de Unie verzwakken</w:t>
            </w:r>
            <w:r>
              <w:rPr>
                <w:b/>
                <w:i/>
              </w:rPr>
              <w:t>, en</w:t>
            </w:r>
            <w:r>
              <w:t xml:space="preserve"> dringt aan op de invoering van krachtige preventieve en beschermende maatregelen om personeel te beschermen wanneer het in risicovolle situaties wordt ingezet;</w:t>
            </w:r>
          </w:p>
        </w:tc>
        <w:tc>
          <w:tcPr>
            <w:tcW w:w="4876" w:type="dxa"/>
            <w:tcBorders>
              <w:top w:val="nil"/>
              <w:left w:val="nil"/>
              <w:bottom w:val="nil"/>
              <w:right w:val="nil"/>
            </w:tcBorders>
            <w:hideMark/>
          </w:tcPr>
          <w:p w14:paraId="2E086E06" w14:textId="77777777" w:rsidR="006B6379" w:rsidRPr="00E96208" w:rsidRDefault="006B6379" w:rsidP="00B30934">
            <w:pPr>
              <w:pStyle w:val="Normal6a"/>
            </w:pPr>
            <w:r>
              <w:t>105.</w:t>
            </w:r>
            <w:r>
              <w:tab/>
              <w:t xml:space="preserve">wijst erop dat de keuze van een lidstaat om niet samen te werken met het EOM, niches van immuniteit en voorrecht doet ontstaan die de verdediging van de financiële belangen van de Unie ongelijkmatig en inefficiënt maken en dringt er bij de Commissie op aan inbreukprocedures in te leiden tegen lidstaten die door het EOM geleide onderzoeken systematisch belemmeren; </w:t>
            </w:r>
            <w:r>
              <w:rPr>
                <w:b/>
                <w:i/>
              </w:rPr>
              <w:t>roept</w:t>
            </w:r>
            <w:r>
              <w:t xml:space="preserve"> de Commissie</w:t>
            </w:r>
            <w:r>
              <w:rPr>
                <w:b/>
                <w:i/>
              </w:rPr>
              <w:t xml:space="preserve"> ertoe op</w:t>
            </w:r>
            <w:r>
              <w:t xml:space="preserve"> om deelname aan het EOM te beschouwen als een voorwaarde voor het ontvangen van Uniemiddelen en verzoekt de Commissie nauwlettend toe te zien op de mate van samenwerking van de lidstaten met het EOM; betreurt in dit verband </w:t>
            </w:r>
            <w:r>
              <w:rPr>
                <w:b/>
                <w:i/>
              </w:rPr>
              <w:t xml:space="preserve">ten zeerste </w:t>
            </w:r>
            <w:r>
              <w:t xml:space="preserve">de gevallen die in 2024 zijn gemeld van </w:t>
            </w:r>
            <w:r>
              <w:rPr>
                <w:b/>
                <w:i/>
              </w:rPr>
              <w:t xml:space="preserve">door de regeringen van lidstaten geuite </w:t>
            </w:r>
            <w:r>
              <w:t>bedreigingen</w:t>
            </w:r>
            <w:r>
              <w:rPr>
                <w:b/>
                <w:i/>
              </w:rPr>
              <w:t xml:space="preserve"> aan het adres</w:t>
            </w:r>
            <w:r>
              <w:t xml:space="preserve"> van OLAF- en EOM-onderzoekers bij de uitvoering van hun activiteiten ter plaatse;</w:t>
            </w:r>
            <w:r>
              <w:rPr>
                <w:b/>
                <w:i/>
              </w:rPr>
              <w:t xml:space="preserve"> herinnert aan de verschillende pogingen van de Hongaarse regering om het personeel van de Europese Commissie en OLAF systematisch te bespioneren;</w:t>
            </w:r>
            <w:r>
              <w:t xml:space="preserve"> wijst erop dat dergelijke situaties de rechtsstaat ondermijnen</w:t>
            </w:r>
            <w:r>
              <w:rPr>
                <w:b/>
                <w:i/>
              </w:rPr>
              <w:t>, een ernstige schending vormen van het wederzijds vertrouwen en de loyale samenwerking tussen de lidstaten en de EU-instellingen, het bredere patroon van misbruik van surveillancebevoegdheden door de staat illustreren</w:t>
            </w:r>
            <w:r>
              <w:t xml:space="preserve"> en het optreden van de Unie verzwakken</w:t>
            </w:r>
            <w:r>
              <w:rPr>
                <w:b/>
                <w:i/>
              </w:rPr>
              <w:t xml:space="preserve">; </w:t>
            </w:r>
            <w:r>
              <w:t>dringt aan op de invoering van krachtige preventieve en beschermende maatregelen om personeel te beschermen wanneer het in risicovolle situaties wordt ingezet;</w:t>
            </w:r>
          </w:p>
        </w:tc>
      </w:tr>
    </w:tbl>
    <w:p w14:paraId="66ABEEA7"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6CEF7826" w14:textId="77777777" w:rsidR="006B6379" w:rsidRPr="00E96208" w:rsidRDefault="006B6379" w:rsidP="006B6379">
      <w:r>
        <w:rPr>
          <w:rStyle w:val="HideTWBExt"/>
        </w:rPr>
        <w:t>&lt;/Amend&gt;</w:t>
      </w:r>
    </w:p>
    <w:p w14:paraId="3381FBE3" w14:textId="77777777" w:rsidR="006B6379" w:rsidRPr="00E96208" w:rsidRDefault="006B6379" w:rsidP="006B6379">
      <w:pPr>
        <w:pStyle w:val="AmNumberTabs"/>
      </w:pPr>
      <w:r>
        <w:rPr>
          <w:rStyle w:val="HideTWBExt"/>
        </w:rPr>
        <w:t>&lt;Amend&gt;</w:t>
      </w:r>
      <w:r>
        <w:t>Amendement</w:t>
      </w:r>
      <w:r>
        <w:tab/>
      </w:r>
      <w:r>
        <w:tab/>
      </w:r>
      <w:r>
        <w:rPr>
          <w:rStyle w:val="HideTWBExt"/>
        </w:rPr>
        <w:t>&lt;NumAm&gt;</w:t>
      </w:r>
      <w:r>
        <w:t>59</w:t>
      </w:r>
      <w:r>
        <w:rPr>
          <w:rStyle w:val="HideTWBExt"/>
        </w:rPr>
        <w:t>&lt;/NumAm&gt;</w:t>
      </w:r>
    </w:p>
    <w:p w14:paraId="1CA90AC2" w14:textId="77777777" w:rsidR="006B6379" w:rsidRPr="00E96208" w:rsidRDefault="006B6379" w:rsidP="006B6379">
      <w:pPr>
        <w:pStyle w:val="NormalBold"/>
      </w:pPr>
      <w:r>
        <w:rPr>
          <w:rStyle w:val="HideTWBExt"/>
          <w:b w:val="0"/>
        </w:rPr>
        <w:t>&lt;RepeatBlock-By&gt;&lt;Members&gt;</w:t>
      </w:r>
      <w:proofErr w:type="spellStart"/>
      <w:r>
        <w:t>Tomáš</w:t>
      </w:r>
      <w:proofErr w:type="spellEnd"/>
      <w:r>
        <w:t xml:space="preserve"> </w:t>
      </w:r>
      <w:proofErr w:type="spellStart"/>
      <w:r>
        <w:t>Zdechovský</w:t>
      </w:r>
      <w:proofErr w:type="spellEnd"/>
      <w:r>
        <w:rPr>
          <w:rStyle w:val="HideTWBExt"/>
          <w:b w:val="0"/>
        </w:rPr>
        <w:t>&lt;/Members&gt;</w:t>
      </w:r>
    </w:p>
    <w:p w14:paraId="1C0E7F68" w14:textId="77777777" w:rsidR="006B6379" w:rsidRPr="00E96208" w:rsidRDefault="006B6379" w:rsidP="006B6379">
      <w:pPr>
        <w:pStyle w:val="NormalBold"/>
      </w:pPr>
      <w:r>
        <w:rPr>
          <w:rStyle w:val="HideTWBExt"/>
          <w:b w:val="0"/>
        </w:rPr>
        <w:t>&lt;/RepeatBlock-By&gt;</w:t>
      </w:r>
    </w:p>
    <w:p w14:paraId="733A84D5" w14:textId="77777777" w:rsidR="006B6379" w:rsidRPr="00E96208" w:rsidRDefault="006B6379" w:rsidP="006B6379">
      <w:pPr>
        <w:pStyle w:val="NormalBold"/>
      </w:pPr>
      <w:r>
        <w:rPr>
          <w:rStyle w:val="HideTWBExt"/>
        </w:rPr>
        <w:t>&lt;DocAmend&gt;</w:t>
      </w:r>
      <w:r>
        <w:t>Ontwerpresolutie</w:t>
      </w:r>
      <w:r>
        <w:rPr>
          <w:rStyle w:val="HideTWBExt"/>
        </w:rPr>
        <w:t>&lt;/DocAmend&gt;</w:t>
      </w:r>
    </w:p>
    <w:p w14:paraId="2706C73B" w14:textId="77777777" w:rsidR="006B6379" w:rsidRPr="00E96208" w:rsidRDefault="006B6379" w:rsidP="006B6379">
      <w:pPr>
        <w:pStyle w:val="NormalBold"/>
      </w:pPr>
      <w:r>
        <w:rPr>
          <w:rStyle w:val="HideTWBExt"/>
        </w:rPr>
        <w:t>&lt;Article&gt;</w:t>
      </w:r>
      <w:r>
        <w:t>Paragraaf 105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47176B23" w14:textId="77777777" w:rsidTr="00B30934">
        <w:trPr>
          <w:trHeight w:val="240"/>
          <w:jc w:val="center"/>
        </w:trPr>
        <w:tc>
          <w:tcPr>
            <w:tcW w:w="9752" w:type="dxa"/>
            <w:gridSpan w:val="2"/>
            <w:tcBorders>
              <w:top w:val="nil"/>
              <w:left w:val="nil"/>
              <w:bottom w:val="nil"/>
              <w:right w:val="nil"/>
            </w:tcBorders>
          </w:tcPr>
          <w:p w14:paraId="4A15F2FB" w14:textId="77777777" w:rsidR="006B6379" w:rsidRPr="00E96208" w:rsidRDefault="006B6379" w:rsidP="00B30934"/>
        </w:tc>
      </w:tr>
      <w:tr w:rsidR="006B6379" w14:paraId="7A9F1C16" w14:textId="77777777" w:rsidTr="00B30934">
        <w:trPr>
          <w:trHeight w:val="240"/>
          <w:jc w:val="center"/>
        </w:trPr>
        <w:tc>
          <w:tcPr>
            <w:tcW w:w="4876" w:type="dxa"/>
            <w:tcBorders>
              <w:top w:val="nil"/>
              <w:left w:val="nil"/>
              <w:bottom w:val="nil"/>
              <w:right w:val="nil"/>
            </w:tcBorders>
            <w:hideMark/>
          </w:tcPr>
          <w:p w14:paraId="68760364"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126CFFD4" w14:textId="77777777" w:rsidR="006B6379" w:rsidRPr="00E96208" w:rsidRDefault="006B6379" w:rsidP="00B30934">
            <w:pPr>
              <w:pStyle w:val="AmColumnHeading"/>
            </w:pPr>
            <w:r>
              <w:t>Amendement</w:t>
            </w:r>
          </w:p>
        </w:tc>
      </w:tr>
      <w:tr w:rsidR="006B6379" w14:paraId="3405766D" w14:textId="77777777" w:rsidTr="00B30934">
        <w:trPr>
          <w:jc w:val="center"/>
        </w:trPr>
        <w:tc>
          <w:tcPr>
            <w:tcW w:w="4876" w:type="dxa"/>
            <w:tcBorders>
              <w:top w:val="nil"/>
              <w:left w:val="nil"/>
              <w:bottom w:val="nil"/>
              <w:right w:val="nil"/>
            </w:tcBorders>
            <w:hideMark/>
          </w:tcPr>
          <w:p w14:paraId="45058169" w14:textId="77777777" w:rsidR="006B6379" w:rsidRPr="00E96208" w:rsidRDefault="006B6379" w:rsidP="00B30934">
            <w:pPr>
              <w:pStyle w:val="Normal6a"/>
            </w:pPr>
            <w:r>
              <w:t>105.</w:t>
            </w:r>
            <w:r>
              <w:tab/>
              <w:t>wijst erop dat de keuze van een lidstaat om niet samen te werken met het EOM, niches van immuniteit en voorrecht doet ontstaan die de verdediging van de financiële belangen van de Unie ongelijkmatig en inefficiënt maken en dringt er bij de Commissie op aan inbreukprocedures in te leiden tegen lidstaten die door het EOM geleide onderzoeken systematisch belemmeren; verzoekt de Commissie om deelname aan het EOM te beschouwen als een voorwaarde voor het ontvangen van Uniemiddelen en verzoekt de Commissie nauwlettend toe te zien op de mate van samenwerking van de lidstaten met het EOM; betreurt in dit verband de gevallen die in 2024 zijn gemeld van bedreigingen van OLAF- en EOM-onderzoekers bij de uitvoering van hun activiteiten ter plaatse; wijst erop dat dergelijke situaties de rechtsstaat ondermijnen en het optreden van de Unie verzwakken, en dringt aan op de invoering van krachtige preventieve en beschermende maatregelen om personeel te beschermen wanneer het in risicovolle situaties wordt ingezet;</w:t>
            </w:r>
          </w:p>
        </w:tc>
        <w:tc>
          <w:tcPr>
            <w:tcW w:w="4876" w:type="dxa"/>
            <w:tcBorders>
              <w:top w:val="nil"/>
              <w:left w:val="nil"/>
              <w:bottom w:val="nil"/>
              <w:right w:val="nil"/>
            </w:tcBorders>
            <w:hideMark/>
          </w:tcPr>
          <w:p w14:paraId="7F427813" w14:textId="77777777" w:rsidR="006B6379" w:rsidRPr="00E96208" w:rsidRDefault="006B6379" w:rsidP="00B30934">
            <w:pPr>
              <w:pStyle w:val="Normal6a"/>
            </w:pPr>
            <w:r>
              <w:t>105.</w:t>
            </w:r>
            <w:r>
              <w:tab/>
              <w:t>wijst erop dat de keuze van een lidstaat om niet samen te werken met het EOM, niches van immuniteit en voorrecht doet ontstaan die de verdediging van de financiële belangen van de Unie ongelijkmatig en inefficiënt maken en dringt er bij de Commissie op aan inbreukprocedures in te leiden tegen lidstaten die door het EOM geleide onderzoeken systematisch belemmeren;</w:t>
            </w:r>
            <w:r>
              <w:rPr>
                <w:b/>
                <w:i/>
              </w:rPr>
              <w:t xml:space="preserve"> </w:t>
            </w:r>
            <w:r>
              <w:t xml:space="preserve">verzoekt de Commissie </w:t>
            </w:r>
            <w:r>
              <w:rPr>
                <w:b/>
                <w:i/>
              </w:rPr>
              <w:t xml:space="preserve">te onderzoeken of in de </w:t>
            </w:r>
            <w:proofErr w:type="spellStart"/>
            <w:r>
              <w:rPr>
                <w:b/>
                <w:i/>
              </w:rPr>
              <w:t>conditionaliteitsverordening</w:t>
            </w:r>
            <w:proofErr w:type="spellEnd"/>
            <w:r>
              <w:rPr>
                <w:b/>
                <w:i/>
              </w:rPr>
              <w:t xml:space="preserve"> een nieuwe clausule kan worden opgenomen, waarbij wordt nagegaan of het niet deelnemen aan het EOM een potentiële bedreiging vormt voor de financiële belangen van de Unie;</w:t>
            </w:r>
            <w:r>
              <w:t xml:space="preserve"> </w:t>
            </w:r>
            <w:r>
              <w:rPr>
                <w:b/>
                <w:i/>
              </w:rPr>
              <w:t xml:space="preserve">verzoekt de Commissie </w:t>
            </w:r>
            <w:r>
              <w:t>om deelname aan het EOM te beschouwen als een voorwaarde voor het ontvangen van Uniemiddelen en verzoekt de Commissie nauwlettend toe te zien op de mate van samenwerking van de lidstaten met het EOM; betreurt in dit verband de gevallen die in 2024 zijn gemeld van bedreigingen van OLAF- en EOM-onderzoekers bij de uitvoering van hun activiteiten ter plaatse; wijst erop dat dergelijke situaties de rechtsstaat ondermijnen en het optreden van de Unie verzwakken, en dringt aan op de invoering van krachtige preventieve en beschermende maatregelen om personeel te beschermen wanneer het in risicovolle situaties wordt ingezet;</w:t>
            </w:r>
          </w:p>
        </w:tc>
      </w:tr>
    </w:tbl>
    <w:p w14:paraId="509D0173"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324D680D" w14:textId="77777777" w:rsidR="006B6379" w:rsidRPr="00E96208" w:rsidRDefault="006B6379" w:rsidP="006B6379">
      <w:r>
        <w:rPr>
          <w:rStyle w:val="HideTWBExt"/>
        </w:rPr>
        <w:t>&lt;/Amend&gt;</w:t>
      </w:r>
    </w:p>
    <w:p w14:paraId="1B37B598" w14:textId="77777777" w:rsidR="006B6379" w:rsidRPr="00E96208" w:rsidRDefault="006B6379" w:rsidP="006B6379">
      <w:pPr>
        <w:pStyle w:val="AmNumberTabs"/>
      </w:pPr>
      <w:r>
        <w:rPr>
          <w:rStyle w:val="HideTWBExt"/>
        </w:rPr>
        <w:t>&lt;Amend&gt;</w:t>
      </w:r>
      <w:r>
        <w:t>Amendement</w:t>
      </w:r>
      <w:r>
        <w:tab/>
      </w:r>
      <w:r>
        <w:tab/>
      </w:r>
      <w:r>
        <w:rPr>
          <w:rStyle w:val="HideTWBExt"/>
        </w:rPr>
        <w:t>&lt;NumAm&gt;</w:t>
      </w:r>
      <w:r>
        <w:t>60</w:t>
      </w:r>
      <w:r>
        <w:rPr>
          <w:rStyle w:val="HideTWBExt"/>
        </w:rPr>
        <w:t>&lt;/NumAm&gt;</w:t>
      </w:r>
    </w:p>
    <w:p w14:paraId="433E4CC7"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48144FD9" w14:textId="77777777" w:rsidR="006B6379" w:rsidRPr="00E96208" w:rsidRDefault="006B6379" w:rsidP="006B6379">
      <w:pPr>
        <w:pStyle w:val="NormalBold"/>
      </w:pPr>
      <w:r>
        <w:rPr>
          <w:rStyle w:val="HideTWBExt"/>
          <w:b w:val="0"/>
        </w:rPr>
        <w:t>&lt;/RepeatBlock-By&gt;</w:t>
      </w:r>
    </w:p>
    <w:p w14:paraId="4E4824B4" w14:textId="77777777" w:rsidR="006B6379" w:rsidRPr="00E96208" w:rsidRDefault="006B6379" w:rsidP="006B6379">
      <w:pPr>
        <w:pStyle w:val="NormalBold"/>
      </w:pPr>
      <w:r>
        <w:rPr>
          <w:rStyle w:val="HideTWBExt"/>
        </w:rPr>
        <w:t>&lt;DocAmend&gt;</w:t>
      </w:r>
      <w:r>
        <w:t>Ontwerpresolutie</w:t>
      </w:r>
      <w:r>
        <w:rPr>
          <w:rStyle w:val="HideTWBExt"/>
        </w:rPr>
        <w:t>&lt;/DocAmend&gt;</w:t>
      </w:r>
    </w:p>
    <w:p w14:paraId="40B4E44F" w14:textId="77777777" w:rsidR="006B6379" w:rsidRPr="00E96208" w:rsidRDefault="006B6379" w:rsidP="006B6379">
      <w:pPr>
        <w:pStyle w:val="NormalBold"/>
      </w:pPr>
      <w:r>
        <w:rPr>
          <w:rStyle w:val="HideTWBExt"/>
        </w:rPr>
        <w:t>&lt;Article&gt;</w:t>
      </w:r>
      <w:r>
        <w:t>Paragraaf 105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11DF8777" w14:textId="77777777" w:rsidTr="00B30934">
        <w:trPr>
          <w:trHeight w:val="240"/>
          <w:jc w:val="center"/>
        </w:trPr>
        <w:tc>
          <w:tcPr>
            <w:tcW w:w="9752" w:type="dxa"/>
            <w:gridSpan w:val="2"/>
            <w:tcBorders>
              <w:top w:val="nil"/>
              <w:left w:val="nil"/>
              <w:bottom w:val="nil"/>
              <w:right w:val="nil"/>
            </w:tcBorders>
          </w:tcPr>
          <w:p w14:paraId="76A77925" w14:textId="77777777" w:rsidR="006B6379" w:rsidRPr="00E96208" w:rsidRDefault="006B6379" w:rsidP="00B30934"/>
        </w:tc>
      </w:tr>
      <w:tr w:rsidR="006B6379" w14:paraId="18B7FD0F" w14:textId="77777777" w:rsidTr="00B30934">
        <w:trPr>
          <w:trHeight w:val="240"/>
          <w:jc w:val="center"/>
        </w:trPr>
        <w:tc>
          <w:tcPr>
            <w:tcW w:w="4876" w:type="dxa"/>
            <w:tcBorders>
              <w:top w:val="nil"/>
              <w:left w:val="nil"/>
              <w:bottom w:val="nil"/>
              <w:right w:val="nil"/>
            </w:tcBorders>
            <w:hideMark/>
          </w:tcPr>
          <w:p w14:paraId="475C9FFF"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4772C337" w14:textId="77777777" w:rsidR="006B6379" w:rsidRPr="00E96208" w:rsidRDefault="006B6379" w:rsidP="00B30934">
            <w:pPr>
              <w:pStyle w:val="AmColumnHeading"/>
            </w:pPr>
            <w:r>
              <w:t>Amendement</w:t>
            </w:r>
          </w:p>
        </w:tc>
      </w:tr>
      <w:tr w:rsidR="006B6379" w14:paraId="26127C3B" w14:textId="77777777" w:rsidTr="00B30934">
        <w:trPr>
          <w:jc w:val="center"/>
        </w:trPr>
        <w:tc>
          <w:tcPr>
            <w:tcW w:w="4876" w:type="dxa"/>
            <w:tcBorders>
              <w:top w:val="nil"/>
              <w:left w:val="nil"/>
              <w:bottom w:val="nil"/>
              <w:right w:val="nil"/>
            </w:tcBorders>
            <w:hideMark/>
          </w:tcPr>
          <w:p w14:paraId="6573E763" w14:textId="77777777" w:rsidR="006B6379" w:rsidRPr="00E96208" w:rsidRDefault="006B6379" w:rsidP="00B30934">
            <w:pPr>
              <w:pStyle w:val="Normal6a"/>
            </w:pPr>
            <w:r>
              <w:t>105.</w:t>
            </w:r>
            <w:r>
              <w:tab/>
              <w:t xml:space="preserve">wijst erop dat de keuze van een lidstaat om niet samen te werken met het EOM, niches van immuniteit en voorrecht doet ontstaan die de verdediging van de financiële belangen van de Unie ongelijkmatig en inefficiënt maken en dringt er bij de Commissie op aan inbreukprocedures in te leiden tegen lidstaten die door het EOM geleide onderzoeken systematisch belemmeren; verzoekt de Commissie </w:t>
            </w:r>
            <w:r>
              <w:rPr>
                <w:b/>
                <w:i/>
              </w:rPr>
              <w:t xml:space="preserve">om deelname aan het EOM te beschouwen als een voorwaarde voor het ontvangen van Uniemiddelen en verzoekt de Commissie </w:t>
            </w:r>
            <w:r>
              <w:t>nauwlettend toe te zien op de mate van samenwerking van de lidstaten met het EOM; betreurt in dit verband de gevallen die in 2024 zijn gemeld van bedreigingen van OLAF- en EOM-onderzoekers bij de uitvoering van hun activiteiten ter plaatse; wijst erop dat dergelijke situaties de rechtsstaat ondermijnen en het optreden van de Unie verzwakken, en dringt aan op de invoering van krachtige preventieve en beschermende maatregelen om personeel te beschermen wanneer het in risicovolle situaties wordt ingezet;</w:t>
            </w:r>
          </w:p>
        </w:tc>
        <w:tc>
          <w:tcPr>
            <w:tcW w:w="4876" w:type="dxa"/>
            <w:tcBorders>
              <w:top w:val="nil"/>
              <w:left w:val="nil"/>
              <w:bottom w:val="nil"/>
              <w:right w:val="nil"/>
            </w:tcBorders>
            <w:hideMark/>
          </w:tcPr>
          <w:p w14:paraId="2A80B0FC" w14:textId="77777777" w:rsidR="006B6379" w:rsidRPr="00E96208" w:rsidRDefault="006B6379" w:rsidP="00B30934">
            <w:pPr>
              <w:pStyle w:val="Normal6a"/>
            </w:pPr>
            <w:r>
              <w:t>105.</w:t>
            </w:r>
            <w:r>
              <w:tab/>
              <w:t>wijst erop dat de keuze van een lidstaat om niet samen te werken met het EOM, niches van immuniteit en voorrecht doet ontstaan die de verdediging van de financiële belangen van de Unie ongelijkmatig en inefficiënt maken en dringt er bij de Commissie op aan inbreukprocedures in te leiden tegen lidstaten die door het EOM geleide onderzoeken systematisch belemmeren; verzoekt de Commissie nauwlettend toe te zien op de mate van samenwerking van de lidstaten met het EOM; betreurt in dit verband de gevallen die in 2024 zijn gemeld van bedreigingen van OLAF- en EOM-onderzoekers bij de uitvoering van hun activiteiten ter plaatse; wijst erop dat dergelijke situaties de rechtsstaat ondermijnen en het optreden van de Unie verzwakken, en dringt aan op de invoering van krachtige preventieve en beschermende maatregelen om personeel te beschermen wanneer het in risicovolle situaties wordt ingezet;</w:t>
            </w:r>
          </w:p>
        </w:tc>
      </w:tr>
    </w:tbl>
    <w:p w14:paraId="2E349E41"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33A7EDA5" w14:textId="77777777" w:rsidR="006B6379" w:rsidRPr="00E96208" w:rsidRDefault="006B6379" w:rsidP="006B6379">
      <w:r>
        <w:rPr>
          <w:rStyle w:val="HideTWBExt"/>
        </w:rPr>
        <w:t>&lt;/Amend&gt;</w:t>
      </w:r>
    </w:p>
    <w:p w14:paraId="0E5BBA18" w14:textId="77777777" w:rsidR="006B6379" w:rsidRPr="00E96208" w:rsidRDefault="006B6379" w:rsidP="006B6379">
      <w:pPr>
        <w:pStyle w:val="AmNumberTabs"/>
      </w:pPr>
      <w:r>
        <w:rPr>
          <w:rStyle w:val="HideTWBExt"/>
        </w:rPr>
        <w:t>&lt;Amend&gt;</w:t>
      </w:r>
      <w:r>
        <w:t>Amendement</w:t>
      </w:r>
      <w:r>
        <w:tab/>
      </w:r>
      <w:r>
        <w:tab/>
      </w:r>
      <w:r>
        <w:rPr>
          <w:rStyle w:val="HideTWBExt"/>
        </w:rPr>
        <w:t>&lt;NumAm&gt;</w:t>
      </w:r>
      <w:r>
        <w:t>61</w:t>
      </w:r>
      <w:r>
        <w:rPr>
          <w:rStyle w:val="HideTWBExt"/>
        </w:rPr>
        <w:t>&lt;/NumAm&gt;</w:t>
      </w:r>
    </w:p>
    <w:p w14:paraId="6FFED965" w14:textId="77777777" w:rsidR="006B6379" w:rsidRPr="00E96208" w:rsidRDefault="006B6379" w:rsidP="006B6379">
      <w:pPr>
        <w:pStyle w:val="NormalBold"/>
      </w:pPr>
      <w:r>
        <w:rPr>
          <w:rStyle w:val="HideTWBExt"/>
          <w:b w:val="0"/>
        </w:rPr>
        <w:t>&lt;RepeatBlock-By&gt;&lt;Members&gt;</w:t>
      </w:r>
      <w:proofErr w:type="spellStart"/>
      <w:r>
        <w:t>Kinga</w:t>
      </w:r>
      <w:proofErr w:type="spellEnd"/>
      <w:r>
        <w:t xml:space="preserve"> </w:t>
      </w:r>
      <w:proofErr w:type="spellStart"/>
      <w:r>
        <w:t>Kollár</w:t>
      </w:r>
      <w:proofErr w:type="spellEnd"/>
      <w:r>
        <w:rPr>
          <w:rStyle w:val="HideTWBExt"/>
          <w:b w:val="0"/>
        </w:rPr>
        <w:t>&lt;/Members&gt;</w:t>
      </w:r>
    </w:p>
    <w:p w14:paraId="1EE6FE1D" w14:textId="77777777" w:rsidR="006B6379" w:rsidRPr="00E96208" w:rsidRDefault="006B6379" w:rsidP="006B6379">
      <w:pPr>
        <w:pStyle w:val="NormalBold"/>
      </w:pPr>
      <w:r>
        <w:rPr>
          <w:rStyle w:val="HideTWBExt"/>
          <w:b w:val="0"/>
        </w:rPr>
        <w:t>&lt;/RepeatBlock-By&gt;</w:t>
      </w:r>
    </w:p>
    <w:p w14:paraId="1EAF7348" w14:textId="77777777" w:rsidR="006B6379" w:rsidRPr="00E96208" w:rsidRDefault="006B6379" w:rsidP="006B6379">
      <w:pPr>
        <w:pStyle w:val="NormalBold"/>
      </w:pPr>
      <w:r>
        <w:rPr>
          <w:rStyle w:val="HideTWBExt"/>
        </w:rPr>
        <w:t>&lt;DocAmend&gt;</w:t>
      </w:r>
      <w:r>
        <w:t>Ontwerpresolutie</w:t>
      </w:r>
      <w:r>
        <w:rPr>
          <w:rStyle w:val="HideTWBExt"/>
        </w:rPr>
        <w:t>&lt;/DocAmend&gt;</w:t>
      </w:r>
    </w:p>
    <w:p w14:paraId="4BE65557" w14:textId="77777777" w:rsidR="006B6379" w:rsidRPr="00E96208" w:rsidRDefault="006B6379" w:rsidP="006B6379">
      <w:pPr>
        <w:pStyle w:val="NormalBold"/>
      </w:pPr>
      <w:r>
        <w:rPr>
          <w:rStyle w:val="HideTWBExt"/>
        </w:rPr>
        <w:t>&lt;Article&gt;</w:t>
      </w:r>
      <w:r>
        <w:t>Paragraaf 105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5C8047B0" w14:textId="77777777" w:rsidTr="00B30934">
        <w:trPr>
          <w:trHeight w:val="240"/>
          <w:jc w:val="center"/>
        </w:trPr>
        <w:tc>
          <w:tcPr>
            <w:tcW w:w="9752" w:type="dxa"/>
            <w:gridSpan w:val="2"/>
            <w:tcBorders>
              <w:top w:val="nil"/>
              <w:left w:val="nil"/>
              <w:bottom w:val="nil"/>
              <w:right w:val="nil"/>
            </w:tcBorders>
          </w:tcPr>
          <w:p w14:paraId="5E64CFAF" w14:textId="77777777" w:rsidR="006B6379" w:rsidRPr="00E96208" w:rsidRDefault="006B6379" w:rsidP="00B30934"/>
        </w:tc>
      </w:tr>
      <w:tr w:rsidR="006B6379" w14:paraId="1520BF1F" w14:textId="77777777" w:rsidTr="00B30934">
        <w:trPr>
          <w:trHeight w:val="240"/>
          <w:jc w:val="center"/>
        </w:trPr>
        <w:tc>
          <w:tcPr>
            <w:tcW w:w="4876" w:type="dxa"/>
            <w:tcBorders>
              <w:top w:val="nil"/>
              <w:left w:val="nil"/>
              <w:bottom w:val="nil"/>
              <w:right w:val="nil"/>
            </w:tcBorders>
            <w:hideMark/>
          </w:tcPr>
          <w:p w14:paraId="404AFFFB"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184B203F" w14:textId="77777777" w:rsidR="006B6379" w:rsidRPr="00E96208" w:rsidRDefault="006B6379" w:rsidP="00B30934">
            <w:pPr>
              <w:pStyle w:val="AmColumnHeading"/>
            </w:pPr>
            <w:r>
              <w:t>Amendement</w:t>
            </w:r>
          </w:p>
        </w:tc>
      </w:tr>
      <w:tr w:rsidR="006B6379" w14:paraId="2702CB3A" w14:textId="77777777" w:rsidTr="00B30934">
        <w:trPr>
          <w:jc w:val="center"/>
        </w:trPr>
        <w:tc>
          <w:tcPr>
            <w:tcW w:w="4876" w:type="dxa"/>
            <w:tcBorders>
              <w:top w:val="nil"/>
              <w:left w:val="nil"/>
              <w:bottom w:val="nil"/>
              <w:right w:val="nil"/>
            </w:tcBorders>
            <w:hideMark/>
          </w:tcPr>
          <w:p w14:paraId="2450BE83" w14:textId="77777777" w:rsidR="006B6379" w:rsidRPr="00E96208" w:rsidRDefault="006B6379" w:rsidP="00B30934">
            <w:pPr>
              <w:pStyle w:val="Normal6a"/>
            </w:pPr>
            <w:r>
              <w:t>105.</w:t>
            </w:r>
            <w:r>
              <w:tab/>
              <w:t xml:space="preserve">wijst erop dat de keuze van een lidstaat om niet samen te werken met het EOM, niches van immuniteit en voorrecht doet ontstaan die de verdediging van de financiële belangen van de Unie ongelijkmatig en inefficiënt maken en dringt er bij de Commissie op aan inbreukprocedures in te leiden tegen lidstaten die door het EOM geleide onderzoeken systematisch belemmeren; verzoekt de Commissie </w:t>
            </w:r>
            <w:r>
              <w:rPr>
                <w:b/>
                <w:i/>
              </w:rPr>
              <w:t xml:space="preserve">om deelname aan het EOM te beschouwen als een voorwaarde voor het ontvangen van Uniemiddelen en verzoekt de Commissie </w:t>
            </w:r>
            <w:r>
              <w:t>nauwlettend toe te zien op de mate van samenwerking van de lidstaten met het EOM; betreurt in dit verband de gevallen die in 2024 zijn gemeld van bedreigingen van OLAF- en EOM-onderzoekers bij de uitvoering van hun activiteiten ter plaatse; wijst erop dat dergelijke situaties de rechtsstaat ondermijnen en het optreden van de Unie verzwakken, en dringt aan op de invoering van krachtige preventieve en beschermende maatregelen om personeel te beschermen wanneer het in risicovolle situaties wordt ingezet;</w:t>
            </w:r>
          </w:p>
        </w:tc>
        <w:tc>
          <w:tcPr>
            <w:tcW w:w="4876" w:type="dxa"/>
            <w:tcBorders>
              <w:top w:val="nil"/>
              <w:left w:val="nil"/>
              <w:bottom w:val="nil"/>
              <w:right w:val="nil"/>
            </w:tcBorders>
            <w:hideMark/>
          </w:tcPr>
          <w:p w14:paraId="48A96E8C" w14:textId="77777777" w:rsidR="006B6379" w:rsidRPr="00E96208" w:rsidRDefault="006B6379" w:rsidP="00B30934">
            <w:pPr>
              <w:pStyle w:val="Normal6a"/>
            </w:pPr>
            <w:r>
              <w:t>105.</w:t>
            </w:r>
            <w:r>
              <w:tab/>
              <w:t>wijst erop dat de keuze van een lidstaat om niet samen te werken met het EOM, niches van immuniteit en voorrecht doet ontstaan die de verdediging van de financiële belangen van de Unie ongelijkmatig en inefficiënt maken en dringt er bij de Commissie op aan inbreukprocedures in te leiden tegen lidstaten die door het EOM geleide onderzoeken systematisch belemmeren; verzoekt de Commissie nauwlettend toe te zien op de mate van samenwerking van de lidstaten met het EOM; betreurt in dit verband de gevallen die in 2024 zijn gemeld van bedreigingen van OLAF- en EOM-onderzoekers bij de uitvoering van hun activiteiten ter plaatse; wijst erop dat dergelijke situaties de rechtsstaat ondermijnen en het optreden van de Unie verzwakken, en dringt aan op de invoering van krachtige preventieve en beschermende maatregelen om personeel te beschermen wanneer het in risicovolle situaties wordt ingezet;</w:t>
            </w:r>
          </w:p>
        </w:tc>
      </w:tr>
    </w:tbl>
    <w:p w14:paraId="313B25CC"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4525BFA7" w14:textId="77777777" w:rsidR="006B6379" w:rsidRPr="00E96208" w:rsidRDefault="006B6379" w:rsidP="006B6379">
      <w:r>
        <w:rPr>
          <w:rStyle w:val="HideTWBExt"/>
        </w:rPr>
        <w:t>&lt;/Amend&gt;</w:t>
      </w:r>
    </w:p>
    <w:p w14:paraId="60637398" w14:textId="77777777" w:rsidR="006B6379" w:rsidRPr="00E96208" w:rsidRDefault="006B6379" w:rsidP="006B6379">
      <w:pPr>
        <w:pStyle w:val="AmNumberTabs"/>
      </w:pPr>
      <w:r>
        <w:rPr>
          <w:rStyle w:val="HideTWBExt"/>
        </w:rPr>
        <w:t>&lt;Amend&gt;</w:t>
      </w:r>
      <w:r>
        <w:t>Amendement</w:t>
      </w:r>
      <w:r>
        <w:tab/>
      </w:r>
      <w:r>
        <w:tab/>
      </w:r>
      <w:r>
        <w:rPr>
          <w:rStyle w:val="HideTWBExt"/>
        </w:rPr>
        <w:t>&lt;NumAm&gt;</w:t>
      </w:r>
      <w:r>
        <w:t>62</w:t>
      </w:r>
      <w:r>
        <w:rPr>
          <w:rStyle w:val="HideTWBExt"/>
        </w:rPr>
        <w:t>&lt;/NumAm&gt;</w:t>
      </w:r>
    </w:p>
    <w:p w14:paraId="625688A6"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2CC540DE" w14:textId="77777777" w:rsidR="006B6379" w:rsidRPr="00E96208" w:rsidRDefault="006B6379" w:rsidP="006B6379">
      <w:pPr>
        <w:pStyle w:val="NormalBold"/>
      </w:pPr>
      <w:r>
        <w:rPr>
          <w:rStyle w:val="HideTWBExt"/>
          <w:b w:val="0"/>
        </w:rPr>
        <w:t>&lt;/RepeatBlock-By&gt;</w:t>
      </w:r>
    </w:p>
    <w:p w14:paraId="26564217" w14:textId="77777777" w:rsidR="006B6379" w:rsidRPr="00E96208" w:rsidRDefault="006B6379" w:rsidP="006B6379">
      <w:pPr>
        <w:pStyle w:val="NormalBold"/>
      </w:pPr>
      <w:r>
        <w:rPr>
          <w:rStyle w:val="HideTWBExt"/>
        </w:rPr>
        <w:t>&lt;DocAmend&gt;</w:t>
      </w:r>
      <w:r>
        <w:t>Ontwerpresolutie</w:t>
      </w:r>
      <w:r>
        <w:rPr>
          <w:rStyle w:val="HideTWBExt"/>
        </w:rPr>
        <w:t>&lt;/DocAmend&gt;</w:t>
      </w:r>
    </w:p>
    <w:p w14:paraId="56324418" w14:textId="77777777" w:rsidR="006B6379" w:rsidRPr="00E96208" w:rsidRDefault="006B6379" w:rsidP="006B6379">
      <w:pPr>
        <w:pStyle w:val="NormalBold"/>
      </w:pPr>
      <w:r>
        <w:rPr>
          <w:rStyle w:val="HideTWBExt"/>
        </w:rPr>
        <w:t>&lt;Article&gt;</w:t>
      </w:r>
      <w:r>
        <w:t>Paragraaf 106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6ABAFF31" w14:textId="77777777" w:rsidTr="00B30934">
        <w:trPr>
          <w:trHeight w:val="240"/>
          <w:jc w:val="center"/>
        </w:trPr>
        <w:tc>
          <w:tcPr>
            <w:tcW w:w="9752" w:type="dxa"/>
            <w:gridSpan w:val="2"/>
            <w:tcBorders>
              <w:top w:val="nil"/>
              <w:left w:val="nil"/>
              <w:bottom w:val="nil"/>
              <w:right w:val="nil"/>
            </w:tcBorders>
          </w:tcPr>
          <w:p w14:paraId="616B4175" w14:textId="77777777" w:rsidR="006B6379" w:rsidRPr="00E96208" w:rsidRDefault="006B6379" w:rsidP="00B30934"/>
        </w:tc>
      </w:tr>
      <w:tr w:rsidR="006B6379" w14:paraId="124057EB" w14:textId="77777777" w:rsidTr="00B30934">
        <w:trPr>
          <w:trHeight w:val="240"/>
          <w:jc w:val="center"/>
        </w:trPr>
        <w:tc>
          <w:tcPr>
            <w:tcW w:w="4876" w:type="dxa"/>
            <w:tcBorders>
              <w:top w:val="nil"/>
              <w:left w:val="nil"/>
              <w:bottom w:val="nil"/>
              <w:right w:val="nil"/>
            </w:tcBorders>
            <w:hideMark/>
          </w:tcPr>
          <w:p w14:paraId="22DCE4E7"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0F462D31" w14:textId="77777777" w:rsidR="006B6379" w:rsidRPr="00E96208" w:rsidRDefault="006B6379" w:rsidP="00B30934">
            <w:pPr>
              <w:pStyle w:val="AmColumnHeading"/>
            </w:pPr>
            <w:r>
              <w:t>Amendement</w:t>
            </w:r>
          </w:p>
        </w:tc>
      </w:tr>
      <w:tr w:rsidR="006B6379" w14:paraId="5A1BF787" w14:textId="77777777" w:rsidTr="00B30934">
        <w:trPr>
          <w:jc w:val="center"/>
        </w:trPr>
        <w:tc>
          <w:tcPr>
            <w:tcW w:w="4876" w:type="dxa"/>
            <w:tcBorders>
              <w:top w:val="nil"/>
              <w:left w:val="nil"/>
              <w:bottom w:val="nil"/>
              <w:right w:val="nil"/>
            </w:tcBorders>
            <w:hideMark/>
          </w:tcPr>
          <w:p w14:paraId="49797ECE" w14:textId="77777777" w:rsidR="006B6379" w:rsidRPr="00E96208" w:rsidRDefault="006B6379" w:rsidP="00B30934">
            <w:pPr>
              <w:pStyle w:val="Normal6a"/>
            </w:pPr>
            <w:r>
              <w:t>106.</w:t>
            </w:r>
            <w:r>
              <w:tab/>
              <w:t xml:space="preserve">benadrukt dat de activiteiten van het EOM moeten bijdragen tot de bescherming van de financiële belangen van de Unie en </w:t>
            </w:r>
            <w:r>
              <w:rPr>
                <w:b/>
                <w:i/>
              </w:rPr>
              <w:t>ervoor</w:t>
            </w:r>
            <w:r>
              <w:t xml:space="preserve"> moeten </w:t>
            </w:r>
            <w:r>
              <w:rPr>
                <w:b/>
                <w:i/>
              </w:rPr>
              <w:t>zorgen</w:t>
            </w:r>
            <w:r>
              <w:t xml:space="preserve"> dat uitgekeerde bedragen van de begroting van de Unie die vanwege criminele activiteiten niet zijn gebruikt voor het beoogde doel, worden teruggevorderd; merkt op dat het confiscatieproces, dat de terugvordering van dergelijke bedragen mogelijk maakt, onder de bevoegdheid van de nationale autoriteiten valt en dat de relevante geconfisqueerde bedragen of de waarde van de geconfisqueerde activa, die voortvloeien uit maatregelen die door de gedelegeerde Europese aanklagers in de lidstaten zijn genomen, terug moeten vloeien naar de begroting van de Unie, na aftrek van de kosten die de autoriteiten van de lidstaten hebben gemaakt om deze maatregelen uit te voeren, overeenkomstig artikel 38 van Verordening (EU) 2017/1939, dat verwijst naar activa of opbrengsten die moeten worden vervreemd overeenkomstig het toepasselijke nationale recht, zonder afbreuk te doen aan de rechten van de Unie of van andere slachtoffers die voor de door hen geleden schade vergoed moeten worden; herinnert eraan dat de Commissie begrotingscontrole van het Parlement heeft voorgesteld om de potentiële inkomsten uit inbeslagneming en confiscatie in de begroting van de Unie op te nemen als ontvangsten zonder specifieke bestemming, onder een afzonderlijke begrotingslijn die door middel van een begrotingswijziging wordt gecreëerd; waardeert de toezegging van het EOM om samen te werken met de Commissie om alle inspanningen te ondersteunen die erop gericht zijn de uitvoering van het bovenstaande te waarborgen; acht het noodzakelijk artikel 38 te wijzigen om de effectieve uitvoering en monitoring ervan mogelijk te maken, teneinde de bescherming van de begroting van de Unie te waarborgen, en verzoekt de Commissie de nodige regelingen te treffen met de relevante nationale autoriteiten om ervoor te zorgen dat deze bedragen in de begroting van de Unie kunnen worden opgenomen en de nodige wetgevende oplossingen voor te stellen om dit effectief te handhaven;</w:t>
            </w:r>
          </w:p>
        </w:tc>
        <w:tc>
          <w:tcPr>
            <w:tcW w:w="4876" w:type="dxa"/>
            <w:tcBorders>
              <w:top w:val="nil"/>
              <w:left w:val="nil"/>
              <w:bottom w:val="nil"/>
              <w:right w:val="nil"/>
            </w:tcBorders>
            <w:hideMark/>
          </w:tcPr>
          <w:p w14:paraId="550273A9" w14:textId="77777777" w:rsidR="006B6379" w:rsidRPr="00E96208" w:rsidRDefault="006B6379" w:rsidP="00B30934">
            <w:pPr>
              <w:pStyle w:val="Normal6a"/>
            </w:pPr>
            <w:r>
              <w:t>106.</w:t>
            </w:r>
            <w:r>
              <w:tab/>
              <w:t xml:space="preserve">benadrukt dat de activiteiten van het EOM moeten bijdragen tot de bescherming van de financiële belangen van de Unie en </w:t>
            </w:r>
            <w:r>
              <w:rPr>
                <w:b/>
                <w:i/>
              </w:rPr>
              <w:t>tot het resultaat zouden</w:t>
            </w:r>
            <w:r>
              <w:t xml:space="preserve"> moeten </w:t>
            </w:r>
            <w:r>
              <w:rPr>
                <w:b/>
                <w:i/>
              </w:rPr>
              <w:t>leiden</w:t>
            </w:r>
            <w:r>
              <w:t xml:space="preserve"> dat uitgekeerde bedragen van de begroting van de Unie die vanwege criminele activiteiten niet zijn gebruikt voor het beoogde doel, worden teruggevorderd; merkt op dat het confiscatieproces, dat de terugvordering van dergelijke bedragen mogelijk maakt, onder de bevoegdheid van de nationale autoriteiten valt en dat de relevante geconfisqueerde bedragen of de waarde van de geconfisqueerde activa, die voortvloeien uit maatregelen die door de gedelegeerde Europese aanklagers in de lidstaten zijn genomen, terug moeten vloeien naar de begroting van de Unie, na aftrek van de kosten die de autoriteiten van de lidstaten hebben gemaakt om deze maatregelen uit te voeren, overeenkomstig artikel 38 van Verordening (EU) 2017/1939, dat verwijst naar activa of opbrengsten die moeten worden vervreemd overeenkomstig het toepasselijke nationale recht, zonder afbreuk te doen aan de rechten van de Unie of van andere slachtoffers die voor de door hen geleden schade vergoed moeten worden; herinnert eraan dat de Commissie begrotingscontrole van het Parlement heeft voorgesteld om de potentiële inkomsten uit inbeslagneming en confiscatie in de begroting van de Unie op te nemen als ontvangsten zonder specifieke bestemming, onder een afzonderlijke begrotingslijn die door middel van een begrotingswijziging wordt gecreëerd; waardeert de toezegging van het EOM om samen te werken met de Commissie om alle inspanningen te ondersteunen die erop gericht zijn de uitvoering van het bovenstaande te waarborgen; acht het noodzakelijk artikel 38 te wijzigen om de effectieve uitvoering en monitoring ervan mogelijk te maken, teneinde de bescherming van de begroting van de Unie te waarborgen, en verzoekt de Commissie de nodige regelingen te treffen met de relevante nationale autoriteiten om ervoor te zorgen dat deze bedragen in de begroting van de Unie kunnen worden opgenomen en de nodige wetgevende oplossingen voor te stellen om dit effectief te handhaven;</w:t>
            </w:r>
          </w:p>
        </w:tc>
      </w:tr>
    </w:tbl>
    <w:p w14:paraId="7DF3EDC6"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11F5CF2D" w14:textId="77777777" w:rsidR="006B6379" w:rsidRPr="00E96208" w:rsidRDefault="006B6379" w:rsidP="006B6379">
      <w:r>
        <w:rPr>
          <w:rStyle w:val="HideTWBExt"/>
        </w:rPr>
        <w:t>&lt;/Amend&gt;</w:t>
      </w:r>
    </w:p>
    <w:p w14:paraId="0065F280" w14:textId="77777777" w:rsidR="006B6379" w:rsidRPr="00E96208" w:rsidRDefault="006B6379" w:rsidP="006B6379">
      <w:pPr>
        <w:pStyle w:val="AmNumberTabs"/>
      </w:pPr>
      <w:r>
        <w:rPr>
          <w:rStyle w:val="HideTWBExt"/>
        </w:rPr>
        <w:t>&lt;Amend&gt;</w:t>
      </w:r>
      <w:r>
        <w:t>Amendement</w:t>
      </w:r>
      <w:r>
        <w:tab/>
      </w:r>
      <w:r>
        <w:tab/>
      </w:r>
      <w:r>
        <w:rPr>
          <w:rStyle w:val="HideTWBExt"/>
        </w:rPr>
        <w:t>&lt;NumAm&gt;</w:t>
      </w:r>
      <w:r>
        <w:t>63</w:t>
      </w:r>
      <w:r>
        <w:rPr>
          <w:rStyle w:val="HideTWBExt"/>
        </w:rPr>
        <w:t>&lt;/NumAm&gt;</w:t>
      </w:r>
    </w:p>
    <w:p w14:paraId="6214C89A" w14:textId="77777777" w:rsidR="006B6379" w:rsidRPr="00E96208" w:rsidRDefault="006B6379" w:rsidP="006B6379">
      <w:pPr>
        <w:pStyle w:val="NormalBold"/>
      </w:pPr>
      <w:r>
        <w:rPr>
          <w:rStyle w:val="HideTWBExt"/>
          <w:b w:val="0"/>
        </w:rPr>
        <w:t>&lt;RepeatBlock-By&gt;&lt;Members&gt;</w:t>
      </w:r>
      <w:r>
        <w:t>Damian Boeselager</w:t>
      </w:r>
      <w:r>
        <w:rPr>
          <w:rStyle w:val="HideTWBExt"/>
          <w:b w:val="0"/>
        </w:rPr>
        <w:t>&lt;/Members&gt;</w:t>
      </w:r>
    </w:p>
    <w:p w14:paraId="5260AD50" w14:textId="77777777" w:rsidR="006B6379" w:rsidRPr="00E96208" w:rsidRDefault="006B6379" w:rsidP="006B6379">
      <w:r>
        <w:rPr>
          <w:rStyle w:val="HideTWBExt"/>
        </w:rPr>
        <w:t>&lt;AuNomDe&gt;</w:t>
      </w:r>
      <w:r>
        <w:rPr>
          <w:rStyle w:val="HideTWBInt"/>
          <w:color w:val="auto"/>
        </w:rPr>
        <w:t>{Verts/ALE}</w:t>
      </w:r>
      <w:r>
        <w:t>namens de Verts/ALE‐Fractie</w:t>
      </w:r>
      <w:r>
        <w:rPr>
          <w:rStyle w:val="HideTWBExt"/>
        </w:rPr>
        <w:t>&lt;/AuNomDe&gt;</w:t>
      </w:r>
    </w:p>
    <w:p w14:paraId="61E5B778" w14:textId="77777777" w:rsidR="006B6379" w:rsidRPr="00E96208" w:rsidRDefault="006B6379" w:rsidP="006B6379">
      <w:pPr>
        <w:pStyle w:val="NormalBold"/>
      </w:pPr>
      <w:r>
        <w:rPr>
          <w:rStyle w:val="HideTWBExt"/>
          <w:b w:val="0"/>
        </w:rPr>
        <w:t>&lt;/RepeatBlock-By&gt;</w:t>
      </w:r>
    </w:p>
    <w:p w14:paraId="44BC5587" w14:textId="77777777" w:rsidR="006B6379" w:rsidRPr="00E96208" w:rsidRDefault="006B6379" w:rsidP="006B6379">
      <w:pPr>
        <w:pStyle w:val="NormalBold"/>
      </w:pPr>
      <w:r>
        <w:rPr>
          <w:rStyle w:val="HideTWBExt"/>
        </w:rPr>
        <w:t>&lt;DocAmend&gt;</w:t>
      </w:r>
      <w:r>
        <w:t>Ontwerpresolutie</w:t>
      </w:r>
      <w:r>
        <w:rPr>
          <w:rStyle w:val="HideTWBExt"/>
        </w:rPr>
        <w:t>&lt;/DocAmend&gt;</w:t>
      </w:r>
    </w:p>
    <w:p w14:paraId="0829FB35" w14:textId="77777777" w:rsidR="006B6379" w:rsidRPr="00E96208" w:rsidRDefault="006B6379" w:rsidP="006B6379">
      <w:pPr>
        <w:pStyle w:val="NormalBold"/>
      </w:pPr>
      <w:r>
        <w:rPr>
          <w:rStyle w:val="HideTWBExt"/>
        </w:rPr>
        <w:t>&lt;Article&gt;</w:t>
      </w:r>
      <w:r>
        <w:t>Paragraaf 111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2C73D38F" w14:textId="77777777" w:rsidTr="00B30934">
        <w:trPr>
          <w:trHeight w:val="240"/>
          <w:jc w:val="center"/>
        </w:trPr>
        <w:tc>
          <w:tcPr>
            <w:tcW w:w="9752" w:type="dxa"/>
            <w:gridSpan w:val="2"/>
            <w:tcBorders>
              <w:top w:val="nil"/>
              <w:left w:val="nil"/>
              <w:bottom w:val="nil"/>
              <w:right w:val="nil"/>
            </w:tcBorders>
          </w:tcPr>
          <w:p w14:paraId="4D96C797" w14:textId="77777777" w:rsidR="006B6379" w:rsidRPr="00E96208" w:rsidRDefault="006B6379" w:rsidP="00B30934"/>
        </w:tc>
      </w:tr>
      <w:tr w:rsidR="006B6379" w14:paraId="52BF1DBD" w14:textId="77777777" w:rsidTr="00B30934">
        <w:trPr>
          <w:trHeight w:val="240"/>
          <w:jc w:val="center"/>
        </w:trPr>
        <w:tc>
          <w:tcPr>
            <w:tcW w:w="4876" w:type="dxa"/>
            <w:tcBorders>
              <w:top w:val="nil"/>
              <w:left w:val="nil"/>
              <w:bottom w:val="nil"/>
              <w:right w:val="nil"/>
            </w:tcBorders>
            <w:hideMark/>
          </w:tcPr>
          <w:p w14:paraId="7287D768"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605FB567" w14:textId="77777777" w:rsidR="006B6379" w:rsidRPr="00E96208" w:rsidRDefault="006B6379" w:rsidP="00B30934">
            <w:pPr>
              <w:pStyle w:val="AmColumnHeading"/>
            </w:pPr>
            <w:r>
              <w:t>Amendement</w:t>
            </w:r>
          </w:p>
        </w:tc>
      </w:tr>
      <w:tr w:rsidR="006B6379" w14:paraId="19D3739C" w14:textId="77777777" w:rsidTr="00B30934">
        <w:trPr>
          <w:jc w:val="center"/>
        </w:trPr>
        <w:tc>
          <w:tcPr>
            <w:tcW w:w="4876" w:type="dxa"/>
            <w:tcBorders>
              <w:top w:val="nil"/>
              <w:left w:val="nil"/>
              <w:bottom w:val="nil"/>
              <w:right w:val="nil"/>
            </w:tcBorders>
          </w:tcPr>
          <w:p w14:paraId="08E4B607" w14:textId="77777777" w:rsidR="006B6379" w:rsidRPr="00E96208" w:rsidRDefault="006B6379" w:rsidP="00B30934">
            <w:pPr>
              <w:pStyle w:val="Normal6a"/>
            </w:pPr>
          </w:p>
        </w:tc>
        <w:tc>
          <w:tcPr>
            <w:tcW w:w="4876" w:type="dxa"/>
            <w:tcBorders>
              <w:top w:val="nil"/>
              <w:left w:val="nil"/>
              <w:bottom w:val="nil"/>
              <w:right w:val="nil"/>
            </w:tcBorders>
            <w:hideMark/>
          </w:tcPr>
          <w:p w14:paraId="4927E044" w14:textId="77777777" w:rsidR="006B6379" w:rsidRPr="00E96208" w:rsidRDefault="006B6379" w:rsidP="00B30934">
            <w:pPr>
              <w:pStyle w:val="Normal6a"/>
            </w:pPr>
            <w:r>
              <w:rPr>
                <w:b/>
                <w:i/>
              </w:rPr>
              <w:t>111 bis.</w:t>
            </w:r>
            <w:r>
              <w:tab/>
            </w:r>
            <w:r>
              <w:rPr>
                <w:b/>
                <w:i/>
              </w:rPr>
              <w:t>wijst op de uitzonderlijk grote publieke belangstelling voor bepaalde onderzoeken van het EOM, waaronder het onderzoek naar de aankoop van COVID-19-vaccins in de Unie; herinnert eraan dat transparantie in evenwicht moet zijn met het vermoeden van onschuld en de integriteit van de procedures; moedigt het EOM aan om duidelijke beginselen voor publieke communicatie te hanteren met betrekking tot wanneer en hoe het bestaan van een onderzoek wordt bevestigd en updates worden verstrekt, en ervoor te zorgen dat er voldoende middelen beschikbaar zijn voor zeer complexe zaken met grote gevolgen voor de begroting en de reputatie;</w:t>
            </w:r>
          </w:p>
        </w:tc>
      </w:tr>
    </w:tbl>
    <w:p w14:paraId="6006F885"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0678DFC9" w14:textId="77777777" w:rsidR="006B6379" w:rsidRPr="00E96208" w:rsidRDefault="006B6379" w:rsidP="006B6379">
      <w:r>
        <w:rPr>
          <w:rStyle w:val="HideTWBExt"/>
        </w:rPr>
        <w:t>&lt;/Amend&gt;</w:t>
      </w:r>
    </w:p>
    <w:p w14:paraId="0E29BE74" w14:textId="77777777" w:rsidR="006B6379" w:rsidRPr="00E96208" w:rsidRDefault="006B6379" w:rsidP="006B6379">
      <w:pPr>
        <w:pStyle w:val="AmNumberTabs"/>
      </w:pPr>
      <w:r>
        <w:rPr>
          <w:rStyle w:val="HideTWBExt"/>
        </w:rPr>
        <w:t>&lt;Amend&gt;</w:t>
      </w:r>
      <w:r>
        <w:t>Amendement</w:t>
      </w:r>
      <w:r>
        <w:tab/>
      </w:r>
      <w:r>
        <w:tab/>
      </w:r>
      <w:r>
        <w:rPr>
          <w:rStyle w:val="HideTWBExt"/>
        </w:rPr>
        <w:t>&lt;NumAm&gt;</w:t>
      </w:r>
      <w:r>
        <w:t>64</w:t>
      </w:r>
      <w:r>
        <w:rPr>
          <w:rStyle w:val="HideTWBExt"/>
        </w:rPr>
        <w:t>&lt;/NumAm&gt;</w:t>
      </w:r>
    </w:p>
    <w:p w14:paraId="727C0FDA" w14:textId="77777777" w:rsidR="006B6379" w:rsidRPr="00E96208" w:rsidRDefault="006B6379" w:rsidP="006B6379">
      <w:pPr>
        <w:pStyle w:val="NormalBold"/>
      </w:pPr>
      <w:r>
        <w:rPr>
          <w:rStyle w:val="HideTWBExt"/>
          <w:b w:val="0"/>
        </w:rPr>
        <w:t>&lt;RepeatBlock-By&gt;&lt;Members&gt;</w:t>
      </w:r>
      <w:r>
        <w:t>Cristian Terheş</w:t>
      </w:r>
      <w:r>
        <w:rPr>
          <w:rStyle w:val="HideTWBExt"/>
          <w:b w:val="0"/>
        </w:rPr>
        <w:t>&lt;/Members&gt;</w:t>
      </w:r>
    </w:p>
    <w:p w14:paraId="1C790260" w14:textId="77777777" w:rsidR="006B6379" w:rsidRPr="00E96208" w:rsidRDefault="006B6379" w:rsidP="006B6379">
      <w:pPr>
        <w:pStyle w:val="NormalBold"/>
      </w:pPr>
      <w:r>
        <w:rPr>
          <w:rStyle w:val="HideTWBExt"/>
          <w:b w:val="0"/>
        </w:rPr>
        <w:t>&lt;/RepeatBlock-By&gt;</w:t>
      </w:r>
    </w:p>
    <w:p w14:paraId="695CF12B" w14:textId="77777777" w:rsidR="006B6379" w:rsidRPr="00E96208" w:rsidRDefault="006B6379" w:rsidP="006B6379">
      <w:pPr>
        <w:pStyle w:val="NormalBold"/>
      </w:pPr>
      <w:r>
        <w:rPr>
          <w:rStyle w:val="HideTWBExt"/>
        </w:rPr>
        <w:t>&lt;DocAmend&gt;</w:t>
      </w:r>
      <w:r>
        <w:t>Ontwerpresolutie</w:t>
      </w:r>
      <w:r>
        <w:rPr>
          <w:rStyle w:val="HideTWBExt"/>
        </w:rPr>
        <w:t>&lt;/DocAmend&gt;</w:t>
      </w:r>
    </w:p>
    <w:p w14:paraId="2D9CE5B9" w14:textId="77777777" w:rsidR="006B6379" w:rsidRPr="00E96208" w:rsidRDefault="006B6379" w:rsidP="006B6379">
      <w:pPr>
        <w:pStyle w:val="NormalBold"/>
      </w:pPr>
      <w:r>
        <w:rPr>
          <w:rStyle w:val="HideTWBExt"/>
        </w:rPr>
        <w:t>&lt;Article&gt;</w:t>
      </w:r>
      <w:r>
        <w:t>Paragraaf 112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7E82D62B" w14:textId="77777777" w:rsidTr="00B30934">
        <w:trPr>
          <w:trHeight w:val="240"/>
          <w:jc w:val="center"/>
        </w:trPr>
        <w:tc>
          <w:tcPr>
            <w:tcW w:w="9752" w:type="dxa"/>
            <w:gridSpan w:val="2"/>
            <w:tcBorders>
              <w:top w:val="nil"/>
              <w:left w:val="nil"/>
              <w:bottom w:val="nil"/>
              <w:right w:val="nil"/>
            </w:tcBorders>
          </w:tcPr>
          <w:p w14:paraId="7725C1A5" w14:textId="77777777" w:rsidR="006B6379" w:rsidRPr="00E96208" w:rsidRDefault="006B6379" w:rsidP="00B30934"/>
        </w:tc>
      </w:tr>
      <w:tr w:rsidR="006B6379" w14:paraId="47FEF86A" w14:textId="77777777" w:rsidTr="00B30934">
        <w:trPr>
          <w:trHeight w:val="240"/>
          <w:jc w:val="center"/>
        </w:trPr>
        <w:tc>
          <w:tcPr>
            <w:tcW w:w="4876" w:type="dxa"/>
            <w:tcBorders>
              <w:top w:val="nil"/>
              <w:left w:val="nil"/>
              <w:bottom w:val="nil"/>
              <w:right w:val="nil"/>
            </w:tcBorders>
            <w:hideMark/>
          </w:tcPr>
          <w:p w14:paraId="7C5F19F1"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67732929" w14:textId="77777777" w:rsidR="006B6379" w:rsidRPr="00E96208" w:rsidRDefault="006B6379" w:rsidP="00B30934">
            <w:pPr>
              <w:pStyle w:val="AmColumnHeading"/>
            </w:pPr>
            <w:r>
              <w:t>Amendement</w:t>
            </w:r>
          </w:p>
        </w:tc>
      </w:tr>
      <w:tr w:rsidR="006B6379" w14:paraId="724D063C" w14:textId="77777777" w:rsidTr="00B30934">
        <w:trPr>
          <w:jc w:val="center"/>
        </w:trPr>
        <w:tc>
          <w:tcPr>
            <w:tcW w:w="4876" w:type="dxa"/>
            <w:tcBorders>
              <w:top w:val="nil"/>
              <w:left w:val="nil"/>
              <w:bottom w:val="nil"/>
              <w:right w:val="nil"/>
            </w:tcBorders>
          </w:tcPr>
          <w:p w14:paraId="1B8CD147" w14:textId="77777777" w:rsidR="006B6379" w:rsidRPr="00E96208" w:rsidRDefault="006B6379" w:rsidP="00B30934">
            <w:pPr>
              <w:pStyle w:val="Normal6a"/>
            </w:pPr>
          </w:p>
        </w:tc>
        <w:tc>
          <w:tcPr>
            <w:tcW w:w="4876" w:type="dxa"/>
            <w:tcBorders>
              <w:top w:val="nil"/>
              <w:left w:val="nil"/>
              <w:bottom w:val="nil"/>
              <w:right w:val="nil"/>
            </w:tcBorders>
            <w:hideMark/>
          </w:tcPr>
          <w:p w14:paraId="0445514F" w14:textId="256F0CA1" w:rsidR="006B6379" w:rsidRPr="00E96208" w:rsidRDefault="006B6379" w:rsidP="00B30934">
            <w:pPr>
              <w:pStyle w:val="Normal6a"/>
            </w:pPr>
            <w:r>
              <w:rPr>
                <w:b/>
                <w:i/>
              </w:rPr>
              <w:t>112 bis.</w:t>
            </w:r>
            <w:r>
              <w:tab/>
            </w:r>
            <w:r>
              <w:rPr>
                <w:b/>
                <w:i/>
              </w:rPr>
              <w:t>neemt met grote bezorgdheid kennis van de ongekende fraude tijdens de COVID-19-pandemie, het gebrek aan transparantie binnen overheidsinstellingen en het wanbeheer van EU-overheidsmiddelen; benadrukt dat in het activiteitenverslag van het EOM voor 2023 nog steeds melding wordt gemaakt van talrijke gevallen van fraude in verband met middelen die beschikbaar zijn gesteld voor de COVID-19-pandemie</w:t>
            </w:r>
            <w:r>
              <w:rPr>
                <w:b/>
                <w:i/>
                <w:vertAlign w:val="superscript"/>
              </w:rPr>
              <w:t>9</w:t>
            </w:r>
            <w:r>
              <w:rPr>
                <w:b/>
                <w:i/>
                <w:vertAlign w:val="superscript"/>
              </w:rPr>
              <w:t> </w:t>
            </w:r>
            <w:r>
              <w:rPr>
                <w:b/>
                <w:i/>
                <w:vertAlign w:val="superscript"/>
              </w:rPr>
              <w:t>bis</w:t>
            </w:r>
            <w:r>
              <w:rPr>
                <w:b/>
                <w:i/>
              </w:rPr>
              <w:t>;</w:t>
            </w:r>
          </w:p>
        </w:tc>
      </w:tr>
      <w:tr w:rsidR="006B6379" w14:paraId="1FCE101C" w14:textId="77777777" w:rsidTr="00B30934">
        <w:trPr>
          <w:jc w:val="center"/>
        </w:trPr>
        <w:tc>
          <w:tcPr>
            <w:tcW w:w="4876" w:type="dxa"/>
            <w:tcBorders>
              <w:top w:val="nil"/>
              <w:left w:val="nil"/>
              <w:bottom w:val="nil"/>
              <w:right w:val="nil"/>
            </w:tcBorders>
          </w:tcPr>
          <w:p w14:paraId="0FF51107" w14:textId="77777777" w:rsidR="006B6379" w:rsidRPr="00E96208" w:rsidRDefault="006B6379" w:rsidP="00B30934"/>
        </w:tc>
        <w:tc>
          <w:tcPr>
            <w:tcW w:w="4876" w:type="dxa"/>
            <w:tcBorders>
              <w:top w:val="nil"/>
              <w:left w:val="nil"/>
              <w:bottom w:val="nil"/>
              <w:right w:val="nil"/>
            </w:tcBorders>
            <w:hideMark/>
          </w:tcPr>
          <w:p w14:paraId="479AFC4E" w14:textId="77777777" w:rsidR="006B6379" w:rsidRPr="00E96208" w:rsidRDefault="006B6379" w:rsidP="00B30934">
            <w:pPr>
              <w:pStyle w:val="Normal6a"/>
            </w:pPr>
            <w:r>
              <w:rPr>
                <w:b/>
                <w:i/>
              </w:rPr>
              <w:t>_________________</w:t>
            </w:r>
          </w:p>
        </w:tc>
      </w:tr>
      <w:tr w:rsidR="006B6379" w14:paraId="4E78720E" w14:textId="77777777" w:rsidTr="00B30934">
        <w:trPr>
          <w:jc w:val="center"/>
        </w:trPr>
        <w:tc>
          <w:tcPr>
            <w:tcW w:w="4876" w:type="dxa"/>
            <w:tcBorders>
              <w:top w:val="nil"/>
              <w:left w:val="nil"/>
              <w:bottom w:val="nil"/>
              <w:right w:val="nil"/>
            </w:tcBorders>
          </w:tcPr>
          <w:p w14:paraId="3F4CB87F" w14:textId="77777777" w:rsidR="006B6379" w:rsidRPr="00E96208" w:rsidRDefault="006B6379" w:rsidP="00B30934"/>
        </w:tc>
        <w:tc>
          <w:tcPr>
            <w:tcW w:w="4876" w:type="dxa"/>
            <w:tcBorders>
              <w:top w:val="nil"/>
              <w:left w:val="nil"/>
              <w:bottom w:val="nil"/>
              <w:right w:val="nil"/>
            </w:tcBorders>
            <w:hideMark/>
          </w:tcPr>
          <w:p w14:paraId="7D4EAE0F" w14:textId="77777777" w:rsidR="006B6379" w:rsidRPr="00E96208" w:rsidRDefault="006B6379" w:rsidP="00B30934">
            <w:pPr>
              <w:pStyle w:val="Normal6a"/>
            </w:pPr>
            <w:r>
              <w:rPr>
                <w:b/>
                <w:i/>
                <w:vertAlign w:val="superscript"/>
              </w:rPr>
              <w:t>9 bis</w:t>
            </w:r>
            <w:r>
              <w:t xml:space="preserve"> </w:t>
            </w:r>
            <w:r>
              <w:rPr>
                <w:b/>
                <w:i/>
              </w:rPr>
              <w:t>https://www.eppo.europa.eu/sites/default/files/2024-03/EPPO_Annual_Report_2023.pdf</w:t>
            </w:r>
            <w:r>
              <w:t>.</w:t>
            </w:r>
          </w:p>
        </w:tc>
      </w:tr>
    </w:tbl>
    <w:p w14:paraId="7DBC5F9E"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3EAD3D1D" w14:textId="77777777" w:rsidR="006B6379" w:rsidRPr="00E96208" w:rsidRDefault="006B6379" w:rsidP="006B6379">
      <w:r>
        <w:rPr>
          <w:rStyle w:val="HideTWBExt"/>
        </w:rPr>
        <w:t>&lt;/Amend&gt;</w:t>
      </w:r>
    </w:p>
    <w:p w14:paraId="56FD5B06" w14:textId="77777777" w:rsidR="006B6379" w:rsidRPr="00E96208" w:rsidRDefault="006B6379" w:rsidP="006B6379">
      <w:pPr>
        <w:pStyle w:val="AmNumberTabs"/>
      </w:pPr>
      <w:r>
        <w:rPr>
          <w:rStyle w:val="HideTWBExt"/>
        </w:rPr>
        <w:t>&lt;Amend&gt;</w:t>
      </w:r>
      <w:r>
        <w:t>Amendement</w:t>
      </w:r>
      <w:r>
        <w:tab/>
      </w:r>
      <w:r>
        <w:tab/>
      </w:r>
      <w:r>
        <w:rPr>
          <w:rStyle w:val="HideTWBExt"/>
        </w:rPr>
        <w:t>&lt;NumAm&gt;</w:t>
      </w:r>
      <w:r>
        <w:t>65</w:t>
      </w:r>
      <w:r>
        <w:rPr>
          <w:rStyle w:val="HideTWBExt"/>
        </w:rPr>
        <w:t>&lt;/NumAm&gt;</w:t>
      </w:r>
    </w:p>
    <w:p w14:paraId="5099CE58" w14:textId="77777777" w:rsidR="006B6379" w:rsidRPr="00E96208" w:rsidRDefault="006B6379" w:rsidP="006B6379">
      <w:pPr>
        <w:pStyle w:val="NormalBold"/>
      </w:pPr>
      <w:r>
        <w:rPr>
          <w:rStyle w:val="HideTWBExt"/>
          <w:b w:val="0"/>
        </w:rPr>
        <w:t>&lt;RepeatBlock-By&gt;&lt;Members&gt;</w:t>
      </w:r>
      <w:r>
        <w:t>Cristian Terheş</w:t>
      </w:r>
      <w:r>
        <w:rPr>
          <w:rStyle w:val="HideTWBExt"/>
          <w:b w:val="0"/>
        </w:rPr>
        <w:t>&lt;/Members&gt;</w:t>
      </w:r>
    </w:p>
    <w:p w14:paraId="378DF40A" w14:textId="77777777" w:rsidR="006B6379" w:rsidRPr="00E96208" w:rsidRDefault="006B6379" w:rsidP="006B6379">
      <w:pPr>
        <w:pStyle w:val="NormalBold"/>
      </w:pPr>
      <w:r>
        <w:rPr>
          <w:rStyle w:val="HideTWBExt"/>
          <w:b w:val="0"/>
        </w:rPr>
        <w:t>&lt;/RepeatBlock-By&gt;</w:t>
      </w:r>
    </w:p>
    <w:p w14:paraId="5BD7F6F4" w14:textId="77777777" w:rsidR="006B6379" w:rsidRPr="00E96208" w:rsidRDefault="006B6379" w:rsidP="006B6379">
      <w:pPr>
        <w:pStyle w:val="NormalBold"/>
      </w:pPr>
      <w:r>
        <w:rPr>
          <w:rStyle w:val="HideTWBExt"/>
        </w:rPr>
        <w:t>&lt;DocAmend&gt;</w:t>
      </w:r>
      <w:r>
        <w:t>Ontwerpresolutie</w:t>
      </w:r>
      <w:r>
        <w:rPr>
          <w:rStyle w:val="HideTWBExt"/>
        </w:rPr>
        <w:t>&lt;/DocAmend&gt;</w:t>
      </w:r>
    </w:p>
    <w:p w14:paraId="0729C7E2" w14:textId="77777777" w:rsidR="006B6379" w:rsidRPr="00E96208" w:rsidRDefault="006B6379" w:rsidP="006B6379">
      <w:pPr>
        <w:pStyle w:val="NormalBold"/>
      </w:pPr>
      <w:r>
        <w:rPr>
          <w:rStyle w:val="HideTWBExt"/>
        </w:rPr>
        <w:t>&lt;Article&gt;</w:t>
      </w:r>
      <w:r>
        <w:t>Paragraaf 112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57377552" w14:textId="77777777" w:rsidTr="00B30934">
        <w:trPr>
          <w:trHeight w:val="240"/>
          <w:jc w:val="center"/>
        </w:trPr>
        <w:tc>
          <w:tcPr>
            <w:tcW w:w="9752" w:type="dxa"/>
            <w:gridSpan w:val="2"/>
            <w:tcBorders>
              <w:top w:val="nil"/>
              <w:left w:val="nil"/>
              <w:bottom w:val="nil"/>
              <w:right w:val="nil"/>
            </w:tcBorders>
          </w:tcPr>
          <w:p w14:paraId="68E5E963" w14:textId="77777777" w:rsidR="006B6379" w:rsidRPr="00E96208" w:rsidRDefault="006B6379" w:rsidP="00B30934"/>
        </w:tc>
      </w:tr>
      <w:tr w:rsidR="006B6379" w14:paraId="69ACCB9F" w14:textId="77777777" w:rsidTr="00B30934">
        <w:trPr>
          <w:trHeight w:val="240"/>
          <w:jc w:val="center"/>
        </w:trPr>
        <w:tc>
          <w:tcPr>
            <w:tcW w:w="4876" w:type="dxa"/>
            <w:tcBorders>
              <w:top w:val="nil"/>
              <w:left w:val="nil"/>
              <w:bottom w:val="nil"/>
              <w:right w:val="nil"/>
            </w:tcBorders>
            <w:hideMark/>
          </w:tcPr>
          <w:p w14:paraId="059CBC62"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68F3BD29" w14:textId="77777777" w:rsidR="006B6379" w:rsidRPr="00E96208" w:rsidRDefault="006B6379" w:rsidP="00B30934">
            <w:pPr>
              <w:pStyle w:val="AmColumnHeading"/>
            </w:pPr>
            <w:r>
              <w:t>Amendement</w:t>
            </w:r>
          </w:p>
        </w:tc>
      </w:tr>
      <w:tr w:rsidR="006B6379" w14:paraId="05557367" w14:textId="77777777" w:rsidTr="00B30934">
        <w:trPr>
          <w:jc w:val="center"/>
        </w:trPr>
        <w:tc>
          <w:tcPr>
            <w:tcW w:w="4876" w:type="dxa"/>
            <w:tcBorders>
              <w:top w:val="nil"/>
              <w:left w:val="nil"/>
              <w:bottom w:val="nil"/>
              <w:right w:val="nil"/>
            </w:tcBorders>
          </w:tcPr>
          <w:p w14:paraId="250C8B06" w14:textId="77777777" w:rsidR="006B6379" w:rsidRPr="00E96208" w:rsidRDefault="006B6379" w:rsidP="00B30934">
            <w:pPr>
              <w:pStyle w:val="Normal6a"/>
            </w:pPr>
          </w:p>
        </w:tc>
        <w:tc>
          <w:tcPr>
            <w:tcW w:w="4876" w:type="dxa"/>
            <w:tcBorders>
              <w:top w:val="nil"/>
              <w:left w:val="nil"/>
              <w:bottom w:val="nil"/>
              <w:right w:val="nil"/>
            </w:tcBorders>
            <w:hideMark/>
          </w:tcPr>
          <w:p w14:paraId="6D3E2D1C" w14:textId="77777777" w:rsidR="006B6379" w:rsidRPr="00E96208" w:rsidRDefault="006B6379" w:rsidP="00B30934">
            <w:pPr>
              <w:pStyle w:val="Normal6a"/>
            </w:pPr>
            <w:r>
              <w:rPr>
                <w:b/>
                <w:i/>
              </w:rPr>
              <w:t>112 ter.</w:t>
            </w:r>
            <w:r>
              <w:tab/>
            </w:r>
            <w:r>
              <w:rPr>
                <w:b/>
                <w:i/>
              </w:rPr>
              <w:t>uit zijn ernstige bezorgdheid over het gebrek aan transparantie en publieke communicatie met betrekking tot het onderzoek naar de aankoop van COVID-19-vaccins in de Europese Unie, wat algemeen wordt beschouwd als een van de grootste fraudezaken waarvoor het publiek veel belangstelling heeft; merkt op dat het Europees Openbaar Ministerie (EOM) in 2022 een onderzoek heeft geopend, maar dat burgers nog steeds niet op de hoogte zijn gebracht van de voortgang of het resultaat ervan; dringt er bij het EOM op aan voldoende personele en financiële middelen toe te wijzen om ervoor te zorgen dat het onderzoek snel wordt afgerond en om zonder onnodige vertraging duidelijke informatie over de status en de conclusies ervan openbaar te maken, met volledige inachtneming van de juridische beperkingen;</w:t>
            </w:r>
          </w:p>
        </w:tc>
      </w:tr>
    </w:tbl>
    <w:p w14:paraId="3A38DD02"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32835E1C" w14:textId="77777777" w:rsidR="006B6379" w:rsidRPr="00E96208" w:rsidRDefault="006B6379" w:rsidP="006B6379">
      <w:r>
        <w:rPr>
          <w:rStyle w:val="HideTWBExt"/>
        </w:rPr>
        <w:t>&lt;/Amend&gt;</w:t>
      </w:r>
    </w:p>
    <w:p w14:paraId="6406FF99" w14:textId="77777777" w:rsidR="006B6379" w:rsidRPr="00E96208" w:rsidRDefault="006B6379" w:rsidP="006B6379">
      <w:pPr>
        <w:pStyle w:val="AmNumberTabs"/>
      </w:pPr>
      <w:r>
        <w:rPr>
          <w:rStyle w:val="HideTWBExt"/>
        </w:rPr>
        <w:t>&lt;Amend&gt;</w:t>
      </w:r>
      <w:r>
        <w:t>Amendement</w:t>
      </w:r>
      <w:r>
        <w:tab/>
      </w:r>
      <w:r>
        <w:tab/>
      </w:r>
      <w:r>
        <w:rPr>
          <w:rStyle w:val="HideTWBExt"/>
        </w:rPr>
        <w:t>&lt;NumAm&gt;</w:t>
      </w:r>
      <w:r>
        <w:t>66</w:t>
      </w:r>
      <w:r>
        <w:rPr>
          <w:rStyle w:val="HideTWBExt"/>
        </w:rPr>
        <w:t>&lt;/NumAm&gt;</w:t>
      </w:r>
    </w:p>
    <w:p w14:paraId="7B887A14" w14:textId="77777777" w:rsidR="006B6379" w:rsidRPr="00E96208" w:rsidRDefault="006B6379" w:rsidP="006B6379">
      <w:pPr>
        <w:pStyle w:val="NormalBold"/>
      </w:pPr>
      <w:r>
        <w:rPr>
          <w:rStyle w:val="HideTWBExt"/>
          <w:b w:val="0"/>
        </w:rPr>
        <w:t>&lt;RepeatBlock-By&gt;&lt;Members&gt;</w:t>
      </w:r>
      <w:r>
        <w:t>Cristian Terheş</w:t>
      </w:r>
      <w:r>
        <w:rPr>
          <w:rStyle w:val="HideTWBExt"/>
          <w:b w:val="0"/>
        </w:rPr>
        <w:t>&lt;/Members&gt;</w:t>
      </w:r>
    </w:p>
    <w:p w14:paraId="3DC047E1" w14:textId="77777777" w:rsidR="006B6379" w:rsidRPr="00E96208" w:rsidRDefault="006B6379" w:rsidP="006B6379">
      <w:pPr>
        <w:pStyle w:val="NormalBold"/>
      </w:pPr>
      <w:r>
        <w:rPr>
          <w:rStyle w:val="HideTWBExt"/>
          <w:b w:val="0"/>
        </w:rPr>
        <w:t>&lt;/RepeatBlock-By&gt;</w:t>
      </w:r>
    </w:p>
    <w:p w14:paraId="14924AE6" w14:textId="77777777" w:rsidR="006B6379" w:rsidRPr="00E96208" w:rsidRDefault="006B6379" w:rsidP="006B6379">
      <w:pPr>
        <w:pStyle w:val="NormalBold"/>
      </w:pPr>
      <w:r>
        <w:rPr>
          <w:rStyle w:val="HideTWBExt"/>
        </w:rPr>
        <w:t>&lt;DocAmend&gt;</w:t>
      </w:r>
      <w:r>
        <w:t>Ontwerpresolutie</w:t>
      </w:r>
      <w:r>
        <w:rPr>
          <w:rStyle w:val="HideTWBExt"/>
        </w:rPr>
        <w:t>&lt;/DocAmend&gt;</w:t>
      </w:r>
    </w:p>
    <w:p w14:paraId="4B5009F5" w14:textId="77777777" w:rsidR="006B6379" w:rsidRPr="00E96208" w:rsidRDefault="006B6379" w:rsidP="006B6379">
      <w:pPr>
        <w:pStyle w:val="NormalBold"/>
      </w:pPr>
      <w:r>
        <w:rPr>
          <w:rStyle w:val="HideTWBExt"/>
        </w:rPr>
        <w:t>&lt;Article&gt;</w:t>
      </w:r>
      <w:r>
        <w:t xml:space="preserve">Paragraaf 112 </w:t>
      </w:r>
      <w:proofErr w:type="spellStart"/>
      <w:r>
        <w:t>quater</w:t>
      </w:r>
      <w:proofErr w:type="spellEnd"/>
      <w:r>
        <w:t xml:space="preserve">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48FEBAA3" w14:textId="77777777" w:rsidTr="00B30934">
        <w:trPr>
          <w:trHeight w:val="240"/>
          <w:jc w:val="center"/>
        </w:trPr>
        <w:tc>
          <w:tcPr>
            <w:tcW w:w="9752" w:type="dxa"/>
            <w:gridSpan w:val="2"/>
            <w:tcBorders>
              <w:top w:val="nil"/>
              <w:left w:val="nil"/>
              <w:bottom w:val="nil"/>
              <w:right w:val="nil"/>
            </w:tcBorders>
          </w:tcPr>
          <w:p w14:paraId="589AE2E1" w14:textId="77777777" w:rsidR="006B6379" w:rsidRPr="00E96208" w:rsidRDefault="006B6379" w:rsidP="00B30934"/>
        </w:tc>
      </w:tr>
      <w:tr w:rsidR="006B6379" w14:paraId="2B192E66" w14:textId="77777777" w:rsidTr="00B30934">
        <w:trPr>
          <w:trHeight w:val="240"/>
          <w:jc w:val="center"/>
        </w:trPr>
        <w:tc>
          <w:tcPr>
            <w:tcW w:w="4876" w:type="dxa"/>
            <w:tcBorders>
              <w:top w:val="nil"/>
              <w:left w:val="nil"/>
              <w:bottom w:val="nil"/>
              <w:right w:val="nil"/>
            </w:tcBorders>
            <w:hideMark/>
          </w:tcPr>
          <w:p w14:paraId="6F4AE471"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272AAC1A" w14:textId="77777777" w:rsidR="006B6379" w:rsidRPr="00E96208" w:rsidRDefault="006B6379" w:rsidP="00B30934">
            <w:pPr>
              <w:pStyle w:val="AmColumnHeading"/>
            </w:pPr>
            <w:r>
              <w:t>Amendement</w:t>
            </w:r>
          </w:p>
        </w:tc>
      </w:tr>
      <w:tr w:rsidR="006B6379" w14:paraId="75E18926" w14:textId="77777777" w:rsidTr="00B30934">
        <w:trPr>
          <w:jc w:val="center"/>
        </w:trPr>
        <w:tc>
          <w:tcPr>
            <w:tcW w:w="4876" w:type="dxa"/>
            <w:tcBorders>
              <w:top w:val="nil"/>
              <w:left w:val="nil"/>
              <w:bottom w:val="nil"/>
              <w:right w:val="nil"/>
            </w:tcBorders>
          </w:tcPr>
          <w:p w14:paraId="0015C771" w14:textId="77777777" w:rsidR="006B6379" w:rsidRPr="00E96208" w:rsidRDefault="006B6379" w:rsidP="00B30934">
            <w:pPr>
              <w:pStyle w:val="Normal6a"/>
            </w:pPr>
          </w:p>
        </w:tc>
        <w:tc>
          <w:tcPr>
            <w:tcW w:w="4876" w:type="dxa"/>
            <w:tcBorders>
              <w:top w:val="nil"/>
              <w:left w:val="nil"/>
              <w:bottom w:val="nil"/>
              <w:right w:val="nil"/>
            </w:tcBorders>
            <w:hideMark/>
          </w:tcPr>
          <w:p w14:paraId="5E90D8FF" w14:textId="7EC6A32E" w:rsidR="006B6379" w:rsidRPr="00E96208" w:rsidRDefault="006B6379" w:rsidP="00B30934">
            <w:pPr>
              <w:pStyle w:val="Normal6a"/>
            </w:pPr>
            <w:r>
              <w:rPr>
                <w:b/>
                <w:i/>
              </w:rPr>
              <w:t xml:space="preserve">112 </w:t>
            </w:r>
            <w:proofErr w:type="spellStart"/>
            <w:r>
              <w:rPr>
                <w:b/>
                <w:i/>
              </w:rPr>
              <w:t>quater</w:t>
            </w:r>
            <w:proofErr w:type="spellEnd"/>
            <w:r>
              <w:rPr>
                <w:b/>
                <w:i/>
              </w:rPr>
              <w:t>.</w:t>
            </w:r>
            <w:r>
              <w:tab/>
            </w:r>
            <w:r>
              <w:rPr>
                <w:b/>
                <w:i/>
              </w:rPr>
              <w:t>pleit voor een uitvoerig onderzoek naar het gebruik van overheidsmiddelen door de Europese Commissie voor de financiering van organisaties die zich bezighouden met belangenbehartigingsactiviteiten met betrekking tot haar beleidsprioriteiten; beklemtoont de noodzaak van volledige transparantie bij lobbyactiviteiten; moedigt het EOM aan meer aandacht te besteden aan de monitoring van EU-financiering die door de Commissie aan ngo’s wordt toegewezen; onderstreept dat in Speciaal verslag 11/2025 van de Europese Rekenkamer over aan ngo’s toegekende EU-financiering wordt gewezen op ernstige tekortkomingen op het gebied van transparantie en toezicht, waaronder problemen met de classificatie, traceerbaarheid en monitoring van organisaties die EU-middelen ontvangen, en dat deze in aanmerking zijn genomen in politieke debatten over de transparantie van de financiering van ngo’s</w:t>
            </w:r>
            <w:r>
              <w:rPr>
                <w:b/>
                <w:i/>
                <w:vertAlign w:val="superscript"/>
              </w:rPr>
              <w:t>1</w:t>
            </w:r>
            <w:r>
              <w:rPr>
                <w:b/>
                <w:i/>
                <w:vertAlign w:val="superscript"/>
              </w:rPr>
              <w:t> </w:t>
            </w:r>
            <w:r>
              <w:rPr>
                <w:b/>
                <w:i/>
                <w:vertAlign w:val="superscript"/>
              </w:rPr>
              <w:t>bis</w:t>
            </w:r>
            <w:r>
              <w:rPr>
                <w:b/>
                <w:i/>
              </w:rPr>
              <w:t>;</w:t>
            </w:r>
          </w:p>
        </w:tc>
      </w:tr>
      <w:tr w:rsidR="006B6379" w14:paraId="0E832FC8" w14:textId="77777777" w:rsidTr="00B30934">
        <w:trPr>
          <w:jc w:val="center"/>
        </w:trPr>
        <w:tc>
          <w:tcPr>
            <w:tcW w:w="4876" w:type="dxa"/>
            <w:tcBorders>
              <w:top w:val="nil"/>
              <w:left w:val="nil"/>
              <w:bottom w:val="nil"/>
              <w:right w:val="nil"/>
            </w:tcBorders>
          </w:tcPr>
          <w:p w14:paraId="68576E77" w14:textId="77777777" w:rsidR="006B6379" w:rsidRPr="00E96208" w:rsidRDefault="006B6379" w:rsidP="00B30934"/>
        </w:tc>
        <w:tc>
          <w:tcPr>
            <w:tcW w:w="4876" w:type="dxa"/>
            <w:tcBorders>
              <w:top w:val="nil"/>
              <w:left w:val="nil"/>
              <w:bottom w:val="nil"/>
              <w:right w:val="nil"/>
            </w:tcBorders>
            <w:hideMark/>
          </w:tcPr>
          <w:p w14:paraId="7D35A837" w14:textId="77777777" w:rsidR="006B6379" w:rsidRPr="00E96208" w:rsidRDefault="006B6379" w:rsidP="00B30934">
            <w:pPr>
              <w:pStyle w:val="Normal6a"/>
            </w:pPr>
            <w:r>
              <w:rPr>
                <w:b/>
                <w:i/>
              </w:rPr>
              <w:t>_________________</w:t>
            </w:r>
          </w:p>
        </w:tc>
      </w:tr>
      <w:tr w:rsidR="006B6379" w14:paraId="602DA5E4" w14:textId="77777777" w:rsidTr="00B30934">
        <w:trPr>
          <w:jc w:val="center"/>
        </w:trPr>
        <w:tc>
          <w:tcPr>
            <w:tcW w:w="4876" w:type="dxa"/>
            <w:tcBorders>
              <w:top w:val="nil"/>
              <w:left w:val="nil"/>
              <w:bottom w:val="nil"/>
              <w:right w:val="nil"/>
            </w:tcBorders>
          </w:tcPr>
          <w:p w14:paraId="59CCD16A" w14:textId="77777777" w:rsidR="006B6379" w:rsidRPr="00E96208" w:rsidRDefault="006B6379" w:rsidP="00B30934"/>
        </w:tc>
        <w:tc>
          <w:tcPr>
            <w:tcW w:w="4876" w:type="dxa"/>
            <w:tcBorders>
              <w:top w:val="nil"/>
              <w:left w:val="nil"/>
              <w:bottom w:val="nil"/>
              <w:right w:val="nil"/>
            </w:tcBorders>
            <w:hideMark/>
          </w:tcPr>
          <w:p w14:paraId="218AAD78" w14:textId="77777777" w:rsidR="006B6379" w:rsidRPr="00E96208" w:rsidRDefault="006B6379" w:rsidP="00B30934">
            <w:pPr>
              <w:pStyle w:val="Normal6a"/>
            </w:pPr>
            <w:r>
              <w:rPr>
                <w:b/>
                <w:i/>
                <w:vertAlign w:val="superscript"/>
              </w:rPr>
              <w:t>1 bis</w:t>
            </w:r>
            <w:r>
              <w:t xml:space="preserve"> </w:t>
            </w:r>
            <w:r>
              <w:rPr>
                <w:b/>
                <w:i/>
              </w:rPr>
              <w:t>https://www.eca.europa.eu/nl/publications/sr-2025-11</w:t>
            </w:r>
            <w:r>
              <w:t>.</w:t>
            </w:r>
          </w:p>
        </w:tc>
      </w:tr>
    </w:tbl>
    <w:p w14:paraId="5241F8BD"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47F04D7E" w14:textId="77777777" w:rsidR="006B6379" w:rsidRPr="00E96208" w:rsidRDefault="006B6379" w:rsidP="006B6379">
      <w:r>
        <w:rPr>
          <w:rStyle w:val="HideTWBExt"/>
        </w:rPr>
        <w:t>&lt;/Amend&gt;</w:t>
      </w:r>
    </w:p>
    <w:p w14:paraId="5A85DF9C" w14:textId="77777777" w:rsidR="006B6379" w:rsidRPr="00E96208" w:rsidRDefault="006B6379" w:rsidP="006B6379">
      <w:pPr>
        <w:pStyle w:val="AmNumberTabs"/>
      </w:pPr>
      <w:r>
        <w:rPr>
          <w:rStyle w:val="HideTWBExt"/>
        </w:rPr>
        <w:t>&lt;Amend&gt;</w:t>
      </w:r>
      <w:r>
        <w:t>Amendement</w:t>
      </w:r>
      <w:r>
        <w:tab/>
      </w:r>
      <w:r>
        <w:tab/>
      </w:r>
      <w:r>
        <w:rPr>
          <w:rStyle w:val="HideTWBExt"/>
        </w:rPr>
        <w:t>&lt;NumAm&gt;</w:t>
      </w:r>
      <w:r>
        <w:t>67</w:t>
      </w:r>
      <w:r>
        <w:rPr>
          <w:rStyle w:val="HideTWBExt"/>
        </w:rPr>
        <w:t>&lt;/NumAm&gt;</w:t>
      </w:r>
    </w:p>
    <w:p w14:paraId="5CE05C4E" w14:textId="77777777" w:rsidR="006B6379" w:rsidRPr="00E96208" w:rsidRDefault="006B6379" w:rsidP="006B6379">
      <w:pPr>
        <w:pStyle w:val="NormalBold"/>
      </w:pPr>
      <w:r>
        <w:rPr>
          <w:rStyle w:val="HideTWBExt"/>
          <w:b w:val="0"/>
        </w:rPr>
        <w:t>&lt;RepeatBlock-By&gt;&lt;Members&gt;</w:t>
      </w:r>
      <w:r>
        <w:t>Cristian Terheş</w:t>
      </w:r>
      <w:r>
        <w:rPr>
          <w:rStyle w:val="HideTWBExt"/>
          <w:b w:val="0"/>
        </w:rPr>
        <w:t>&lt;/Members&gt;</w:t>
      </w:r>
    </w:p>
    <w:p w14:paraId="2642071C" w14:textId="77777777" w:rsidR="006B6379" w:rsidRPr="00E96208" w:rsidRDefault="006B6379" w:rsidP="006B6379">
      <w:pPr>
        <w:pStyle w:val="NormalBold"/>
      </w:pPr>
      <w:r>
        <w:rPr>
          <w:rStyle w:val="HideTWBExt"/>
          <w:b w:val="0"/>
        </w:rPr>
        <w:t>&lt;/RepeatBlock-By&gt;</w:t>
      </w:r>
    </w:p>
    <w:p w14:paraId="4E1790CB" w14:textId="77777777" w:rsidR="006B6379" w:rsidRPr="00E96208" w:rsidRDefault="006B6379" w:rsidP="006B6379">
      <w:pPr>
        <w:pStyle w:val="NormalBold"/>
      </w:pPr>
      <w:r>
        <w:rPr>
          <w:rStyle w:val="HideTWBExt"/>
        </w:rPr>
        <w:t>&lt;DocAmend&gt;</w:t>
      </w:r>
      <w:r>
        <w:t>Ontwerpresolutie</w:t>
      </w:r>
      <w:r>
        <w:rPr>
          <w:rStyle w:val="HideTWBExt"/>
        </w:rPr>
        <w:t>&lt;/DocAmend&gt;</w:t>
      </w:r>
    </w:p>
    <w:p w14:paraId="791A8A7E" w14:textId="77777777" w:rsidR="006B6379" w:rsidRPr="00E96208" w:rsidRDefault="006B6379" w:rsidP="006B6379">
      <w:pPr>
        <w:pStyle w:val="NormalBold"/>
      </w:pPr>
      <w:r>
        <w:rPr>
          <w:rStyle w:val="HideTWBExt"/>
        </w:rPr>
        <w:t>&lt;Article&gt;</w:t>
      </w:r>
      <w:r>
        <w:t xml:space="preserve">Paragraaf 112 </w:t>
      </w:r>
      <w:proofErr w:type="spellStart"/>
      <w:r>
        <w:t>quinquies</w:t>
      </w:r>
      <w:proofErr w:type="spellEnd"/>
      <w:r>
        <w:t xml:space="preserve">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545885FA" w14:textId="77777777" w:rsidTr="00B30934">
        <w:trPr>
          <w:trHeight w:val="240"/>
          <w:jc w:val="center"/>
        </w:trPr>
        <w:tc>
          <w:tcPr>
            <w:tcW w:w="9752" w:type="dxa"/>
            <w:gridSpan w:val="2"/>
            <w:tcBorders>
              <w:top w:val="nil"/>
              <w:left w:val="nil"/>
              <w:bottom w:val="nil"/>
              <w:right w:val="nil"/>
            </w:tcBorders>
          </w:tcPr>
          <w:p w14:paraId="0A40004F" w14:textId="77777777" w:rsidR="006B6379" w:rsidRPr="00E96208" w:rsidRDefault="006B6379" w:rsidP="00B30934"/>
        </w:tc>
      </w:tr>
      <w:tr w:rsidR="006B6379" w14:paraId="6E408B1F" w14:textId="77777777" w:rsidTr="00B30934">
        <w:trPr>
          <w:trHeight w:val="240"/>
          <w:jc w:val="center"/>
        </w:trPr>
        <w:tc>
          <w:tcPr>
            <w:tcW w:w="4876" w:type="dxa"/>
            <w:tcBorders>
              <w:top w:val="nil"/>
              <w:left w:val="nil"/>
              <w:bottom w:val="nil"/>
              <w:right w:val="nil"/>
            </w:tcBorders>
            <w:hideMark/>
          </w:tcPr>
          <w:p w14:paraId="6318B943"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46881954" w14:textId="77777777" w:rsidR="006B6379" w:rsidRPr="00E96208" w:rsidRDefault="006B6379" w:rsidP="00B30934">
            <w:pPr>
              <w:pStyle w:val="AmColumnHeading"/>
            </w:pPr>
            <w:r>
              <w:t>Amendement</w:t>
            </w:r>
          </w:p>
        </w:tc>
      </w:tr>
      <w:tr w:rsidR="006B6379" w14:paraId="1196EDDD" w14:textId="77777777" w:rsidTr="00B30934">
        <w:trPr>
          <w:jc w:val="center"/>
        </w:trPr>
        <w:tc>
          <w:tcPr>
            <w:tcW w:w="4876" w:type="dxa"/>
            <w:tcBorders>
              <w:top w:val="nil"/>
              <w:left w:val="nil"/>
              <w:bottom w:val="nil"/>
              <w:right w:val="nil"/>
            </w:tcBorders>
          </w:tcPr>
          <w:p w14:paraId="3D261BC6" w14:textId="77777777" w:rsidR="006B6379" w:rsidRPr="00E96208" w:rsidRDefault="006B6379" w:rsidP="00B30934">
            <w:pPr>
              <w:pStyle w:val="Normal6a"/>
            </w:pPr>
          </w:p>
        </w:tc>
        <w:tc>
          <w:tcPr>
            <w:tcW w:w="4876" w:type="dxa"/>
            <w:tcBorders>
              <w:top w:val="nil"/>
              <w:left w:val="nil"/>
              <w:bottom w:val="nil"/>
              <w:right w:val="nil"/>
            </w:tcBorders>
            <w:hideMark/>
          </w:tcPr>
          <w:p w14:paraId="7A0449FA" w14:textId="77777777" w:rsidR="006B6379" w:rsidRPr="00E96208" w:rsidRDefault="006B6379" w:rsidP="00B30934">
            <w:pPr>
              <w:pStyle w:val="Normal6a"/>
            </w:pPr>
            <w:r>
              <w:rPr>
                <w:b/>
                <w:i/>
              </w:rPr>
              <w:t xml:space="preserve">112 </w:t>
            </w:r>
            <w:proofErr w:type="spellStart"/>
            <w:r>
              <w:rPr>
                <w:b/>
                <w:i/>
              </w:rPr>
              <w:t>quinquies</w:t>
            </w:r>
            <w:proofErr w:type="spellEnd"/>
            <w:r>
              <w:rPr>
                <w:b/>
                <w:i/>
              </w:rPr>
              <w:t>.</w:t>
            </w:r>
            <w:r>
              <w:tab/>
            </w:r>
            <w:r>
              <w:rPr>
                <w:b/>
                <w:i/>
              </w:rPr>
              <w:t>pleit voor een onmiddellijk onderzoek naar het gebruik van overheidsmiddelen door de Europese Commissie voor de financiering van een schaduwlobbygroep om haar eigen groene beleid te promoten; benadrukt dat lobbyactiviteiten transparant moeten zijn, met volledige openbaarmaking van alle betrokken partijen;</w:t>
            </w:r>
          </w:p>
        </w:tc>
      </w:tr>
    </w:tbl>
    <w:p w14:paraId="662FFC71"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59F46DFD" w14:textId="77777777" w:rsidR="006B6379" w:rsidRPr="00E96208" w:rsidRDefault="006B6379" w:rsidP="006B6379">
      <w:r>
        <w:rPr>
          <w:rStyle w:val="HideTWBExt"/>
        </w:rPr>
        <w:t>&lt;/Amend&gt;</w:t>
      </w:r>
    </w:p>
    <w:p w14:paraId="751A0FE1" w14:textId="77777777" w:rsidR="006B6379" w:rsidRPr="00E96208" w:rsidRDefault="006B6379" w:rsidP="006B6379">
      <w:pPr>
        <w:pStyle w:val="AmNumberTabs"/>
      </w:pPr>
      <w:r>
        <w:rPr>
          <w:rStyle w:val="HideTWBExt"/>
        </w:rPr>
        <w:t>&lt;Amend&gt;</w:t>
      </w:r>
      <w:r>
        <w:t>Amendement</w:t>
      </w:r>
      <w:r>
        <w:tab/>
      </w:r>
      <w:r>
        <w:tab/>
      </w:r>
      <w:r>
        <w:rPr>
          <w:rStyle w:val="HideTWBExt"/>
        </w:rPr>
        <w:t>&lt;NumAm&gt;</w:t>
      </w:r>
      <w:r>
        <w:t>68</w:t>
      </w:r>
      <w:r>
        <w:rPr>
          <w:rStyle w:val="HideTWBExt"/>
        </w:rPr>
        <w:t>&lt;/NumAm&gt;</w:t>
      </w:r>
    </w:p>
    <w:p w14:paraId="03E015E4" w14:textId="77777777" w:rsidR="006B6379" w:rsidRPr="00E96208" w:rsidRDefault="006B6379" w:rsidP="006B6379">
      <w:pPr>
        <w:pStyle w:val="NormalBold"/>
      </w:pPr>
      <w:r>
        <w:rPr>
          <w:rStyle w:val="HideTWBExt"/>
          <w:b w:val="0"/>
        </w:rPr>
        <w:t>&lt;RepeatBlock-By&gt;&lt;Members&gt;</w:t>
      </w:r>
      <w:r>
        <w:t>Caterina Chinnici</w:t>
      </w:r>
      <w:r>
        <w:rPr>
          <w:rStyle w:val="HideTWBExt"/>
          <w:b w:val="0"/>
        </w:rPr>
        <w:t>&lt;/Members&gt;</w:t>
      </w:r>
    </w:p>
    <w:p w14:paraId="46B475B7" w14:textId="77777777" w:rsidR="006B6379" w:rsidRPr="00E96208" w:rsidRDefault="006B6379" w:rsidP="006B6379">
      <w:pPr>
        <w:pStyle w:val="NormalBold"/>
      </w:pPr>
      <w:r>
        <w:rPr>
          <w:rStyle w:val="HideTWBExt"/>
          <w:b w:val="0"/>
        </w:rPr>
        <w:t>&lt;/RepeatBlock-By&gt;</w:t>
      </w:r>
    </w:p>
    <w:p w14:paraId="1414B591" w14:textId="77777777" w:rsidR="006B6379" w:rsidRPr="00E96208" w:rsidRDefault="006B6379" w:rsidP="006B6379">
      <w:pPr>
        <w:pStyle w:val="NormalBold"/>
      </w:pPr>
      <w:r>
        <w:rPr>
          <w:rStyle w:val="HideTWBExt"/>
        </w:rPr>
        <w:t>&lt;DocAmend&gt;</w:t>
      </w:r>
      <w:r>
        <w:t>Ontwerpresolutie</w:t>
      </w:r>
      <w:r>
        <w:rPr>
          <w:rStyle w:val="HideTWBExt"/>
        </w:rPr>
        <w:t>&lt;/DocAmend&gt;</w:t>
      </w:r>
    </w:p>
    <w:p w14:paraId="7986251C" w14:textId="77777777" w:rsidR="006B6379" w:rsidRPr="00E96208" w:rsidRDefault="006B6379" w:rsidP="006B6379">
      <w:pPr>
        <w:pStyle w:val="NormalBold"/>
      </w:pPr>
      <w:r>
        <w:rPr>
          <w:rStyle w:val="HideTWBExt"/>
        </w:rPr>
        <w:t>&lt;Article&gt;</w:t>
      </w:r>
      <w:r>
        <w:t>Kopje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093CF026" w14:textId="77777777" w:rsidTr="00B30934">
        <w:trPr>
          <w:trHeight w:val="240"/>
          <w:jc w:val="center"/>
        </w:trPr>
        <w:tc>
          <w:tcPr>
            <w:tcW w:w="9752" w:type="dxa"/>
            <w:gridSpan w:val="2"/>
            <w:tcBorders>
              <w:top w:val="nil"/>
              <w:left w:val="nil"/>
              <w:bottom w:val="nil"/>
              <w:right w:val="nil"/>
            </w:tcBorders>
          </w:tcPr>
          <w:p w14:paraId="2A4A8E2C" w14:textId="77777777" w:rsidR="006B6379" w:rsidRPr="00E96208" w:rsidRDefault="006B6379" w:rsidP="00B30934"/>
        </w:tc>
      </w:tr>
      <w:tr w:rsidR="006B6379" w14:paraId="77313AA5" w14:textId="77777777" w:rsidTr="00B30934">
        <w:trPr>
          <w:trHeight w:val="240"/>
          <w:jc w:val="center"/>
        </w:trPr>
        <w:tc>
          <w:tcPr>
            <w:tcW w:w="4876" w:type="dxa"/>
            <w:tcBorders>
              <w:top w:val="nil"/>
              <w:left w:val="nil"/>
              <w:bottom w:val="nil"/>
              <w:right w:val="nil"/>
            </w:tcBorders>
            <w:hideMark/>
          </w:tcPr>
          <w:p w14:paraId="01D5A432"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7C08C317" w14:textId="77777777" w:rsidR="006B6379" w:rsidRPr="00E96208" w:rsidRDefault="006B6379" w:rsidP="00B30934">
            <w:pPr>
              <w:pStyle w:val="AmColumnHeading"/>
            </w:pPr>
            <w:r>
              <w:t>Amendement</w:t>
            </w:r>
          </w:p>
        </w:tc>
      </w:tr>
      <w:tr w:rsidR="006B6379" w14:paraId="1CE0513D" w14:textId="77777777" w:rsidTr="00B30934">
        <w:trPr>
          <w:jc w:val="center"/>
        </w:trPr>
        <w:tc>
          <w:tcPr>
            <w:tcW w:w="4876" w:type="dxa"/>
            <w:tcBorders>
              <w:top w:val="nil"/>
              <w:left w:val="nil"/>
              <w:bottom w:val="nil"/>
              <w:right w:val="nil"/>
            </w:tcBorders>
            <w:hideMark/>
          </w:tcPr>
          <w:p w14:paraId="36A3D570" w14:textId="77777777" w:rsidR="006B6379" w:rsidRPr="00E96208" w:rsidRDefault="006B6379" w:rsidP="00B30934">
            <w:pPr>
              <w:pStyle w:val="Normal6a"/>
            </w:pPr>
            <w:r>
              <w:t>De gevolgen van de Russische aanvalsoorlog tegen Oekraïne</w:t>
            </w:r>
          </w:p>
        </w:tc>
        <w:tc>
          <w:tcPr>
            <w:tcW w:w="4876" w:type="dxa"/>
            <w:tcBorders>
              <w:top w:val="nil"/>
              <w:left w:val="nil"/>
              <w:bottom w:val="nil"/>
              <w:right w:val="nil"/>
            </w:tcBorders>
            <w:hideMark/>
          </w:tcPr>
          <w:p w14:paraId="463FE927" w14:textId="77777777" w:rsidR="006B6379" w:rsidRPr="00E96208" w:rsidRDefault="006B6379" w:rsidP="00B30934">
            <w:pPr>
              <w:pStyle w:val="Normal6a"/>
            </w:pPr>
            <w:r>
              <w:t xml:space="preserve">De gevolgen van de Russische </w:t>
            </w:r>
            <w:r>
              <w:rPr>
                <w:b/>
                <w:i/>
              </w:rPr>
              <w:t xml:space="preserve">illegale </w:t>
            </w:r>
            <w:r>
              <w:t>aanvalsoorlog tegen Oekraïne</w:t>
            </w:r>
          </w:p>
        </w:tc>
      </w:tr>
    </w:tbl>
    <w:p w14:paraId="6499635B"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6B857DDC" w14:textId="77777777" w:rsidR="006B6379" w:rsidRPr="00E96208" w:rsidRDefault="006B6379" w:rsidP="006B6379">
      <w:r>
        <w:rPr>
          <w:rStyle w:val="HideTWBExt"/>
        </w:rPr>
        <w:t>&lt;/Amend&gt;</w:t>
      </w:r>
    </w:p>
    <w:p w14:paraId="7C21E7DC" w14:textId="77777777" w:rsidR="006B6379" w:rsidRPr="00E96208" w:rsidRDefault="006B6379" w:rsidP="006B6379">
      <w:pPr>
        <w:pStyle w:val="AmNumberTabs"/>
      </w:pPr>
      <w:r>
        <w:rPr>
          <w:rStyle w:val="HideTWBExt"/>
        </w:rPr>
        <w:t>&lt;Amend&gt;</w:t>
      </w:r>
      <w:r>
        <w:t>Amendement</w:t>
      </w:r>
      <w:r>
        <w:tab/>
      </w:r>
      <w:r>
        <w:tab/>
      </w:r>
      <w:r>
        <w:rPr>
          <w:rStyle w:val="HideTWBExt"/>
        </w:rPr>
        <w:t>&lt;NumAm&gt;</w:t>
      </w:r>
      <w:r>
        <w:t>69</w:t>
      </w:r>
      <w:r>
        <w:rPr>
          <w:rStyle w:val="HideTWBExt"/>
        </w:rPr>
        <w:t>&lt;/NumAm&gt;</w:t>
      </w:r>
    </w:p>
    <w:p w14:paraId="3BC8D3C4" w14:textId="77777777" w:rsidR="006B6379" w:rsidRPr="00E96208" w:rsidRDefault="006B6379" w:rsidP="006B6379">
      <w:pPr>
        <w:pStyle w:val="NormalBold"/>
      </w:pPr>
      <w:r>
        <w:rPr>
          <w:rStyle w:val="HideTWBExt"/>
          <w:b w:val="0"/>
        </w:rPr>
        <w:t>&lt;RepeatBlock-By&gt;&lt;Members&gt;</w:t>
      </w:r>
      <w:r>
        <w:t>Damian Boeselager</w:t>
      </w:r>
      <w:r>
        <w:rPr>
          <w:rStyle w:val="HideTWBExt"/>
          <w:b w:val="0"/>
        </w:rPr>
        <w:t>&lt;/Members&gt;</w:t>
      </w:r>
    </w:p>
    <w:p w14:paraId="2270CEF6" w14:textId="77777777" w:rsidR="006B6379" w:rsidRPr="00E96208" w:rsidRDefault="006B6379" w:rsidP="006B6379">
      <w:r>
        <w:rPr>
          <w:rStyle w:val="HideTWBExt"/>
        </w:rPr>
        <w:t>&lt;AuNomDe&gt;</w:t>
      </w:r>
      <w:r>
        <w:rPr>
          <w:rStyle w:val="HideTWBInt"/>
          <w:color w:val="auto"/>
        </w:rPr>
        <w:t>{Verts/ALE}</w:t>
      </w:r>
      <w:r>
        <w:t>namens de Verts/ALE‐Fractie</w:t>
      </w:r>
      <w:r>
        <w:rPr>
          <w:rStyle w:val="HideTWBExt"/>
        </w:rPr>
        <w:t>&lt;/AuNomDe&gt;</w:t>
      </w:r>
    </w:p>
    <w:p w14:paraId="5CC07527" w14:textId="77777777" w:rsidR="006B6379" w:rsidRPr="00E96208" w:rsidRDefault="006B6379" w:rsidP="006B6379">
      <w:pPr>
        <w:pStyle w:val="NormalBold"/>
      </w:pPr>
      <w:r>
        <w:rPr>
          <w:rStyle w:val="HideTWBExt"/>
          <w:b w:val="0"/>
        </w:rPr>
        <w:t>&lt;/RepeatBlock-By&gt;</w:t>
      </w:r>
    </w:p>
    <w:p w14:paraId="5E5B4570" w14:textId="77777777" w:rsidR="006B6379" w:rsidRPr="00E96208" w:rsidRDefault="006B6379" w:rsidP="006B6379">
      <w:pPr>
        <w:pStyle w:val="NormalBold"/>
      </w:pPr>
      <w:r>
        <w:rPr>
          <w:rStyle w:val="HideTWBExt"/>
        </w:rPr>
        <w:t>&lt;DocAmend&gt;</w:t>
      </w:r>
      <w:r>
        <w:t>Ontwerpresolutie</w:t>
      </w:r>
      <w:r>
        <w:rPr>
          <w:rStyle w:val="HideTWBExt"/>
        </w:rPr>
        <w:t>&lt;/DocAmend&gt;</w:t>
      </w:r>
    </w:p>
    <w:p w14:paraId="6E83C595" w14:textId="77777777" w:rsidR="006B6379" w:rsidRPr="00E96208" w:rsidRDefault="006B6379" w:rsidP="006B6379">
      <w:pPr>
        <w:pStyle w:val="NormalBold"/>
      </w:pPr>
      <w:r>
        <w:rPr>
          <w:rStyle w:val="HideTWBExt"/>
        </w:rPr>
        <w:t>&lt;Article&gt;</w:t>
      </w:r>
      <w:r>
        <w:t>Paragraaf 115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379" w14:paraId="3BC9DC98" w14:textId="77777777" w:rsidTr="00B30934">
        <w:trPr>
          <w:trHeight w:val="240"/>
          <w:jc w:val="center"/>
        </w:trPr>
        <w:tc>
          <w:tcPr>
            <w:tcW w:w="9752" w:type="dxa"/>
            <w:gridSpan w:val="2"/>
            <w:tcBorders>
              <w:top w:val="nil"/>
              <w:left w:val="nil"/>
              <w:bottom w:val="nil"/>
              <w:right w:val="nil"/>
            </w:tcBorders>
          </w:tcPr>
          <w:p w14:paraId="503FD48C" w14:textId="77777777" w:rsidR="006B6379" w:rsidRPr="00E96208" w:rsidRDefault="006B6379" w:rsidP="00B30934"/>
        </w:tc>
      </w:tr>
      <w:tr w:rsidR="006B6379" w14:paraId="5D7399A3" w14:textId="77777777" w:rsidTr="00B30934">
        <w:trPr>
          <w:trHeight w:val="240"/>
          <w:jc w:val="center"/>
        </w:trPr>
        <w:tc>
          <w:tcPr>
            <w:tcW w:w="4876" w:type="dxa"/>
            <w:tcBorders>
              <w:top w:val="nil"/>
              <w:left w:val="nil"/>
              <w:bottom w:val="nil"/>
              <w:right w:val="nil"/>
            </w:tcBorders>
            <w:hideMark/>
          </w:tcPr>
          <w:p w14:paraId="4A2095F9" w14:textId="77777777" w:rsidR="006B6379" w:rsidRPr="00E96208" w:rsidRDefault="006B6379" w:rsidP="00B30934">
            <w:pPr>
              <w:pStyle w:val="AmColumnHeading"/>
            </w:pPr>
            <w:r>
              <w:t>Ontwerpresolutie</w:t>
            </w:r>
          </w:p>
        </w:tc>
        <w:tc>
          <w:tcPr>
            <w:tcW w:w="4876" w:type="dxa"/>
            <w:tcBorders>
              <w:top w:val="nil"/>
              <w:left w:val="nil"/>
              <w:bottom w:val="nil"/>
              <w:right w:val="nil"/>
            </w:tcBorders>
            <w:hideMark/>
          </w:tcPr>
          <w:p w14:paraId="5F265ABB" w14:textId="77777777" w:rsidR="006B6379" w:rsidRPr="00E96208" w:rsidRDefault="006B6379" w:rsidP="00B30934">
            <w:pPr>
              <w:pStyle w:val="AmColumnHeading"/>
            </w:pPr>
            <w:r>
              <w:t>Amendement</w:t>
            </w:r>
          </w:p>
        </w:tc>
      </w:tr>
      <w:tr w:rsidR="006B6379" w14:paraId="3BD0A9C2" w14:textId="77777777" w:rsidTr="00B30934">
        <w:trPr>
          <w:jc w:val="center"/>
        </w:trPr>
        <w:tc>
          <w:tcPr>
            <w:tcW w:w="4876" w:type="dxa"/>
            <w:tcBorders>
              <w:top w:val="nil"/>
              <w:left w:val="nil"/>
              <w:bottom w:val="nil"/>
              <w:right w:val="nil"/>
            </w:tcBorders>
          </w:tcPr>
          <w:p w14:paraId="36D9FD06" w14:textId="77777777" w:rsidR="006B6379" w:rsidRPr="00E96208" w:rsidRDefault="006B6379" w:rsidP="00B30934">
            <w:pPr>
              <w:pStyle w:val="Normal6a"/>
            </w:pPr>
          </w:p>
        </w:tc>
        <w:tc>
          <w:tcPr>
            <w:tcW w:w="4876" w:type="dxa"/>
            <w:tcBorders>
              <w:top w:val="nil"/>
              <w:left w:val="nil"/>
              <w:bottom w:val="nil"/>
              <w:right w:val="nil"/>
            </w:tcBorders>
            <w:hideMark/>
          </w:tcPr>
          <w:p w14:paraId="63CC9DDA" w14:textId="77777777" w:rsidR="006B6379" w:rsidRPr="00E96208" w:rsidRDefault="006B6379" w:rsidP="00B30934">
            <w:pPr>
              <w:pStyle w:val="Normal6a"/>
            </w:pPr>
            <w:r>
              <w:rPr>
                <w:b/>
                <w:i/>
              </w:rPr>
              <w:t>115 bis.</w:t>
            </w:r>
            <w:r>
              <w:tab/>
            </w:r>
            <w:r>
              <w:rPr>
                <w:b/>
                <w:i/>
              </w:rPr>
              <w:t xml:space="preserve">merkt op dat de toenemende financiële steun van de Unie aan Oekraïne, onder meer in het kader van de faciliteit voor Oekraïne, de komende jaren waarschijnlijk zal leiden tot extra </w:t>
            </w:r>
            <w:proofErr w:type="spellStart"/>
            <w:r>
              <w:rPr>
                <w:b/>
                <w:i/>
              </w:rPr>
              <w:t>onderzoeksverzoeken</w:t>
            </w:r>
            <w:proofErr w:type="spellEnd"/>
            <w:r>
              <w:rPr>
                <w:b/>
                <w:i/>
              </w:rPr>
              <w:t xml:space="preserve"> aan het EOM; benadrukt dat het belangrijk is op deze uitdagingen te anticiperen door middel van voldoende personeel, veilige digitale infrastructuur en versterkte samenwerkingskaders, teneinde de financiële belangen van de Unie te beschermen en Oekraïne doeltreffend te ondersteunen;</w:t>
            </w:r>
          </w:p>
        </w:tc>
      </w:tr>
    </w:tbl>
    <w:p w14:paraId="4F0D5117" w14:textId="77777777" w:rsidR="006B6379" w:rsidRPr="00E96208" w:rsidRDefault="006B6379" w:rsidP="006B6379">
      <w:pPr>
        <w:pStyle w:val="AmOrLang"/>
        <w:rPr>
          <w:lang w:eastAsia="en-US"/>
        </w:rPr>
      </w:pPr>
      <w:r w:rsidRPr="00E96208">
        <w:t xml:space="preserve">Or. </w:t>
      </w:r>
      <w:r w:rsidRPr="00E96208">
        <w:rPr>
          <w:rStyle w:val="HideTWBExt"/>
        </w:rPr>
        <w:t>&lt;Original&gt;</w:t>
      </w:r>
      <w:r w:rsidRPr="00E96208">
        <w:rPr>
          <w:rStyle w:val="HideTWBInt"/>
        </w:rPr>
        <w:t>{EN}</w:t>
      </w:r>
      <w:r w:rsidRPr="00E96208">
        <w:t>en</w:t>
      </w:r>
      <w:r w:rsidRPr="00E96208">
        <w:rPr>
          <w:rStyle w:val="HideTWBExt"/>
        </w:rPr>
        <w:t>&lt;/Original&gt;</w:t>
      </w:r>
    </w:p>
    <w:p w14:paraId="4CECC27C" w14:textId="4BF26043" w:rsidR="006B6379" w:rsidRPr="00E96208" w:rsidRDefault="006B6379" w:rsidP="006B6379">
      <w:r>
        <w:rPr>
          <w:rStyle w:val="HideTWBExt"/>
        </w:rPr>
        <w:t>&lt;/Amend&gt;</w:t>
      </w:r>
      <w:r w:rsidRPr="006B6379">
        <w:rPr>
          <w:rStyle w:val="HideTWBExt"/>
        </w:rPr>
        <w:t>&lt;/RepeatBlock-Amend&gt;</w:t>
      </w:r>
    </w:p>
    <w:p w14:paraId="34EA504E" w14:textId="1EBA1E80" w:rsidR="00794E41" w:rsidRPr="006B6379" w:rsidRDefault="00794E41" w:rsidP="006B6379"/>
    <w:sectPr w:rsidR="00794E41" w:rsidRPr="006B6379" w:rsidSect="006B637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0EC2A" w14:textId="77777777" w:rsidR="00E96208" w:rsidRPr="00E96208" w:rsidRDefault="00E96208">
      <w:r w:rsidRPr="00E96208">
        <w:separator/>
      </w:r>
    </w:p>
  </w:endnote>
  <w:endnote w:type="continuationSeparator" w:id="0">
    <w:p w14:paraId="506BB027" w14:textId="77777777" w:rsidR="00E96208" w:rsidRPr="00E96208" w:rsidRDefault="00E96208">
      <w:r w:rsidRPr="00E962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3D8" w14:textId="77777777" w:rsidR="006B6379" w:rsidRDefault="006B6379" w:rsidP="006B6379">
    <w:pPr>
      <w:pStyle w:val="EPFooter"/>
    </w:pPr>
    <w:r>
      <w:t>PE</w:t>
    </w:r>
    <w:r w:rsidRPr="006B6379">
      <w:rPr>
        <w:rStyle w:val="HideTWBExt"/>
      </w:rPr>
      <w:t>&lt;NoPE&gt;</w:t>
    </w:r>
    <w:r>
      <w:t>784.137</w:t>
    </w:r>
    <w:r w:rsidRPr="006B6379">
      <w:rPr>
        <w:rStyle w:val="HideTWBExt"/>
      </w:rPr>
      <w:t>&lt;/NoPE&gt;&lt;Version&gt;</w:t>
    </w:r>
    <w:r>
      <w:t>v01-00</w:t>
    </w:r>
    <w:r w:rsidRPr="006B6379">
      <w:rPr>
        <w:rStyle w:val="HideTWBExt"/>
      </w:rPr>
      <w:t>&lt;/Version&gt;</w:t>
    </w:r>
    <w:r>
      <w:tab/>
    </w:r>
    <w:r>
      <w:fldChar w:fldCharType="begin"/>
    </w:r>
    <w:r>
      <w:instrText xml:space="preserve"> PAGE  \* MERGEFORMAT </w:instrText>
    </w:r>
    <w:r>
      <w:fldChar w:fldCharType="separate"/>
    </w:r>
    <w:r>
      <w:rPr>
        <w:noProof/>
      </w:rPr>
      <w:t>202</w:t>
    </w:r>
    <w:r>
      <w:fldChar w:fldCharType="end"/>
    </w:r>
    <w:r>
      <w:t>/</w:t>
    </w:r>
    <w:fldSimple w:instr=" NUMPAGES  \* MERGEFORMAT ">
      <w:r>
        <w:rPr>
          <w:noProof/>
        </w:rPr>
        <w:t>202</w:t>
      </w:r>
    </w:fldSimple>
    <w:r>
      <w:tab/>
    </w:r>
    <w:r w:rsidRPr="006B6379">
      <w:rPr>
        <w:rStyle w:val="HideTWBExt"/>
      </w:rPr>
      <w:t>&lt;PathFdR&gt;</w:t>
    </w:r>
    <w:r>
      <w:t>AM\1336325NL.docx</w:t>
    </w:r>
    <w:r w:rsidRPr="006B6379">
      <w:rPr>
        <w:rStyle w:val="HideTWBExt"/>
      </w:rPr>
      <w:t>&lt;/PathFdR&gt;</w:t>
    </w:r>
  </w:p>
  <w:p w14:paraId="5FD286CB" w14:textId="2A34B638" w:rsidR="00AD3D9F" w:rsidRPr="00E96208" w:rsidRDefault="006B6379" w:rsidP="006B6379">
    <w:pPr>
      <w:pStyle w:val="EPFooter2"/>
    </w:pPr>
    <w:r>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FB19B" w14:textId="77777777" w:rsidR="006B6379" w:rsidRDefault="006B6379" w:rsidP="006B6379">
    <w:pPr>
      <w:pStyle w:val="EPFooter"/>
    </w:pPr>
    <w:r w:rsidRPr="006B6379">
      <w:rPr>
        <w:rStyle w:val="HideTWBExt"/>
      </w:rPr>
      <w:t>&lt;PathFdR&gt;</w:t>
    </w:r>
    <w:r>
      <w:t>AM\1336325NL.docx</w:t>
    </w:r>
    <w:r w:rsidRPr="006B6379">
      <w:rPr>
        <w:rStyle w:val="HideTWBExt"/>
      </w:rPr>
      <w:t>&lt;/PathFdR&gt;</w:t>
    </w:r>
    <w:r>
      <w:tab/>
    </w:r>
    <w:r>
      <w:fldChar w:fldCharType="begin"/>
    </w:r>
    <w:r>
      <w:instrText xml:space="preserve"> PAGE  \* MERGEFORMAT </w:instrText>
    </w:r>
    <w:r>
      <w:fldChar w:fldCharType="separate"/>
    </w:r>
    <w:r>
      <w:rPr>
        <w:noProof/>
      </w:rPr>
      <w:t>201</w:t>
    </w:r>
    <w:r>
      <w:fldChar w:fldCharType="end"/>
    </w:r>
    <w:r>
      <w:t>/</w:t>
    </w:r>
    <w:fldSimple w:instr=" NUMPAGES  \* MERGEFORMAT ">
      <w:r>
        <w:rPr>
          <w:noProof/>
        </w:rPr>
        <w:t>202</w:t>
      </w:r>
    </w:fldSimple>
    <w:r>
      <w:tab/>
      <w:t>PE</w:t>
    </w:r>
    <w:r w:rsidRPr="006B6379">
      <w:rPr>
        <w:rStyle w:val="HideTWBExt"/>
      </w:rPr>
      <w:t>&lt;NoPE&gt;</w:t>
    </w:r>
    <w:r>
      <w:t>784.137</w:t>
    </w:r>
    <w:r w:rsidRPr="006B6379">
      <w:rPr>
        <w:rStyle w:val="HideTWBExt"/>
      </w:rPr>
      <w:t>&lt;/NoPE&gt;&lt;Version&gt;</w:t>
    </w:r>
    <w:r>
      <w:t>v01-00</w:t>
    </w:r>
    <w:r w:rsidRPr="006B6379">
      <w:rPr>
        <w:rStyle w:val="HideTWBExt"/>
      </w:rPr>
      <w:t>&lt;/Version&gt;</w:t>
    </w:r>
  </w:p>
  <w:p w14:paraId="2BA87FF1" w14:textId="201169EF" w:rsidR="00AD3D9F" w:rsidRPr="00E96208" w:rsidRDefault="006B6379" w:rsidP="006B6379">
    <w:pPr>
      <w:pStyle w:val="EPFooter2"/>
    </w:pPr>
    <w:r>
      <w:tab/>
    </w:r>
    <w:r>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8A9A2" w14:textId="77777777" w:rsidR="006B6379" w:rsidRDefault="006B6379" w:rsidP="006B6379">
    <w:pPr>
      <w:pStyle w:val="EPFooter"/>
    </w:pPr>
    <w:r w:rsidRPr="006B6379">
      <w:rPr>
        <w:rStyle w:val="HideTWBExt"/>
      </w:rPr>
      <w:t>&lt;PathFdR&gt;</w:t>
    </w:r>
    <w:r>
      <w:t>AM\1336325NL.docx</w:t>
    </w:r>
    <w:r w:rsidRPr="006B6379">
      <w:rPr>
        <w:rStyle w:val="HideTWBExt"/>
      </w:rPr>
      <w:t>&lt;/PathFdR&gt;</w:t>
    </w:r>
    <w:r>
      <w:tab/>
    </w:r>
    <w:r>
      <w:tab/>
      <w:t>PE</w:t>
    </w:r>
    <w:r w:rsidRPr="006B6379">
      <w:rPr>
        <w:rStyle w:val="HideTWBExt"/>
      </w:rPr>
      <w:t>&lt;NoPE&gt;</w:t>
    </w:r>
    <w:r>
      <w:t>784.137</w:t>
    </w:r>
    <w:r w:rsidRPr="006B6379">
      <w:rPr>
        <w:rStyle w:val="HideTWBExt"/>
      </w:rPr>
      <w:t>&lt;/NoPE&gt;&lt;Version&gt;</w:t>
    </w:r>
    <w:r>
      <w:t>v01-00</w:t>
    </w:r>
    <w:r w:rsidRPr="006B6379">
      <w:rPr>
        <w:rStyle w:val="HideTWBExt"/>
      </w:rPr>
      <w:t>&lt;/Version&gt;</w:t>
    </w:r>
  </w:p>
  <w:p w14:paraId="3074C04D" w14:textId="23CE52AE" w:rsidR="00AD3D9F" w:rsidRPr="00E96208" w:rsidRDefault="006B6379" w:rsidP="006B6379">
    <w:pPr>
      <w:pStyle w:val="EPFooter2"/>
    </w:pPr>
    <w:r>
      <w:t>NL</w:t>
    </w:r>
    <w:r>
      <w:tab/>
    </w:r>
    <w:r w:rsidRPr="006B6379">
      <w:rPr>
        <w:b w:val="0"/>
        <w:i/>
        <w:color w:val="C0C0C0"/>
        <w:sz w:val="22"/>
      </w:rPr>
      <w:t>In verscheidenheid verenigd</w:t>
    </w:r>
    <w:r>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B4609" w14:textId="77777777" w:rsidR="00E96208" w:rsidRPr="00E96208" w:rsidRDefault="00E96208">
      <w:r w:rsidRPr="00E96208">
        <w:separator/>
      </w:r>
    </w:p>
  </w:footnote>
  <w:footnote w:type="continuationSeparator" w:id="0">
    <w:p w14:paraId="2C1AEBB6" w14:textId="77777777" w:rsidR="00E96208" w:rsidRPr="00E96208" w:rsidRDefault="00E96208">
      <w:r w:rsidRPr="00E962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E52D7" w14:textId="77777777" w:rsidR="006B6379" w:rsidRDefault="006B63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1FAC3" w14:textId="77777777" w:rsidR="006B6379" w:rsidRDefault="006B63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482E9" w14:textId="77777777" w:rsidR="006B6379" w:rsidRDefault="006B63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420383">
    <w:abstractNumId w:val="3"/>
  </w:num>
  <w:num w:numId="2" w16cid:durableId="953295198">
    <w:abstractNumId w:val="2"/>
  </w:num>
  <w:num w:numId="3" w16cid:durableId="465704471">
    <w:abstractNumId w:val="1"/>
  </w:num>
  <w:num w:numId="4" w16cid:durableId="670565989">
    <w:abstractNumId w:val="0"/>
  </w:num>
  <w:num w:numId="5" w16cid:durableId="50736995">
    <w:abstractNumId w:val="6"/>
  </w:num>
  <w:num w:numId="6" w16cid:durableId="1036154926">
    <w:abstractNumId w:val="5"/>
  </w:num>
  <w:num w:numId="7" w16cid:durableId="1024019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DECMNU" w:val=" 1"/>
    <w:docVar w:name="AMPLURMNU" w:val=" 1"/>
    <w:docVar w:name="CODEMNU" w:val=" 8"/>
    <w:docVar w:name="COMKEY" w:val="CONT"/>
    <w:docVar w:name="COMMKEY" w:val="CONT"/>
    <w:docVar w:name="CVar" w:val="1"/>
    <w:docVar w:name="DOCDT" w:val="28/01/2026"/>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440194 HideTWBExt;}{\*\cs18 \additive \v\f1\fs20\cf15 _x000d__x000a_\spriority0 \styrsid14440194 HideTWBInt;}{\s19\qr \li0\ri0\sb240\sa240\nowidctlpar\wrapdefault\aspalpha\aspnum\faauto\adjustright\rin0\lin0\itap0 \rtlch\fcs1 \af0\afs20\alang1025 \ltrch\fcs0 \fs24\lang2057\langfe2057\cgrid\langnp2057\langfenp2057 _x000d__x000a_\sbasedon0 \snext19 \spriority0 \styrsid14440194 AmOrLang;}{\s20\ql \li0\ri0\sa120\nowidctlpar\wrapdefault\aspalpha\aspnum\faauto\adjustright\rin0\lin0\itap0 \rtlch\fcs1 \af0\afs20\alang1025 \ltrch\fcs0 _x000d__x000a_\fs24\lang2057\langfe2057\cgrid\langnp2057\langfenp2057 \sbasedon0 \snext20 \spriority0 \styrsid14440194 Normal6a;}{\s21\ql \li0\ri0\nowidctlpar\wrapdefault\aspalpha\aspnum\faauto\adjustright\rin0\lin0\itap0 \rtlch\fcs1 \af0\afs20\alang1025 \ltrch\fcs0 _x000d__x000a_\b\fs24\lang2057\langfe2057\cgrid\langnp2057\langfenp2057 \sbasedon0 \snext21 \spriority0 \styrsid14440194 NormalBold;}{\s22\qc \li0\ri0\sa240\nowidctlpar\wrapdefault\aspalpha\aspnum\faauto\adjustright\rin0\lin0\itap0 \rtlch\fcs1 \af0\afs20\alang1025 _x000d__x000a_\ltrch\fcs0 \i\fs24\lang2057\langfe2057\cgrid\langnp2057\langfenp2057 \sbasedon0 \snext22 \spriority0 \styrsid14440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440194 AmNumberTabs;}}{\*\rsidtbl \rsid24658\rsid223860\rsid735077\rsid1718133\rsid2892074\rsid3565327\rsid4666813\rsid6641733\rsid7823322_x000d__x000a_\rsid8476247\rsid9636012\rsid10377208\rsid11215221\rsid11549030\rsid12154954\rsid14382809\rsid14424199\rsid14440194\rsid15204470\rsid15285974\rsid15357240\rsid15950462\rsid16324206\rsid16662270}{\mmathPr\mmathFont34\mbrkBin0\mbrkBinSub0\msmallFrac0_x000d__x000a_\mdispDef1\mlMargin0\mrMargin0\mdefJc1\mwrapIndent1440\mintLim0\mnaryLim1}{\info{\author BENINCASA Caterina}{\operator BENINCASA Caterina}{\creatim\yr2026\mo1\dy28\hr19\min17}{\revtim\yr2026\mo1\dy28\hr19\min17}{\version1}{\edmins0}{\nofpages1}_x000d__x000a_{\nofwords92}{\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440194\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8476247 \chftnsep _x000d__x000a_\par }}{\*\ftnsepc \ltrpar \pard\plain \ltrpar\ql \li0\ri0\widctlpar\wrapdefault\aspalpha\aspnum\faauto\adjustright\rin0\lin0\itap0 \rtlch\fcs1 \af0\afs20\alang1025 \ltrch\fcs0 \fs24\lang2057\langfe2057\cgrid\langnp2057\langfenp2057 {\rtlch\fcs1 \af0 _x000d__x000a_\ltrch\fcs0 \insrsid8476247 \chftnsepc _x000d__x000a_\par }}{\*\aftnsep \ltrpar \pard\plain \ltrpar\ql \li0\ri0\widctlpar\wrapdefault\aspalpha\aspnum\faauto\adjustright\rin0\lin0\itap0 \rtlch\fcs1 \af0\afs20\alang1025 \ltrch\fcs0 \fs24\lang2057\langfe2057\cgrid\langnp2057\langfenp2057 {\rtlch\fcs1 \af0 _x000d__x000a_\ltrch\fcs0 \insrsid8476247 \chftnsep _x000d__x000a_\par }}{\*\aftnsepc \ltrpar \pard\plain \ltrpar\ql \li0\ri0\widctlpar\wrapdefault\aspalpha\aspnum\faauto\adjustright\rin0\lin0\itap0 \rtlch\fcs1 \af0\afs20\alang1025 \ltrch\fcs0 \fs24\lang2057\langfe2057\cgrid\langnp2057\langfenp2057 {\rtlch\fcs1 \af0 _x000d__x000a_\ltrch\fcs0 \insrsid84762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4440194\charrsid9991129 {\*\bkmkstart restart}&lt;Amend&gt;}{\rtlch\fcs1 \af0 _x000d__x000a_\ltrch\fcs0 \insrsid14440194\charrsid9991129 Amendment\tab \tab }{\rtlch\fcs1 \af0 \ltrch\fcs0 \cs17\b0\v\f1\fs20\cf9\lang1024\langfe1024\noproof\insrsid14440194\charrsid9991129 &lt;NumAm&gt;}{\rtlch\fcs1 \af0 \ltrch\fcs0 \insrsid14440194\charrsid9991129 #}{_x000d__x000a_\rtlch\fcs1 \af1 \ltrch\fcs0 \cs18\v\f1\fs20\cf15\insrsid14440194\charrsid9991129 ENMIENDA@NRAM@}{\rtlch\fcs1 \af0 \ltrch\fcs0 \insrsid14440194\charrsid9991129 #}{\rtlch\fcs1 \af0 \ltrch\fcs0 _x000d__x000a_\cs17\b0\v\f1\fs20\cf9\lang1024\langfe1024\noproof\insrsid14440194\charrsid9991129 &lt;/NumAm&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RepeatBlock-By&gt;}{\rtlch\fcs1 \af0 \ltrch\fcs0 \insrsid14440194\charrsid9991129 #}{\rtlch\fcs1 \af1 \ltrch\fcs0 _x000d__x000a_\cs18\v\f1\fs20\cf15\insrsid14440194\charrsid9991129 (MOD@InsideLoop()}{\rtlch\fcs1 \af0 \ltrch\fcs0 \insrsid14440194\charrsid9991129 ##}{\rtlch\fcs1 \af1 \ltrch\fcs0 \cs18\v\f1\fs20\cf15\insrsid14440194\charrsid9991129 &gt;&gt;&gt;@[ZMEMBERSMSG]@}{\rtlch\fcs1 _x000d__x000a_\af0 \ltrch\fcs0 \insrsid14440194\charrsid9991129 #}{\rtlch\fcs1 \af0 \ltrch\fcs0 \cs17\b0\v\f1\fs20\cf9\lang1024\langfe1024\noproof\insrsid14440194\charrsid9991129 &lt;Members&gt;}{\rtlch\fcs1 \af0 \ltrch\fcs0 \insrsid14440194\charrsid9991129 #}{\rtlch\fcs1 _x000d__x000a_\af1 \ltrch\fcs0 \cs18\v\f1\fs20\cf15\insrsid14440194\charrsid9991129 (MOD@InsideLoop(\'a7)}{\rtlch\fcs1 \af0 \ltrch\fcs0 \insrsid14440194\charrsid9991129 #}{\rtlch\fcs1 \af0 \ltrch\fcs0 \cf10\insrsid14440194\charrsid9991129 \u9668\'3f}{\rtlch\fcs1 \af0 _x000d__x000a_\ltrch\fcs0 \insrsid14440194\charrsid9991129 #}{\rtlch\fcs1 \af1 \ltrch\fcs0 \cs18\v\f1\fs20\cf15\insrsid14440194\charrsid9991129 TVTMEMBERS\'a7@MEMBERS@}{\rtlch\fcs1 \af0 \ltrch\fcs0 \insrsid14440194\charrsid9991129 #}{\rtlch\fcs1 \af0 \ltrch\fcs0 _x000d__x000a_\cf10\insrsid14440194\charrsid9991129 \u9658\'3f}{\rtlch\fcs1 \af0 \ltrch\fcs0 \cs17\b0\v\f1\fs20\cf9\lang1024\langfe1024\noproof\insrsid14440194\charrsid9991129 &lt;/Members&gt;}{\rtlch\fcs1 \af0 \ltrch\fcs0 \insrsid14440194\charrsid999112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4440194\charrsid9991129 &lt;AuNomDe&gt;&lt;OptDel&gt;}{\rtlch\fcs1 \af0 \ltrch\fcs0 \insrsid14440194\charrsid9991129 #}{\rtlch\fcs1 \af1 \ltrch\fcs0 \cs18\v\f1\fs20\cf15\insrsid14440194\charrsid9991129 _x000d__x000a_MNU[ONBEHALFYES][NOTAPP]@CHOICE@}{\rtlch\fcs1 \af0 \ltrch\fcs0 \insrsid14440194\charrsid9991129 #}{\rtlch\fcs1 \af0 \ltrch\fcs0 \cs17\v\f1\fs20\cf9\lang1024\langfe1024\noproof\insrsid14440194\charrsid9991129 &lt;/OptDel&gt;&lt;/AuNomDe&gt;}{\rtlch\fcs1 \af0 _x000d__x000a_\ltrch\fcs0 \insrsid14440194\charrsid9991129 _x000d__x000a_\par &lt;&lt;&lt;}{\rtlch\fcs1 \af0 \ltrch\fcs0 \cs17\v\f1\fs20\cf9\lang1024\langfe1024\noproof\insrsid14440194\charrsid9991129 &lt;/RepeatBlock-By&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DocAmend&gt;}{\rtlch\fcs1 \af0 \ltrch\fcs0 \insrsid14440194\charrsid9991129 #}{\rtlch\fcs1 \af1 \ltrch\fcs0 \cs18\v\f1\fs20\cf15\insrsid14440194\charrsid9991129 _x000d__x000a_MNU[OPTAMDOCINI][AMDOCA1][OPTAMDOCNLE][AMDOCA1][AMDOCA2][AMDOCA1][AMDOCA1][OPTAMDOCDEC]@CHOICE@CODEMNU}{\rtlch\fcs1 \af0 \ltrch\fcs0 \insrsid14440194\charrsid9991129 #}{\rtlch\fcs1 \af0 \ltrch\fcs0 _x000d__x000a_\cs17\b0\v\f1\fs20\cf9\lang1024\langfe1024\noproof\insrsid14440194\charrsid9991129 &lt;/DocAmend&gt;}{\rtlch\fcs1 \af0 \ltrch\fcs0 \insrsid14440194\charrsid9991129 _x000d__x000a_\par }\pard \ltrpar\s21\ql \li0\ri0\nowidctlpar\wrapdefault\aspalpha\aspnum\faauto\adjustright\rin0\lin0\itap0\pararsid7949889 {\rtlch\fcs1 \af0 \ltrch\fcs0 \cs17\b0\v\f1\fs20\cf9\lang1024\langfe1024\noproof\insrsid14440194\charrsid9991129 &lt;Article&gt;}{_x000d__x000a_\rtlch\fcs1 \af0 \ltrch\fcs0 \cf10\insrsid14440194\charrsid9991129 \u9668\'3f}{\rtlch\fcs1 \af0 \ltrch\fcs0 \insrsid14440194\charrsid9991129 #}{\rtlch\fcs1 \af1 \ltrch\fcs0 \cs18\v\f1\fs20\cf15\insrsid14440194\charrsid9991129 TVTAMPART@AMPART@}{_x000d__x000a_\rtlch\fcs1 \af0 \ltrch\fcs0 \insrsid14440194\charrsid9991129 #}{\rtlch\fcs1 \af0 \ltrch\fcs0 \cf10\insrsid14440194\charrsid9991129 \u9658\'3f}{\rtlch\fcs1 \af0 \ltrch\fcs0 _x000d__x000a_\cs17\b0\v\f1\fs20\cf9\lang1024\langfe1024\noproof\insrsid14440194\charrsid9991129 &lt;/Article&gt;}{\rtlch\fcs1 \af0 \ltrch\fcs0 \insrsid14440194\charrsid999112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4440194\charrsid9991129 #}{\rtlch\fcs1 \af1 \ltrch\fcs0 \cs18\v\f1\fs20\cf15\insrsid14440194\charrsid9991129 _x000d__x000a_MNU[OPTAMDOCINI][AMDOCA1][OPTAMDOCNLE][AMDOCA1][AMDOCA2][AMDOCA1][AMDOCA1][OPTAMDOCDEC]@CHOICE@CODEMNU}{\rtlch\fcs1 \af0 \ltrch\fcs0 \insrsid14440194\charrsid9991129 #\cell Amendment\cell }\pard\plain \ltrpar_x000d__x000a_\ql \li0\ri0\widctlpar\intbl\wrapdefault\aspalpha\aspnum\faauto\adjustright\rin0\lin0 \rtlch\fcs1 \af0\afs20\alang1025 \ltrch\fcs0 \fs24\lang2057\langfe2057\cgrid\langnp2057\langfenp2057 {\rtlch\fcs1 \af0 \ltrch\fcs0 \insrsid14440194\charrsid999112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440194\charrsid9991129 ##\cell ##}{\rtlch\fcs1 \af0\afs24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4440194\charrsid9991129 Or. }{\rtlch\fcs1 \af0 \ltrch\fcs0 \cs17\v\f1\fs20\cf9\lang1024\langfe1024\noproof\insrsid14440194\charrsid9991129 &lt;Original&gt;}{\rtlch\fcs1 \af0 \ltrch\fcs0 \insrsid14440194\charrsid9991129 #}{\rtlch\fcs1 \af1 \ltrch\fcs0 _x000d__x000a_\cs18\v\f1\fs20\cf15\insrsid14440194\charrsid9991129 KEY(MAIN/LANGMIN)sh@ORLANGMSG@}{\rtlch\fcs1 \af0 \ltrch\fcs0 \insrsid14440194\charrsid9991129 #}{\rtlch\fcs1 \af0 \ltrch\fcs0 _x000d__x000a_\cs17\v\f1\fs20\cf9\lang1024\langfe1024\noproof\insrsid14440194\charrsid9991129 &lt;/Original&gt;}{\rtlch\fcs1 \af0 \ltrch\fcs0 \insrsid14440194\charrsid999112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4440194\charrsid999112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3_x000d__x000a_aa5e82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VTAMPART" w:val="x"/>
    <w:docVar w:name="TVTMEMBERS1" w:val="x"/>
    <w:docVar w:name="TXTAUTHOR" w:val="Pasquale Tridico"/>
    <w:docVar w:name="TXTLANGUE" w:val="NL"/>
    <w:docVar w:name="TXTLANGUEMIN" w:val="nl"/>
    <w:docVar w:name="TXTNRFIRSTAM" w:val="1"/>
    <w:docVar w:name="TXTNRLASTAM" w:val="1"/>
    <w:docVar w:name="TXTNRPE" w:val="784.137"/>
    <w:docVar w:name="TXTNRPE2" w:val="784.137"/>
    <w:docVar w:name="TXTNRPROC" w:val="2025/2155"/>
    <w:docVar w:name="TXTPEorAP" w:val="PE"/>
    <w:docVar w:name="TXTROUTE" w:val="AM\1336325NL.docx"/>
    <w:docVar w:name="TXTTITLE" w:val="Discharge 2024: General budget of the EU - European Public Prosecutors Office (the ‘EPPO’)"/>
    <w:docVar w:name="TXTVERSION" w:val="01-00"/>
    <w:docVar w:name="TXTVERSION2" w:val="01-00"/>
  </w:docVars>
  <w:rsids>
    <w:rsidRoot w:val="003C5540"/>
    <w:rsid w:val="000058AA"/>
    <w:rsid w:val="00057558"/>
    <w:rsid w:val="00072B4B"/>
    <w:rsid w:val="000F6BC7"/>
    <w:rsid w:val="0011298B"/>
    <w:rsid w:val="0012108E"/>
    <w:rsid w:val="00125041"/>
    <w:rsid w:val="0015022B"/>
    <w:rsid w:val="00172501"/>
    <w:rsid w:val="00175062"/>
    <w:rsid w:val="001767FD"/>
    <w:rsid w:val="001B1694"/>
    <w:rsid w:val="001C108E"/>
    <w:rsid w:val="001C6BFC"/>
    <w:rsid w:val="00262416"/>
    <w:rsid w:val="00295953"/>
    <w:rsid w:val="002A3EAA"/>
    <w:rsid w:val="002B6DE3"/>
    <w:rsid w:val="002B799B"/>
    <w:rsid w:val="002F0149"/>
    <w:rsid w:val="00307E56"/>
    <w:rsid w:val="003C5540"/>
    <w:rsid w:val="003C7A69"/>
    <w:rsid w:val="003D7856"/>
    <w:rsid w:val="004106BA"/>
    <w:rsid w:val="0044299E"/>
    <w:rsid w:val="00444941"/>
    <w:rsid w:val="004B02E9"/>
    <w:rsid w:val="004D02AB"/>
    <w:rsid w:val="004E4A92"/>
    <w:rsid w:val="005613AB"/>
    <w:rsid w:val="005D04A2"/>
    <w:rsid w:val="005E5FA1"/>
    <w:rsid w:val="00663E24"/>
    <w:rsid w:val="006838B3"/>
    <w:rsid w:val="006B6379"/>
    <w:rsid w:val="006F5A0C"/>
    <w:rsid w:val="00712FFA"/>
    <w:rsid w:val="00742225"/>
    <w:rsid w:val="00794E41"/>
    <w:rsid w:val="007964AA"/>
    <w:rsid w:val="007B1846"/>
    <w:rsid w:val="007C1252"/>
    <w:rsid w:val="007E54B7"/>
    <w:rsid w:val="007F20B9"/>
    <w:rsid w:val="007F22E4"/>
    <w:rsid w:val="008305E9"/>
    <w:rsid w:val="00866CBA"/>
    <w:rsid w:val="00873A27"/>
    <w:rsid w:val="00884176"/>
    <w:rsid w:val="008B040A"/>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73033"/>
    <w:rsid w:val="00BE6658"/>
    <w:rsid w:val="00BF6585"/>
    <w:rsid w:val="00C4749E"/>
    <w:rsid w:val="00C72F6B"/>
    <w:rsid w:val="00C83592"/>
    <w:rsid w:val="00C85D0F"/>
    <w:rsid w:val="00C94F41"/>
    <w:rsid w:val="00CA7F28"/>
    <w:rsid w:val="00CF4E9D"/>
    <w:rsid w:val="00D2257D"/>
    <w:rsid w:val="00D34123"/>
    <w:rsid w:val="00D35B06"/>
    <w:rsid w:val="00D42F84"/>
    <w:rsid w:val="00D92DDE"/>
    <w:rsid w:val="00DA7120"/>
    <w:rsid w:val="00DC19A9"/>
    <w:rsid w:val="00DC1DD4"/>
    <w:rsid w:val="00DC3244"/>
    <w:rsid w:val="00DC36BD"/>
    <w:rsid w:val="00DF038C"/>
    <w:rsid w:val="00E67987"/>
    <w:rsid w:val="00E96208"/>
    <w:rsid w:val="00EA1780"/>
    <w:rsid w:val="00EF54D2"/>
    <w:rsid w:val="00F000BE"/>
    <w:rsid w:val="00F15510"/>
    <w:rsid w:val="00F20F19"/>
    <w:rsid w:val="00F300AB"/>
    <w:rsid w:val="00F457AA"/>
    <w:rsid w:val="00F61FB2"/>
    <w:rsid w:val="00F925F1"/>
    <w:rsid w:val="00FA2D4B"/>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17866"/>
  <w15:chartTrackingRefBased/>
  <w15:docId w15:val="{606302F5-F0A2-4D1A-A9D2-670C70399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B73033"/>
    <w:pPr>
      <w:widowControl/>
      <w:spacing w:before="100" w:beforeAutospacing="1" w:after="100" w:afterAutospacing="1"/>
    </w:pPr>
    <w:rPr>
      <w:szCs w:val="24"/>
    </w:rPr>
  </w:style>
  <w:style w:type="paragraph" w:customStyle="1" w:styleId="AmJustText">
    <w:name w:val="AmJustText"/>
    <w:basedOn w:val="Normal"/>
    <w:rsid w:val="00B73033"/>
    <w:pPr>
      <w:widowControl/>
      <w:spacing w:after="240"/>
    </w:pPr>
    <w:rPr>
      <w:i/>
      <w:szCs w:val="24"/>
      <w:lang w:eastAsia="en-US"/>
    </w:rPr>
  </w:style>
  <w:style w:type="paragraph" w:customStyle="1" w:styleId="AmJustTitle">
    <w:name w:val="AmJustTitle"/>
    <w:basedOn w:val="Normal"/>
    <w:next w:val="AmJustText"/>
    <w:rsid w:val="00B73033"/>
    <w:pPr>
      <w:keepNext/>
      <w:widowControl/>
      <w:spacing w:before="240" w:after="240"/>
      <w:jc w:val="center"/>
    </w:pPr>
    <w:rPr>
      <w:i/>
      <w:szCs w:val="24"/>
      <w:lang w:eastAsia="en-US"/>
    </w:rPr>
  </w:style>
  <w:style w:type="paragraph" w:customStyle="1" w:styleId="AmCrossRef">
    <w:name w:val="AmCrossRef"/>
    <w:basedOn w:val="Normal"/>
    <w:rsid w:val="00B73033"/>
    <w:pPr>
      <w:widowControl/>
      <w:spacing w:before="240" w:after="240"/>
      <w:jc w:val="center"/>
    </w:pPr>
    <w:rPr>
      <w:i/>
      <w:szCs w:val="24"/>
      <w:lang w:eastAsia="en-US"/>
    </w:rPr>
  </w:style>
  <w:style w:type="paragraph" w:customStyle="1" w:styleId="EPFooterLandscape">
    <w:name w:val="EPFooterLandscape"/>
    <w:rsid w:val="00B73033"/>
    <w:pPr>
      <w:tabs>
        <w:tab w:val="center" w:pos="6800"/>
        <w:tab w:val="right" w:pos="15020"/>
      </w:tabs>
    </w:pPr>
    <w:rPr>
      <w:sz w:val="22"/>
      <w:lang w:eastAsia="en-US"/>
    </w:rPr>
  </w:style>
  <w:style w:type="paragraph" w:customStyle="1" w:styleId="Normal0">
    <w:name w:val="Normal0"/>
    <w:basedOn w:val="Normal"/>
    <w:rsid w:val="00B73033"/>
    <w:pPr>
      <w:widowControl/>
    </w:pPr>
    <w:rPr>
      <w:sz w:val="2"/>
      <w:szCs w:val="24"/>
      <w:lang w:eastAsia="en-US"/>
    </w:rPr>
  </w:style>
  <w:style w:type="paragraph" w:customStyle="1" w:styleId="EPFooter2Landscape">
    <w:name w:val="EPFooter2Landscape"/>
    <w:rsid w:val="00B73033"/>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73033"/>
    <w:pPr>
      <w:widowControl/>
      <w:shd w:val="clear" w:color="auto" w:fill="000000"/>
    </w:pPr>
    <w:rPr>
      <w:color w:val="FFFFFF"/>
      <w:szCs w:val="24"/>
      <w:lang w:eastAsia="en-US"/>
    </w:rPr>
  </w:style>
  <w:style w:type="paragraph" w:customStyle="1" w:styleId="Normal12a">
    <w:name w:val="Normal12a"/>
    <w:basedOn w:val="Normal"/>
    <w:rsid w:val="00B73033"/>
    <w:pPr>
      <w:widowControl/>
      <w:spacing w:after="240"/>
    </w:pPr>
    <w:rPr>
      <w:szCs w:val="24"/>
      <w:lang w:eastAsia="en-US"/>
    </w:rPr>
  </w:style>
  <w:style w:type="paragraph" w:customStyle="1" w:styleId="NormalBold12b">
    <w:name w:val="NormalBold12b"/>
    <w:basedOn w:val="Normal"/>
    <w:rsid w:val="00B73033"/>
    <w:pPr>
      <w:widowControl/>
      <w:spacing w:before="240"/>
    </w:pPr>
    <w:rPr>
      <w:b/>
      <w:szCs w:val="24"/>
      <w:lang w:eastAsia="en-US"/>
    </w:rPr>
  </w:style>
  <w:style w:type="character" w:customStyle="1" w:styleId="EPFooter2Motto">
    <w:name w:val="EPFooter2Motto"/>
    <w:rsid w:val="00B73033"/>
    <w:rPr>
      <w:rFonts w:ascii="Arial" w:hAnsi="Arial" w:cs="Arial" w:hint="default"/>
      <w:b/>
      <w:bCs w:val="0"/>
      <w:i/>
      <w:iCs w:val="0"/>
      <w:color w:val="C0C0C0"/>
      <w:sz w:val="22"/>
    </w:rPr>
  </w:style>
  <w:style w:type="character" w:customStyle="1" w:styleId="EPFooter2Middle">
    <w:name w:val="EPFooter2Middle"/>
    <w:rsid w:val="00B73033"/>
    <w:rPr>
      <w:rFonts w:ascii="Arial" w:hAnsi="Arial" w:cs="Arial" w:hint="default"/>
      <w:b w:val="0"/>
      <w:bCs w:val="0"/>
      <w:i/>
      <w:iCs w:val="0"/>
      <w:color w:val="AEAAAA"/>
      <w:sz w:val="22"/>
      <w:shd w:val="pct50" w:color="auto" w:fill="auto"/>
    </w:rPr>
  </w:style>
  <w:style w:type="character" w:customStyle="1" w:styleId="CMissingStyle">
    <w:name w:val="C_MissingStyle"/>
    <w:rsid w:val="00B73033"/>
    <w:rPr>
      <w:color w:val="FFFFFF"/>
      <w:sz w:val="22"/>
      <w:shd w:val="clear" w:color="auto" w:fill="000000"/>
    </w:rPr>
  </w:style>
  <w:style w:type="paragraph" w:styleId="Footer">
    <w:name w:val="footer"/>
    <w:basedOn w:val="Normal"/>
    <w:link w:val="FooterChar"/>
    <w:semiHidden/>
    <w:rsid w:val="00884176"/>
    <w:pPr>
      <w:tabs>
        <w:tab w:val="center" w:pos="4513"/>
        <w:tab w:val="right" w:pos="9026"/>
      </w:tabs>
    </w:pPr>
  </w:style>
  <w:style w:type="character" w:customStyle="1" w:styleId="FooterChar">
    <w:name w:val="Footer Char"/>
    <w:basedOn w:val="DefaultParagraphFont"/>
    <w:link w:val="Footer"/>
    <w:semiHidden/>
    <w:rsid w:val="008841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59</Pages>
  <Words>18816</Words>
  <Characters>108717</Characters>
  <Application>Microsoft Office Word</Application>
  <DocSecurity>0</DocSecurity>
  <Lines>3913</Lines>
  <Paragraphs>640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126978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2026-02-11T11:12:00Z</dcterms:created>
  <dcterms:modified xsi:type="dcterms:W3CDTF">2026-02-11T11:12:00Z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1336325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AM\1336325NL.docx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784.137</vt:lpwstr>
  </property>
  <property fmtid="{D5CDD505-2E9C-101B-9397-08002B2CF9AE}" pid="13" name="SendToEpades">
    <vt:lpwstr>OK - 2026/01/28 19:52</vt:lpwstr>
  </property>
  <property fmtid="{D5CDD505-2E9C-101B-9397-08002B2CF9AE}" pid="14" name="SDLStudio">
    <vt:lpwstr/>
  </property>
  <property fmtid="{D5CDD505-2E9C-101B-9397-08002B2CF9AE}" pid="15" name="Bookout">
    <vt:lpwstr>OK - 2026/02/11 12:12</vt:lpwstr>
  </property>
</Properties>
</file>